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9D" w:rsidRDefault="002D749D" w:rsidP="00B33281">
      <w:pPr>
        <w:rPr>
          <w:b/>
          <w:color w:val="002B61"/>
          <w:sz w:val="28"/>
          <w:szCs w:val="28"/>
          <w:u w:val="single"/>
        </w:rPr>
      </w:pPr>
    </w:p>
    <w:p w:rsidR="00B33281" w:rsidRPr="00B33281" w:rsidRDefault="00B33281" w:rsidP="00B33281">
      <w:pPr>
        <w:rPr>
          <w:b/>
          <w:color w:val="002B61"/>
          <w:sz w:val="28"/>
          <w:szCs w:val="28"/>
          <w:u w:val="single"/>
        </w:rPr>
      </w:pPr>
      <w:r w:rsidRPr="00B33281">
        <w:rPr>
          <w:b/>
          <w:color w:val="002B61"/>
          <w:sz w:val="28"/>
          <w:szCs w:val="28"/>
          <w:u w:val="single"/>
        </w:rPr>
        <w:t>Public Health Outcomes Framework</w:t>
      </w:r>
      <w:r w:rsidR="00C26CF7">
        <w:rPr>
          <w:b/>
          <w:color w:val="002B61"/>
          <w:sz w:val="28"/>
          <w:szCs w:val="28"/>
          <w:u w:val="single"/>
        </w:rPr>
        <w:t xml:space="preserve"> (PHOF)</w:t>
      </w:r>
      <w:r w:rsidRPr="00B33281">
        <w:rPr>
          <w:b/>
          <w:color w:val="002B61"/>
          <w:sz w:val="28"/>
          <w:szCs w:val="28"/>
          <w:u w:val="single"/>
        </w:rPr>
        <w:t xml:space="preserve"> </w:t>
      </w:r>
    </w:p>
    <w:p w:rsidR="005B25F9" w:rsidRPr="00B33281" w:rsidRDefault="00B33281" w:rsidP="00B33281">
      <w:pPr>
        <w:rPr>
          <w:b/>
          <w:color w:val="002B61"/>
          <w:sz w:val="28"/>
          <w:szCs w:val="28"/>
          <w:u w:val="single"/>
        </w:rPr>
      </w:pPr>
      <w:r w:rsidRPr="00B33281">
        <w:rPr>
          <w:b/>
          <w:color w:val="002B61"/>
          <w:sz w:val="28"/>
          <w:szCs w:val="28"/>
          <w:u w:val="single"/>
        </w:rPr>
        <w:t>Key changes and updates for Cambridgeshire, Peterborough, and the Cambridgeshire districts: August 2020</w:t>
      </w:r>
    </w:p>
    <w:p w:rsidR="00B33281" w:rsidRPr="00B33281" w:rsidRDefault="00B33281" w:rsidP="00B33281">
      <w:pPr>
        <w:rPr>
          <w:color w:val="002B61"/>
          <w:sz w:val="24"/>
          <w:szCs w:val="24"/>
        </w:rPr>
      </w:pPr>
    </w:p>
    <w:p w:rsidR="00B33281" w:rsidRPr="00B33281" w:rsidRDefault="00B33281" w:rsidP="00B33281">
      <w:pPr>
        <w:rPr>
          <w:b/>
          <w:color w:val="002B61"/>
          <w:sz w:val="24"/>
          <w:szCs w:val="24"/>
        </w:rPr>
      </w:pPr>
      <w:r w:rsidRPr="00B33281">
        <w:rPr>
          <w:b/>
          <w:color w:val="002B61"/>
          <w:sz w:val="24"/>
          <w:szCs w:val="24"/>
        </w:rPr>
        <w:t>Introduction</w:t>
      </w:r>
    </w:p>
    <w:p w:rsidR="00B33281" w:rsidRPr="00B33281" w:rsidRDefault="00B33281" w:rsidP="00B33281">
      <w:pPr>
        <w:rPr>
          <w:rFonts w:ascii="Calibri" w:hAnsi="Calibri" w:cs="Arial"/>
          <w:color w:val="002B61"/>
          <w:sz w:val="24"/>
          <w:szCs w:val="24"/>
        </w:rPr>
      </w:pPr>
      <w:r w:rsidRPr="00B33281">
        <w:rPr>
          <w:rFonts w:ascii="Calibri" w:hAnsi="Calibri" w:cs="Arial"/>
          <w:color w:val="002B61"/>
          <w:sz w:val="24"/>
          <w:szCs w:val="24"/>
        </w:rPr>
        <w:t>The P</w:t>
      </w:r>
      <w:r w:rsidR="00C26CF7">
        <w:rPr>
          <w:rFonts w:ascii="Calibri" w:hAnsi="Calibri" w:cs="Arial"/>
          <w:color w:val="002B61"/>
          <w:sz w:val="24"/>
          <w:szCs w:val="24"/>
        </w:rPr>
        <w:t>ublic Health Outcomes Framework (PHOF)</w:t>
      </w:r>
      <w:r w:rsidRPr="00B33281">
        <w:rPr>
          <w:rFonts w:ascii="Calibri" w:hAnsi="Calibri" w:cs="Arial"/>
          <w:color w:val="002B61"/>
          <w:sz w:val="24"/>
          <w:szCs w:val="24"/>
        </w:rPr>
        <w:t xml:space="preserve"> provides a set of </w:t>
      </w:r>
      <w:r w:rsidRPr="00B33281">
        <w:rPr>
          <w:rStyle w:val="Hyperlink"/>
          <w:rFonts w:ascii="Calibri" w:hAnsi="Calibri" w:cs="Arial"/>
          <w:color w:val="002B61"/>
          <w:sz w:val="24"/>
          <w:szCs w:val="24"/>
          <w:u w:val="none"/>
        </w:rPr>
        <w:t>indicators</w:t>
      </w:r>
      <w:r w:rsidRPr="00B33281">
        <w:rPr>
          <w:rFonts w:ascii="Calibri" w:hAnsi="Calibri" w:cs="Arial"/>
          <w:color w:val="002B61"/>
          <w:sz w:val="24"/>
          <w:szCs w:val="24"/>
        </w:rPr>
        <w:t xml:space="preserve"> to help us to understand how well public health is being improved and protected.  </w:t>
      </w:r>
    </w:p>
    <w:p w:rsidR="00B33281" w:rsidRPr="00B33281" w:rsidRDefault="00B33281" w:rsidP="00B33281">
      <w:pPr>
        <w:rPr>
          <w:rFonts w:ascii="Calibri" w:hAnsi="Calibri" w:cs="Arial"/>
          <w:color w:val="002B61"/>
          <w:sz w:val="24"/>
          <w:szCs w:val="24"/>
        </w:rPr>
      </w:pPr>
      <w:r w:rsidRPr="00B33281">
        <w:rPr>
          <w:rFonts w:ascii="Calibri" w:hAnsi="Calibri" w:cs="Arial"/>
          <w:color w:val="002B61"/>
          <w:sz w:val="24"/>
          <w:szCs w:val="24"/>
        </w:rPr>
        <w:t>The framework was revised in August 2016 (presenting a revised PHOF for England 2016-2019) and a</w:t>
      </w:r>
      <w:r>
        <w:rPr>
          <w:rFonts w:ascii="Calibri" w:hAnsi="Calibri" w:cs="Arial"/>
          <w:color w:val="002B61"/>
          <w:sz w:val="24"/>
          <w:szCs w:val="24"/>
        </w:rPr>
        <w:t xml:space="preserve">gain in </w:t>
      </w:r>
      <w:r w:rsidRPr="00B33281">
        <w:rPr>
          <w:rFonts w:ascii="Calibri" w:hAnsi="Calibri" w:cs="Arial"/>
          <w:color w:val="002B61"/>
          <w:sz w:val="24"/>
          <w:szCs w:val="24"/>
        </w:rPr>
        <w:t>2019</w:t>
      </w:r>
      <w:r>
        <w:rPr>
          <w:rFonts w:ascii="Calibri" w:hAnsi="Calibri" w:cs="Arial"/>
          <w:color w:val="002B61"/>
          <w:sz w:val="24"/>
          <w:szCs w:val="24"/>
        </w:rPr>
        <w:t>/20</w:t>
      </w:r>
      <w:r w:rsidRPr="00B33281">
        <w:rPr>
          <w:rFonts w:ascii="Calibri" w:hAnsi="Calibri" w:cs="Arial"/>
          <w:color w:val="002B61"/>
          <w:sz w:val="24"/>
          <w:szCs w:val="24"/>
        </w:rPr>
        <w:t xml:space="preserve">. </w:t>
      </w:r>
    </w:p>
    <w:p w:rsidR="00B33281" w:rsidRPr="00B33281" w:rsidRDefault="00B33281" w:rsidP="00B33281">
      <w:pPr>
        <w:rPr>
          <w:rFonts w:ascii="Calibri" w:hAnsi="Calibri" w:cs="Arial"/>
          <w:color w:val="002B61"/>
          <w:sz w:val="24"/>
          <w:szCs w:val="24"/>
        </w:rPr>
      </w:pPr>
      <w:r w:rsidRPr="00B33281">
        <w:rPr>
          <w:rFonts w:ascii="Calibri" w:hAnsi="Calibri" w:cs="Arial"/>
          <w:color w:val="002B61"/>
          <w:sz w:val="24"/>
          <w:szCs w:val="24"/>
        </w:rPr>
        <w:t>Data in the PHOF are updated quarterly in February, May, August and November.  Each update refreshes indicators for which new figures have become available.  Few indicators actually show quarterly data, with the majority presenting annual or 3-yearly rolling data, often guided by the stability of the numbers available.</w:t>
      </w:r>
    </w:p>
    <w:p w:rsidR="00B33281" w:rsidRPr="00B33281" w:rsidRDefault="00B33281" w:rsidP="00B33281">
      <w:pPr>
        <w:rPr>
          <w:rFonts w:ascii="Calibri" w:hAnsi="Calibri" w:cs="Arial"/>
          <w:color w:val="002B61"/>
          <w:sz w:val="24"/>
          <w:szCs w:val="24"/>
        </w:rPr>
      </w:pPr>
      <w:r w:rsidRPr="00B33281">
        <w:rPr>
          <w:rFonts w:ascii="Calibri" w:hAnsi="Calibri" w:cs="Arial"/>
          <w:color w:val="002B61"/>
          <w:sz w:val="24"/>
          <w:szCs w:val="24"/>
        </w:rPr>
        <w:t xml:space="preserve">The PHOF focuses on the overarching indicators of </w:t>
      </w:r>
      <w:r w:rsidRPr="00B33281">
        <w:rPr>
          <w:rFonts w:ascii="Calibri" w:hAnsi="Calibri" w:cs="Arial"/>
          <w:b/>
          <w:color w:val="002B61"/>
          <w:sz w:val="24"/>
          <w:szCs w:val="24"/>
        </w:rPr>
        <w:t>healthy life expectancy</w:t>
      </w:r>
      <w:r w:rsidRPr="00B33281">
        <w:rPr>
          <w:rFonts w:ascii="Calibri" w:hAnsi="Calibri" w:cs="Arial"/>
          <w:color w:val="002B61"/>
          <w:sz w:val="24"/>
          <w:szCs w:val="24"/>
        </w:rPr>
        <w:t xml:space="preserve"> and </w:t>
      </w:r>
      <w:r w:rsidRPr="00B33281">
        <w:rPr>
          <w:rFonts w:ascii="Calibri" w:hAnsi="Calibri" w:cs="Arial"/>
          <w:b/>
          <w:color w:val="002B61"/>
          <w:sz w:val="24"/>
          <w:szCs w:val="24"/>
        </w:rPr>
        <w:t>life expectancy</w:t>
      </w:r>
      <w:r w:rsidRPr="00B33281">
        <w:rPr>
          <w:rFonts w:ascii="Calibri" w:hAnsi="Calibri" w:cs="Arial"/>
          <w:color w:val="002B61"/>
          <w:sz w:val="24"/>
          <w:szCs w:val="24"/>
        </w:rPr>
        <w:t>, key measures of the overall health of the population.</w:t>
      </w:r>
      <w:r>
        <w:rPr>
          <w:rFonts w:ascii="Calibri" w:hAnsi="Calibri" w:cs="Arial"/>
          <w:color w:val="002B61"/>
          <w:sz w:val="24"/>
          <w:szCs w:val="24"/>
        </w:rPr>
        <w:t xml:space="preserve"> </w:t>
      </w:r>
      <w:r w:rsidRPr="00B33281">
        <w:rPr>
          <w:rFonts w:ascii="Calibri" w:hAnsi="Calibri" w:cs="Arial"/>
          <w:color w:val="002B61"/>
          <w:sz w:val="24"/>
          <w:szCs w:val="24"/>
        </w:rPr>
        <w:t>These overarching indicators are supported by further indicators across five domains, helping local systems to view the context and drivers of healthy life expectancy:</w:t>
      </w:r>
    </w:p>
    <w:p w:rsidR="00B33281" w:rsidRPr="00B33281" w:rsidRDefault="00B33281" w:rsidP="00B33281">
      <w:pPr>
        <w:pStyle w:val="ListParagraph"/>
        <w:numPr>
          <w:ilvl w:val="0"/>
          <w:numId w:val="1"/>
        </w:numPr>
        <w:rPr>
          <w:rFonts w:ascii="Calibri" w:hAnsi="Calibri" w:cs="Arial"/>
          <w:color w:val="002B61"/>
        </w:rPr>
      </w:pPr>
      <w:r w:rsidRPr="00B33281">
        <w:rPr>
          <w:rFonts w:ascii="Calibri" w:hAnsi="Calibri" w:cs="Arial"/>
          <w:color w:val="002B61"/>
        </w:rPr>
        <w:t>Overarching indicators</w:t>
      </w:r>
    </w:p>
    <w:p w:rsidR="00B33281" w:rsidRPr="00B33281" w:rsidRDefault="00B33281" w:rsidP="00B33281">
      <w:pPr>
        <w:pStyle w:val="ListParagraph"/>
        <w:numPr>
          <w:ilvl w:val="0"/>
          <w:numId w:val="1"/>
        </w:numPr>
        <w:rPr>
          <w:rFonts w:ascii="Calibri" w:hAnsi="Calibri" w:cs="Arial"/>
          <w:color w:val="002B61"/>
        </w:rPr>
      </w:pPr>
      <w:r w:rsidRPr="00B33281">
        <w:rPr>
          <w:rFonts w:ascii="Calibri" w:hAnsi="Calibri" w:cs="Arial"/>
          <w:color w:val="002B61"/>
        </w:rPr>
        <w:t>Wider determinants of health</w:t>
      </w:r>
    </w:p>
    <w:p w:rsidR="00B33281" w:rsidRPr="00B33281" w:rsidRDefault="00B33281" w:rsidP="00B33281">
      <w:pPr>
        <w:pStyle w:val="ListParagraph"/>
        <w:numPr>
          <w:ilvl w:val="0"/>
          <w:numId w:val="1"/>
        </w:numPr>
        <w:rPr>
          <w:rFonts w:ascii="Calibri" w:hAnsi="Calibri" w:cs="Arial"/>
          <w:color w:val="002B61"/>
        </w:rPr>
      </w:pPr>
      <w:r w:rsidRPr="00B33281">
        <w:rPr>
          <w:rFonts w:ascii="Calibri" w:hAnsi="Calibri" w:cs="Arial"/>
          <w:color w:val="002B61"/>
        </w:rPr>
        <w:t>Health improvement</w:t>
      </w:r>
    </w:p>
    <w:p w:rsidR="00B33281" w:rsidRPr="00B33281" w:rsidRDefault="00B33281" w:rsidP="00B33281">
      <w:pPr>
        <w:pStyle w:val="ListParagraph"/>
        <w:numPr>
          <w:ilvl w:val="0"/>
          <w:numId w:val="1"/>
        </w:numPr>
        <w:rPr>
          <w:rFonts w:ascii="Calibri" w:hAnsi="Calibri" w:cs="Arial"/>
          <w:color w:val="002B61"/>
        </w:rPr>
      </w:pPr>
      <w:r w:rsidRPr="00B33281">
        <w:rPr>
          <w:rFonts w:ascii="Calibri" w:hAnsi="Calibri" w:cs="Arial"/>
          <w:color w:val="002B61"/>
        </w:rPr>
        <w:t>Health protection</w:t>
      </w:r>
    </w:p>
    <w:p w:rsidR="00B33281" w:rsidRDefault="00B33281" w:rsidP="00B33281">
      <w:pPr>
        <w:pStyle w:val="ListParagraph"/>
        <w:numPr>
          <w:ilvl w:val="0"/>
          <w:numId w:val="1"/>
        </w:numPr>
        <w:rPr>
          <w:rFonts w:ascii="Calibri" w:hAnsi="Calibri" w:cs="Arial"/>
          <w:color w:val="002B61"/>
        </w:rPr>
      </w:pPr>
      <w:r w:rsidRPr="00B33281">
        <w:rPr>
          <w:rFonts w:ascii="Calibri" w:hAnsi="Calibri" w:cs="Arial"/>
          <w:color w:val="002B61"/>
        </w:rPr>
        <w:t>Healthcare public health and premature mortality</w:t>
      </w:r>
    </w:p>
    <w:p w:rsidR="00B33281" w:rsidRDefault="00B33281" w:rsidP="00B33281">
      <w:pPr>
        <w:rPr>
          <w:rFonts w:ascii="Calibri" w:hAnsi="Calibri" w:cs="Arial"/>
          <w:color w:val="002B61"/>
        </w:rPr>
      </w:pPr>
    </w:p>
    <w:p w:rsidR="00B33281" w:rsidRPr="00C26CF7" w:rsidRDefault="00B33281" w:rsidP="00B33281">
      <w:pPr>
        <w:rPr>
          <w:rFonts w:ascii="Calibri" w:hAnsi="Calibri" w:cs="Arial"/>
          <w:color w:val="002B61"/>
          <w:sz w:val="24"/>
          <w:szCs w:val="24"/>
        </w:rPr>
      </w:pPr>
      <w:r w:rsidRPr="00C26CF7">
        <w:rPr>
          <w:rFonts w:ascii="Calibri" w:hAnsi="Calibri" w:cs="Arial"/>
          <w:color w:val="002B61"/>
          <w:sz w:val="24"/>
          <w:szCs w:val="24"/>
        </w:rPr>
        <w:t xml:space="preserve">Most indicators in the PHOF are benchmarked against the England average, but some are compared with a national target, goal or percentile. </w:t>
      </w:r>
    </w:p>
    <w:p w:rsidR="00B33281" w:rsidRDefault="00B33281" w:rsidP="00B33281">
      <w:pPr>
        <w:rPr>
          <w:rFonts w:ascii="Calibri" w:hAnsi="Calibri" w:cs="Arial"/>
          <w:color w:val="002B61"/>
          <w:sz w:val="24"/>
          <w:szCs w:val="24"/>
        </w:rPr>
      </w:pPr>
      <w:r w:rsidRPr="00B33281">
        <w:rPr>
          <w:rFonts w:ascii="Calibri" w:hAnsi="Calibri" w:cs="Arial"/>
          <w:color w:val="002B61"/>
          <w:sz w:val="24"/>
          <w:szCs w:val="24"/>
        </w:rPr>
        <w:t xml:space="preserve">Public Health England present data for the PHOF in an Interactive Fingertips Data Tool at </w:t>
      </w:r>
      <w:hyperlink r:id="rId8" w:history="1">
        <w:r w:rsidRPr="00B33281">
          <w:rPr>
            <w:rStyle w:val="Hyperlink"/>
            <w:rFonts w:ascii="Calibri" w:hAnsi="Calibri" w:cs="Arial"/>
            <w:color w:val="002B61"/>
            <w:sz w:val="24"/>
            <w:szCs w:val="24"/>
          </w:rPr>
          <w:t>www.phoutcomes.info</w:t>
        </w:r>
      </w:hyperlink>
      <w:r w:rsidRPr="00B33281">
        <w:rPr>
          <w:rFonts w:ascii="Calibri" w:hAnsi="Calibri" w:cs="Arial"/>
          <w:color w:val="002B61"/>
          <w:sz w:val="24"/>
          <w:szCs w:val="24"/>
        </w:rPr>
        <w:t xml:space="preserve">. </w:t>
      </w:r>
    </w:p>
    <w:p w:rsidR="00B33281" w:rsidRPr="00B33281" w:rsidRDefault="00B33281" w:rsidP="00B33281">
      <w:pPr>
        <w:rPr>
          <w:rStyle w:val="Hyperlink"/>
          <w:rFonts w:ascii="Calibri" w:hAnsi="Calibri" w:cs="Arial"/>
          <w:color w:val="002B61"/>
          <w:sz w:val="24"/>
          <w:szCs w:val="24"/>
          <w:u w:val="none"/>
        </w:rPr>
      </w:pPr>
      <w:r w:rsidRPr="00B33281">
        <w:rPr>
          <w:rStyle w:val="Hyperlink"/>
          <w:rFonts w:ascii="Calibri" w:hAnsi="Calibri" w:cs="Arial"/>
          <w:b/>
          <w:color w:val="002B61"/>
          <w:sz w:val="24"/>
          <w:szCs w:val="24"/>
          <w:u w:val="none"/>
        </w:rPr>
        <w:lastRenderedPageBreak/>
        <w:t xml:space="preserve">Main source: </w:t>
      </w:r>
      <w:r w:rsidRPr="00B33281">
        <w:rPr>
          <w:rStyle w:val="Hyperlink"/>
          <w:rFonts w:ascii="Calibri" w:hAnsi="Calibri" w:cs="Arial"/>
          <w:color w:val="002B61"/>
          <w:sz w:val="24"/>
          <w:szCs w:val="24"/>
          <w:u w:val="none"/>
        </w:rPr>
        <w:t>Public Health England. Public Health Outcomes Framework.</w:t>
      </w:r>
      <w:r>
        <w:rPr>
          <w:rStyle w:val="Hyperlink"/>
          <w:rFonts w:ascii="Calibri" w:hAnsi="Calibri" w:cs="Arial"/>
          <w:color w:val="002B61"/>
          <w:sz w:val="24"/>
          <w:szCs w:val="24"/>
          <w:u w:val="none"/>
        </w:rPr>
        <w:t xml:space="preserve"> </w:t>
      </w:r>
      <w:r w:rsidRPr="00B33281">
        <w:rPr>
          <w:rStyle w:val="Hyperlink"/>
          <w:rFonts w:ascii="Calibri" w:hAnsi="Calibri" w:cs="Arial"/>
          <w:color w:val="002B61"/>
          <w:sz w:val="24"/>
          <w:szCs w:val="24"/>
          <w:u w:val="none"/>
        </w:rPr>
        <w:t>© Crown Copyright 2020.</w:t>
      </w:r>
    </w:p>
    <w:p w:rsidR="00B33281" w:rsidRDefault="00B33281" w:rsidP="00B33281">
      <w:pPr>
        <w:rPr>
          <w:rFonts w:ascii="Calibri" w:hAnsi="Calibri" w:cs="Arial"/>
          <w:color w:val="002B61"/>
          <w:sz w:val="24"/>
          <w:szCs w:val="24"/>
        </w:rPr>
      </w:pPr>
    </w:p>
    <w:p w:rsidR="00B33281" w:rsidRPr="00B33281" w:rsidRDefault="00B33281" w:rsidP="00B33281">
      <w:pPr>
        <w:rPr>
          <w:rFonts w:ascii="Calibri" w:hAnsi="Calibri" w:cs="Arial"/>
          <w:b/>
          <w:color w:val="002B61"/>
          <w:sz w:val="24"/>
          <w:szCs w:val="24"/>
        </w:rPr>
      </w:pPr>
      <w:r w:rsidRPr="00B33281">
        <w:rPr>
          <w:rFonts w:ascii="Calibri" w:hAnsi="Calibri" w:cs="Arial"/>
          <w:b/>
          <w:color w:val="002B61"/>
          <w:sz w:val="24"/>
          <w:szCs w:val="24"/>
        </w:rPr>
        <w:t xml:space="preserve">Indicators updated at </w:t>
      </w:r>
      <w:r w:rsidR="0018281C">
        <w:rPr>
          <w:rFonts w:ascii="Calibri" w:hAnsi="Calibri" w:cs="Arial"/>
          <w:b/>
          <w:color w:val="002B61"/>
          <w:sz w:val="24"/>
          <w:szCs w:val="24"/>
        </w:rPr>
        <w:t xml:space="preserve">upper-tier local authority </w:t>
      </w:r>
      <w:r w:rsidR="000C41A4">
        <w:rPr>
          <w:rFonts w:ascii="Calibri" w:hAnsi="Calibri" w:cs="Arial"/>
          <w:b/>
          <w:color w:val="002B61"/>
          <w:sz w:val="24"/>
          <w:szCs w:val="24"/>
        </w:rPr>
        <w:t>and</w:t>
      </w:r>
      <w:r w:rsidR="0018281C">
        <w:rPr>
          <w:rFonts w:ascii="Calibri" w:hAnsi="Calibri" w:cs="Arial"/>
          <w:b/>
          <w:color w:val="002B61"/>
          <w:sz w:val="24"/>
          <w:szCs w:val="24"/>
        </w:rPr>
        <w:t xml:space="preserve"> lower-tier local authority </w:t>
      </w:r>
      <w:r w:rsidRPr="00B33281">
        <w:rPr>
          <w:rFonts w:ascii="Calibri" w:hAnsi="Calibri" w:cs="Arial"/>
          <w:b/>
          <w:color w:val="002B61"/>
          <w:sz w:val="24"/>
          <w:szCs w:val="24"/>
        </w:rPr>
        <w:t>level</w:t>
      </w:r>
      <w:r>
        <w:rPr>
          <w:rFonts w:ascii="Calibri" w:hAnsi="Calibri" w:cs="Arial"/>
          <w:b/>
          <w:color w:val="002B61"/>
          <w:sz w:val="24"/>
          <w:szCs w:val="24"/>
        </w:rPr>
        <w:t>, August 2020</w:t>
      </w:r>
    </w:p>
    <w:p w:rsidR="000405DA" w:rsidRDefault="000405DA" w:rsidP="00B33281">
      <w:pPr>
        <w:rPr>
          <w:rStyle w:val="Hyperlink"/>
          <w:rFonts w:ascii="Calibri" w:hAnsi="Calibri" w:cs="Arial"/>
          <w:b/>
          <w:color w:val="002B61"/>
          <w:sz w:val="24"/>
          <w:szCs w:val="24"/>
          <w:u w:val="none"/>
        </w:rPr>
      </w:pPr>
    </w:p>
    <w:p w:rsidR="0018281C" w:rsidRDefault="000405DA" w:rsidP="00B33281">
      <w:pPr>
        <w:rPr>
          <w:rStyle w:val="Hyperlink"/>
          <w:rFonts w:ascii="Calibri" w:hAnsi="Calibri" w:cs="Arial"/>
          <w:b/>
          <w:color w:val="002B61"/>
          <w:sz w:val="24"/>
          <w:szCs w:val="24"/>
          <w:u w:val="none"/>
        </w:rPr>
      </w:pPr>
      <w:r w:rsidRPr="000405DA">
        <w:rPr>
          <w:rStyle w:val="Hyperlink"/>
          <w:rFonts w:cstheme="minorBidi"/>
          <w:noProof/>
          <w:color w:val="auto"/>
          <w:u w:val="none"/>
          <w:lang w:eastAsia="en-GB"/>
        </w:rPr>
        <w:drawing>
          <wp:inline distT="0" distB="0" distL="0" distR="0">
            <wp:extent cx="8863330" cy="40365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4036534"/>
                    </a:xfrm>
                    <a:prstGeom prst="rect">
                      <a:avLst/>
                    </a:prstGeom>
                    <a:noFill/>
                    <a:ln>
                      <a:noFill/>
                    </a:ln>
                  </pic:spPr>
                </pic:pic>
              </a:graphicData>
            </a:graphic>
          </wp:inline>
        </w:drawing>
      </w:r>
    </w:p>
    <w:p w:rsidR="0018281C" w:rsidRDefault="0018281C" w:rsidP="00B33281">
      <w:pPr>
        <w:rPr>
          <w:rStyle w:val="Hyperlink"/>
          <w:rFonts w:ascii="Calibri" w:hAnsi="Calibri" w:cs="Arial"/>
          <w:b/>
          <w:color w:val="002B61"/>
          <w:sz w:val="24"/>
          <w:szCs w:val="24"/>
          <w:u w:val="none"/>
        </w:rPr>
      </w:pPr>
    </w:p>
    <w:p w:rsidR="0018281C" w:rsidRDefault="0018281C" w:rsidP="00B33281">
      <w:pPr>
        <w:rPr>
          <w:rStyle w:val="Hyperlink"/>
          <w:rFonts w:ascii="Calibri" w:hAnsi="Calibri" w:cs="Arial"/>
          <w:b/>
          <w:color w:val="002B61"/>
          <w:sz w:val="24"/>
          <w:szCs w:val="24"/>
          <w:u w:val="none"/>
        </w:rPr>
      </w:pPr>
    </w:p>
    <w:p w:rsidR="00B33281" w:rsidRDefault="0018281C" w:rsidP="00B33281">
      <w:pPr>
        <w:rPr>
          <w:rStyle w:val="Hyperlink"/>
          <w:rFonts w:ascii="Calibri" w:hAnsi="Calibri" w:cs="Arial"/>
          <w:b/>
          <w:color w:val="002B61"/>
          <w:sz w:val="24"/>
          <w:szCs w:val="24"/>
          <w:u w:val="none"/>
        </w:rPr>
      </w:pPr>
      <w:r w:rsidRPr="0018281C">
        <w:rPr>
          <w:rStyle w:val="Hyperlink"/>
          <w:rFonts w:ascii="Calibri" w:hAnsi="Calibri" w:cs="Arial"/>
          <w:b/>
          <w:color w:val="002B61"/>
          <w:sz w:val="24"/>
          <w:szCs w:val="24"/>
          <w:u w:val="none"/>
        </w:rPr>
        <w:t xml:space="preserve">A list of indicators rated as </w:t>
      </w:r>
      <w:r w:rsidR="000405DA">
        <w:rPr>
          <w:rStyle w:val="Hyperlink"/>
          <w:rFonts w:ascii="Calibri" w:hAnsi="Calibri" w:cs="Arial"/>
          <w:b/>
          <w:color w:val="002B61"/>
          <w:sz w:val="24"/>
          <w:szCs w:val="24"/>
          <w:u w:val="none"/>
        </w:rPr>
        <w:t>‘</w:t>
      </w:r>
      <w:r w:rsidRPr="0018281C">
        <w:rPr>
          <w:rStyle w:val="Hyperlink"/>
          <w:rFonts w:ascii="Calibri" w:hAnsi="Calibri" w:cs="Arial"/>
          <w:b/>
          <w:color w:val="002B61"/>
          <w:sz w:val="24"/>
          <w:szCs w:val="24"/>
          <w:u w:val="none"/>
        </w:rPr>
        <w:t>Red</w:t>
      </w:r>
      <w:r w:rsidR="000405DA">
        <w:rPr>
          <w:rStyle w:val="Hyperlink"/>
          <w:rFonts w:ascii="Calibri" w:hAnsi="Calibri" w:cs="Arial"/>
          <w:b/>
          <w:color w:val="002B61"/>
          <w:sz w:val="24"/>
          <w:szCs w:val="24"/>
          <w:u w:val="none"/>
        </w:rPr>
        <w:t>’</w:t>
      </w:r>
      <w:r w:rsidRPr="0018281C">
        <w:rPr>
          <w:rStyle w:val="Hyperlink"/>
          <w:rFonts w:ascii="Calibri" w:hAnsi="Calibri" w:cs="Arial"/>
          <w:b/>
          <w:color w:val="002B61"/>
          <w:sz w:val="24"/>
          <w:szCs w:val="24"/>
          <w:u w:val="none"/>
        </w:rPr>
        <w:t xml:space="preserve">, August 2020. </w:t>
      </w:r>
    </w:p>
    <w:p w:rsidR="000405DA" w:rsidRDefault="000405DA" w:rsidP="0018281C">
      <w:pPr>
        <w:autoSpaceDE w:val="0"/>
        <w:autoSpaceDN w:val="0"/>
        <w:adjustRightInd w:val="0"/>
        <w:spacing w:after="240"/>
        <w:rPr>
          <w:rFonts w:ascii="Calibri" w:hAnsi="Calibri" w:cs="Arial"/>
          <w:color w:val="002B61"/>
        </w:rPr>
      </w:pPr>
      <w:r>
        <w:rPr>
          <w:rFonts w:ascii="Calibri" w:hAnsi="Calibri" w:cs="Arial"/>
          <w:color w:val="002B61"/>
        </w:rPr>
        <w:t>In this section, an indicator listed as ‘Red’ is assessed as statistically significantly worse than the England average</w:t>
      </w:r>
      <w:r>
        <w:rPr>
          <w:rStyle w:val="FootnoteReference"/>
          <w:rFonts w:ascii="Calibri" w:hAnsi="Calibri" w:cs="Arial"/>
          <w:color w:val="002B61"/>
        </w:rPr>
        <w:footnoteReference w:id="1"/>
      </w:r>
      <w:r>
        <w:rPr>
          <w:rFonts w:ascii="Calibri" w:hAnsi="Calibri" w:cs="Arial"/>
          <w:color w:val="002B61"/>
        </w:rPr>
        <w:t xml:space="preserve">. </w:t>
      </w:r>
    </w:p>
    <w:p w:rsidR="0018281C" w:rsidRDefault="0018281C" w:rsidP="0018281C">
      <w:pPr>
        <w:autoSpaceDE w:val="0"/>
        <w:autoSpaceDN w:val="0"/>
        <w:adjustRightInd w:val="0"/>
        <w:spacing w:after="240"/>
        <w:rPr>
          <w:rFonts w:ascii="Calibri" w:hAnsi="Calibri" w:cs="Arial"/>
          <w:color w:val="002B61"/>
        </w:rPr>
      </w:pPr>
      <w:r w:rsidRPr="0018281C">
        <w:rPr>
          <w:rFonts w:ascii="Calibri" w:hAnsi="Calibri" w:cs="Arial"/>
          <w:color w:val="002B61"/>
        </w:rPr>
        <w:t>It is important to remember that indicators rating similar to or better than the national average do not necessarily mean that they are not important public health issues as they may affect large numbers of people or disproportionately affect particular vulnerable groups or deprived areas.</w:t>
      </w:r>
    </w:p>
    <w:p w:rsidR="0018281C" w:rsidRPr="0018281C" w:rsidRDefault="0018281C" w:rsidP="0018281C">
      <w:pPr>
        <w:autoSpaceDE w:val="0"/>
        <w:autoSpaceDN w:val="0"/>
        <w:adjustRightInd w:val="0"/>
        <w:spacing w:after="240"/>
        <w:rPr>
          <w:rFonts w:ascii="Calibri" w:hAnsi="Calibri" w:cs="Arial"/>
          <w:b/>
          <w:color w:val="002B61"/>
          <w:u w:val="single"/>
        </w:rPr>
      </w:pPr>
      <w:r w:rsidRPr="0018281C">
        <w:rPr>
          <w:rFonts w:ascii="Calibri" w:hAnsi="Calibri" w:cs="Arial"/>
          <w:b/>
          <w:color w:val="002B61"/>
          <w:u w:val="single"/>
        </w:rPr>
        <w:t>CAMBRIDGESHIRE</w:t>
      </w:r>
    </w:p>
    <w:p w:rsidR="0018281C" w:rsidRPr="0018281C" w:rsidRDefault="0018281C" w:rsidP="0018281C">
      <w:pPr>
        <w:pStyle w:val="NoSpacing"/>
        <w:rPr>
          <w:b/>
          <w:color w:val="002B61"/>
        </w:rPr>
      </w:pPr>
      <w:r w:rsidRPr="0018281C">
        <w:rPr>
          <w:b/>
          <w:color w:val="002B61"/>
        </w:rPr>
        <w:t xml:space="preserve">Wider determinants of health </w:t>
      </w:r>
      <w:r w:rsidRPr="0018281C">
        <w:rPr>
          <w:b/>
          <w:color w:val="002B61"/>
        </w:rPr>
        <w:tab/>
      </w:r>
    </w:p>
    <w:p w:rsidR="0018281C" w:rsidRPr="0018281C" w:rsidRDefault="0018281C" w:rsidP="0018281C">
      <w:pPr>
        <w:pStyle w:val="NoSpacing"/>
        <w:ind w:left="720" w:hanging="720"/>
        <w:rPr>
          <w:color w:val="FF0000"/>
        </w:rPr>
      </w:pPr>
      <w:r w:rsidRPr="0018281C">
        <w:rPr>
          <w:color w:val="FF0000"/>
        </w:rPr>
        <w:t>B02a</w:t>
      </w:r>
      <w:r w:rsidRPr="0018281C">
        <w:rPr>
          <w:color w:val="FF0000"/>
        </w:rPr>
        <w:tab/>
      </w:r>
      <w:r w:rsidRPr="000C41A4">
        <w:rPr>
          <w:color w:val="002B61"/>
        </w:rPr>
        <w:t>School readiness: the percentage of children with free school meal status achieving a good level of development at the end of reception (male, female, persons)</w:t>
      </w:r>
    </w:p>
    <w:p w:rsidR="0018281C" w:rsidRPr="000C41A4" w:rsidRDefault="0018281C" w:rsidP="0018281C">
      <w:pPr>
        <w:pStyle w:val="NoSpacing"/>
        <w:rPr>
          <w:color w:val="002B61"/>
        </w:rPr>
      </w:pPr>
      <w:r w:rsidRPr="0018281C">
        <w:rPr>
          <w:color w:val="FF0000"/>
        </w:rPr>
        <w:t xml:space="preserve">B02b </w:t>
      </w:r>
      <w:r w:rsidRPr="0018281C">
        <w:rPr>
          <w:color w:val="FF0000"/>
        </w:rPr>
        <w:tab/>
      </w:r>
      <w:r w:rsidRPr="000C41A4">
        <w:rPr>
          <w:color w:val="002B61"/>
        </w:rPr>
        <w:t>School readiness: the percentage of children achieving the expected level in the phonics screening check in Year 1 (Male, female, persons)</w:t>
      </w:r>
    </w:p>
    <w:p w:rsidR="0018281C" w:rsidRPr="000C41A4" w:rsidRDefault="0018281C" w:rsidP="0018281C">
      <w:pPr>
        <w:pStyle w:val="NoSpacing"/>
        <w:ind w:left="720" w:hanging="720"/>
        <w:rPr>
          <w:color w:val="002B61"/>
        </w:rPr>
      </w:pPr>
      <w:r w:rsidRPr="0018281C">
        <w:rPr>
          <w:color w:val="FF0000"/>
        </w:rPr>
        <w:t>B02b</w:t>
      </w:r>
      <w:r w:rsidRPr="0018281C">
        <w:rPr>
          <w:color w:val="FF0000"/>
        </w:rPr>
        <w:tab/>
      </w:r>
      <w:r w:rsidRPr="000C41A4">
        <w:rPr>
          <w:color w:val="002B61"/>
        </w:rPr>
        <w:t>School readiness: percentage of children with free school meal status achieving the expected level in the phonics screening check in Year 1 (Male, female, persons)</w:t>
      </w:r>
    </w:p>
    <w:p w:rsidR="0018281C" w:rsidRPr="000C41A4" w:rsidRDefault="0018281C" w:rsidP="0018281C">
      <w:pPr>
        <w:pStyle w:val="NoSpacing"/>
        <w:ind w:left="720" w:hanging="720"/>
        <w:rPr>
          <w:color w:val="002B61"/>
        </w:rPr>
      </w:pPr>
      <w:r w:rsidRPr="0018281C">
        <w:rPr>
          <w:color w:val="FF0000"/>
        </w:rPr>
        <w:t xml:space="preserve">B02c </w:t>
      </w:r>
      <w:r w:rsidRPr="0018281C">
        <w:rPr>
          <w:color w:val="FF0000"/>
        </w:rPr>
        <w:tab/>
      </w:r>
      <w:r w:rsidRPr="000C41A4">
        <w:rPr>
          <w:color w:val="002B61"/>
        </w:rPr>
        <w:t>School readiness: percentage of children achieving at least the expected level in communication and language skills at the end of Reception (female, persons)</w:t>
      </w:r>
    </w:p>
    <w:p w:rsidR="0018281C" w:rsidRPr="000C41A4" w:rsidRDefault="0018281C" w:rsidP="0018281C">
      <w:pPr>
        <w:pStyle w:val="NoSpacing"/>
        <w:rPr>
          <w:color w:val="002B61"/>
        </w:rPr>
      </w:pPr>
      <w:r w:rsidRPr="0018281C">
        <w:rPr>
          <w:color w:val="FF0000"/>
        </w:rPr>
        <w:t xml:space="preserve">B08b </w:t>
      </w:r>
      <w:r w:rsidRPr="0018281C">
        <w:rPr>
          <w:color w:val="FF0000"/>
        </w:rPr>
        <w:tab/>
      </w:r>
      <w:r w:rsidRPr="000C41A4">
        <w:rPr>
          <w:color w:val="002B61"/>
        </w:rPr>
        <w:t>Gap in the employment rate between those with a learning disability and the overall employment rate (female, persons)</w:t>
      </w:r>
    </w:p>
    <w:p w:rsidR="0018281C" w:rsidRDefault="0018281C" w:rsidP="0018281C">
      <w:pPr>
        <w:pStyle w:val="NoSpacing"/>
        <w:rPr>
          <w:color w:val="002B61"/>
        </w:rPr>
      </w:pPr>
      <w:r w:rsidRPr="0018281C">
        <w:rPr>
          <w:color w:val="FF0000"/>
        </w:rPr>
        <w:t xml:space="preserve">B08c </w:t>
      </w:r>
      <w:r w:rsidRPr="0018281C">
        <w:rPr>
          <w:color w:val="FF0000"/>
        </w:rPr>
        <w:tab/>
      </w:r>
      <w:r w:rsidRPr="000C41A4">
        <w:rPr>
          <w:color w:val="002B61"/>
        </w:rPr>
        <w:t>Gap in the employment rate for those in contact with secondary mental health services and the overall employment rate (female)</w:t>
      </w:r>
    </w:p>
    <w:p w:rsidR="004E312E" w:rsidRPr="000C41A4" w:rsidRDefault="004E312E" w:rsidP="0018281C">
      <w:pPr>
        <w:pStyle w:val="NoSpacing"/>
        <w:rPr>
          <w:color w:val="002B61"/>
        </w:rPr>
      </w:pPr>
      <w:r w:rsidRPr="004E312E">
        <w:rPr>
          <w:color w:val="FF0000"/>
        </w:rPr>
        <w:t>1.10</w:t>
      </w:r>
      <w:r w:rsidRPr="004E312E">
        <w:rPr>
          <w:color w:val="002B61"/>
        </w:rPr>
        <w:tab/>
        <w:t>Killed and seriously Injured (KSI) casualties on England's roads</w:t>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rPr>
      </w:pPr>
      <w:r w:rsidRPr="0018281C">
        <w:rPr>
          <w:b/>
          <w:color w:val="002B61"/>
        </w:rPr>
        <w:t>Health Improvement</w:t>
      </w:r>
      <w:r w:rsidRPr="0018281C">
        <w:rPr>
          <w:b/>
          <w:color w:val="002B61"/>
        </w:rPr>
        <w:tab/>
      </w:r>
    </w:p>
    <w:p w:rsidR="0018281C" w:rsidRPr="0018281C" w:rsidRDefault="0018281C" w:rsidP="0018281C">
      <w:pPr>
        <w:pStyle w:val="NoSpacing"/>
        <w:rPr>
          <w:color w:val="FF0000"/>
        </w:rPr>
      </w:pPr>
      <w:r w:rsidRPr="0018281C">
        <w:rPr>
          <w:color w:val="FF0000"/>
        </w:rPr>
        <w:t>C14b</w:t>
      </w:r>
      <w:r w:rsidRPr="0018281C">
        <w:rPr>
          <w:color w:val="FF0000"/>
        </w:rPr>
        <w:tab/>
      </w:r>
      <w:r w:rsidRPr="000C41A4">
        <w:rPr>
          <w:color w:val="002B61"/>
        </w:rPr>
        <w:t>Emergency hospital admissions for intentional self-harm (male, female, persons)</w:t>
      </w:r>
    </w:p>
    <w:p w:rsidR="0018281C" w:rsidRPr="0018281C" w:rsidRDefault="0018281C" w:rsidP="0018281C">
      <w:pPr>
        <w:pStyle w:val="NoSpacing"/>
        <w:rPr>
          <w:color w:val="FF0000"/>
        </w:rPr>
      </w:pPr>
      <w:r w:rsidRPr="0018281C">
        <w:rPr>
          <w:color w:val="FF0000"/>
        </w:rPr>
        <w:t xml:space="preserve">C19b </w:t>
      </w:r>
      <w:r w:rsidRPr="0018281C">
        <w:rPr>
          <w:color w:val="FF0000"/>
        </w:rPr>
        <w:tab/>
      </w:r>
      <w:r w:rsidRPr="000C41A4">
        <w:rPr>
          <w:color w:val="002B61"/>
        </w:rPr>
        <w:t>Successful completion of drug treatment - non-opiate users</w:t>
      </w:r>
    </w:p>
    <w:p w:rsidR="0018281C" w:rsidRPr="000C41A4" w:rsidRDefault="0018281C" w:rsidP="0018281C">
      <w:pPr>
        <w:pStyle w:val="NoSpacing"/>
        <w:rPr>
          <w:color w:val="002B61"/>
        </w:rPr>
      </w:pPr>
      <w:r w:rsidRPr="0018281C">
        <w:rPr>
          <w:color w:val="FF0000"/>
        </w:rPr>
        <w:t xml:space="preserve">C19c </w:t>
      </w:r>
      <w:r w:rsidRPr="0018281C">
        <w:rPr>
          <w:color w:val="FF0000"/>
        </w:rPr>
        <w:tab/>
      </w:r>
      <w:r w:rsidRPr="000C41A4">
        <w:rPr>
          <w:color w:val="002B61"/>
        </w:rPr>
        <w:t>Successful completion of alcohol treatment</w:t>
      </w:r>
    </w:p>
    <w:p w:rsidR="0018281C" w:rsidRPr="000C41A4" w:rsidRDefault="0018281C" w:rsidP="0018281C">
      <w:pPr>
        <w:pStyle w:val="NoSpacing"/>
        <w:rPr>
          <w:color w:val="002B61"/>
        </w:rPr>
      </w:pPr>
      <w:r w:rsidRPr="0018281C">
        <w:rPr>
          <w:color w:val="FF0000"/>
        </w:rPr>
        <w:t>C21</w:t>
      </w:r>
      <w:r w:rsidRPr="0018281C">
        <w:rPr>
          <w:color w:val="FF0000"/>
        </w:rPr>
        <w:tab/>
      </w:r>
      <w:r w:rsidRPr="000C41A4">
        <w:rPr>
          <w:color w:val="002B61"/>
        </w:rPr>
        <w:t>Admission episodes for alcohol-related conditions (Narrow) (female, persons)</w:t>
      </w:r>
    </w:p>
    <w:p w:rsidR="0018281C" w:rsidRPr="000C41A4" w:rsidRDefault="0018281C" w:rsidP="0018281C">
      <w:pPr>
        <w:pStyle w:val="NoSpacing"/>
        <w:rPr>
          <w:color w:val="002B61"/>
        </w:rPr>
      </w:pPr>
      <w:r w:rsidRPr="0018281C">
        <w:rPr>
          <w:color w:val="FF0000"/>
        </w:rPr>
        <w:t xml:space="preserve">C24b </w:t>
      </w:r>
      <w:r w:rsidRPr="0018281C">
        <w:rPr>
          <w:color w:val="FF0000"/>
        </w:rPr>
        <w:tab/>
      </w:r>
      <w:r w:rsidRPr="000C41A4">
        <w:rPr>
          <w:color w:val="002B61"/>
        </w:rPr>
        <w:t>Cancer screening coverage - cervical cancer (aged 24-49 years)</w:t>
      </w:r>
    </w:p>
    <w:p w:rsidR="0018281C" w:rsidRPr="0018281C" w:rsidRDefault="0018281C" w:rsidP="0018281C">
      <w:pPr>
        <w:pStyle w:val="NoSpacing"/>
        <w:rPr>
          <w:color w:val="FF0000"/>
        </w:rPr>
      </w:pPr>
      <w:r w:rsidRPr="0018281C">
        <w:rPr>
          <w:color w:val="FF0000"/>
        </w:rPr>
        <w:lastRenderedPageBreak/>
        <w:t>C26b</w:t>
      </w:r>
      <w:r w:rsidRPr="0018281C">
        <w:rPr>
          <w:color w:val="FF0000"/>
        </w:rPr>
        <w:tab/>
      </w:r>
      <w:r w:rsidRPr="000C41A4">
        <w:rPr>
          <w:color w:val="002B61"/>
        </w:rPr>
        <w:t>Cumulative percentage of the eligible population aged 40-74 offered an NHS Health Check who received an NHS Health Check</w:t>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rPr>
      </w:pPr>
      <w:r w:rsidRPr="0018281C">
        <w:rPr>
          <w:b/>
          <w:color w:val="002B61"/>
        </w:rPr>
        <w:t>Health protection</w:t>
      </w:r>
      <w:r w:rsidRPr="0018281C">
        <w:rPr>
          <w:b/>
          <w:color w:val="002B61"/>
        </w:rPr>
        <w:tab/>
      </w:r>
    </w:p>
    <w:p w:rsidR="0018281C" w:rsidRPr="0018281C" w:rsidRDefault="0018281C" w:rsidP="0018281C">
      <w:pPr>
        <w:pStyle w:val="NoSpacing"/>
        <w:rPr>
          <w:color w:val="FF0000"/>
        </w:rPr>
      </w:pPr>
      <w:r w:rsidRPr="0018281C">
        <w:rPr>
          <w:color w:val="FF0000"/>
        </w:rPr>
        <w:t xml:space="preserve">D02a </w:t>
      </w:r>
      <w:r w:rsidRPr="0018281C">
        <w:rPr>
          <w:color w:val="FF0000"/>
        </w:rPr>
        <w:tab/>
      </w:r>
      <w:r w:rsidRPr="000C41A4">
        <w:rPr>
          <w:color w:val="002B61"/>
        </w:rPr>
        <w:t>Chlamydia detection rate (15-24 year olds</w:t>
      </w:r>
      <w:proofErr w:type="gramStart"/>
      <w:r w:rsidRPr="000C41A4">
        <w:rPr>
          <w:color w:val="002B61"/>
        </w:rPr>
        <w:t>)~</w:t>
      </w:r>
      <w:proofErr w:type="gramEnd"/>
      <w:r w:rsidRPr="000C41A4">
        <w:rPr>
          <w:color w:val="002B61"/>
        </w:rPr>
        <w:t>^</w:t>
      </w:r>
    </w:p>
    <w:p w:rsidR="0018281C" w:rsidRPr="000C41A4" w:rsidRDefault="0018281C" w:rsidP="0018281C">
      <w:pPr>
        <w:pStyle w:val="NoSpacing"/>
        <w:rPr>
          <w:color w:val="002B61"/>
        </w:rPr>
      </w:pPr>
      <w:r w:rsidRPr="0018281C">
        <w:rPr>
          <w:color w:val="FF0000"/>
        </w:rPr>
        <w:t>D04a</w:t>
      </w:r>
      <w:r w:rsidRPr="0018281C">
        <w:rPr>
          <w:color w:val="FF0000"/>
        </w:rPr>
        <w:tab/>
      </w:r>
      <w:r w:rsidRPr="000C41A4">
        <w:rPr>
          <w:color w:val="002B61"/>
        </w:rPr>
        <w:t xml:space="preserve">Population vaccination coverage – </w:t>
      </w:r>
      <w:proofErr w:type="spellStart"/>
      <w:r w:rsidRPr="000C41A4">
        <w:rPr>
          <w:color w:val="002B61"/>
        </w:rPr>
        <w:t>DtaP</w:t>
      </w:r>
      <w:proofErr w:type="spellEnd"/>
      <w:r w:rsidRPr="000C41A4">
        <w:rPr>
          <w:color w:val="002B61"/>
        </w:rPr>
        <w:t>/IPV booster (5 years</w:t>
      </w:r>
      <w:proofErr w:type="gramStart"/>
      <w:r w:rsidRPr="000C41A4">
        <w:rPr>
          <w:color w:val="002B61"/>
        </w:rPr>
        <w:t>)~</w:t>
      </w:r>
      <w:proofErr w:type="gramEnd"/>
    </w:p>
    <w:p w:rsidR="0018281C" w:rsidRPr="000C41A4" w:rsidRDefault="0018281C" w:rsidP="0018281C">
      <w:pPr>
        <w:pStyle w:val="NoSpacing"/>
        <w:rPr>
          <w:color w:val="002B61"/>
        </w:rPr>
      </w:pPr>
      <w:r w:rsidRPr="0018281C">
        <w:rPr>
          <w:color w:val="FF0000"/>
        </w:rPr>
        <w:t xml:space="preserve">D04c </w:t>
      </w:r>
      <w:r w:rsidRPr="0018281C">
        <w:rPr>
          <w:color w:val="FF0000"/>
        </w:rPr>
        <w:tab/>
      </w:r>
      <w:r w:rsidRPr="000C41A4">
        <w:rPr>
          <w:color w:val="002B61"/>
        </w:rPr>
        <w:t>Population vaccination coverage - MMR for two doses (5 years old</w:t>
      </w:r>
      <w:proofErr w:type="gramStart"/>
      <w:r w:rsidRPr="000C41A4">
        <w:rPr>
          <w:color w:val="002B61"/>
        </w:rPr>
        <w:t>)~</w:t>
      </w:r>
      <w:proofErr w:type="gramEnd"/>
    </w:p>
    <w:p w:rsidR="00C37707" w:rsidRDefault="00C37707" w:rsidP="0018281C">
      <w:pPr>
        <w:pStyle w:val="NoSpacing"/>
        <w:rPr>
          <w:color w:val="FF0000"/>
        </w:rPr>
      </w:pPr>
      <w:r w:rsidRPr="00C37707">
        <w:rPr>
          <w:color w:val="FF0000"/>
        </w:rPr>
        <w:t>D04d</w:t>
      </w:r>
      <w:r w:rsidRPr="00C37707">
        <w:rPr>
          <w:color w:val="FF0000"/>
        </w:rPr>
        <w:tab/>
      </w:r>
      <w:r w:rsidRPr="00C37707">
        <w:rPr>
          <w:color w:val="002B61"/>
        </w:rPr>
        <w:t>Population vaccination coverage - Flu (primary school aged children</w:t>
      </w:r>
      <w:proofErr w:type="gramStart"/>
      <w:r w:rsidRPr="00C37707">
        <w:rPr>
          <w:color w:val="002B61"/>
        </w:rPr>
        <w:t>)~</w:t>
      </w:r>
      <w:proofErr w:type="gramEnd"/>
      <w:r>
        <w:rPr>
          <w:color w:val="002B61"/>
        </w:rPr>
        <w:t xml:space="preserve"> (New indicator)</w:t>
      </w:r>
    </w:p>
    <w:p w:rsidR="0018281C" w:rsidRPr="0018281C" w:rsidRDefault="0018281C" w:rsidP="0018281C">
      <w:pPr>
        <w:pStyle w:val="NoSpacing"/>
        <w:rPr>
          <w:color w:val="FF0000"/>
        </w:rPr>
      </w:pPr>
      <w:r w:rsidRPr="0018281C">
        <w:rPr>
          <w:color w:val="FF0000"/>
        </w:rPr>
        <w:t xml:space="preserve">D05 </w:t>
      </w:r>
      <w:r w:rsidRPr="0018281C">
        <w:rPr>
          <w:color w:val="FF0000"/>
        </w:rPr>
        <w:tab/>
      </w:r>
      <w:r w:rsidRPr="000C41A4">
        <w:rPr>
          <w:color w:val="002B61"/>
        </w:rPr>
        <w:t>Population vaccination coverage - Flu (at risk individuals</w:t>
      </w:r>
      <w:proofErr w:type="gramStart"/>
      <w:r w:rsidRPr="000C41A4">
        <w:rPr>
          <w:color w:val="002B61"/>
        </w:rPr>
        <w:t>)~</w:t>
      </w:r>
      <w:proofErr w:type="gramEnd"/>
      <w:r w:rsidRPr="000C41A4">
        <w:rPr>
          <w:color w:val="002B61"/>
        </w:rPr>
        <w:t>^</w:t>
      </w:r>
    </w:p>
    <w:p w:rsidR="0018281C" w:rsidRPr="000C41A4" w:rsidRDefault="0018281C" w:rsidP="0018281C">
      <w:pPr>
        <w:pStyle w:val="NoSpacing"/>
        <w:rPr>
          <w:color w:val="002B61"/>
        </w:rPr>
      </w:pPr>
      <w:r w:rsidRPr="0018281C">
        <w:rPr>
          <w:color w:val="FF0000"/>
        </w:rPr>
        <w:t>D06a</w:t>
      </w:r>
      <w:r w:rsidRPr="0018281C">
        <w:rPr>
          <w:color w:val="FF0000"/>
        </w:rPr>
        <w:tab/>
      </w:r>
      <w:r w:rsidRPr="000C41A4">
        <w:rPr>
          <w:color w:val="002B61"/>
        </w:rPr>
        <w:t>Population vaccination coverage - Flu (aged 65+</w:t>
      </w:r>
      <w:proofErr w:type="gramStart"/>
      <w:r w:rsidRPr="000C41A4">
        <w:rPr>
          <w:color w:val="002B61"/>
        </w:rPr>
        <w:t>)~</w:t>
      </w:r>
      <w:proofErr w:type="gramEnd"/>
    </w:p>
    <w:p w:rsidR="0018281C" w:rsidRPr="0018281C" w:rsidRDefault="0018281C" w:rsidP="0018281C">
      <w:pPr>
        <w:pStyle w:val="NoSpacing"/>
        <w:rPr>
          <w:color w:val="FF0000"/>
        </w:rPr>
      </w:pPr>
      <w:r w:rsidRPr="0018281C">
        <w:rPr>
          <w:color w:val="FF0000"/>
        </w:rPr>
        <w:t>D06c</w:t>
      </w:r>
      <w:r w:rsidRPr="0018281C">
        <w:rPr>
          <w:color w:val="FF0000"/>
        </w:rPr>
        <w:tab/>
      </w:r>
      <w:r w:rsidRPr="000C41A4">
        <w:rPr>
          <w:color w:val="002B61"/>
        </w:rPr>
        <w:t>Population vaccination coverage – Shingles vaccination coverage (70 year olds</w:t>
      </w:r>
      <w:proofErr w:type="gramStart"/>
      <w:r w:rsidRPr="000C41A4">
        <w:rPr>
          <w:color w:val="002B61"/>
        </w:rPr>
        <w:t>)~</w:t>
      </w:r>
      <w:proofErr w:type="gramEnd"/>
    </w:p>
    <w:p w:rsidR="0018281C" w:rsidRPr="000C41A4" w:rsidRDefault="0018281C" w:rsidP="000C41A4">
      <w:pPr>
        <w:pStyle w:val="NoSpacing"/>
        <w:rPr>
          <w:color w:val="002B61"/>
        </w:rPr>
      </w:pPr>
      <w:r w:rsidRPr="0018281C">
        <w:rPr>
          <w:color w:val="FF0000"/>
        </w:rPr>
        <w:t>D10</w:t>
      </w:r>
      <w:r w:rsidRPr="0018281C">
        <w:rPr>
          <w:color w:val="FF0000"/>
        </w:rPr>
        <w:tab/>
      </w:r>
      <w:r w:rsidRPr="000C41A4">
        <w:rPr>
          <w:color w:val="002B61"/>
        </w:rPr>
        <w:t>Adjusted antibiotic prescribing in primary care by the NHS</w:t>
      </w:r>
      <w:proofErr w:type="gramStart"/>
      <w:r w:rsidRPr="000C41A4">
        <w:rPr>
          <w:color w:val="002B61"/>
          <w:sz w:val="18"/>
          <w:szCs w:val="18"/>
        </w:rPr>
        <w:t xml:space="preserve">^ </w:t>
      </w:r>
      <w:r w:rsidR="000C41A4" w:rsidRPr="000C41A4">
        <w:rPr>
          <w:color w:val="002B61"/>
          <w:sz w:val="18"/>
          <w:szCs w:val="18"/>
        </w:rPr>
        <w:t xml:space="preserve"> (</w:t>
      </w:r>
      <w:proofErr w:type="gramEnd"/>
      <w:r w:rsidRPr="000C41A4">
        <w:rPr>
          <w:color w:val="002B61"/>
          <w:sz w:val="18"/>
          <w:szCs w:val="18"/>
        </w:rPr>
        <w:t>This indicator is RAG-rated gree</w:t>
      </w:r>
      <w:r w:rsidR="000C41A4" w:rsidRPr="000C41A4">
        <w:rPr>
          <w:color w:val="002B61"/>
          <w:sz w:val="18"/>
          <w:szCs w:val="18"/>
        </w:rPr>
        <w:t>n compared to national benchmark)</w:t>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rPr>
      </w:pPr>
      <w:r w:rsidRPr="0018281C">
        <w:rPr>
          <w:b/>
          <w:color w:val="002B61"/>
        </w:rPr>
        <w:t>Healthcare and premature mortality</w:t>
      </w:r>
      <w:r w:rsidRPr="0018281C">
        <w:rPr>
          <w:b/>
          <w:color w:val="002B61"/>
        </w:rPr>
        <w:tab/>
      </w:r>
    </w:p>
    <w:p w:rsidR="0018281C" w:rsidRPr="000C41A4" w:rsidRDefault="0018281C" w:rsidP="0018281C">
      <w:pPr>
        <w:pStyle w:val="NoSpacing"/>
        <w:rPr>
          <w:color w:val="002B61"/>
        </w:rPr>
      </w:pPr>
      <w:r w:rsidRPr="0018281C">
        <w:rPr>
          <w:color w:val="FF0000"/>
        </w:rPr>
        <w:t>E15</w:t>
      </w:r>
      <w:r w:rsidRPr="0018281C">
        <w:rPr>
          <w:color w:val="FF0000"/>
        </w:rPr>
        <w:tab/>
      </w:r>
      <w:r w:rsidRPr="000C41A4">
        <w:rPr>
          <w:color w:val="002B61"/>
        </w:rPr>
        <w:t>Estimated dementia diagnosis rate (aged 65 and over)~^</w:t>
      </w:r>
    </w:p>
    <w:p w:rsidR="0018281C" w:rsidRPr="000C41A4" w:rsidRDefault="0018281C" w:rsidP="0018281C">
      <w:pPr>
        <w:pStyle w:val="NoSpacing"/>
        <w:rPr>
          <w:color w:val="002B61"/>
        </w:rPr>
      </w:pPr>
      <w:r w:rsidRPr="0018281C">
        <w:rPr>
          <w:color w:val="FF0000"/>
        </w:rPr>
        <w:t>4.09ii</w:t>
      </w:r>
      <w:r w:rsidRPr="0018281C">
        <w:rPr>
          <w:color w:val="FF0000"/>
        </w:rPr>
        <w:tab/>
      </w:r>
      <w:r w:rsidRPr="000C41A4">
        <w:rPr>
          <w:color w:val="002B61"/>
        </w:rPr>
        <w:t>Proportion of adults in the population in contact with secondary mental health services</w:t>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u w:val="single"/>
        </w:rPr>
      </w:pPr>
      <w:r w:rsidRPr="0018281C">
        <w:rPr>
          <w:b/>
          <w:color w:val="002B61"/>
          <w:u w:val="single"/>
        </w:rPr>
        <w:t>PETERBOROUGH</w:t>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rPr>
      </w:pPr>
      <w:r w:rsidRPr="0018281C">
        <w:rPr>
          <w:b/>
          <w:color w:val="002B61"/>
        </w:rPr>
        <w:t>Overarching determinants</w:t>
      </w:r>
      <w:r w:rsidRPr="0018281C">
        <w:rPr>
          <w:b/>
          <w:color w:val="002B61"/>
        </w:rPr>
        <w:tab/>
      </w:r>
    </w:p>
    <w:p w:rsidR="0018281C" w:rsidRPr="002D749D" w:rsidRDefault="0018281C" w:rsidP="0018281C">
      <w:pPr>
        <w:pStyle w:val="NoSpacing"/>
        <w:rPr>
          <w:color w:val="002B61"/>
        </w:rPr>
      </w:pPr>
      <w:r w:rsidRPr="0018281C">
        <w:rPr>
          <w:color w:val="FF0000"/>
        </w:rPr>
        <w:t xml:space="preserve">A01a </w:t>
      </w:r>
      <w:r w:rsidR="000C41A4">
        <w:rPr>
          <w:color w:val="FF0000"/>
        </w:rPr>
        <w:t xml:space="preserve"> </w:t>
      </w:r>
      <w:r w:rsidR="000C41A4">
        <w:rPr>
          <w:color w:val="FF0000"/>
        </w:rPr>
        <w:tab/>
      </w:r>
      <w:r w:rsidRPr="002D749D">
        <w:rPr>
          <w:color w:val="002B61"/>
        </w:rPr>
        <w:t>Healthy life expectancy at birth (males, females)</w:t>
      </w:r>
      <w:r w:rsidRPr="002D749D">
        <w:rPr>
          <w:color w:val="002B61"/>
        </w:rPr>
        <w:tab/>
      </w:r>
    </w:p>
    <w:p w:rsidR="0018281C" w:rsidRPr="002D749D" w:rsidRDefault="0018281C" w:rsidP="0018281C">
      <w:pPr>
        <w:pStyle w:val="NoSpacing"/>
        <w:rPr>
          <w:color w:val="002B61"/>
        </w:rPr>
      </w:pPr>
      <w:r w:rsidRPr="002D749D">
        <w:rPr>
          <w:color w:val="FF0000"/>
        </w:rPr>
        <w:t xml:space="preserve">A01b </w:t>
      </w:r>
      <w:r w:rsidR="000C41A4" w:rsidRPr="002D749D">
        <w:rPr>
          <w:color w:val="002B61"/>
        </w:rPr>
        <w:tab/>
      </w:r>
      <w:r w:rsidRPr="002D749D">
        <w:rPr>
          <w:color w:val="002B61"/>
        </w:rPr>
        <w:t>Life expectancy at 65 (males, females)</w:t>
      </w:r>
      <w:r w:rsidRPr="002D749D">
        <w:rPr>
          <w:color w:val="002B61"/>
        </w:rPr>
        <w:tab/>
      </w:r>
    </w:p>
    <w:p w:rsidR="0018281C" w:rsidRPr="002D749D" w:rsidRDefault="0018281C" w:rsidP="0018281C">
      <w:pPr>
        <w:pStyle w:val="NoSpacing"/>
        <w:rPr>
          <w:color w:val="002B61"/>
        </w:rPr>
      </w:pPr>
      <w:r w:rsidRPr="002D749D">
        <w:rPr>
          <w:color w:val="FF0000"/>
        </w:rPr>
        <w:t xml:space="preserve">A01b </w:t>
      </w:r>
      <w:r w:rsidR="000C41A4" w:rsidRPr="002D749D">
        <w:rPr>
          <w:color w:val="002B61"/>
        </w:rPr>
        <w:tab/>
      </w:r>
      <w:r w:rsidRPr="002D749D">
        <w:rPr>
          <w:color w:val="002B61"/>
        </w:rPr>
        <w:t>Life expectancy at birth (males, females)</w:t>
      </w:r>
      <w:r w:rsidRPr="002D749D">
        <w:rPr>
          <w:color w:val="002B61"/>
        </w:rPr>
        <w:tab/>
      </w:r>
    </w:p>
    <w:p w:rsidR="0018281C" w:rsidRPr="002D749D" w:rsidRDefault="0018281C" w:rsidP="0018281C">
      <w:pPr>
        <w:pStyle w:val="NoSpacing"/>
        <w:rPr>
          <w:color w:val="002B61"/>
        </w:rPr>
      </w:pPr>
      <w:r w:rsidRPr="002D749D">
        <w:rPr>
          <w:color w:val="FF0000"/>
        </w:rPr>
        <w:t xml:space="preserve">A01c </w:t>
      </w:r>
      <w:r w:rsidR="000C41A4" w:rsidRPr="002D749D">
        <w:rPr>
          <w:color w:val="002B61"/>
        </w:rPr>
        <w:tab/>
      </w:r>
      <w:r w:rsidRPr="002D749D">
        <w:rPr>
          <w:color w:val="002B61"/>
        </w:rPr>
        <w:t>Disability-free life expectancy at 65 (males)</w:t>
      </w:r>
      <w:r w:rsidRPr="002D749D">
        <w:rPr>
          <w:color w:val="002B61"/>
        </w:rPr>
        <w:tab/>
      </w:r>
    </w:p>
    <w:p w:rsidR="0018281C" w:rsidRPr="002D749D" w:rsidRDefault="0018281C" w:rsidP="0018281C">
      <w:pPr>
        <w:pStyle w:val="NoSpacing"/>
        <w:rPr>
          <w:color w:val="002B61"/>
        </w:rPr>
      </w:pPr>
      <w:r w:rsidRPr="002D749D">
        <w:rPr>
          <w:color w:val="FF0000"/>
        </w:rPr>
        <w:t xml:space="preserve">A01c </w:t>
      </w:r>
      <w:r w:rsidR="000C41A4" w:rsidRPr="002D749D">
        <w:rPr>
          <w:color w:val="002B61"/>
        </w:rPr>
        <w:tab/>
      </w:r>
      <w:r w:rsidRPr="002D749D">
        <w:rPr>
          <w:color w:val="002B61"/>
        </w:rPr>
        <w:t>Disability-free life expectancy at birth (males, females)</w:t>
      </w:r>
      <w:r w:rsidRPr="002D749D">
        <w:rPr>
          <w:color w:val="002B61"/>
        </w:rPr>
        <w:tab/>
      </w:r>
    </w:p>
    <w:p w:rsidR="0018281C" w:rsidRPr="002D749D" w:rsidRDefault="0018281C" w:rsidP="0018281C">
      <w:pPr>
        <w:pStyle w:val="NoSpacing"/>
        <w:rPr>
          <w:color w:val="002B61"/>
        </w:rPr>
      </w:pPr>
    </w:p>
    <w:p w:rsidR="0018281C" w:rsidRPr="0018281C" w:rsidRDefault="0018281C" w:rsidP="0018281C">
      <w:pPr>
        <w:pStyle w:val="NoSpacing"/>
        <w:rPr>
          <w:b/>
          <w:color w:val="002B61"/>
        </w:rPr>
      </w:pPr>
      <w:r w:rsidRPr="0018281C">
        <w:rPr>
          <w:b/>
          <w:color w:val="002B61"/>
        </w:rPr>
        <w:t>Wider determinants of health</w:t>
      </w:r>
      <w:r w:rsidRPr="0018281C">
        <w:rPr>
          <w:b/>
          <w:color w:val="002B61"/>
        </w:rPr>
        <w:tab/>
      </w:r>
    </w:p>
    <w:p w:rsidR="0018281C" w:rsidRPr="002D749D" w:rsidRDefault="0018281C" w:rsidP="0018281C">
      <w:pPr>
        <w:pStyle w:val="NoSpacing"/>
        <w:rPr>
          <w:color w:val="002B61"/>
        </w:rPr>
      </w:pPr>
      <w:r w:rsidRPr="002D749D">
        <w:rPr>
          <w:color w:val="FF0000"/>
        </w:rPr>
        <w:t xml:space="preserve">B02a  </w:t>
      </w:r>
      <w:r w:rsidRPr="002D749D">
        <w:rPr>
          <w:color w:val="002B61"/>
        </w:rPr>
        <w:tab/>
        <w:t>School Readiness: the percentage of children achieving a good level of development at the end of reception (males, females, persons)</w:t>
      </w:r>
    </w:p>
    <w:p w:rsidR="0018281C" w:rsidRPr="002D749D" w:rsidRDefault="0018281C" w:rsidP="0018281C">
      <w:pPr>
        <w:pStyle w:val="NoSpacing"/>
        <w:rPr>
          <w:color w:val="002B61"/>
        </w:rPr>
      </w:pPr>
      <w:r w:rsidRPr="002D749D">
        <w:rPr>
          <w:color w:val="FF0000"/>
        </w:rPr>
        <w:t xml:space="preserve">B02b </w:t>
      </w:r>
      <w:r w:rsidRPr="002D749D">
        <w:rPr>
          <w:color w:val="002B61"/>
        </w:rPr>
        <w:tab/>
        <w:t>School readiness: percentage of children achieving the expected level in the phonics screening check in Year 1 (males, females, persons)</w:t>
      </w:r>
    </w:p>
    <w:p w:rsidR="0018281C" w:rsidRPr="002D749D" w:rsidRDefault="0018281C" w:rsidP="0018281C">
      <w:pPr>
        <w:pStyle w:val="NoSpacing"/>
        <w:ind w:left="720" w:hanging="720"/>
        <w:rPr>
          <w:color w:val="002B61"/>
        </w:rPr>
      </w:pPr>
      <w:r w:rsidRPr="002D749D">
        <w:rPr>
          <w:color w:val="FF0000"/>
        </w:rPr>
        <w:t>B02c</w:t>
      </w:r>
      <w:r w:rsidRPr="002D749D">
        <w:rPr>
          <w:color w:val="002B61"/>
        </w:rPr>
        <w:tab/>
        <w:t>School readiness: Percentage of children achieving at least an expected level of development across all learning goals in communication and language skills at the end of Reception (males, females, persons)</w:t>
      </w:r>
    </w:p>
    <w:p w:rsidR="0018281C" w:rsidRPr="002D749D" w:rsidRDefault="0018281C" w:rsidP="0018281C">
      <w:pPr>
        <w:pStyle w:val="NoSpacing"/>
        <w:ind w:left="720" w:hanging="720"/>
        <w:rPr>
          <w:color w:val="002B61"/>
        </w:rPr>
      </w:pPr>
      <w:r w:rsidRPr="002D749D">
        <w:rPr>
          <w:color w:val="FF0000"/>
        </w:rPr>
        <w:t>B02d</w:t>
      </w:r>
      <w:r w:rsidRPr="002D749D">
        <w:rPr>
          <w:color w:val="002B61"/>
        </w:rPr>
        <w:tab/>
        <w:t>School readiness: Percentage of children achieving the expected level of development in communication, language and literacy skills at the end of Reception (males, females, persons)</w:t>
      </w:r>
    </w:p>
    <w:p w:rsidR="0018281C" w:rsidRPr="002D749D" w:rsidRDefault="0018281C" w:rsidP="0018281C">
      <w:pPr>
        <w:pStyle w:val="NoSpacing"/>
        <w:rPr>
          <w:color w:val="002B61"/>
        </w:rPr>
      </w:pPr>
      <w:r w:rsidRPr="002D749D">
        <w:rPr>
          <w:color w:val="FF0000"/>
        </w:rPr>
        <w:t xml:space="preserve">B05  </w:t>
      </w:r>
      <w:r w:rsidRPr="002D749D">
        <w:rPr>
          <w:color w:val="002B61"/>
        </w:rPr>
        <w:tab/>
        <w:t>16-17 year olds not in education, employment or training (NEET) or whose activity is not known (males, females, persons)</w:t>
      </w:r>
    </w:p>
    <w:p w:rsidR="0018281C" w:rsidRPr="002D749D" w:rsidRDefault="0018281C" w:rsidP="0018281C">
      <w:pPr>
        <w:pStyle w:val="NoSpacing"/>
        <w:rPr>
          <w:color w:val="002B61"/>
        </w:rPr>
      </w:pPr>
      <w:r w:rsidRPr="002D749D">
        <w:rPr>
          <w:color w:val="FF0000"/>
        </w:rPr>
        <w:lastRenderedPageBreak/>
        <w:t xml:space="preserve">B12a </w:t>
      </w:r>
      <w:r w:rsidRPr="002D749D">
        <w:rPr>
          <w:color w:val="002B61"/>
        </w:rPr>
        <w:tab/>
        <w:t>Violent crime – hospital admissions for violence (including sexual violence) (males, persons)</w:t>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rPr>
      </w:pPr>
      <w:r w:rsidRPr="0018281C">
        <w:rPr>
          <w:b/>
          <w:color w:val="002B61"/>
        </w:rPr>
        <w:t>Health improvement</w:t>
      </w:r>
      <w:r w:rsidRPr="0018281C">
        <w:rPr>
          <w:b/>
          <w:color w:val="002B61"/>
        </w:rPr>
        <w:tab/>
      </w:r>
    </w:p>
    <w:p w:rsidR="0018281C" w:rsidRPr="002D749D" w:rsidRDefault="0018281C" w:rsidP="0018281C">
      <w:pPr>
        <w:pStyle w:val="NoSpacing"/>
        <w:rPr>
          <w:color w:val="002B61"/>
        </w:rPr>
      </w:pPr>
      <w:r w:rsidRPr="002D749D">
        <w:rPr>
          <w:color w:val="FF0000"/>
        </w:rPr>
        <w:t>C02a</w:t>
      </w:r>
      <w:r w:rsidRPr="002D749D">
        <w:rPr>
          <w:color w:val="002B61"/>
        </w:rPr>
        <w:tab/>
        <w:t>Under 18s conception rate/1,000</w:t>
      </w:r>
    </w:p>
    <w:p w:rsidR="0018281C" w:rsidRPr="002D749D" w:rsidRDefault="0018281C" w:rsidP="0018281C">
      <w:pPr>
        <w:pStyle w:val="NoSpacing"/>
        <w:rPr>
          <w:color w:val="002B61"/>
        </w:rPr>
      </w:pPr>
      <w:r w:rsidRPr="002D749D">
        <w:rPr>
          <w:color w:val="FF0000"/>
        </w:rPr>
        <w:t xml:space="preserve">C08a </w:t>
      </w:r>
      <w:r w:rsidRPr="002D749D">
        <w:rPr>
          <w:color w:val="002B61"/>
        </w:rPr>
        <w:tab/>
        <w:t>Child development: percentage of children achieving a good level of development at 2- 2/2 years</w:t>
      </w:r>
    </w:p>
    <w:p w:rsidR="0018281C" w:rsidRPr="002D749D" w:rsidRDefault="0018281C" w:rsidP="0018281C">
      <w:pPr>
        <w:pStyle w:val="NoSpacing"/>
        <w:rPr>
          <w:color w:val="002B61"/>
        </w:rPr>
      </w:pPr>
      <w:r w:rsidRPr="002D749D">
        <w:rPr>
          <w:color w:val="FF0000"/>
        </w:rPr>
        <w:t xml:space="preserve">C08b </w:t>
      </w:r>
      <w:r w:rsidRPr="002D749D">
        <w:rPr>
          <w:color w:val="002B61"/>
        </w:rPr>
        <w:tab/>
        <w:t>Child development: percentage of children achieving the expected level in communication skills at 2- 2/2 years</w:t>
      </w:r>
    </w:p>
    <w:p w:rsidR="0018281C" w:rsidRPr="002D749D" w:rsidRDefault="0018281C" w:rsidP="0018281C">
      <w:pPr>
        <w:pStyle w:val="NoSpacing"/>
        <w:rPr>
          <w:color w:val="002B61"/>
        </w:rPr>
      </w:pPr>
      <w:r w:rsidRPr="002D749D">
        <w:rPr>
          <w:color w:val="FF0000"/>
        </w:rPr>
        <w:t xml:space="preserve">C08c </w:t>
      </w:r>
      <w:r w:rsidRPr="002D749D">
        <w:rPr>
          <w:color w:val="002B61"/>
        </w:rPr>
        <w:tab/>
        <w:t>Child development: percentage of children achieving the expected level in personal-social skills at 2- 2/2 years</w:t>
      </w:r>
    </w:p>
    <w:p w:rsidR="0018281C" w:rsidRPr="002D749D" w:rsidRDefault="0018281C" w:rsidP="0018281C">
      <w:pPr>
        <w:pStyle w:val="NoSpacing"/>
        <w:rPr>
          <w:color w:val="002B61"/>
        </w:rPr>
      </w:pPr>
      <w:r w:rsidRPr="002D749D">
        <w:rPr>
          <w:color w:val="FF0000"/>
        </w:rPr>
        <w:t xml:space="preserve">C09b </w:t>
      </w:r>
      <w:r w:rsidRPr="002D749D">
        <w:rPr>
          <w:color w:val="002B61"/>
        </w:rPr>
        <w:tab/>
        <w:t>Year 6: Prevalence of overweight (including obesity)</w:t>
      </w:r>
    </w:p>
    <w:p w:rsidR="0018281C" w:rsidRPr="002D749D" w:rsidRDefault="0018281C" w:rsidP="0018281C">
      <w:pPr>
        <w:pStyle w:val="NoSpacing"/>
        <w:rPr>
          <w:color w:val="002B61"/>
        </w:rPr>
      </w:pPr>
      <w:r w:rsidRPr="002D749D">
        <w:rPr>
          <w:color w:val="FF0000"/>
        </w:rPr>
        <w:t>C14b</w:t>
      </w:r>
      <w:r w:rsidRPr="002D749D">
        <w:rPr>
          <w:color w:val="002B61"/>
        </w:rPr>
        <w:tab/>
        <w:t>Emergency hospital admissions for intentional self-harm (females, persons)</w:t>
      </w:r>
    </w:p>
    <w:p w:rsidR="0018281C" w:rsidRPr="002D749D" w:rsidRDefault="0018281C" w:rsidP="0018281C">
      <w:pPr>
        <w:pStyle w:val="NoSpacing"/>
        <w:rPr>
          <w:color w:val="002B61"/>
        </w:rPr>
      </w:pPr>
      <w:r w:rsidRPr="002D749D">
        <w:rPr>
          <w:color w:val="FF0000"/>
        </w:rPr>
        <w:t>C16</w:t>
      </w:r>
      <w:r w:rsidRPr="002D749D">
        <w:rPr>
          <w:color w:val="002B61"/>
        </w:rPr>
        <w:tab/>
        <w:t>Percentage of adults (aged 18+) classified as overweight or obese</w:t>
      </w:r>
    </w:p>
    <w:p w:rsidR="0018281C" w:rsidRPr="002D749D" w:rsidRDefault="0018281C" w:rsidP="0018281C">
      <w:pPr>
        <w:pStyle w:val="NoSpacing"/>
        <w:rPr>
          <w:color w:val="002B61"/>
        </w:rPr>
      </w:pPr>
      <w:r w:rsidRPr="002D749D">
        <w:rPr>
          <w:color w:val="FF0000"/>
        </w:rPr>
        <w:t>C18</w:t>
      </w:r>
      <w:r w:rsidRPr="002D749D">
        <w:rPr>
          <w:color w:val="002B61"/>
        </w:rPr>
        <w:tab/>
        <w:t>Smoking Prevalence in adults (18+) - current smokers (APS) (persons 18+) (males 18+ years, persons 18-64yrs, persons 18+ years)</w:t>
      </w:r>
    </w:p>
    <w:p w:rsidR="0018281C" w:rsidRPr="002D749D" w:rsidRDefault="0018281C" w:rsidP="0018281C">
      <w:pPr>
        <w:pStyle w:val="NoSpacing"/>
        <w:rPr>
          <w:color w:val="002B61"/>
        </w:rPr>
      </w:pPr>
      <w:r w:rsidRPr="002D749D">
        <w:rPr>
          <w:color w:val="FF0000"/>
        </w:rPr>
        <w:t xml:space="preserve">C24a </w:t>
      </w:r>
      <w:r w:rsidRPr="002D749D">
        <w:rPr>
          <w:color w:val="002B61"/>
        </w:rPr>
        <w:tab/>
        <w:t>Cancer screening coverage - breast cancer</w:t>
      </w:r>
    </w:p>
    <w:p w:rsidR="0018281C" w:rsidRPr="002D749D" w:rsidRDefault="0018281C" w:rsidP="0018281C">
      <w:pPr>
        <w:pStyle w:val="NoSpacing"/>
        <w:rPr>
          <w:color w:val="002B61"/>
        </w:rPr>
      </w:pPr>
      <w:r w:rsidRPr="002D749D">
        <w:rPr>
          <w:color w:val="FF0000"/>
        </w:rPr>
        <w:t xml:space="preserve">C24b </w:t>
      </w:r>
      <w:r w:rsidRPr="002D749D">
        <w:rPr>
          <w:color w:val="002B61"/>
        </w:rPr>
        <w:tab/>
        <w:t>Cancer screening coverage - cervical cancer (aged 25 to 49 years old)</w:t>
      </w:r>
    </w:p>
    <w:p w:rsidR="0018281C" w:rsidRPr="002D749D" w:rsidRDefault="0018281C" w:rsidP="0018281C">
      <w:pPr>
        <w:pStyle w:val="NoSpacing"/>
        <w:rPr>
          <w:color w:val="002B61"/>
        </w:rPr>
      </w:pPr>
      <w:r w:rsidRPr="002D749D">
        <w:rPr>
          <w:color w:val="FF0000"/>
        </w:rPr>
        <w:t>C24c</w:t>
      </w:r>
      <w:r w:rsidRPr="002D749D">
        <w:rPr>
          <w:color w:val="002B61"/>
        </w:rPr>
        <w:tab/>
        <w:t>Cancer screening coverage - cervical cancer (aged 50 to 64 years old)</w:t>
      </w:r>
    </w:p>
    <w:p w:rsidR="0018281C" w:rsidRPr="002D749D" w:rsidRDefault="0018281C" w:rsidP="0018281C">
      <w:pPr>
        <w:pStyle w:val="NoSpacing"/>
        <w:rPr>
          <w:color w:val="002B61"/>
        </w:rPr>
      </w:pPr>
      <w:r w:rsidRPr="002D749D">
        <w:rPr>
          <w:color w:val="FF0000"/>
        </w:rPr>
        <w:t xml:space="preserve">C24d </w:t>
      </w:r>
      <w:r w:rsidRPr="002D749D">
        <w:rPr>
          <w:color w:val="002B61"/>
        </w:rPr>
        <w:tab/>
        <w:t>Cancer screening coverage - bowel cancer</w:t>
      </w:r>
    </w:p>
    <w:p w:rsidR="0018281C" w:rsidRPr="002D749D" w:rsidRDefault="0018281C" w:rsidP="0018281C">
      <w:pPr>
        <w:pStyle w:val="NoSpacing"/>
        <w:rPr>
          <w:color w:val="002B61"/>
        </w:rPr>
      </w:pPr>
      <w:r w:rsidRPr="002D749D">
        <w:rPr>
          <w:color w:val="FF0000"/>
        </w:rPr>
        <w:t xml:space="preserve">C24e </w:t>
      </w:r>
      <w:r w:rsidRPr="002D749D">
        <w:rPr>
          <w:color w:val="002B61"/>
        </w:rPr>
        <w:tab/>
        <w:t>Abdominal Aortic Aneurysm Screening - Coverage</w:t>
      </w:r>
    </w:p>
    <w:p w:rsidR="0018281C" w:rsidRPr="002D749D" w:rsidRDefault="0018281C" w:rsidP="0018281C">
      <w:pPr>
        <w:pStyle w:val="NoSpacing"/>
        <w:rPr>
          <w:color w:val="002B61"/>
        </w:rPr>
      </w:pPr>
      <w:r w:rsidRPr="002D749D">
        <w:rPr>
          <w:color w:val="FF0000"/>
        </w:rPr>
        <w:t xml:space="preserve">C26b </w:t>
      </w:r>
      <w:r w:rsidRPr="002D749D">
        <w:rPr>
          <w:color w:val="002B61"/>
        </w:rPr>
        <w:tab/>
        <w:t>Cumulative percentage of the eligible population aged 40-74 offered an NHS Health Check who received an NHS Health Check</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protection</w:t>
      </w:r>
      <w:r w:rsidRPr="002D749D">
        <w:rPr>
          <w:b/>
          <w:color w:val="002B61"/>
        </w:rPr>
        <w:tab/>
      </w:r>
    </w:p>
    <w:p w:rsidR="0018281C" w:rsidRPr="002D749D" w:rsidRDefault="0018281C" w:rsidP="0018281C">
      <w:pPr>
        <w:pStyle w:val="NoSpacing"/>
        <w:rPr>
          <w:color w:val="002B61"/>
        </w:rPr>
      </w:pPr>
      <w:r w:rsidRPr="002D749D">
        <w:rPr>
          <w:color w:val="FF0000"/>
        </w:rPr>
        <w:t>D02b</w:t>
      </w:r>
      <w:r w:rsidRPr="002D749D">
        <w:rPr>
          <w:color w:val="002B61"/>
        </w:rPr>
        <w:tab/>
        <w:t>New STI diagnoses (</w:t>
      </w:r>
      <w:proofErr w:type="spellStart"/>
      <w:r w:rsidRPr="002D749D">
        <w:rPr>
          <w:color w:val="002B61"/>
        </w:rPr>
        <w:t>exc</w:t>
      </w:r>
      <w:proofErr w:type="spellEnd"/>
      <w:r w:rsidRPr="002D749D">
        <w:rPr>
          <w:color w:val="002B61"/>
        </w:rPr>
        <w:t xml:space="preserve"> chlamydia aged &lt;25)/ 100,000^~</w:t>
      </w:r>
    </w:p>
    <w:p w:rsidR="0018281C" w:rsidRPr="002D749D" w:rsidRDefault="0018281C" w:rsidP="0018281C">
      <w:pPr>
        <w:pStyle w:val="NoSpacing"/>
        <w:rPr>
          <w:color w:val="002B61"/>
        </w:rPr>
      </w:pPr>
      <w:r w:rsidRPr="002D749D">
        <w:rPr>
          <w:color w:val="FF0000"/>
        </w:rPr>
        <w:t>D02d</w:t>
      </w:r>
      <w:r w:rsidRPr="002D749D">
        <w:rPr>
          <w:color w:val="002B61"/>
        </w:rPr>
        <w:tab/>
        <w:t xml:space="preserve">Population vaccination coverage - </w:t>
      </w:r>
      <w:proofErr w:type="spellStart"/>
      <w:r w:rsidRPr="002D749D">
        <w:rPr>
          <w:color w:val="002B61"/>
        </w:rPr>
        <w:t>MenB</w:t>
      </w:r>
      <w:proofErr w:type="spellEnd"/>
      <w:r w:rsidRPr="002D749D">
        <w:rPr>
          <w:color w:val="002B61"/>
        </w:rPr>
        <w:t xml:space="preserve"> (1 year</w:t>
      </w:r>
      <w:proofErr w:type="gramStart"/>
      <w:r w:rsidRPr="002D749D">
        <w:rPr>
          <w:color w:val="002B61"/>
        </w:rPr>
        <w:t>)^</w:t>
      </w:r>
      <w:proofErr w:type="gramEnd"/>
    </w:p>
    <w:p w:rsidR="004E312E" w:rsidRDefault="004E312E" w:rsidP="0018281C">
      <w:pPr>
        <w:pStyle w:val="NoSpacing"/>
        <w:rPr>
          <w:color w:val="FF0000"/>
        </w:rPr>
      </w:pPr>
      <w:r w:rsidRPr="004E312E">
        <w:rPr>
          <w:color w:val="FF0000"/>
        </w:rPr>
        <w:t>D03d</w:t>
      </w:r>
      <w:r w:rsidRPr="004E312E">
        <w:rPr>
          <w:color w:val="FF0000"/>
        </w:rPr>
        <w:tab/>
      </w:r>
      <w:r w:rsidRPr="004E312E">
        <w:rPr>
          <w:color w:val="002B61"/>
        </w:rPr>
        <w:t xml:space="preserve">Population vaccination coverage - </w:t>
      </w:r>
      <w:proofErr w:type="spellStart"/>
      <w:r w:rsidRPr="004E312E">
        <w:rPr>
          <w:color w:val="002B61"/>
        </w:rPr>
        <w:t>MenB</w:t>
      </w:r>
      <w:proofErr w:type="spellEnd"/>
      <w:r w:rsidRPr="004E312E">
        <w:rPr>
          <w:color w:val="002B61"/>
        </w:rPr>
        <w:t xml:space="preserve"> (1 year</w:t>
      </w:r>
      <w:proofErr w:type="gramStart"/>
      <w:r w:rsidRPr="004E312E">
        <w:rPr>
          <w:color w:val="002B61"/>
        </w:rPr>
        <w:t>)^</w:t>
      </w:r>
      <w:proofErr w:type="gramEnd"/>
    </w:p>
    <w:p w:rsidR="0018281C" w:rsidRPr="002D749D" w:rsidRDefault="0018281C" w:rsidP="0018281C">
      <w:pPr>
        <w:pStyle w:val="NoSpacing"/>
        <w:rPr>
          <w:color w:val="002B61"/>
        </w:rPr>
      </w:pPr>
      <w:r w:rsidRPr="002D749D">
        <w:rPr>
          <w:color w:val="FF0000"/>
        </w:rPr>
        <w:t xml:space="preserve">D03e </w:t>
      </w:r>
      <w:r w:rsidRPr="002D749D">
        <w:rPr>
          <w:color w:val="002B61"/>
        </w:rPr>
        <w:tab/>
        <w:t>Population vaccination coverage - Rotavirus (</w:t>
      </w:r>
      <w:proofErr w:type="spellStart"/>
      <w:r w:rsidRPr="002D749D">
        <w:rPr>
          <w:color w:val="002B61"/>
        </w:rPr>
        <w:t>Rota</w:t>
      </w:r>
      <w:proofErr w:type="spellEnd"/>
      <w:r w:rsidRPr="002D749D">
        <w:rPr>
          <w:color w:val="002B61"/>
        </w:rPr>
        <w:t>) (1 year</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D03f</w:t>
      </w:r>
      <w:r w:rsidRPr="002D749D">
        <w:rPr>
          <w:color w:val="002B61"/>
        </w:rPr>
        <w:tab/>
        <w:t>Population vaccination coverage - PCV^</w:t>
      </w:r>
    </w:p>
    <w:p w:rsidR="0018281C" w:rsidRPr="002D749D" w:rsidRDefault="0018281C" w:rsidP="0018281C">
      <w:pPr>
        <w:pStyle w:val="NoSpacing"/>
        <w:rPr>
          <w:color w:val="002B61"/>
        </w:rPr>
      </w:pPr>
      <w:r w:rsidRPr="002D749D">
        <w:rPr>
          <w:color w:val="FF0000"/>
        </w:rPr>
        <w:t>D03h</w:t>
      </w:r>
      <w:r w:rsidRPr="002D749D">
        <w:rPr>
          <w:color w:val="002B61"/>
        </w:rPr>
        <w:tab/>
        <w:t xml:space="preserve">Population vaccination coverage - </w:t>
      </w:r>
      <w:proofErr w:type="spellStart"/>
      <w:r w:rsidRPr="002D749D">
        <w:rPr>
          <w:color w:val="002B61"/>
        </w:rPr>
        <w:t>DTap</w:t>
      </w:r>
      <w:proofErr w:type="spellEnd"/>
      <w:r w:rsidRPr="002D749D">
        <w:rPr>
          <w:color w:val="002B61"/>
        </w:rPr>
        <w:t>/IPV/</w:t>
      </w:r>
      <w:proofErr w:type="gramStart"/>
      <w:r w:rsidRPr="002D749D">
        <w:rPr>
          <w:color w:val="002B61"/>
        </w:rPr>
        <w:t>Hib(</w:t>
      </w:r>
      <w:proofErr w:type="gramEnd"/>
      <w:r w:rsidRPr="002D749D">
        <w:rPr>
          <w:color w:val="002B61"/>
        </w:rPr>
        <w:t>2 years old)^</w:t>
      </w:r>
    </w:p>
    <w:p w:rsidR="0018281C" w:rsidRPr="002D749D" w:rsidRDefault="0018281C" w:rsidP="0018281C">
      <w:pPr>
        <w:pStyle w:val="NoSpacing"/>
        <w:rPr>
          <w:color w:val="002B61"/>
        </w:rPr>
      </w:pPr>
      <w:r w:rsidRPr="002D749D">
        <w:rPr>
          <w:color w:val="FF0000"/>
        </w:rPr>
        <w:t xml:space="preserve">D03i </w:t>
      </w:r>
      <w:r w:rsidRPr="002D749D">
        <w:rPr>
          <w:color w:val="002B61"/>
        </w:rPr>
        <w:tab/>
        <w:t xml:space="preserve">Population vaccination coverage - </w:t>
      </w:r>
      <w:proofErr w:type="spellStart"/>
      <w:r w:rsidRPr="002D749D">
        <w:rPr>
          <w:color w:val="002B61"/>
        </w:rPr>
        <w:t>MenB</w:t>
      </w:r>
      <w:proofErr w:type="spellEnd"/>
      <w:r w:rsidRPr="002D749D">
        <w:rPr>
          <w:color w:val="002B61"/>
        </w:rPr>
        <w:t xml:space="preserve"> booster (2 years</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D03j</w:t>
      </w:r>
      <w:r w:rsidRPr="002D749D">
        <w:rPr>
          <w:color w:val="002B61"/>
        </w:rPr>
        <w:tab/>
        <w:t>Population vaccination coverage - MMR for one dose (2 years old</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 xml:space="preserve">D03k </w:t>
      </w:r>
      <w:r w:rsidRPr="002D749D">
        <w:rPr>
          <w:color w:val="002B61"/>
        </w:rPr>
        <w:tab/>
        <w:t>Population vaccination coverage - PCV booster^~</w:t>
      </w:r>
    </w:p>
    <w:p w:rsidR="0018281C" w:rsidRPr="002D749D" w:rsidRDefault="0018281C" w:rsidP="0018281C">
      <w:pPr>
        <w:pStyle w:val="NoSpacing"/>
        <w:rPr>
          <w:color w:val="002B61"/>
        </w:rPr>
      </w:pPr>
      <w:r w:rsidRPr="002D749D">
        <w:rPr>
          <w:color w:val="FF0000"/>
        </w:rPr>
        <w:t>D03l</w:t>
      </w:r>
      <w:r w:rsidRPr="002D749D">
        <w:rPr>
          <w:color w:val="002B61"/>
        </w:rPr>
        <w:tab/>
        <w:t>Population vaccination coverage - Flu (2-3 years old</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D03m</w:t>
      </w:r>
      <w:r w:rsidRPr="002D749D">
        <w:rPr>
          <w:color w:val="002B61"/>
        </w:rPr>
        <w:tab/>
        <w:t xml:space="preserve">Population vaccination coverage - Hib / </w:t>
      </w:r>
      <w:proofErr w:type="spellStart"/>
      <w:r w:rsidRPr="002D749D">
        <w:rPr>
          <w:color w:val="002B61"/>
        </w:rPr>
        <w:t>MenC</w:t>
      </w:r>
      <w:proofErr w:type="spellEnd"/>
      <w:r w:rsidRPr="002D749D">
        <w:rPr>
          <w:color w:val="002B61"/>
        </w:rPr>
        <w:t xml:space="preserve"> booster (2 years old</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 xml:space="preserve">D04a </w:t>
      </w:r>
      <w:r w:rsidRPr="002D749D">
        <w:rPr>
          <w:color w:val="002B61"/>
        </w:rPr>
        <w:tab/>
        <w:t xml:space="preserve">Population vaccination coverage - </w:t>
      </w:r>
      <w:proofErr w:type="spellStart"/>
      <w:r w:rsidRPr="002D749D">
        <w:rPr>
          <w:color w:val="002B61"/>
        </w:rPr>
        <w:t>DTaP</w:t>
      </w:r>
      <w:proofErr w:type="spellEnd"/>
      <w:r w:rsidRPr="002D749D">
        <w:rPr>
          <w:color w:val="002B61"/>
        </w:rPr>
        <w:t>/IPV booster (5 years</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 xml:space="preserve">D04b </w:t>
      </w:r>
      <w:r w:rsidRPr="002D749D">
        <w:rPr>
          <w:color w:val="002B61"/>
        </w:rPr>
        <w:tab/>
        <w:t>Population vaccination coverage - MMR for one doses (5 years old</w:t>
      </w:r>
      <w:proofErr w:type="gramStart"/>
      <w:r w:rsidRPr="002D749D">
        <w:rPr>
          <w:color w:val="002B61"/>
        </w:rPr>
        <w:t>)^</w:t>
      </w:r>
      <w:proofErr w:type="gramEnd"/>
    </w:p>
    <w:p w:rsidR="0018281C" w:rsidRPr="002D749D" w:rsidRDefault="0018281C" w:rsidP="0018281C">
      <w:pPr>
        <w:pStyle w:val="NoSpacing"/>
        <w:rPr>
          <w:color w:val="002B61"/>
        </w:rPr>
      </w:pPr>
      <w:r w:rsidRPr="002D749D">
        <w:rPr>
          <w:color w:val="FF0000"/>
        </w:rPr>
        <w:t xml:space="preserve">D04c </w:t>
      </w:r>
      <w:r w:rsidRPr="002D749D">
        <w:rPr>
          <w:color w:val="002B61"/>
        </w:rPr>
        <w:tab/>
        <w:t>Population vaccination coverage - MMR for two doses (5 years old</w:t>
      </w:r>
      <w:proofErr w:type="gramStart"/>
      <w:r w:rsidRPr="002D749D">
        <w:rPr>
          <w:color w:val="002B61"/>
        </w:rPr>
        <w:t>)^</w:t>
      </w:r>
      <w:proofErr w:type="gramEnd"/>
      <w:r w:rsidRPr="002D749D">
        <w:rPr>
          <w:color w:val="002B61"/>
        </w:rPr>
        <w:t>~</w:t>
      </w:r>
    </w:p>
    <w:p w:rsidR="004E312E" w:rsidRDefault="004E312E" w:rsidP="004E312E">
      <w:pPr>
        <w:pStyle w:val="NoSpacing"/>
        <w:rPr>
          <w:color w:val="FF0000"/>
        </w:rPr>
      </w:pPr>
      <w:r w:rsidRPr="00C37707">
        <w:rPr>
          <w:color w:val="FF0000"/>
        </w:rPr>
        <w:lastRenderedPageBreak/>
        <w:t>D04d</w:t>
      </w:r>
      <w:r w:rsidRPr="00C37707">
        <w:rPr>
          <w:color w:val="FF0000"/>
        </w:rPr>
        <w:tab/>
      </w:r>
      <w:r w:rsidRPr="00C37707">
        <w:rPr>
          <w:color w:val="002B61"/>
        </w:rPr>
        <w:t>Population vaccination coverage - Flu (primary school aged children</w:t>
      </w:r>
      <w:proofErr w:type="gramStart"/>
      <w:r w:rsidRPr="00C37707">
        <w:rPr>
          <w:color w:val="002B61"/>
        </w:rPr>
        <w:t>)</w:t>
      </w:r>
      <w:r>
        <w:rPr>
          <w:color w:val="002B61"/>
        </w:rPr>
        <w:t>^</w:t>
      </w:r>
      <w:proofErr w:type="gramEnd"/>
      <w:r w:rsidRPr="00C37707">
        <w:rPr>
          <w:color w:val="002B61"/>
        </w:rPr>
        <w:t>~</w:t>
      </w:r>
      <w:r>
        <w:rPr>
          <w:color w:val="002B61"/>
        </w:rPr>
        <w:t xml:space="preserve"> (New indicator)</w:t>
      </w:r>
    </w:p>
    <w:p w:rsidR="0018281C" w:rsidRPr="002D749D" w:rsidRDefault="0018281C" w:rsidP="0018281C">
      <w:pPr>
        <w:pStyle w:val="NoSpacing"/>
        <w:rPr>
          <w:color w:val="002B61"/>
        </w:rPr>
      </w:pPr>
      <w:r w:rsidRPr="002D749D">
        <w:rPr>
          <w:color w:val="FF0000"/>
        </w:rPr>
        <w:t>D04e</w:t>
      </w:r>
      <w:r w:rsidRPr="002D749D">
        <w:rPr>
          <w:color w:val="002B61"/>
        </w:rPr>
        <w:tab/>
        <w:t>Population vaccination coverage - HPV vaccination coverage for one dose (females 12-13 years old)</w:t>
      </w:r>
    </w:p>
    <w:p w:rsidR="0018281C" w:rsidRPr="002D749D" w:rsidRDefault="0018281C" w:rsidP="0018281C">
      <w:pPr>
        <w:pStyle w:val="NoSpacing"/>
        <w:rPr>
          <w:color w:val="002B61"/>
        </w:rPr>
      </w:pPr>
      <w:r w:rsidRPr="002D749D">
        <w:rPr>
          <w:color w:val="FF0000"/>
        </w:rPr>
        <w:t>D05</w:t>
      </w:r>
      <w:r w:rsidRPr="002D749D">
        <w:rPr>
          <w:color w:val="002B61"/>
        </w:rPr>
        <w:tab/>
        <w:t>Population vaccination coverage - Flu (at risk individuals</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D06a</w:t>
      </w:r>
      <w:r w:rsidRPr="002D749D">
        <w:rPr>
          <w:color w:val="002B61"/>
        </w:rPr>
        <w:tab/>
        <w:t>Population vaccination coverage - Flu (aged 65+</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D06c</w:t>
      </w:r>
      <w:r w:rsidRPr="002D749D">
        <w:rPr>
          <w:color w:val="002B61"/>
        </w:rPr>
        <w:tab/>
        <w:t>Population vaccination coverage - Shingles vaccination coverage (70 years old</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D08b</w:t>
      </w:r>
      <w:r w:rsidRPr="002D749D">
        <w:rPr>
          <w:color w:val="002B61"/>
        </w:rPr>
        <w:tab/>
        <w:t>TB incidence (three year average)</w:t>
      </w:r>
    </w:p>
    <w:p w:rsidR="0018281C" w:rsidRPr="002D749D" w:rsidRDefault="0018281C" w:rsidP="0018281C">
      <w:pPr>
        <w:pStyle w:val="NoSpacing"/>
        <w:rPr>
          <w:color w:val="002B61"/>
        </w:rPr>
      </w:pPr>
      <w:r w:rsidRPr="002D749D">
        <w:rPr>
          <w:color w:val="FF0000"/>
        </w:rPr>
        <w:t>D10</w:t>
      </w:r>
      <w:r w:rsidRPr="002D749D">
        <w:rPr>
          <w:color w:val="002B61"/>
        </w:rPr>
        <w:tab/>
        <w:t>Adjusted antibiotic prescribing in primary care by the NHS^</w:t>
      </w:r>
    </w:p>
    <w:p w:rsidR="0018281C" w:rsidRPr="002D749D" w:rsidRDefault="0018281C" w:rsidP="0018281C">
      <w:pPr>
        <w:pStyle w:val="NoSpacing"/>
        <w:rPr>
          <w:color w:val="002B61"/>
        </w:rPr>
      </w:pPr>
    </w:p>
    <w:p w:rsidR="0018281C" w:rsidRPr="002D749D" w:rsidRDefault="0018281C" w:rsidP="0018281C">
      <w:pPr>
        <w:pStyle w:val="NoSpacing"/>
        <w:rPr>
          <w:b/>
          <w:color w:val="002B61"/>
        </w:rPr>
      </w:pPr>
      <w:r w:rsidRPr="002D749D">
        <w:rPr>
          <w:b/>
          <w:color w:val="002B61"/>
        </w:rPr>
        <w:t>Healthcare and premature mortality</w:t>
      </w:r>
      <w:r w:rsidRPr="002D749D">
        <w:rPr>
          <w:b/>
          <w:color w:val="002B61"/>
        </w:rPr>
        <w:tab/>
      </w:r>
    </w:p>
    <w:p w:rsidR="0018281C" w:rsidRPr="002D749D" w:rsidRDefault="0018281C" w:rsidP="0018281C">
      <w:pPr>
        <w:pStyle w:val="NoSpacing"/>
        <w:rPr>
          <w:color w:val="002B61"/>
        </w:rPr>
      </w:pPr>
      <w:r w:rsidRPr="002D749D">
        <w:rPr>
          <w:color w:val="FF0000"/>
        </w:rPr>
        <w:t xml:space="preserve">E01 </w:t>
      </w:r>
      <w:r w:rsidRPr="002D749D">
        <w:rPr>
          <w:color w:val="002B61"/>
        </w:rPr>
        <w:tab/>
        <w:t>Infant mortality rate</w:t>
      </w:r>
    </w:p>
    <w:p w:rsidR="0018281C" w:rsidRPr="002D749D" w:rsidRDefault="0018281C" w:rsidP="0018281C">
      <w:pPr>
        <w:pStyle w:val="NoSpacing"/>
        <w:rPr>
          <w:color w:val="002B61"/>
        </w:rPr>
      </w:pPr>
      <w:r w:rsidRPr="002D749D">
        <w:rPr>
          <w:color w:val="FF0000"/>
        </w:rPr>
        <w:t>E02</w:t>
      </w:r>
      <w:r w:rsidRPr="002D749D">
        <w:rPr>
          <w:color w:val="002B61"/>
        </w:rPr>
        <w:tab/>
        <w:t>Percentage of 5 year olds with experience of visually obvious dental decay</w:t>
      </w:r>
    </w:p>
    <w:p w:rsidR="0018281C" w:rsidRPr="002D749D" w:rsidRDefault="0018281C" w:rsidP="0018281C">
      <w:pPr>
        <w:pStyle w:val="NoSpacing"/>
        <w:rPr>
          <w:color w:val="002B61"/>
        </w:rPr>
      </w:pPr>
      <w:r w:rsidRPr="002D749D">
        <w:rPr>
          <w:color w:val="FF0000"/>
        </w:rPr>
        <w:t>E03</w:t>
      </w:r>
      <w:r w:rsidRPr="002D749D">
        <w:rPr>
          <w:color w:val="002B61"/>
        </w:rPr>
        <w:tab/>
        <w:t>Mortality rate from causes considered preventable (males, persons)</w:t>
      </w:r>
    </w:p>
    <w:p w:rsidR="0018281C" w:rsidRPr="002D749D" w:rsidRDefault="0018281C" w:rsidP="0018281C">
      <w:pPr>
        <w:pStyle w:val="NoSpacing"/>
        <w:rPr>
          <w:color w:val="002B61"/>
        </w:rPr>
      </w:pPr>
      <w:r w:rsidRPr="002D749D">
        <w:rPr>
          <w:color w:val="FF0000"/>
        </w:rPr>
        <w:t>E04a</w:t>
      </w:r>
      <w:r w:rsidRPr="002D749D">
        <w:rPr>
          <w:color w:val="002B61"/>
        </w:rPr>
        <w:tab/>
        <w:t>Under 75 mortality rate from all cardiovascular diseases (males, persons)</w:t>
      </w:r>
    </w:p>
    <w:p w:rsidR="0018281C" w:rsidRPr="002D749D" w:rsidRDefault="0018281C" w:rsidP="0018281C">
      <w:pPr>
        <w:pStyle w:val="NoSpacing"/>
        <w:rPr>
          <w:color w:val="002B61"/>
        </w:rPr>
      </w:pPr>
      <w:r w:rsidRPr="002D749D">
        <w:rPr>
          <w:color w:val="FF0000"/>
        </w:rPr>
        <w:t>E04b</w:t>
      </w:r>
      <w:r w:rsidRPr="002D749D">
        <w:rPr>
          <w:color w:val="002B61"/>
        </w:rPr>
        <w:tab/>
        <w:t>Under 75 mortality rate from cardiovascular diseases considered preventable (males, persons)</w:t>
      </w:r>
    </w:p>
    <w:p w:rsidR="0018281C" w:rsidRPr="002D749D" w:rsidRDefault="0018281C" w:rsidP="0018281C">
      <w:pPr>
        <w:pStyle w:val="NoSpacing"/>
        <w:rPr>
          <w:color w:val="002B61"/>
        </w:rPr>
      </w:pPr>
      <w:r w:rsidRPr="002D749D">
        <w:rPr>
          <w:color w:val="FF0000"/>
        </w:rPr>
        <w:t>E05a</w:t>
      </w:r>
      <w:r w:rsidRPr="002D749D">
        <w:rPr>
          <w:color w:val="002B61"/>
        </w:rPr>
        <w:tab/>
        <w:t>Under 75 mortality rate from cancer (females, persons)</w:t>
      </w:r>
    </w:p>
    <w:p w:rsidR="0018281C" w:rsidRPr="002D749D" w:rsidRDefault="0018281C" w:rsidP="0018281C">
      <w:pPr>
        <w:pStyle w:val="NoSpacing"/>
        <w:rPr>
          <w:color w:val="002B61"/>
        </w:rPr>
      </w:pPr>
      <w:r w:rsidRPr="002D749D">
        <w:rPr>
          <w:color w:val="FF0000"/>
        </w:rPr>
        <w:t xml:space="preserve">E07b </w:t>
      </w:r>
      <w:r w:rsidRPr="002D749D">
        <w:rPr>
          <w:color w:val="002B61"/>
        </w:rPr>
        <w:tab/>
        <w:t>Under 75 mortality rate from respiratory disease considered preventable (males)</w:t>
      </w:r>
    </w:p>
    <w:p w:rsidR="0018281C" w:rsidRPr="002D749D" w:rsidRDefault="0018281C" w:rsidP="0018281C">
      <w:pPr>
        <w:pStyle w:val="NoSpacing"/>
        <w:rPr>
          <w:color w:val="002B61"/>
        </w:rPr>
      </w:pPr>
      <w:r w:rsidRPr="002D749D">
        <w:rPr>
          <w:color w:val="FF0000"/>
        </w:rPr>
        <w:t>E08</w:t>
      </w:r>
      <w:r w:rsidRPr="002D749D">
        <w:rPr>
          <w:color w:val="002B61"/>
        </w:rPr>
        <w:tab/>
        <w:t>Mortality rate from a range of communicable disease, including influenza (males, females, persons)</w:t>
      </w:r>
    </w:p>
    <w:p w:rsidR="0018281C" w:rsidRPr="002D749D" w:rsidRDefault="0018281C" w:rsidP="0018281C">
      <w:pPr>
        <w:pStyle w:val="NoSpacing"/>
        <w:rPr>
          <w:color w:val="002B61"/>
        </w:rPr>
      </w:pPr>
      <w:r w:rsidRPr="002D749D">
        <w:rPr>
          <w:color w:val="FF0000"/>
        </w:rPr>
        <w:t>E11</w:t>
      </w:r>
      <w:r w:rsidRPr="002D749D">
        <w:rPr>
          <w:color w:val="002B61"/>
        </w:rPr>
        <w:tab/>
        <w:t>Emergency readmissions within 30 days of discharge from hospital</w:t>
      </w:r>
    </w:p>
    <w:p w:rsidR="0018281C" w:rsidRPr="002D749D" w:rsidRDefault="0018281C" w:rsidP="0018281C">
      <w:pPr>
        <w:pStyle w:val="NoSpacing"/>
        <w:rPr>
          <w:color w:val="002B61"/>
        </w:rPr>
      </w:pPr>
      <w:r w:rsidRPr="002D749D">
        <w:rPr>
          <w:color w:val="FF0000"/>
        </w:rPr>
        <w:t>E12c</w:t>
      </w:r>
      <w:r w:rsidRPr="002D749D">
        <w:rPr>
          <w:color w:val="002B61"/>
        </w:rPr>
        <w:tab/>
        <w:t>Preventable sight loss – diabetic eye disease</w:t>
      </w:r>
    </w:p>
    <w:p w:rsidR="0018281C" w:rsidRPr="002D749D" w:rsidRDefault="0018281C" w:rsidP="0018281C">
      <w:pPr>
        <w:pStyle w:val="NoSpacing"/>
        <w:rPr>
          <w:color w:val="002B61"/>
        </w:rPr>
      </w:pPr>
      <w:r w:rsidRPr="002D749D">
        <w:rPr>
          <w:color w:val="FF0000"/>
        </w:rPr>
        <w:t>E13</w:t>
      </w:r>
      <w:r w:rsidRPr="002D749D">
        <w:rPr>
          <w:color w:val="002B61"/>
        </w:rPr>
        <w:tab/>
        <w:t>Hip fractures in people aged 65 and over (males, persons)</w:t>
      </w:r>
    </w:p>
    <w:p w:rsidR="0018281C" w:rsidRPr="002D749D" w:rsidRDefault="0018281C" w:rsidP="0018281C">
      <w:pPr>
        <w:pStyle w:val="NoSpacing"/>
        <w:rPr>
          <w:color w:val="002B61"/>
        </w:rPr>
      </w:pPr>
      <w:r w:rsidRPr="002D749D">
        <w:rPr>
          <w:color w:val="FF0000"/>
        </w:rPr>
        <w:t>E13</w:t>
      </w:r>
      <w:r w:rsidRPr="002D749D">
        <w:rPr>
          <w:color w:val="002B61"/>
        </w:rPr>
        <w:tab/>
        <w:t>Hip fractures in people aged 65-79 (males, persons)</w:t>
      </w:r>
    </w:p>
    <w:p w:rsidR="0018281C" w:rsidRPr="002D749D" w:rsidRDefault="0018281C" w:rsidP="0018281C">
      <w:pPr>
        <w:pStyle w:val="NoSpacing"/>
        <w:rPr>
          <w:color w:val="002B61"/>
        </w:rPr>
      </w:pPr>
      <w:r w:rsidRPr="002D749D">
        <w:rPr>
          <w:color w:val="FF0000"/>
        </w:rPr>
        <w:t>4.09ii</w:t>
      </w:r>
      <w:r w:rsidRPr="002D749D">
        <w:rPr>
          <w:color w:val="002B61"/>
        </w:rPr>
        <w:tab/>
        <w:t>Proportion of adults in the population in contact with secondary mental health services</w:t>
      </w:r>
    </w:p>
    <w:p w:rsidR="0018281C" w:rsidRPr="002D749D" w:rsidRDefault="0018281C" w:rsidP="0018281C">
      <w:pPr>
        <w:pStyle w:val="NoSpacing"/>
        <w:rPr>
          <w:rStyle w:val="Hyperlink"/>
          <w:rFonts w:ascii="Calibri" w:hAnsi="Calibri" w:cs="Arial"/>
          <w:b/>
          <w:color w:val="002B61"/>
          <w:u w:val="none"/>
        </w:rPr>
      </w:pPr>
    </w:p>
    <w:p w:rsidR="00B33281" w:rsidRPr="002D749D" w:rsidRDefault="00B33281" w:rsidP="0018281C">
      <w:pPr>
        <w:pStyle w:val="NoSpacing"/>
        <w:rPr>
          <w:color w:val="002B61"/>
        </w:rPr>
      </w:pPr>
      <w:r w:rsidRPr="002D749D">
        <w:rPr>
          <w:color w:val="002B61"/>
        </w:rPr>
        <w:t xml:space="preserve"> </w:t>
      </w:r>
    </w:p>
    <w:p w:rsidR="0018281C" w:rsidRPr="0018281C" w:rsidRDefault="0018281C" w:rsidP="0018281C">
      <w:pPr>
        <w:rPr>
          <w:b/>
          <w:color w:val="002B61"/>
          <w:u w:val="single"/>
        </w:rPr>
      </w:pPr>
      <w:r w:rsidRPr="0018281C">
        <w:rPr>
          <w:b/>
          <w:color w:val="002B61"/>
          <w:u w:val="single"/>
        </w:rPr>
        <w:t>CAMBRIDGE</w:t>
      </w:r>
    </w:p>
    <w:p w:rsidR="0018281C" w:rsidRPr="002D749D" w:rsidRDefault="0018281C" w:rsidP="0018281C">
      <w:pPr>
        <w:pStyle w:val="NoSpacing"/>
        <w:rPr>
          <w:b/>
          <w:color w:val="002B61"/>
        </w:rPr>
      </w:pPr>
      <w:r w:rsidRPr="002D749D">
        <w:rPr>
          <w:b/>
          <w:color w:val="002B61"/>
        </w:rPr>
        <w:t>Wider determinants</w:t>
      </w:r>
      <w:r w:rsidRPr="002D749D">
        <w:rPr>
          <w:b/>
          <w:color w:val="002B61"/>
        </w:rPr>
        <w:tab/>
      </w:r>
    </w:p>
    <w:p w:rsidR="0018281C" w:rsidRPr="002D749D" w:rsidRDefault="0018281C" w:rsidP="0018281C">
      <w:pPr>
        <w:pStyle w:val="NoSpacing"/>
        <w:rPr>
          <w:color w:val="002B61"/>
        </w:rPr>
      </w:pPr>
      <w:r w:rsidRPr="002D749D">
        <w:rPr>
          <w:color w:val="FF0000"/>
        </w:rPr>
        <w:t>B14a</w:t>
      </w:r>
      <w:r w:rsidRPr="002D749D">
        <w:rPr>
          <w:color w:val="002B61"/>
        </w:rPr>
        <w:tab/>
        <w:t>The rate of complaints about noise</w:t>
      </w:r>
    </w:p>
    <w:p w:rsidR="0018281C" w:rsidRPr="002D749D" w:rsidRDefault="0018281C" w:rsidP="0018281C">
      <w:pPr>
        <w:pStyle w:val="NoSpacing"/>
        <w:rPr>
          <w:color w:val="002B61"/>
        </w:rPr>
      </w:pPr>
      <w:r w:rsidRPr="002D749D">
        <w:rPr>
          <w:color w:val="FF0000"/>
        </w:rPr>
        <w:t>1.1</w:t>
      </w:r>
      <w:r w:rsidRPr="002D749D">
        <w:rPr>
          <w:color w:val="002B61"/>
        </w:rPr>
        <w:tab/>
        <w:t>Killed and seriously injured (KSI) casualties on England's roads</w:t>
      </w:r>
    </w:p>
    <w:p w:rsidR="0018281C" w:rsidRPr="002D749D" w:rsidRDefault="0018281C" w:rsidP="0018281C">
      <w:pPr>
        <w:pStyle w:val="NoSpacing"/>
        <w:rPr>
          <w:color w:val="002B61"/>
        </w:rPr>
      </w:pPr>
      <w:r w:rsidRPr="002D749D">
        <w:rPr>
          <w:color w:val="FF0000"/>
        </w:rPr>
        <w:t xml:space="preserve">1.15i </w:t>
      </w:r>
      <w:r w:rsidRPr="002D749D">
        <w:rPr>
          <w:color w:val="002B61"/>
        </w:rPr>
        <w:tab/>
      </w:r>
      <w:proofErr w:type="gramStart"/>
      <w:r w:rsidRPr="002D749D">
        <w:rPr>
          <w:color w:val="002B61"/>
        </w:rPr>
        <w:t>Statutory</w:t>
      </w:r>
      <w:proofErr w:type="gramEnd"/>
      <w:r w:rsidRPr="002D749D">
        <w:rPr>
          <w:color w:val="002B61"/>
        </w:rPr>
        <w:t xml:space="preserve"> homelessness - Eligible homeless people not in priority need</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Improvement</w:t>
      </w:r>
      <w:r w:rsidRPr="002D749D">
        <w:rPr>
          <w:b/>
          <w:color w:val="002B61"/>
        </w:rPr>
        <w:tab/>
      </w:r>
    </w:p>
    <w:p w:rsidR="0018281C" w:rsidRPr="002D749D" w:rsidRDefault="0018281C" w:rsidP="0018281C">
      <w:pPr>
        <w:pStyle w:val="NoSpacing"/>
        <w:rPr>
          <w:color w:val="002B61"/>
        </w:rPr>
      </w:pPr>
      <w:r w:rsidRPr="002D749D">
        <w:rPr>
          <w:color w:val="FF0000"/>
        </w:rPr>
        <w:t xml:space="preserve">C14b  </w:t>
      </w:r>
      <w:r w:rsidRPr="002D749D">
        <w:rPr>
          <w:color w:val="002B61"/>
        </w:rPr>
        <w:tab/>
        <w:t>Emergency hospital admissions for intentional self-harm (male, female, persons)</w:t>
      </w:r>
    </w:p>
    <w:p w:rsidR="0018281C" w:rsidRPr="002D749D" w:rsidRDefault="0018281C" w:rsidP="0018281C">
      <w:pPr>
        <w:pStyle w:val="NoSpacing"/>
        <w:rPr>
          <w:color w:val="002B61"/>
        </w:rPr>
      </w:pPr>
      <w:r w:rsidRPr="002D749D">
        <w:rPr>
          <w:color w:val="FF0000"/>
        </w:rPr>
        <w:lastRenderedPageBreak/>
        <w:t xml:space="preserve">C21 </w:t>
      </w:r>
      <w:r w:rsidRPr="002D749D">
        <w:rPr>
          <w:color w:val="002B61"/>
        </w:rPr>
        <w:tab/>
        <w:t>Admission episodes for alcohol-related conditions - narrow definition (male, female, persons)</w:t>
      </w:r>
    </w:p>
    <w:p w:rsidR="0018281C" w:rsidRPr="002D749D" w:rsidRDefault="0018281C" w:rsidP="0018281C">
      <w:pPr>
        <w:pStyle w:val="NoSpacing"/>
        <w:rPr>
          <w:color w:val="002B61"/>
        </w:rPr>
      </w:pPr>
      <w:r w:rsidRPr="002D749D">
        <w:rPr>
          <w:color w:val="FF0000"/>
        </w:rPr>
        <w:t xml:space="preserve">C22 </w:t>
      </w:r>
      <w:r w:rsidRPr="002D749D">
        <w:rPr>
          <w:color w:val="002B61"/>
        </w:rPr>
        <w:tab/>
        <w:t>Estimated diabetes diagnosis rate</w:t>
      </w:r>
    </w:p>
    <w:p w:rsidR="0018281C" w:rsidRPr="002D749D" w:rsidRDefault="0018281C" w:rsidP="0018281C">
      <w:pPr>
        <w:pStyle w:val="NoSpacing"/>
        <w:rPr>
          <w:color w:val="002B61"/>
        </w:rPr>
      </w:pPr>
      <w:r w:rsidRPr="002D749D">
        <w:rPr>
          <w:color w:val="FF0000"/>
        </w:rPr>
        <w:t xml:space="preserve">C24a </w:t>
      </w:r>
      <w:r w:rsidRPr="002D749D">
        <w:rPr>
          <w:color w:val="002B61"/>
        </w:rPr>
        <w:tab/>
        <w:t>Cancer screening coverage - breast cancer</w:t>
      </w:r>
    </w:p>
    <w:p w:rsidR="0018281C" w:rsidRPr="002D749D" w:rsidRDefault="0018281C" w:rsidP="0018281C">
      <w:pPr>
        <w:pStyle w:val="NoSpacing"/>
        <w:rPr>
          <w:color w:val="002B61"/>
        </w:rPr>
      </w:pPr>
      <w:r w:rsidRPr="002D749D">
        <w:rPr>
          <w:color w:val="FF0000"/>
        </w:rPr>
        <w:t xml:space="preserve">C24b </w:t>
      </w:r>
      <w:r w:rsidRPr="002D749D">
        <w:rPr>
          <w:color w:val="002B61"/>
        </w:rPr>
        <w:tab/>
        <w:t>Cancer screening coverage - cervical cancer (aged 25 to 49 years)</w:t>
      </w:r>
    </w:p>
    <w:p w:rsidR="0018281C" w:rsidRPr="002D749D" w:rsidRDefault="0018281C" w:rsidP="0018281C">
      <w:pPr>
        <w:pStyle w:val="NoSpacing"/>
        <w:rPr>
          <w:color w:val="002B61"/>
        </w:rPr>
      </w:pPr>
      <w:r w:rsidRPr="002D749D">
        <w:rPr>
          <w:color w:val="FF0000"/>
        </w:rPr>
        <w:t xml:space="preserve">C24c </w:t>
      </w:r>
      <w:r w:rsidRPr="002D749D">
        <w:rPr>
          <w:color w:val="002B61"/>
        </w:rPr>
        <w:tab/>
        <w:t>Cancer screening coverage - cervical cancer (aged 50 to 64 years)</w:t>
      </w:r>
    </w:p>
    <w:p w:rsidR="0018281C" w:rsidRPr="002D749D" w:rsidRDefault="0018281C" w:rsidP="0018281C">
      <w:pPr>
        <w:pStyle w:val="NoSpacing"/>
        <w:rPr>
          <w:color w:val="002B61"/>
        </w:rPr>
      </w:pPr>
      <w:r w:rsidRPr="002D749D">
        <w:rPr>
          <w:color w:val="FF0000"/>
        </w:rPr>
        <w:t xml:space="preserve">C24d </w:t>
      </w:r>
      <w:r w:rsidRPr="002D749D">
        <w:rPr>
          <w:color w:val="002B61"/>
        </w:rPr>
        <w:tab/>
        <w:t>Cancer screening coverage - bowel cancer</w:t>
      </w:r>
    </w:p>
    <w:p w:rsidR="0018281C" w:rsidRPr="002D749D" w:rsidRDefault="0018281C" w:rsidP="0018281C">
      <w:pPr>
        <w:pStyle w:val="NoSpacing"/>
        <w:rPr>
          <w:color w:val="002B61"/>
        </w:rPr>
      </w:pPr>
      <w:r w:rsidRPr="002D749D">
        <w:rPr>
          <w:color w:val="FF0000"/>
        </w:rPr>
        <w:t>C24e</w:t>
      </w:r>
      <w:r w:rsidRPr="002D749D">
        <w:rPr>
          <w:color w:val="002B61"/>
        </w:rPr>
        <w:tab/>
        <w:t xml:space="preserve">Abdominal aortic aneurysm screening – coverage </w:t>
      </w:r>
    </w:p>
    <w:p w:rsidR="0018281C" w:rsidRPr="002D749D" w:rsidRDefault="0018281C" w:rsidP="0018281C">
      <w:pPr>
        <w:pStyle w:val="NoSpacing"/>
        <w:rPr>
          <w:color w:val="002B61"/>
        </w:rPr>
      </w:pPr>
      <w:r w:rsidRPr="002D749D">
        <w:rPr>
          <w:color w:val="FF0000"/>
        </w:rPr>
        <w:t xml:space="preserve">C29 </w:t>
      </w:r>
      <w:r w:rsidRPr="002D749D">
        <w:rPr>
          <w:color w:val="002B61"/>
        </w:rPr>
        <w:tab/>
        <w:t>Emergency hospital admissions due to falls in people aged 65 and over (female, persons)</w:t>
      </w:r>
    </w:p>
    <w:p w:rsidR="0018281C" w:rsidRPr="002D749D" w:rsidRDefault="0018281C" w:rsidP="0018281C">
      <w:pPr>
        <w:pStyle w:val="NoSpacing"/>
        <w:rPr>
          <w:color w:val="002B61"/>
        </w:rPr>
      </w:pPr>
      <w:r w:rsidRPr="002D749D">
        <w:rPr>
          <w:color w:val="FF0000"/>
        </w:rPr>
        <w:t xml:space="preserve">C29 </w:t>
      </w:r>
      <w:r w:rsidRPr="002D749D">
        <w:rPr>
          <w:color w:val="002B61"/>
        </w:rPr>
        <w:tab/>
        <w:t>Emergency hospital admissions due to falls in people aged 80+ (female, persons)</w:t>
      </w:r>
    </w:p>
    <w:p w:rsidR="0018281C" w:rsidRPr="002D749D" w:rsidRDefault="0018281C" w:rsidP="0018281C">
      <w:pPr>
        <w:pStyle w:val="NoSpacing"/>
        <w:rPr>
          <w:color w:val="002B61"/>
        </w:rPr>
      </w:pPr>
      <w:r w:rsidRPr="002D749D">
        <w:rPr>
          <w:color w:val="002B61"/>
        </w:rPr>
        <w:tab/>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rPr>
      </w:pPr>
      <w:r w:rsidRPr="0018281C">
        <w:rPr>
          <w:b/>
          <w:color w:val="002B61"/>
        </w:rPr>
        <w:t>Health protection</w:t>
      </w:r>
      <w:r w:rsidRPr="0018281C">
        <w:rPr>
          <w:b/>
          <w:color w:val="002B61"/>
        </w:rPr>
        <w:tab/>
      </w:r>
    </w:p>
    <w:p w:rsidR="0018281C" w:rsidRPr="002D749D" w:rsidRDefault="0018281C" w:rsidP="0018281C">
      <w:pPr>
        <w:pStyle w:val="NoSpacing"/>
        <w:rPr>
          <w:color w:val="002B61"/>
        </w:rPr>
      </w:pPr>
      <w:r w:rsidRPr="002D749D">
        <w:rPr>
          <w:color w:val="FF0000"/>
        </w:rPr>
        <w:t>D02a</w:t>
      </w:r>
      <w:r w:rsidRPr="002D749D">
        <w:rPr>
          <w:color w:val="002B61"/>
        </w:rPr>
        <w:tab/>
        <w:t>Chlamydia detection rate (15-24 year olds</w:t>
      </w:r>
      <w:proofErr w:type="gramStart"/>
      <w:r w:rsidRPr="002D749D">
        <w:rPr>
          <w:color w:val="002B61"/>
        </w:rPr>
        <w:t>)~</w:t>
      </w:r>
      <w:proofErr w:type="gramEnd"/>
      <w:r w:rsidRPr="002D749D">
        <w:rPr>
          <w:color w:val="002B61"/>
        </w:rPr>
        <w:t>^</w:t>
      </w:r>
    </w:p>
    <w:p w:rsidR="0018281C" w:rsidRPr="002D749D" w:rsidRDefault="0018281C" w:rsidP="0018281C">
      <w:pPr>
        <w:pStyle w:val="NoSpacing"/>
        <w:rPr>
          <w:color w:val="002B61"/>
        </w:rPr>
      </w:pPr>
      <w:r w:rsidRPr="002D749D">
        <w:rPr>
          <w:color w:val="FF0000"/>
        </w:rPr>
        <w:t>D02b</w:t>
      </w:r>
      <w:r w:rsidRPr="002D749D">
        <w:rPr>
          <w:color w:val="002B61"/>
        </w:rPr>
        <w:tab/>
        <w:t>New STI diagnoses (</w:t>
      </w:r>
      <w:proofErr w:type="spellStart"/>
      <w:r w:rsidRPr="002D749D">
        <w:rPr>
          <w:color w:val="002B61"/>
        </w:rPr>
        <w:t>exc</w:t>
      </w:r>
      <w:r w:rsidR="00F53B7E">
        <w:rPr>
          <w:color w:val="002B61"/>
        </w:rPr>
        <w:t>l</w:t>
      </w:r>
      <w:proofErr w:type="spellEnd"/>
      <w:r w:rsidRPr="002D749D">
        <w:rPr>
          <w:color w:val="002B61"/>
        </w:rPr>
        <w:t xml:space="preserve"> chlamydia aged &lt;25)/100,000^</w:t>
      </w:r>
    </w:p>
    <w:p w:rsidR="0018281C" w:rsidRPr="002D749D" w:rsidRDefault="0018281C" w:rsidP="0018281C">
      <w:pPr>
        <w:pStyle w:val="NoSpacing"/>
        <w:rPr>
          <w:color w:val="002B61"/>
        </w:rPr>
      </w:pPr>
      <w:r w:rsidRPr="002D749D">
        <w:rPr>
          <w:color w:val="FF0000"/>
        </w:rPr>
        <w:t>D08b</w:t>
      </w:r>
      <w:r w:rsidRPr="002D749D">
        <w:rPr>
          <w:color w:val="002B61"/>
        </w:rPr>
        <w:t xml:space="preserve"> </w:t>
      </w:r>
      <w:r w:rsidRPr="002D749D">
        <w:rPr>
          <w:color w:val="002B61"/>
        </w:rPr>
        <w:tab/>
        <w:t>Tuberculosis Incidence (three year average)</w:t>
      </w:r>
    </w:p>
    <w:p w:rsidR="0018281C" w:rsidRPr="002D749D" w:rsidRDefault="0018281C" w:rsidP="0018281C">
      <w:pPr>
        <w:pStyle w:val="NoSpacing"/>
        <w:rPr>
          <w:color w:val="002B61"/>
        </w:rPr>
      </w:pPr>
    </w:p>
    <w:p w:rsidR="0018281C" w:rsidRPr="002D749D" w:rsidRDefault="0018281C" w:rsidP="0018281C">
      <w:pPr>
        <w:pStyle w:val="NoSpacing"/>
        <w:rPr>
          <w:color w:val="002B61"/>
        </w:rPr>
      </w:pPr>
    </w:p>
    <w:p w:rsidR="0018281C" w:rsidRPr="002D749D" w:rsidRDefault="0018281C" w:rsidP="0018281C">
      <w:pPr>
        <w:pStyle w:val="NoSpacing"/>
        <w:rPr>
          <w:b/>
          <w:color w:val="002B61"/>
          <w:u w:val="single"/>
        </w:rPr>
      </w:pPr>
      <w:r w:rsidRPr="002D749D">
        <w:rPr>
          <w:b/>
          <w:color w:val="002B61"/>
          <w:u w:val="single"/>
        </w:rPr>
        <w:t>EAST CAMBRIDGESHIRE</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Wider determinants</w:t>
      </w:r>
      <w:r w:rsidRPr="002D749D">
        <w:rPr>
          <w:b/>
          <w:color w:val="002B61"/>
        </w:rPr>
        <w:tab/>
      </w:r>
    </w:p>
    <w:p w:rsidR="0018281C" w:rsidRPr="002D749D" w:rsidRDefault="0018281C" w:rsidP="0018281C">
      <w:pPr>
        <w:pStyle w:val="NoSpacing"/>
        <w:rPr>
          <w:color w:val="002B61"/>
        </w:rPr>
      </w:pPr>
      <w:r w:rsidRPr="002D749D">
        <w:rPr>
          <w:color w:val="FF0000"/>
        </w:rPr>
        <w:t>1.10</w:t>
      </w:r>
      <w:r w:rsidRPr="002D749D">
        <w:rPr>
          <w:color w:val="002B61"/>
        </w:rPr>
        <w:tab/>
        <w:t>Killed and seriously injured (KSI) casualties on England's roads</w:t>
      </w:r>
      <w:r w:rsidRPr="002D749D">
        <w:rPr>
          <w:color w:val="002B61"/>
        </w:rPr>
        <w:tab/>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improvement</w:t>
      </w:r>
      <w:r w:rsidRPr="002D749D">
        <w:rPr>
          <w:b/>
          <w:color w:val="002B61"/>
        </w:rPr>
        <w:tab/>
      </w:r>
    </w:p>
    <w:p w:rsidR="0018281C" w:rsidRPr="002D749D" w:rsidRDefault="0018281C" w:rsidP="0018281C">
      <w:pPr>
        <w:pStyle w:val="NoSpacing"/>
        <w:rPr>
          <w:color w:val="002B61"/>
        </w:rPr>
      </w:pPr>
      <w:r w:rsidRPr="002D749D">
        <w:rPr>
          <w:color w:val="FF0000"/>
        </w:rPr>
        <w:t xml:space="preserve">C14b </w:t>
      </w:r>
      <w:r w:rsidRPr="002D749D">
        <w:rPr>
          <w:color w:val="002B61"/>
        </w:rPr>
        <w:tab/>
        <w:t>Emergency Hospital Admissions for Intentional Self-Harm (female, persons)</w:t>
      </w:r>
    </w:p>
    <w:p w:rsidR="0018281C" w:rsidRPr="002D749D" w:rsidRDefault="0018281C" w:rsidP="0018281C">
      <w:pPr>
        <w:pStyle w:val="NoSpacing"/>
        <w:rPr>
          <w:color w:val="002B61"/>
        </w:rPr>
      </w:pPr>
      <w:r w:rsidRPr="002D749D">
        <w:rPr>
          <w:color w:val="FF0000"/>
        </w:rPr>
        <w:t xml:space="preserve">C24e </w:t>
      </w:r>
      <w:r w:rsidRPr="002D749D">
        <w:rPr>
          <w:color w:val="002B61"/>
        </w:rPr>
        <w:tab/>
        <w:t>Abdominal Aortic Aneurysm Screening – Coverage (male)</w:t>
      </w:r>
    </w:p>
    <w:p w:rsidR="0018281C" w:rsidRPr="002D749D" w:rsidRDefault="0018281C" w:rsidP="0018281C">
      <w:pPr>
        <w:pStyle w:val="NoSpacing"/>
        <w:rPr>
          <w:color w:val="002B61"/>
        </w:rPr>
      </w:pPr>
      <w:r w:rsidRPr="002D749D">
        <w:rPr>
          <w:color w:val="FF0000"/>
        </w:rPr>
        <w:t>C29</w:t>
      </w:r>
      <w:r w:rsidRPr="002D749D">
        <w:rPr>
          <w:color w:val="002B61"/>
        </w:rPr>
        <w:tab/>
        <w:t xml:space="preserve">Emergency hospital admissions due to falls in people aged 65 and over </w:t>
      </w:r>
    </w:p>
    <w:p w:rsidR="0018281C" w:rsidRPr="002D749D" w:rsidRDefault="0018281C" w:rsidP="0018281C">
      <w:pPr>
        <w:pStyle w:val="NoSpacing"/>
        <w:rPr>
          <w:color w:val="002B61"/>
        </w:rPr>
      </w:pPr>
      <w:r w:rsidRPr="002D749D">
        <w:rPr>
          <w:color w:val="FF0000"/>
        </w:rPr>
        <w:t>C29</w:t>
      </w:r>
      <w:r w:rsidRPr="002D749D">
        <w:rPr>
          <w:color w:val="002B61"/>
        </w:rPr>
        <w:tab/>
        <w:t>Emergency hospital admissions due to falls in people aged 80+ (female, persons)</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protection</w:t>
      </w:r>
      <w:r w:rsidRPr="002D749D">
        <w:rPr>
          <w:b/>
          <w:color w:val="002B61"/>
        </w:rPr>
        <w:tab/>
      </w:r>
    </w:p>
    <w:p w:rsidR="0018281C" w:rsidRPr="002D749D" w:rsidRDefault="0018281C" w:rsidP="0018281C">
      <w:pPr>
        <w:pStyle w:val="NoSpacing"/>
        <w:rPr>
          <w:color w:val="002B61"/>
        </w:rPr>
      </w:pPr>
      <w:r w:rsidRPr="002D749D">
        <w:rPr>
          <w:color w:val="FF0000"/>
        </w:rPr>
        <w:t>D02a</w:t>
      </w:r>
      <w:r w:rsidRPr="002D749D">
        <w:rPr>
          <w:color w:val="002B61"/>
        </w:rPr>
        <w:tab/>
        <w:t>Chlamydia detection rate (15-24 year olds) ~^</w:t>
      </w:r>
    </w:p>
    <w:p w:rsidR="0018281C" w:rsidRPr="002D749D" w:rsidRDefault="0018281C" w:rsidP="0018281C">
      <w:pPr>
        <w:pStyle w:val="NoSpacing"/>
        <w:rPr>
          <w:color w:val="002B61"/>
        </w:rPr>
      </w:pPr>
      <w:r w:rsidRPr="002D749D">
        <w:rPr>
          <w:color w:val="FF0000"/>
        </w:rPr>
        <w:t xml:space="preserve">D10 </w:t>
      </w:r>
      <w:r w:rsidRPr="002D749D">
        <w:rPr>
          <w:color w:val="002B61"/>
        </w:rPr>
        <w:tab/>
        <w:t>Adjusted antibiotic prescrib</w:t>
      </w:r>
      <w:r w:rsidR="000C41A4" w:rsidRPr="002D749D">
        <w:rPr>
          <w:color w:val="002B61"/>
        </w:rPr>
        <w:t>ing in primary care by the NHS</w:t>
      </w:r>
      <w:r w:rsidR="000117E2">
        <w:rPr>
          <w:color w:val="002B61"/>
        </w:rPr>
        <w:t>~</w:t>
      </w:r>
    </w:p>
    <w:p w:rsidR="0018281C" w:rsidRDefault="0018281C" w:rsidP="0018281C">
      <w:pPr>
        <w:pStyle w:val="NoSpacing"/>
        <w:rPr>
          <w:color w:val="002B61"/>
        </w:rPr>
      </w:pPr>
      <w:r w:rsidRPr="002D749D">
        <w:rPr>
          <w:color w:val="002B61"/>
        </w:rPr>
        <w:tab/>
      </w:r>
    </w:p>
    <w:p w:rsidR="000405DA" w:rsidRPr="002D749D" w:rsidRDefault="000405DA" w:rsidP="0018281C">
      <w:pPr>
        <w:pStyle w:val="NoSpacing"/>
        <w:rPr>
          <w:color w:val="002B61"/>
        </w:rPr>
      </w:pPr>
    </w:p>
    <w:p w:rsidR="0018281C" w:rsidRPr="002D749D" w:rsidRDefault="0018281C" w:rsidP="0018281C">
      <w:pPr>
        <w:pStyle w:val="NoSpacing"/>
        <w:rPr>
          <w:b/>
          <w:color w:val="002B61"/>
        </w:rPr>
      </w:pPr>
      <w:r w:rsidRPr="002D749D">
        <w:rPr>
          <w:b/>
          <w:color w:val="002B61"/>
        </w:rPr>
        <w:lastRenderedPageBreak/>
        <w:t>Healthcare and premature mortality</w:t>
      </w:r>
      <w:r w:rsidRPr="002D749D">
        <w:rPr>
          <w:b/>
          <w:color w:val="002B61"/>
        </w:rPr>
        <w:tab/>
      </w:r>
    </w:p>
    <w:p w:rsidR="0018281C" w:rsidRPr="002D749D" w:rsidRDefault="0018281C" w:rsidP="0018281C">
      <w:pPr>
        <w:pStyle w:val="NoSpacing"/>
        <w:rPr>
          <w:color w:val="002B61"/>
        </w:rPr>
      </w:pPr>
      <w:r w:rsidRPr="002D749D">
        <w:rPr>
          <w:color w:val="FF0000"/>
        </w:rPr>
        <w:t>E08</w:t>
      </w:r>
      <w:r w:rsidRPr="002D749D">
        <w:rPr>
          <w:color w:val="002B61"/>
        </w:rPr>
        <w:tab/>
        <w:t>Mortality rate from a range of specified communicable diseases, including influenza</w:t>
      </w:r>
    </w:p>
    <w:p w:rsidR="0018281C" w:rsidRPr="00C37707" w:rsidRDefault="0018281C" w:rsidP="0018281C">
      <w:pPr>
        <w:pStyle w:val="NoSpacing"/>
        <w:rPr>
          <w:color w:val="002B61"/>
        </w:rPr>
      </w:pPr>
      <w:r w:rsidRPr="002D749D">
        <w:rPr>
          <w:color w:val="FF0000"/>
        </w:rPr>
        <w:t xml:space="preserve">E15 </w:t>
      </w:r>
      <w:r w:rsidRPr="002D749D">
        <w:rPr>
          <w:color w:val="002B61"/>
        </w:rPr>
        <w:tab/>
        <w:t xml:space="preserve">Estimated dementia diagnosis rate (aged 65 and </w:t>
      </w:r>
      <w:r w:rsidRPr="00C37707">
        <w:rPr>
          <w:color w:val="002B61"/>
        </w:rPr>
        <w:t>over)^~</w:t>
      </w:r>
    </w:p>
    <w:p w:rsidR="0018281C" w:rsidRDefault="0018281C" w:rsidP="0018281C">
      <w:pPr>
        <w:pStyle w:val="NoSpacing"/>
        <w:rPr>
          <w:color w:val="002B61"/>
        </w:rPr>
      </w:pPr>
      <w:r w:rsidRPr="0018281C">
        <w:rPr>
          <w:color w:val="002B61"/>
        </w:rPr>
        <w:tab/>
      </w:r>
    </w:p>
    <w:p w:rsidR="0018281C" w:rsidRPr="0018281C" w:rsidRDefault="0018281C" w:rsidP="0018281C">
      <w:pPr>
        <w:pStyle w:val="NoSpacing"/>
        <w:rPr>
          <w:color w:val="002B61"/>
        </w:rPr>
      </w:pPr>
    </w:p>
    <w:p w:rsidR="0018281C" w:rsidRPr="000C41A4" w:rsidRDefault="0018281C" w:rsidP="0018281C">
      <w:pPr>
        <w:pStyle w:val="NoSpacing"/>
        <w:rPr>
          <w:b/>
          <w:color w:val="002B61"/>
          <w:u w:val="single"/>
        </w:rPr>
      </w:pPr>
      <w:r w:rsidRPr="000C41A4">
        <w:rPr>
          <w:b/>
          <w:color w:val="002B61"/>
          <w:u w:val="single"/>
        </w:rPr>
        <w:t>FENLAND</w:t>
      </w:r>
    </w:p>
    <w:p w:rsidR="0018281C" w:rsidRPr="0018281C" w:rsidRDefault="0018281C" w:rsidP="0018281C">
      <w:pPr>
        <w:pStyle w:val="NoSpacing"/>
        <w:rPr>
          <w:color w:val="002B61"/>
        </w:rPr>
      </w:pPr>
      <w:r w:rsidRPr="0018281C">
        <w:rPr>
          <w:color w:val="002B61"/>
        </w:rPr>
        <w:tab/>
      </w:r>
    </w:p>
    <w:p w:rsidR="0018281C" w:rsidRPr="002D749D" w:rsidRDefault="0018281C" w:rsidP="0018281C">
      <w:pPr>
        <w:pStyle w:val="NoSpacing"/>
        <w:rPr>
          <w:b/>
          <w:color w:val="002B61"/>
        </w:rPr>
      </w:pPr>
      <w:r w:rsidRPr="002D749D">
        <w:rPr>
          <w:b/>
          <w:color w:val="002B61"/>
        </w:rPr>
        <w:t>Overarching indicators</w:t>
      </w:r>
      <w:r w:rsidRPr="002D749D">
        <w:rPr>
          <w:b/>
          <w:color w:val="002B61"/>
        </w:rPr>
        <w:tab/>
      </w:r>
    </w:p>
    <w:p w:rsidR="0018281C" w:rsidRPr="002D749D" w:rsidRDefault="0018281C" w:rsidP="0018281C">
      <w:pPr>
        <w:pStyle w:val="NoSpacing"/>
        <w:rPr>
          <w:color w:val="002B61"/>
        </w:rPr>
      </w:pPr>
      <w:r w:rsidRPr="002D749D">
        <w:rPr>
          <w:color w:val="FF0000"/>
        </w:rPr>
        <w:t>A01b</w:t>
      </w:r>
      <w:r w:rsidRPr="002D749D">
        <w:rPr>
          <w:color w:val="002B61"/>
        </w:rPr>
        <w:tab/>
        <w:t>Life expectancy at birth (Male, female)</w:t>
      </w:r>
    </w:p>
    <w:p w:rsidR="0018281C" w:rsidRPr="002D749D" w:rsidRDefault="0018281C" w:rsidP="0018281C">
      <w:pPr>
        <w:pStyle w:val="NoSpacing"/>
        <w:rPr>
          <w:color w:val="002B61"/>
        </w:rPr>
      </w:pPr>
      <w:r w:rsidRPr="002D749D">
        <w:rPr>
          <w:color w:val="FF0000"/>
        </w:rPr>
        <w:t>A01b</w:t>
      </w:r>
      <w:r w:rsidRPr="002D749D">
        <w:rPr>
          <w:color w:val="002B61"/>
        </w:rPr>
        <w:tab/>
        <w:t>Life expectancy at 65 (Male)</w:t>
      </w:r>
    </w:p>
    <w:p w:rsidR="0018281C" w:rsidRPr="002D749D" w:rsidRDefault="0018281C" w:rsidP="0018281C">
      <w:pPr>
        <w:pStyle w:val="NoSpacing"/>
        <w:rPr>
          <w:color w:val="002B61"/>
        </w:rPr>
      </w:pPr>
      <w:r w:rsidRPr="002D749D">
        <w:rPr>
          <w:color w:val="FF0000"/>
        </w:rPr>
        <w:t xml:space="preserve">1.01i </w:t>
      </w:r>
      <w:r w:rsidRPr="002D749D">
        <w:rPr>
          <w:color w:val="002B61"/>
        </w:rPr>
        <w:tab/>
        <w:t>Children in low income families (all dependent children under 20)</w:t>
      </w:r>
    </w:p>
    <w:p w:rsidR="0018281C" w:rsidRPr="002D749D" w:rsidRDefault="0018281C" w:rsidP="0018281C">
      <w:pPr>
        <w:pStyle w:val="NoSpacing"/>
        <w:rPr>
          <w:color w:val="002B61"/>
        </w:rPr>
      </w:pPr>
      <w:r w:rsidRPr="002D749D">
        <w:rPr>
          <w:color w:val="FF0000"/>
        </w:rPr>
        <w:t xml:space="preserve">1.01ii </w:t>
      </w:r>
      <w:r w:rsidRPr="002D749D">
        <w:rPr>
          <w:color w:val="002B61"/>
        </w:rPr>
        <w:tab/>
        <w:t>Children in low income families (under 16s)</w:t>
      </w:r>
    </w:p>
    <w:p w:rsidR="0018281C" w:rsidRPr="002D749D" w:rsidRDefault="0018281C" w:rsidP="0018281C">
      <w:pPr>
        <w:pStyle w:val="NoSpacing"/>
        <w:rPr>
          <w:color w:val="002B61"/>
        </w:rPr>
      </w:pPr>
      <w:r w:rsidRPr="002D749D">
        <w:rPr>
          <w:color w:val="FF0000"/>
        </w:rPr>
        <w:t>1.1</w:t>
      </w:r>
      <w:r w:rsidRPr="002D749D">
        <w:rPr>
          <w:color w:val="002B61"/>
        </w:rPr>
        <w:tab/>
        <w:t>Killed and seriously injured on England’s roads</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improvement</w:t>
      </w:r>
      <w:r w:rsidRPr="002D749D">
        <w:rPr>
          <w:b/>
          <w:color w:val="002B61"/>
        </w:rPr>
        <w:tab/>
      </w:r>
    </w:p>
    <w:p w:rsidR="0018281C" w:rsidRPr="002D749D" w:rsidRDefault="0018281C" w:rsidP="0018281C">
      <w:pPr>
        <w:pStyle w:val="NoSpacing"/>
        <w:rPr>
          <w:color w:val="002B61"/>
        </w:rPr>
      </w:pPr>
      <w:r w:rsidRPr="002D749D">
        <w:rPr>
          <w:color w:val="FF0000"/>
        </w:rPr>
        <w:t>C11b</w:t>
      </w:r>
      <w:r w:rsidRPr="002D749D">
        <w:rPr>
          <w:color w:val="002B61"/>
        </w:rPr>
        <w:tab/>
        <w:t>Hospital admissions caused by unintentional and deliberate injuries in young people (aged 15-24 years) (female)</w:t>
      </w:r>
    </w:p>
    <w:p w:rsidR="0018281C" w:rsidRPr="002D749D" w:rsidRDefault="0018281C" w:rsidP="0018281C">
      <w:pPr>
        <w:pStyle w:val="NoSpacing"/>
        <w:rPr>
          <w:color w:val="002B61"/>
        </w:rPr>
      </w:pPr>
      <w:r w:rsidRPr="002D749D">
        <w:rPr>
          <w:color w:val="FF0000"/>
        </w:rPr>
        <w:t>C14b</w:t>
      </w:r>
      <w:r w:rsidRPr="002D749D">
        <w:rPr>
          <w:color w:val="002B61"/>
        </w:rPr>
        <w:tab/>
        <w:t>Emergency Hospital Admissions for Intentional Self-Harm (female, persons)</w:t>
      </w:r>
    </w:p>
    <w:p w:rsidR="0018281C" w:rsidRPr="002D749D" w:rsidRDefault="0018281C" w:rsidP="0018281C">
      <w:pPr>
        <w:pStyle w:val="NoSpacing"/>
        <w:rPr>
          <w:color w:val="002B61"/>
        </w:rPr>
      </w:pPr>
      <w:r w:rsidRPr="002D749D">
        <w:rPr>
          <w:color w:val="FF0000"/>
        </w:rPr>
        <w:t xml:space="preserve">C16 </w:t>
      </w:r>
      <w:r w:rsidRPr="002D749D">
        <w:rPr>
          <w:color w:val="002B61"/>
        </w:rPr>
        <w:tab/>
        <w:t>Percentage of adults (aged 18+) classified as overweight or obese</w:t>
      </w:r>
    </w:p>
    <w:p w:rsidR="0018281C" w:rsidRPr="002D749D" w:rsidRDefault="0018281C" w:rsidP="0018281C">
      <w:pPr>
        <w:pStyle w:val="NoSpacing"/>
        <w:rPr>
          <w:color w:val="002B61"/>
        </w:rPr>
      </w:pPr>
      <w:r w:rsidRPr="002D749D">
        <w:rPr>
          <w:color w:val="FF0000"/>
        </w:rPr>
        <w:t>C17a</w:t>
      </w:r>
      <w:r w:rsidRPr="002D749D">
        <w:rPr>
          <w:color w:val="002B61"/>
        </w:rPr>
        <w:tab/>
        <w:t>Percentage of physically active adults</w:t>
      </w:r>
    </w:p>
    <w:p w:rsidR="0018281C" w:rsidRPr="002D749D" w:rsidRDefault="0018281C" w:rsidP="0018281C">
      <w:pPr>
        <w:pStyle w:val="NoSpacing"/>
        <w:rPr>
          <w:color w:val="002B61"/>
        </w:rPr>
      </w:pPr>
      <w:r w:rsidRPr="002D749D">
        <w:rPr>
          <w:color w:val="FF0000"/>
        </w:rPr>
        <w:t xml:space="preserve">C19d </w:t>
      </w:r>
      <w:r w:rsidRPr="002D749D">
        <w:rPr>
          <w:color w:val="002B61"/>
        </w:rPr>
        <w:tab/>
        <w:t>Deaths from drug misuse</w:t>
      </w:r>
    </w:p>
    <w:p w:rsidR="00D03CED" w:rsidRDefault="00D03CED" w:rsidP="0018281C">
      <w:pPr>
        <w:pStyle w:val="NoSpacing"/>
        <w:rPr>
          <w:color w:val="FF0000"/>
        </w:rPr>
      </w:pPr>
      <w:r>
        <w:rPr>
          <w:color w:val="FF0000"/>
        </w:rPr>
        <w:t>C18</w:t>
      </w:r>
      <w:r>
        <w:rPr>
          <w:color w:val="FF0000"/>
        </w:rPr>
        <w:tab/>
      </w:r>
      <w:r w:rsidRPr="00D03CED">
        <w:rPr>
          <w:color w:val="002B61"/>
        </w:rPr>
        <w:t>Smoking Prevalence in adults (18+) - current smokers (APS) (female)</w:t>
      </w:r>
    </w:p>
    <w:p w:rsidR="0018281C" w:rsidRPr="002D749D" w:rsidRDefault="0018281C" w:rsidP="0018281C">
      <w:pPr>
        <w:pStyle w:val="NoSpacing"/>
        <w:rPr>
          <w:color w:val="002B61"/>
        </w:rPr>
      </w:pPr>
      <w:r w:rsidRPr="002D749D">
        <w:rPr>
          <w:color w:val="FF0000"/>
        </w:rPr>
        <w:t xml:space="preserve">C21 </w:t>
      </w:r>
      <w:r w:rsidRPr="002D749D">
        <w:rPr>
          <w:color w:val="002B61"/>
        </w:rPr>
        <w:tab/>
        <w:t>Admission episodes for alcohol-related conditions - narrow definition (female, persons)</w:t>
      </w:r>
    </w:p>
    <w:p w:rsidR="0018281C" w:rsidRPr="002D749D" w:rsidRDefault="0018281C" w:rsidP="0018281C">
      <w:pPr>
        <w:pStyle w:val="NoSpacing"/>
        <w:rPr>
          <w:color w:val="002B61"/>
        </w:rPr>
      </w:pPr>
      <w:r w:rsidRPr="002D749D">
        <w:rPr>
          <w:color w:val="FF0000"/>
        </w:rPr>
        <w:t>C24c</w:t>
      </w:r>
      <w:r w:rsidRPr="002D749D">
        <w:rPr>
          <w:color w:val="002B61"/>
        </w:rPr>
        <w:tab/>
        <w:t>Cancer screening coverage - cervical cancer (aged 50 to 64 years old)</w:t>
      </w:r>
    </w:p>
    <w:p w:rsidR="0018281C" w:rsidRPr="002D749D" w:rsidRDefault="0018281C" w:rsidP="0018281C">
      <w:pPr>
        <w:pStyle w:val="NoSpacing"/>
        <w:rPr>
          <w:color w:val="002B61"/>
        </w:rPr>
      </w:pPr>
      <w:r w:rsidRPr="002D749D">
        <w:rPr>
          <w:color w:val="FF0000"/>
        </w:rPr>
        <w:t>C24d</w:t>
      </w:r>
      <w:r w:rsidRPr="002D749D">
        <w:rPr>
          <w:color w:val="002B61"/>
        </w:rPr>
        <w:tab/>
        <w:t>Cancer screening coverage - bowel cancer</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protection</w:t>
      </w:r>
      <w:r w:rsidRPr="002D749D">
        <w:rPr>
          <w:b/>
          <w:color w:val="002B61"/>
        </w:rPr>
        <w:tab/>
      </w:r>
    </w:p>
    <w:p w:rsidR="0018281C" w:rsidRPr="002D749D" w:rsidRDefault="0018281C" w:rsidP="0018281C">
      <w:pPr>
        <w:pStyle w:val="NoSpacing"/>
        <w:rPr>
          <w:color w:val="002B61"/>
        </w:rPr>
      </w:pPr>
      <w:r w:rsidRPr="002D749D">
        <w:rPr>
          <w:color w:val="FF0000"/>
        </w:rPr>
        <w:t>D02a</w:t>
      </w:r>
      <w:r w:rsidRPr="002D749D">
        <w:rPr>
          <w:color w:val="002B61"/>
        </w:rPr>
        <w:tab/>
        <w:t>Chlamydia detection rate (15-24 year olds) ~^</w:t>
      </w:r>
    </w:p>
    <w:p w:rsidR="0018281C" w:rsidRPr="002D749D" w:rsidRDefault="0018281C" w:rsidP="0018281C">
      <w:pPr>
        <w:pStyle w:val="NoSpacing"/>
        <w:rPr>
          <w:color w:val="002B61"/>
        </w:rPr>
      </w:pPr>
      <w:r w:rsidRPr="002D749D">
        <w:rPr>
          <w:color w:val="FF0000"/>
        </w:rPr>
        <w:t>D07</w:t>
      </w:r>
      <w:r w:rsidRPr="002D749D">
        <w:rPr>
          <w:color w:val="002B61"/>
        </w:rPr>
        <w:tab/>
        <w:t>HIV late diagnosis (%)</w:t>
      </w:r>
    </w:p>
    <w:p w:rsidR="0018281C" w:rsidRPr="002D749D" w:rsidRDefault="0018281C" w:rsidP="0018281C">
      <w:pPr>
        <w:pStyle w:val="NoSpacing"/>
        <w:rPr>
          <w:color w:val="002B61"/>
        </w:rPr>
      </w:pPr>
      <w:r w:rsidRPr="002D749D">
        <w:rPr>
          <w:color w:val="FF0000"/>
        </w:rPr>
        <w:t>D10</w:t>
      </w:r>
      <w:r w:rsidRPr="002D749D">
        <w:rPr>
          <w:color w:val="002B61"/>
        </w:rPr>
        <w:tab/>
        <w:t>Adjusted antibiotic prescribing in primary care by the NHS^~</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Healthcare and premature mortality</w:t>
      </w:r>
      <w:r w:rsidRPr="002D749D">
        <w:rPr>
          <w:b/>
          <w:color w:val="002B61"/>
        </w:rPr>
        <w:tab/>
      </w:r>
    </w:p>
    <w:p w:rsidR="0018281C" w:rsidRPr="002D749D" w:rsidRDefault="0018281C" w:rsidP="0018281C">
      <w:pPr>
        <w:pStyle w:val="NoSpacing"/>
        <w:rPr>
          <w:color w:val="002B61"/>
        </w:rPr>
      </w:pPr>
      <w:r w:rsidRPr="002D749D">
        <w:rPr>
          <w:color w:val="FF0000"/>
        </w:rPr>
        <w:t xml:space="preserve">E03 </w:t>
      </w:r>
      <w:r w:rsidRPr="002D749D">
        <w:rPr>
          <w:color w:val="002B61"/>
        </w:rPr>
        <w:tab/>
        <w:t xml:space="preserve">Mortality rate from causes considered preventable </w:t>
      </w:r>
      <w:bookmarkStart w:id="0" w:name="_GoBack"/>
      <w:bookmarkEnd w:id="0"/>
    </w:p>
    <w:p w:rsidR="0018281C" w:rsidRPr="002D749D" w:rsidRDefault="0018281C" w:rsidP="0018281C">
      <w:pPr>
        <w:pStyle w:val="NoSpacing"/>
        <w:rPr>
          <w:color w:val="002B61"/>
        </w:rPr>
      </w:pPr>
      <w:r w:rsidRPr="002D749D">
        <w:rPr>
          <w:color w:val="FF0000"/>
        </w:rPr>
        <w:t>E05a</w:t>
      </w:r>
      <w:r w:rsidRPr="002D749D">
        <w:rPr>
          <w:color w:val="002B61"/>
        </w:rPr>
        <w:tab/>
        <w:t>Under 75 mortality rate from cancer (female)</w:t>
      </w:r>
    </w:p>
    <w:p w:rsidR="0018281C" w:rsidRPr="002D749D" w:rsidRDefault="0018281C" w:rsidP="0018281C">
      <w:pPr>
        <w:pStyle w:val="NoSpacing"/>
        <w:rPr>
          <w:color w:val="002B61"/>
        </w:rPr>
      </w:pPr>
      <w:r w:rsidRPr="002D749D">
        <w:rPr>
          <w:color w:val="FF0000"/>
        </w:rPr>
        <w:lastRenderedPageBreak/>
        <w:t xml:space="preserve">E07a </w:t>
      </w:r>
      <w:r w:rsidRPr="002D749D">
        <w:rPr>
          <w:color w:val="002B61"/>
        </w:rPr>
        <w:tab/>
        <w:t>Under 75 mortality rate from respiratory diseases</w:t>
      </w:r>
    </w:p>
    <w:p w:rsidR="000C41A4" w:rsidRPr="002D749D" w:rsidRDefault="000C41A4" w:rsidP="000C41A4">
      <w:pPr>
        <w:pStyle w:val="NoSpacing"/>
        <w:rPr>
          <w:color w:val="002B61"/>
        </w:rPr>
      </w:pPr>
      <w:r w:rsidRPr="002D749D">
        <w:rPr>
          <w:color w:val="FF0000"/>
        </w:rPr>
        <w:t>E15</w:t>
      </w:r>
      <w:r w:rsidRPr="002D749D">
        <w:rPr>
          <w:color w:val="002B61"/>
        </w:rPr>
        <w:tab/>
        <w:t>Estimated dementia diagnosis rate (aged 65+</w:t>
      </w:r>
      <w:proofErr w:type="gramStart"/>
      <w:r w:rsidRPr="002D749D">
        <w:rPr>
          <w:color w:val="002B61"/>
        </w:rPr>
        <w:t>)~</w:t>
      </w:r>
      <w:proofErr w:type="gramEnd"/>
      <w:r w:rsidRPr="002D749D">
        <w:rPr>
          <w:color w:val="002B61"/>
        </w:rPr>
        <w:t>^</w:t>
      </w:r>
    </w:p>
    <w:p w:rsidR="00B17021" w:rsidRPr="002D749D" w:rsidRDefault="00B17021" w:rsidP="0018281C">
      <w:pPr>
        <w:pStyle w:val="NoSpacing"/>
        <w:rPr>
          <w:color w:val="002B61"/>
        </w:rPr>
      </w:pP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u w:val="single"/>
        </w:rPr>
      </w:pPr>
      <w:r w:rsidRPr="002D749D">
        <w:rPr>
          <w:b/>
          <w:color w:val="002B61"/>
          <w:u w:val="single"/>
        </w:rPr>
        <w:t>HUNTINGDONSHIRE</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Wider determinants of health</w:t>
      </w:r>
      <w:r w:rsidRPr="002D749D">
        <w:rPr>
          <w:b/>
          <w:color w:val="002B61"/>
        </w:rPr>
        <w:tab/>
      </w:r>
    </w:p>
    <w:p w:rsidR="0018281C" w:rsidRPr="002D749D" w:rsidRDefault="0018281C" w:rsidP="0018281C">
      <w:pPr>
        <w:pStyle w:val="NoSpacing"/>
        <w:rPr>
          <w:color w:val="002B61"/>
        </w:rPr>
      </w:pPr>
      <w:r w:rsidRPr="002D749D">
        <w:rPr>
          <w:color w:val="FF0000"/>
        </w:rPr>
        <w:t>1.1</w:t>
      </w:r>
      <w:r w:rsidRPr="002D749D">
        <w:rPr>
          <w:color w:val="002B61"/>
        </w:rPr>
        <w:tab/>
        <w:t>Killed and seriously injured (KSI) casualties on England's roads</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improvement</w:t>
      </w:r>
      <w:r w:rsidRPr="002D749D">
        <w:rPr>
          <w:b/>
          <w:color w:val="002B61"/>
        </w:rPr>
        <w:tab/>
      </w:r>
    </w:p>
    <w:p w:rsidR="0018281C" w:rsidRPr="002D749D" w:rsidRDefault="0018281C" w:rsidP="0018281C">
      <w:pPr>
        <w:pStyle w:val="NoSpacing"/>
        <w:rPr>
          <w:color w:val="002B61"/>
        </w:rPr>
      </w:pPr>
      <w:r w:rsidRPr="002D749D">
        <w:rPr>
          <w:color w:val="FF0000"/>
        </w:rPr>
        <w:t xml:space="preserve">C16 </w:t>
      </w:r>
      <w:r w:rsidRPr="002D749D">
        <w:rPr>
          <w:color w:val="002B61"/>
        </w:rPr>
        <w:tab/>
        <w:t>Percentage of adults (aged 18+) classified as overweight or obese</w:t>
      </w:r>
    </w:p>
    <w:p w:rsidR="0018281C" w:rsidRPr="002D749D" w:rsidRDefault="0018281C" w:rsidP="0018281C">
      <w:pPr>
        <w:pStyle w:val="NoSpacing"/>
        <w:rPr>
          <w:color w:val="002B61"/>
        </w:rPr>
      </w:pPr>
      <w:r w:rsidRPr="002D749D">
        <w:rPr>
          <w:color w:val="FF0000"/>
        </w:rPr>
        <w:t>C17a</w:t>
      </w:r>
      <w:r w:rsidRPr="002D749D">
        <w:rPr>
          <w:color w:val="002B61"/>
        </w:rPr>
        <w:tab/>
        <w:t>Percentage of physically active adults</w:t>
      </w:r>
    </w:p>
    <w:p w:rsidR="0018281C" w:rsidRPr="002D749D" w:rsidRDefault="0018281C" w:rsidP="0018281C">
      <w:pPr>
        <w:pStyle w:val="NoSpacing"/>
        <w:rPr>
          <w:color w:val="002B61"/>
        </w:rPr>
      </w:pPr>
      <w:r w:rsidRPr="002D749D">
        <w:rPr>
          <w:color w:val="FF0000"/>
        </w:rPr>
        <w:t>C17b</w:t>
      </w:r>
      <w:r w:rsidRPr="002D749D">
        <w:rPr>
          <w:color w:val="002B61"/>
        </w:rPr>
        <w:tab/>
        <w:t>Percentage of physically inactive adults.</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ab/>
      </w:r>
    </w:p>
    <w:p w:rsidR="0018281C" w:rsidRPr="002D749D" w:rsidRDefault="0018281C" w:rsidP="0018281C">
      <w:pPr>
        <w:pStyle w:val="NoSpacing"/>
        <w:rPr>
          <w:b/>
          <w:color w:val="002B61"/>
        </w:rPr>
      </w:pPr>
      <w:r w:rsidRPr="002D749D">
        <w:rPr>
          <w:b/>
          <w:color w:val="002B61"/>
        </w:rPr>
        <w:t>Health protection</w:t>
      </w:r>
      <w:r w:rsidRPr="002D749D">
        <w:rPr>
          <w:b/>
          <w:color w:val="002B61"/>
        </w:rPr>
        <w:tab/>
      </w:r>
    </w:p>
    <w:p w:rsidR="0018281C" w:rsidRPr="002D749D" w:rsidRDefault="0018281C" w:rsidP="0018281C">
      <w:pPr>
        <w:pStyle w:val="NoSpacing"/>
        <w:rPr>
          <w:color w:val="002B61"/>
        </w:rPr>
      </w:pPr>
      <w:r w:rsidRPr="002D749D">
        <w:rPr>
          <w:color w:val="FF0000"/>
        </w:rPr>
        <w:t xml:space="preserve">D02a </w:t>
      </w:r>
      <w:r w:rsidRPr="002D749D">
        <w:rPr>
          <w:color w:val="002B61"/>
        </w:rPr>
        <w:tab/>
        <w:t>Chlamydia detection rate (15-24 year olds) ~^</w:t>
      </w:r>
    </w:p>
    <w:p w:rsidR="0018281C" w:rsidRPr="002D749D" w:rsidRDefault="0018281C" w:rsidP="0018281C">
      <w:pPr>
        <w:pStyle w:val="NoSpacing"/>
        <w:rPr>
          <w:color w:val="002B61"/>
        </w:rPr>
      </w:pPr>
      <w:r w:rsidRPr="002D749D">
        <w:rPr>
          <w:color w:val="FF0000"/>
        </w:rPr>
        <w:t xml:space="preserve">D10 </w:t>
      </w:r>
      <w:r w:rsidRPr="002D749D">
        <w:rPr>
          <w:color w:val="002B61"/>
        </w:rPr>
        <w:tab/>
        <w:t>Adjusted antibiotic prescrib</w:t>
      </w:r>
      <w:r w:rsidR="000C41A4" w:rsidRPr="002D749D">
        <w:rPr>
          <w:color w:val="002B61"/>
        </w:rPr>
        <w:t xml:space="preserve">ing in primary care by the NHS^ </w:t>
      </w:r>
      <w:r w:rsidR="000C41A4" w:rsidRPr="002D749D">
        <w:rPr>
          <w:color w:val="002B61"/>
          <w:sz w:val="18"/>
          <w:szCs w:val="18"/>
        </w:rPr>
        <w:t>(</w:t>
      </w:r>
      <w:r w:rsidRPr="002D749D">
        <w:rPr>
          <w:color w:val="002B61"/>
          <w:sz w:val="18"/>
          <w:szCs w:val="18"/>
        </w:rPr>
        <w:t>This indicator is RAG-rated green compared to national benchmark</w:t>
      </w:r>
      <w:r w:rsidR="000C41A4" w:rsidRPr="002D749D">
        <w:rPr>
          <w:color w:val="002B61"/>
          <w:sz w:val="18"/>
          <w:szCs w:val="18"/>
        </w:rPr>
        <w:t>)</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Healthcare and premature mortality</w:t>
      </w:r>
      <w:r w:rsidRPr="002D749D">
        <w:rPr>
          <w:b/>
          <w:color w:val="002B61"/>
        </w:rPr>
        <w:tab/>
      </w:r>
    </w:p>
    <w:p w:rsidR="0018281C" w:rsidRPr="002D749D" w:rsidRDefault="0018281C" w:rsidP="0018281C">
      <w:pPr>
        <w:pStyle w:val="NoSpacing"/>
        <w:rPr>
          <w:color w:val="002B61"/>
        </w:rPr>
      </w:pPr>
      <w:r w:rsidRPr="002D749D">
        <w:rPr>
          <w:color w:val="FF0000"/>
        </w:rPr>
        <w:t>E14 </w:t>
      </w:r>
      <w:r w:rsidRPr="002D749D">
        <w:rPr>
          <w:color w:val="002B61"/>
        </w:rPr>
        <w:tab/>
        <w:t>Excess winter deaths index (all ages) (females)</w:t>
      </w:r>
    </w:p>
    <w:p w:rsidR="0018281C" w:rsidRPr="002D749D" w:rsidRDefault="0018281C" w:rsidP="0018281C">
      <w:pPr>
        <w:pStyle w:val="NoSpacing"/>
        <w:rPr>
          <w:color w:val="002B61"/>
        </w:rPr>
      </w:pPr>
      <w:r w:rsidRPr="002D749D">
        <w:rPr>
          <w:color w:val="FF0000"/>
        </w:rPr>
        <w:t>E14</w:t>
      </w:r>
      <w:r w:rsidRPr="002D749D">
        <w:rPr>
          <w:color w:val="002B61"/>
        </w:rPr>
        <w:tab/>
        <w:t>Excess winter deaths index (aged 85 years plus) (females, persons)</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u w:val="single"/>
        </w:rPr>
      </w:pPr>
      <w:r w:rsidRPr="002D749D">
        <w:rPr>
          <w:b/>
          <w:color w:val="002B61"/>
          <w:u w:val="single"/>
        </w:rPr>
        <w:t>SOUTH CAMBRIDGESHIRE</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Wider determinants of health</w:t>
      </w:r>
      <w:r w:rsidRPr="002D749D">
        <w:rPr>
          <w:b/>
          <w:color w:val="002B61"/>
        </w:rPr>
        <w:tab/>
      </w:r>
    </w:p>
    <w:p w:rsidR="0018281C" w:rsidRPr="002D749D" w:rsidRDefault="0018281C" w:rsidP="0018281C">
      <w:pPr>
        <w:pStyle w:val="NoSpacing"/>
        <w:rPr>
          <w:b/>
          <w:color w:val="002B61"/>
        </w:rPr>
      </w:pPr>
      <w:r w:rsidRPr="002D749D">
        <w:rPr>
          <w:color w:val="FF0000"/>
        </w:rPr>
        <w:t>1.1</w:t>
      </w:r>
      <w:r w:rsidRPr="002D749D">
        <w:rPr>
          <w:color w:val="002B61"/>
        </w:rPr>
        <w:tab/>
        <w:t>Killed and seriously injured (KSI) casualties on England's roads</w:t>
      </w:r>
    </w:p>
    <w:p w:rsidR="0018281C" w:rsidRPr="002D749D" w:rsidRDefault="0018281C" w:rsidP="0018281C">
      <w:pPr>
        <w:pStyle w:val="NoSpacing"/>
        <w:rPr>
          <w:color w:val="002B61"/>
        </w:rPr>
      </w:pPr>
      <w:r w:rsidRPr="002D749D">
        <w:rPr>
          <w:color w:val="002B61"/>
        </w:rPr>
        <w:tab/>
      </w:r>
    </w:p>
    <w:p w:rsidR="0018281C" w:rsidRPr="002D749D" w:rsidRDefault="0018281C" w:rsidP="0018281C">
      <w:pPr>
        <w:pStyle w:val="NoSpacing"/>
        <w:rPr>
          <w:b/>
          <w:color w:val="002B61"/>
        </w:rPr>
      </w:pPr>
      <w:r w:rsidRPr="002D749D">
        <w:rPr>
          <w:b/>
          <w:color w:val="002B61"/>
        </w:rPr>
        <w:t>Health improvement</w:t>
      </w:r>
      <w:r w:rsidRPr="002D749D">
        <w:rPr>
          <w:b/>
          <w:color w:val="002B61"/>
        </w:rPr>
        <w:tab/>
      </w:r>
    </w:p>
    <w:p w:rsidR="0018281C" w:rsidRPr="002D749D" w:rsidRDefault="0018281C" w:rsidP="0018281C">
      <w:pPr>
        <w:pStyle w:val="NoSpacing"/>
        <w:rPr>
          <w:color w:val="002B61"/>
        </w:rPr>
      </w:pPr>
      <w:r w:rsidRPr="002D749D">
        <w:rPr>
          <w:color w:val="FF0000"/>
        </w:rPr>
        <w:t>C11b</w:t>
      </w:r>
      <w:r w:rsidRPr="002D749D">
        <w:rPr>
          <w:color w:val="002B61"/>
        </w:rPr>
        <w:tab/>
        <w:t>Hospital admissions caused by unintentional and deliberate injuries in young people (aged 15-24 years) (female)</w:t>
      </w:r>
    </w:p>
    <w:p w:rsidR="0018281C" w:rsidRPr="002D749D" w:rsidRDefault="0018281C" w:rsidP="0018281C">
      <w:pPr>
        <w:pStyle w:val="NoSpacing"/>
        <w:rPr>
          <w:color w:val="002B61"/>
        </w:rPr>
      </w:pPr>
      <w:r w:rsidRPr="002D749D">
        <w:rPr>
          <w:color w:val="FF0000"/>
        </w:rPr>
        <w:t xml:space="preserve">C14b </w:t>
      </w:r>
      <w:r w:rsidRPr="002D749D">
        <w:rPr>
          <w:color w:val="002B61"/>
        </w:rPr>
        <w:tab/>
        <w:t>Emergency hospital admissions for intentional self-harm (female, persons)</w:t>
      </w:r>
    </w:p>
    <w:p w:rsidR="0018281C" w:rsidRPr="002D749D" w:rsidRDefault="0018281C" w:rsidP="0018281C">
      <w:pPr>
        <w:pStyle w:val="NoSpacing"/>
        <w:rPr>
          <w:color w:val="002B61"/>
        </w:rPr>
      </w:pPr>
      <w:r w:rsidRPr="00C37707">
        <w:rPr>
          <w:color w:val="FF0000"/>
        </w:rPr>
        <w:t>C22</w:t>
      </w:r>
      <w:r w:rsidRPr="002D749D">
        <w:rPr>
          <w:color w:val="002B61"/>
        </w:rPr>
        <w:tab/>
        <w:t>Estimated diabetes diagnosis rate</w:t>
      </w:r>
    </w:p>
    <w:p w:rsidR="0018281C" w:rsidRPr="002D749D" w:rsidRDefault="0018281C" w:rsidP="0018281C">
      <w:pPr>
        <w:pStyle w:val="NoSpacing"/>
        <w:rPr>
          <w:color w:val="002B61"/>
        </w:rPr>
      </w:pPr>
      <w:r w:rsidRPr="002D749D">
        <w:rPr>
          <w:color w:val="002B61"/>
        </w:rPr>
        <w:lastRenderedPageBreak/>
        <w:tab/>
      </w:r>
    </w:p>
    <w:p w:rsidR="0018281C" w:rsidRPr="002D749D" w:rsidRDefault="0018281C" w:rsidP="0018281C">
      <w:pPr>
        <w:pStyle w:val="NoSpacing"/>
        <w:rPr>
          <w:b/>
          <w:color w:val="002B61"/>
        </w:rPr>
      </w:pPr>
      <w:r w:rsidRPr="002D749D">
        <w:rPr>
          <w:b/>
          <w:color w:val="002B61"/>
        </w:rPr>
        <w:t>Health protection</w:t>
      </w:r>
      <w:r w:rsidRPr="002D749D">
        <w:rPr>
          <w:b/>
          <w:color w:val="002B61"/>
        </w:rPr>
        <w:tab/>
      </w:r>
    </w:p>
    <w:p w:rsidR="0018281C" w:rsidRPr="00F53B7E" w:rsidRDefault="0018281C" w:rsidP="0018281C">
      <w:pPr>
        <w:pStyle w:val="NoSpacing"/>
        <w:rPr>
          <w:color w:val="002B61"/>
        </w:rPr>
      </w:pPr>
      <w:r w:rsidRPr="002D749D">
        <w:rPr>
          <w:color w:val="FF0000"/>
        </w:rPr>
        <w:t>D02a</w:t>
      </w:r>
      <w:r w:rsidRPr="002D749D">
        <w:rPr>
          <w:color w:val="002B61"/>
        </w:rPr>
        <w:tab/>
        <w:t>Chlamydia detection rate/ 100,</w:t>
      </w:r>
      <w:r w:rsidRPr="00F53B7E">
        <w:rPr>
          <w:color w:val="002B61"/>
        </w:rPr>
        <w:t>000 (15-24 year olds) ~^</w:t>
      </w:r>
    </w:p>
    <w:p w:rsidR="0018281C" w:rsidRPr="0018281C" w:rsidRDefault="0018281C" w:rsidP="0018281C">
      <w:pPr>
        <w:pStyle w:val="NoSpacing"/>
        <w:rPr>
          <w:color w:val="002B61"/>
        </w:rPr>
      </w:pPr>
      <w:r w:rsidRPr="0018281C">
        <w:rPr>
          <w:color w:val="002B61"/>
        </w:rPr>
        <w:tab/>
      </w:r>
    </w:p>
    <w:p w:rsidR="0018281C" w:rsidRPr="0018281C" w:rsidRDefault="0018281C" w:rsidP="0018281C">
      <w:pPr>
        <w:pStyle w:val="NoSpacing"/>
        <w:rPr>
          <w:b/>
          <w:color w:val="002B61"/>
        </w:rPr>
      </w:pPr>
      <w:r w:rsidRPr="0018281C">
        <w:rPr>
          <w:b/>
          <w:color w:val="002B61"/>
        </w:rPr>
        <w:t>Healthcare and premature mortality</w:t>
      </w:r>
      <w:r w:rsidRPr="0018281C">
        <w:rPr>
          <w:b/>
          <w:color w:val="002B61"/>
        </w:rPr>
        <w:tab/>
      </w:r>
    </w:p>
    <w:p w:rsidR="0018281C" w:rsidRPr="004173D0" w:rsidRDefault="0018281C" w:rsidP="0018281C">
      <w:pPr>
        <w:pStyle w:val="NoSpacing"/>
        <w:rPr>
          <w:color w:val="FF0000"/>
        </w:rPr>
      </w:pPr>
      <w:r w:rsidRPr="004173D0">
        <w:rPr>
          <w:color w:val="FF0000"/>
        </w:rPr>
        <w:t>E10 </w:t>
      </w:r>
      <w:r w:rsidRPr="004173D0">
        <w:rPr>
          <w:color w:val="FF0000"/>
        </w:rPr>
        <w:tab/>
      </w:r>
      <w:r w:rsidRPr="00F53B7E">
        <w:rPr>
          <w:color w:val="002B61"/>
        </w:rPr>
        <w:t>Suicide rate (female)</w:t>
      </w:r>
    </w:p>
    <w:p w:rsidR="0018281C" w:rsidRPr="00F53B7E" w:rsidRDefault="0018281C" w:rsidP="0018281C">
      <w:pPr>
        <w:pStyle w:val="NoSpacing"/>
        <w:rPr>
          <w:color w:val="002B61"/>
        </w:rPr>
      </w:pPr>
      <w:r w:rsidRPr="004173D0">
        <w:rPr>
          <w:color w:val="FF0000"/>
        </w:rPr>
        <w:t>E15</w:t>
      </w:r>
      <w:r w:rsidRPr="004173D0">
        <w:rPr>
          <w:color w:val="FF0000"/>
        </w:rPr>
        <w:tab/>
      </w:r>
      <w:r w:rsidRPr="00F53B7E">
        <w:rPr>
          <w:color w:val="002B61"/>
        </w:rPr>
        <w:t>Estimated dementia diagnosis rate (aged 65+</w:t>
      </w:r>
      <w:proofErr w:type="gramStart"/>
      <w:r w:rsidRPr="00F53B7E">
        <w:rPr>
          <w:color w:val="002B61"/>
        </w:rPr>
        <w:t>)~</w:t>
      </w:r>
      <w:proofErr w:type="gramEnd"/>
      <w:r w:rsidRPr="00F53B7E">
        <w:rPr>
          <w:color w:val="002B61"/>
        </w:rPr>
        <w:t>^</w:t>
      </w:r>
    </w:p>
    <w:p w:rsidR="000C41A4" w:rsidRDefault="000C41A4" w:rsidP="0018281C">
      <w:pPr>
        <w:pStyle w:val="NoSpacing"/>
        <w:rPr>
          <w:color w:val="FF0000"/>
        </w:rPr>
      </w:pPr>
    </w:p>
    <w:p w:rsidR="000C41A4" w:rsidRPr="000C41A4" w:rsidRDefault="000C41A4" w:rsidP="000C41A4">
      <w:pPr>
        <w:pStyle w:val="NoSpacing"/>
        <w:rPr>
          <w:color w:val="002B61"/>
        </w:rPr>
      </w:pPr>
      <w:r w:rsidRPr="000C41A4">
        <w:rPr>
          <w:color w:val="002B61"/>
        </w:rPr>
        <w:t>^ assessed as worse than the England average (though this indicator is commonly compared to a national target)</w:t>
      </w:r>
    </w:p>
    <w:p w:rsidR="000C41A4" w:rsidRPr="000C41A4" w:rsidRDefault="000C41A4" w:rsidP="000C41A4">
      <w:pPr>
        <w:pStyle w:val="NoSpacing"/>
        <w:rPr>
          <w:color w:val="002B61"/>
        </w:rPr>
      </w:pPr>
      <w:r w:rsidRPr="000C41A4">
        <w:rPr>
          <w:color w:val="002B61"/>
        </w:rPr>
        <w:t>~assessed as worse than the national target</w:t>
      </w:r>
      <w:r w:rsidR="00C37707">
        <w:rPr>
          <w:color w:val="002B61"/>
        </w:rPr>
        <w:t>/benchmark</w:t>
      </w:r>
      <w:r w:rsidRPr="000C41A4">
        <w:rPr>
          <w:color w:val="002B61"/>
        </w:rPr>
        <w:t xml:space="preserve"> commonly used to assess this indicator</w:t>
      </w:r>
    </w:p>
    <w:p w:rsidR="000C41A4" w:rsidRPr="000C41A4" w:rsidRDefault="000C41A4" w:rsidP="000C41A4">
      <w:pPr>
        <w:pStyle w:val="NoSpacing"/>
        <w:rPr>
          <w:color w:val="002B61"/>
        </w:rPr>
      </w:pPr>
    </w:p>
    <w:p w:rsidR="000C41A4" w:rsidRPr="000C41A4" w:rsidRDefault="000C41A4" w:rsidP="000C41A4">
      <w:pPr>
        <w:pStyle w:val="NoSpacing"/>
        <w:rPr>
          <w:color w:val="002B61"/>
        </w:rPr>
      </w:pPr>
      <w:r w:rsidRPr="000C41A4">
        <w:rPr>
          <w:color w:val="002B61"/>
        </w:rPr>
        <w:t>Note: Th</w:t>
      </w:r>
      <w:r>
        <w:rPr>
          <w:color w:val="002B61"/>
        </w:rPr>
        <w:t>e list above</w:t>
      </w:r>
      <w:r w:rsidRPr="000C41A4">
        <w:rPr>
          <w:color w:val="002B61"/>
        </w:rPr>
        <w:t xml:space="preserve"> may include indicators not displayed on the PHOF visualisation on Public Health England’s Fingertips website, such as additional break-down of males and females, where available.   </w:t>
      </w:r>
      <w:r w:rsidRPr="000C41A4">
        <w:rPr>
          <w:color w:val="002B61"/>
        </w:rPr>
        <w:cr/>
      </w:r>
    </w:p>
    <w:p w:rsidR="000C41A4" w:rsidRPr="004173D0" w:rsidRDefault="000C41A4" w:rsidP="0018281C">
      <w:pPr>
        <w:pStyle w:val="NoSpacing"/>
        <w:rPr>
          <w:color w:val="FF0000"/>
        </w:rPr>
      </w:pPr>
    </w:p>
    <w:p w:rsidR="00B33281" w:rsidRPr="004173D0" w:rsidRDefault="0018281C" w:rsidP="0018281C">
      <w:pPr>
        <w:rPr>
          <w:color w:val="FF0000"/>
        </w:rPr>
      </w:pPr>
      <w:r w:rsidRPr="004173D0">
        <w:rPr>
          <w:color w:val="FF0000"/>
        </w:rPr>
        <w:tab/>
      </w:r>
    </w:p>
    <w:p w:rsidR="00B33281" w:rsidRPr="0018281C" w:rsidRDefault="00B33281" w:rsidP="00B33281">
      <w:pPr>
        <w:rPr>
          <w:color w:val="002B61"/>
        </w:rPr>
      </w:pPr>
    </w:p>
    <w:p w:rsidR="00B33281" w:rsidRPr="000C41A4" w:rsidRDefault="00B33281" w:rsidP="00B33281">
      <w:pPr>
        <w:rPr>
          <w:rStyle w:val="Hyperlink"/>
          <w:rFonts w:ascii="Calibri" w:hAnsi="Calibri" w:cs="Arial"/>
          <w:color w:val="002B61"/>
          <w:u w:val="none"/>
        </w:rPr>
      </w:pPr>
    </w:p>
    <w:p w:rsidR="00B33281" w:rsidRPr="000C41A4" w:rsidRDefault="00B33281" w:rsidP="00B33281">
      <w:pPr>
        <w:rPr>
          <w:rStyle w:val="Hyperlink"/>
          <w:rFonts w:ascii="Calibri" w:hAnsi="Calibri" w:cs="Arial"/>
          <w:color w:val="002B61"/>
          <w:u w:val="none"/>
        </w:rPr>
      </w:pPr>
      <w:r w:rsidRPr="000C41A4">
        <w:rPr>
          <w:rStyle w:val="Hyperlink"/>
          <w:rFonts w:ascii="Calibri" w:hAnsi="Calibri" w:cs="Arial"/>
          <w:b/>
          <w:color w:val="002B61"/>
          <w:u w:val="none"/>
        </w:rPr>
        <w:t xml:space="preserve">Contact: </w:t>
      </w:r>
      <w:r w:rsidRPr="000C41A4">
        <w:rPr>
          <w:rStyle w:val="Hyperlink"/>
          <w:rFonts w:ascii="Calibri" w:hAnsi="Calibri" w:cs="Arial"/>
          <w:color w:val="002B61"/>
          <w:u w:val="none"/>
        </w:rPr>
        <w:t xml:space="preserve">Peterborough and Cambridgeshire Public Health Intelligence: </w:t>
      </w:r>
    </w:p>
    <w:p w:rsidR="00B33281" w:rsidRPr="000C41A4" w:rsidRDefault="00D03CED" w:rsidP="00B33281">
      <w:pPr>
        <w:rPr>
          <w:rFonts w:ascii="Calibri" w:hAnsi="Calibri" w:cs="Arial"/>
          <w:color w:val="002B61"/>
        </w:rPr>
      </w:pPr>
      <w:hyperlink r:id="rId10" w:history="1">
        <w:r w:rsidR="00B33281" w:rsidRPr="000C41A4">
          <w:rPr>
            <w:rStyle w:val="Hyperlink"/>
            <w:rFonts w:ascii="Calibri" w:hAnsi="Calibri" w:cs="Arial"/>
            <w:color w:val="002B61"/>
            <w:u w:val="none"/>
          </w:rPr>
          <w:t>PHI-Team@cambridgeshire.gov.uk</w:t>
        </w:r>
      </w:hyperlink>
    </w:p>
    <w:p w:rsidR="00B33281" w:rsidRPr="000C41A4" w:rsidRDefault="00B33281" w:rsidP="00B33281">
      <w:pPr>
        <w:rPr>
          <w:rStyle w:val="Hyperlink"/>
          <w:rFonts w:ascii="Calibri" w:hAnsi="Calibri" w:cs="Arial"/>
          <w:color w:val="002B61"/>
          <w:u w:val="none"/>
        </w:rPr>
      </w:pPr>
      <w:r w:rsidRPr="000C41A4">
        <w:rPr>
          <w:rStyle w:val="Hyperlink"/>
          <w:rFonts w:ascii="Calibri" w:hAnsi="Calibri" w:cs="Arial"/>
          <w:b/>
          <w:color w:val="002B61"/>
          <w:u w:val="none"/>
        </w:rPr>
        <w:t>Author</w:t>
      </w:r>
      <w:r w:rsidRPr="000C41A4">
        <w:rPr>
          <w:rStyle w:val="Hyperlink"/>
          <w:rFonts w:ascii="Calibri" w:hAnsi="Calibri" w:cs="Arial"/>
          <w:color w:val="002B61"/>
          <w:u w:val="none"/>
        </w:rPr>
        <w:t>: Nicola Gowers, Senior Public Health Analyst</w:t>
      </w:r>
    </w:p>
    <w:p w:rsidR="00B33281" w:rsidRPr="000C41A4" w:rsidRDefault="00B33281" w:rsidP="00B33281">
      <w:pPr>
        <w:rPr>
          <w:rStyle w:val="Hyperlink"/>
          <w:rFonts w:ascii="Calibri" w:hAnsi="Calibri" w:cs="Arial"/>
          <w:color w:val="002B61"/>
          <w:u w:val="none"/>
        </w:rPr>
      </w:pPr>
      <w:r w:rsidRPr="000C41A4">
        <w:rPr>
          <w:rStyle w:val="Hyperlink"/>
          <w:rFonts w:ascii="Calibri" w:hAnsi="Calibri" w:cs="Arial"/>
          <w:b/>
          <w:color w:val="002B61"/>
          <w:u w:val="none"/>
        </w:rPr>
        <w:t xml:space="preserve">Date: </w:t>
      </w:r>
      <w:r w:rsidR="000C41A4" w:rsidRPr="000C41A4">
        <w:rPr>
          <w:rStyle w:val="Hyperlink"/>
          <w:rFonts w:ascii="Calibri" w:hAnsi="Calibri" w:cs="Arial"/>
          <w:b/>
          <w:color w:val="002B61"/>
          <w:u w:val="none"/>
        </w:rPr>
        <w:t>1</w:t>
      </w:r>
      <w:r w:rsidR="004E312E">
        <w:rPr>
          <w:rStyle w:val="Hyperlink"/>
          <w:rFonts w:ascii="Calibri" w:hAnsi="Calibri" w:cs="Arial"/>
          <w:b/>
          <w:color w:val="002B61"/>
          <w:u w:val="none"/>
        </w:rPr>
        <w:t>2</w:t>
      </w:r>
      <w:r w:rsidR="000C41A4" w:rsidRPr="000C41A4">
        <w:rPr>
          <w:rStyle w:val="Hyperlink"/>
          <w:rFonts w:ascii="Calibri" w:hAnsi="Calibri" w:cs="Arial"/>
          <w:b/>
          <w:color w:val="002B61"/>
          <w:u w:val="none"/>
        </w:rPr>
        <w:t xml:space="preserve"> August 2020</w:t>
      </w:r>
      <w:r w:rsidRPr="000C41A4">
        <w:rPr>
          <w:rStyle w:val="Hyperlink"/>
          <w:rFonts w:ascii="Calibri" w:hAnsi="Calibri" w:cs="Arial"/>
          <w:color w:val="002B61"/>
          <w:u w:val="none"/>
        </w:rPr>
        <w:t xml:space="preserve"> </w:t>
      </w:r>
    </w:p>
    <w:p w:rsidR="00B33281" w:rsidRPr="0018281C" w:rsidRDefault="00B33281" w:rsidP="00B33281">
      <w:pPr>
        <w:rPr>
          <w:color w:val="002B61"/>
        </w:rPr>
      </w:pPr>
    </w:p>
    <w:sectPr w:rsidR="00B33281" w:rsidRPr="0018281C" w:rsidSect="00B33281">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A4" w:rsidRDefault="000C41A4" w:rsidP="000C41A4">
      <w:pPr>
        <w:spacing w:after="0" w:line="240" w:lineRule="auto"/>
      </w:pPr>
      <w:r>
        <w:separator/>
      </w:r>
    </w:p>
  </w:endnote>
  <w:endnote w:type="continuationSeparator" w:id="0">
    <w:p w:rsidR="000C41A4" w:rsidRDefault="000C41A4" w:rsidP="000C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A4" w:rsidRDefault="000C41A4" w:rsidP="000C41A4">
      <w:pPr>
        <w:spacing w:after="0" w:line="240" w:lineRule="auto"/>
      </w:pPr>
      <w:r>
        <w:separator/>
      </w:r>
    </w:p>
  </w:footnote>
  <w:footnote w:type="continuationSeparator" w:id="0">
    <w:p w:rsidR="000C41A4" w:rsidRDefault="000C41A4" w:rsidP="000C41A4">
      <w:pPr>
        <w:spacing w:after="0" w:line="240" w:lineRule="auto"/>
      </w:pPr>
      <w:r>
        <w:continuationSeparator/>
      </w:r>
    </w:p>
  </w:footnote>
  <w:footnote w:id="1">
    <w:p w:rsidR="000405DA" w:rsidRDefault="000405DA" w:rsidP="000405DA">
      <w:pPr>
        <w:pStyle w:val="FootnoteText"/>
      </w:pPr>
      <w:r w:rsidRPr="000405DA">
        <w:rPr>
          <w:rStyle w:val="FootnoteReference"/>
          <w:color w:val="002B61"/>
        </w:rPr>
        <w:footnoteRef/>
      </w:r>
      <w:r w:rsidRPr="000405DA">
        <w:rPr>
          <w:color w:val="002B61"/>
        </w:rPr>
        <w:t xml:space="preserve"> Statistical significance: Where possible, comparisons of local values to the national average in PHOF are made through an assessment of ‘statistical significance’.  For each local indicator value, 95% confidence intervals are calculated which provide a measure of uncertainty around the calculated value which arises due to random variation.  If the confidence interval for the local value excludes the value for the benchmark, the difference between the local value and the benchmark is said to be ‘statistically significant’.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A4" w:rsidRDefault="000C41A4" w:rsidP="000C41A4">
    <w:pPr>
      <w:pStyle w:val="Header"/>
      <w:jc w:val="right"/>
    </w:pPr>
    <w:r>
      <w:rPr>
        <w:noProof/>
        <w:lang w:eastAsia="en-GB"/>
      </w:rPr>
      <w:t xml:space="preserve"> </w:t>
    </w:r>
    <w:r>
      <w:rPr>
        <w:noProof/>
        <w:lang w:eastAsia="en-GB"/>
      </w:rPr>
      <w:drawing>
        <wp:inline distT="0" distB="0" distL="0" distR="0" wp14:anchorId="724D0F22">
          <wp:extent cx="1428750" cy="43368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261" cy="439606"/>
                  </a:xfrm>
                  <a:prstGeom prst="rect">
                    <a:avLst/>
                  </a:prstGeom>
                  <a:noFill/>
                </pic:spPr>
              </pic:pic>
            </a:graphicData>
          </a:graphic>
        </wp:inline>
      </w:drawing>
    </w:r>
    <w:r>
      <w:rPr>
        <w:noProof/>
        <w:lang w:eastAsia="en-GB"/>
      </w:rPr>
      <w:drawing>
        <wp:inline distT="0" distB="0" distL="0" distR="0" wp14:anchorId="617D5344">
          <wp:extent cx="1276350" cy="480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528" cy="485370"/>
                  </a:xfrm>
                  <a:prstGeom prst="rect">
                    <a:avLst/>
                  </a:prstGeom>
                  <a:noFill/>
                </pic:spPr>
              </pic:pic>
            </a:graphicData>
          </a:graphic>
        </wp:inline>
      </w:drawing>
    </w:r>
    <w:r>
      <w:rPr>
        <w:noProof/>
        <w:lang w:eastAsia="en-GB"/>
      </w:rPr>
      <w:drawing>
        <wp:inline distT="0" distB="0" distL="0" distR="0" wp14:anchorId="4971AE83" wp14:editId="2940BF71">
          <wp:extent cx="561809" cy="534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289" cy="5398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42197"/>
    <w:multiLevelType w:val="multilevel"/>
    <w:tmpl w:val="3A2C3958"/>
    <w:lvl w:ilvl="0">
      <w:start w:val="1"/>
      <w:numFmt w:val="decimal"/>
      <w:lvlText w:val="%1."/>
      <w:lvlJc w:val="left"/>
      <w:pPr>
        <w:ind w:left="720" w:hanging="360"/>
      </w:pPr>
      <w:rPr>
        <w:rFonts w:hint="default"/>
      </w:rPr>
    </w:lvl>
    <w:lvl w:ilvl="1">
      <w:start w:val="1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81"/>
    <w:rsid w:val="000117E2"/>
    <w:rsid w:val="000405DA"/>
    <w:rsid w:val="000C41A4"/>
    <w:rsid w:val="0018281C"/>
    <w:rsid w:val="00235B81"/>
    <w:rsid w:val="002D749D"/>
    <w:rsid w:val="00380619"/>
    <w:rsid w:val="004173D0"/>
    <w:rsid w:val="004E312E"/>
    <w:rsid w:val="00B17021"/>
    <w:rsid w:val="00B33281"/>
    <w:rsid w:val="00C26CF7"/>
    <w:rsid w:val="00C37707"/>
    <w:rsid w:val="00D03CED"/>
    <w:rsid w:val="00F31B25"/>
    <w:rsid w:val="00F5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3E34DE2-CAAA-4D82-9ED5-2B463A8E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3281"/>
    <w:rPr>
      <w:rFonts w:cs="Times New Roman"/>
      <w:color w:val="0000FF"/>
      <w:u w:val="single"/>
    </w:rPr>
  </w:style>
  <w:style w:type="paragraph" w:styleId="ListParagraph">
    <w:name w:val="List Paragraph"/>
    <w:basedOn w:val="Normal"/>
    <w:uiPriority w:val="99"/>
    <w:qFormat/>
    <w:rsid w:val="00B33281"/>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18281C"/>
    <w:pPr>
      <w:spacing w:after="0" w:line="240" w:lineRule="auto"/>
    </w:pPr>
  </w:style>
  <w:style w:type="paragraph" w:styleId="Header">
    <w:name w:val="header"/>
    <w:basedOn w:val="Normal"/>
    <w:link w:val="HeaderChar"/>
    <w:uiPriority w:val="99"/>
    <w:unhideWhenUsed/>
    <w:rsid w:val="000C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A4"/>
  </w:style>
  <w:style w:type="paragraph" w:styleId="Footer">
    <w:name w:val="footer"/>
    <w:basedOn w:val="Normal"/>
    <w:link w:val="FooterChar"/>
    <w:uiPriority w:val="99"/>
    <w:unhideWhenUsed/>
    <w:rsid w:val="000C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A4"/>
  </w:style>
  <w:style w:type="paragraph" w:styleId="FootnoteText">
    <w:name w:val="footnote text"/>
    <w:basedOn w:val="Normal"/>
    <w:link w:val="FootnoteTextChar"/>
    <w:uiPriority w:val="99"/>
    <w:semiHidden/>
    <w:unhideWhenUsed/>
    <w:rsid w:val="0004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DA"/>
    <w:rPr>
      <w:sz w:val="20"/>
      <w:szCs w:val="20"/>
    </w:rPr>
  </w:style>
  <w:style w:type="character" w:styleId="FootnoteReference">
    <w:name w:val="footnote reference"/>
    <w:basedOn w:val="DefaultParagraphFont"/>
    <w:uiPriority w:val="99"/>
    <w:semiHidden/>
    <w:unhideWhenUsed/>
    <w:rsid w:val="00040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0549">
      <w:bodyDiv w:val="1"/>
      <w:marLeft w:val="0"/>
      <w:marRight w:val="0"/>
      <w:marTop w:val="0"/>
      <w:marBottom w:val="0"/>
      <w:divBdr>
        <w:top w:val="none" w:sz="0" w:space="0" w:color="auto"/>
        <w:left w:val="none" w:sz="0" w:space="0" w:color="auto"/>
        <w:bottom w:val="none" w:sz="0" w:space="0" w:color="auto"/>
        <w:right w:val="none" w:sz="0" w:space="0" w:color="auto"/>
      </w:divBdr>
    </w:div>
    <w:div w:id="1454248965">
      <w:bodyDiv w:val="1"/>
      <w:marLeft w:val="0"/>
      <w:marRight w:val="0"/>
      <w:marTop w:val="0"/>
      <w:marBottom w:val="0"/>
      <w:divBdr>
        <w:top w:val="none" w:sz="0" w:space="0" w:color="auto"/>
        <w:left w:val="none" w:sz="0" w:space="0" w:color="auto"/>
        <w:bottom w:val="none" w:sz="0" w:space="0" w:color="auto"/>
        <w:right w:val="none" w:sz="0" w:space="0" w:color="auto"/>
      </w:divBdr>
    </w:div>
    <w:div w:id="15915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utcome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Team@cambridgeshire.gov.uk" TargetMode="Externa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C35D-C029-460A-9CC4-20EB88CD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Gowers Nicola</dc:creator>
  <cp:keywords/>
  <dc:description/>
  <cp:lastModifiedBy>Gowers Nicola</cp:lastModifiedBy>
  <cp:revision>9</cp:revision>
  <dcterms:created xsi:type="dcterms:W3CDTF">2020-08-11T13:35:00Z</dcterms:created>
  <dcterms:modified xsi:type="dcterms:W3CDTF">2020-08-13T11:22:00Z</dcterms:modified>
</cp:coreProperties>
</file>