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740D" w14:textId="77777777" w:rsidR="007066F9" w:rsidRDefault="007066F9" w:rsidP="00682123">
      <w:pPr>
        <w:pStyle w:val="Heading1"/>
      </w:pPr>
      <w:bookmarkStart w:id="0" w:name="_Toc45184671"/>
      <w:bookmarkStart w:id="1" w:name="_Toc45530534"/>
      <w:bookmarkStart w:id="2" w:name="_GoBack"/>
      <w:bookmarkEnd w:id="2"/>
      <w:r w:rsidRPr="00214607">
        <w:t>Rough Sleeper Next Steps and Recovery: Initial Plan</w:t>
      </w:r>
      <w:bookmarkEnd w:id="0"/>
      <w:bookmarkEnd w:id="1"/>
    </w:p>
    <w:p w14:paraId="52EA207D" w14:textId="77777777" w:rsidR="00EE71DD" w:rsidRPr="00EE71DD" w:rsidRDefault="00EE71DD" w:rsidP="00EE71DD"/>
    <w:sdt>
      <w:sdtPr>
        <w:rPr>
          <w:rFonts w:eastAsiaTheme="minorHAnsi" w:cstheme="majorHAnsi"/>
          <w:b w:val="0"/>
          <w:color w:val="auto"/>
          <w:sz w:val="22"/>
          <w:szCs w:val="22"/>
          <w:lang w:val="en-GB" w:eastAsia="en-US"/>
        </w:rPr>
        <w:id w:val="257185476"/>
        <w:docPartObj>
          <w:docPartGallery w:val="Table of Contents"/>
          <w:docPartUnique/>
        </w:docPartObj>
      </w:sdtPr>
      <w:sdtEndPr>
        <w:rPr>
          <w:noProof/>
        </w:rPr>
      </w:sdtEndPr>
      <w:sdtContent>
        <w:p w14:paraId="2A6D5B33" w14:textId="69F56ED8" w:rsidR="002A648E" w:rsidRDefault="002A648E">
          <w:pPr>
            <w:pStyle w:val="TOCHeading"/>
          </w:pPr>
          <w:r>
            <w:t>Contents</w:t>
          </w:r>
        </w:p>
        <w:p w14:paraId="51DBD0D0" w14:textId="5CCE1461" w:rsidR="007C621F" w:rsidRDefault="002A648E">
          <w:pPr>
            <w:pStyle w:val="TOC1"/>
            <w:tabs>
              <w:tab w:val="right" w:leader="dot" w:pos="10456"/>
            </w:tabs>
            <w:rPr>
              <w:rFonts w:asciiTheme="minorHAnsi" w:eastAsiaTheme="minorEastAsia" w:hAnsiTheme="minorHAnsi" w:cstheme="minorBidi"/>
              <w:bCs w:val="0"/>
              <w:noProof/>
              <w:lang w:eastAsia="en-GB"/>
            </w:rPr>
          </w:pPr>
          <w:r>
            <w:fldChar w:fldCharType="begin"/>
          </w:r>
          <w:r>
            <w:instrText xml:space="preserve"> TOC \o "1-2" \h \z \u </w:instrText>
          </w:r>
          <w:r>
            <w:fldChar w:fldCharType="separate"/>
          </w:r>
          <w:hyperlink w:anchor="_Toc45530534" w:history="1"/>
        </w:p>
        <w:p w14:paraId="78E69459"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35" w:history="1">
            <w:r w:rsidR="007C621F" w:rsidRPr="001F1387">
              <w:rPr>
                <w:rStyle w:val="Hyperlink"/>
                <w:noProof/>
              </w:rPr>
              <w:t>Summary</w:t>
            </w:r>
            <w:r w:rsidR="007C621F">
              <w:rPr>
                <w:noProof/>
                <w:webHidden/>
              </w:rPr>
              <w:tab/>
            </w:r>
            <w:r w:rsidR="007C621F">
              <w:rPr>
                <w:noProof/>
                <w:webHidden/>
              </w:rPr>
              <w:fldChar w:fldCharType="begin"/>
            </w:r>
            <w:r w:rsidR="007C621F">
              <w:rPr>
                <w:noProof/>
                <w:webHidden/>
              </w:rPr>
              <w:instrText xml:space="preserve"> PAGEREF _Toc45530535 \h </w:instrText>
            </w:r>
            <w:r w:rsidR="007C621F">
              <w:rPr>
                <w:noProof/>
                <w:webHidden/>
              </w:rPr>
            </w:r>
            <w:r w:rsidR="007C621F">
              <w:rPr>
                <w:noProof/>
                <w:webHidden/>
              </w:rPr>
              <w:fldChar w:fldCharType="separate"/>
            </w:r>
            <w:r w:rsidR="007C621F">
              <w:rPr>
                <w:noProof/>
                <w:webHidden/>
              </w:rPr>
              <w:t>1</w:t>
            </w:r>
            <w:r w:rsidR="007C621F">
              <w:rPr>
                <w:noProof/>
                <w:webHidden/>
              </w:rPr>
              <w:fldChar w:fldCharType="end"/>
            </w:r>
          </w:hyperlink>
        </w:p>
        <w:p w14:paraId="40D623E7"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36" w:history="1">
            <w:r w:rsidR="007C621F" w:rsidRPr="001F1387">
              <w:rPr>
                <w:rStyle w:val="Hyperlink"/>
                <w:noProof/>
              </w:rPr>
              <w:t>Introduction</w:t>
            </w:r>
            <w:r w:rsidR="007C621F">
              <w:rPr>
                <w:noProof/>
                <w:webHidden/>
              </w:rPr>
              <w:tab/>
            </w:r>
            <w:r w:rsidR="007C621F">
              <w:rPr>
                <w:noProof/>
                <w:webHidden/>
              </w:rPr>
              <w:fldChar w:fldCharType="begin"/>
            </w:r>
            <w:r w:rsidR="007C621F">
              <w:rPr>
                <w:noProof/>
                <w:webHidden/>
              </w:rPr>
              <w:instrText xml:space="preserve"> PAGEREF _Toc45530536 \h </w:instrText>
            </w:r>
            <w:r w:rsidR="007C621F">
              <w:rPr>
                <w:noProof/>
                <w:webHidden/>
              </w:rPr>
            </w:r>
            <w:r w:rsidR="007C621F">
              <w:rPr>
                <w:noProof/>
                <w:webHidden/>
              </w:rPr>
              <w:fldChar w:fldCharType="separate"/>
            </w:r>
            <w:r w:rsidR="007C621F">
              <w:rPr>
                <w:noProof/>
                <w:webHidden/>
              </w:rPr>
              <w:t>3</w:t>
            </w:r>
            <w:r w:rsidR="007C621F">
              <w:rPr>
                <w:noProof/>
                <w:webHidden/>
              </w:rPr>
              <w:fldChar w:fldCharType="end"/>
            </w:r>
          </w:hyperlink>
        </w:p>
        <w:p w14:paraId="722C1B46"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37" w:history="1">
            <w:r w:rsidR="007C621F" w:rsidRPr="001F1387">
              <w:rPr>
                <w:rStyle w:val="Hyperlink"/>
                <w:noProof/>
              </w:rPr>
              <w:t>Numbers in covid-19 emergency accommodation at time of “next steps” return</w:t>
            </w:r>
            <w:r w:rsidR="007C621F">
              <w:rPr>
                <w:noProof/>
                <w:webHidden/>
              </w:rPr>
              <w:tab/>
            </w:r>
            <w:r w:rsidR="007C621F">
              <w:rPr>
                <w:noProof/>
                <w:webHidden/>
              </w:rPr>
              <w:fldChar w:fldCharType="begin"/>
            </w:r>
            <w:r w:rsidR="007C621F">
              <w:rPr>
                <w:noProof/>
                <w:webHidden/>
              </w:rPr>
              <w:instrText xml:space="preserve"> PAGEREF _Toc45530537 \h </w:instrText>
            </w:r>
            <w:r w:rsidR="007C621F">
              <w:rPr>
                <w:noProof/>
                <w:webHidden/>
              </w:rPr>
            </w:r>
            <w:r w:rsidR="007C621F">
              <w:rPr>
                <w:noProof/>
                <w:webHidden/>
              </w:rPr>
              <w:fldChar w:fldCharType="separate"/>
            </w:r>
            <w:r w:rsidR="007C621F">
              <w:rPr>
                <w:noProof/>
                <w:webHidden/>
              </w:rPr>
              <w:t>3</w:t>
            </w:r>
            <w:r w:rsidR="007C621F">
              <w:rPr>
                <w:noProof/>
                <w:webHidden/>
              </w:rPr>
              <w:fldChar w:fldCharType="end"/>
            </w:r>
          </w:hyperlink>
        </w:p>
        <w:p w14:paraId="211F3BC6"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38" w:history="1">
            <w:r w:rsidR="007C621F" w:rsidRPr="001F1387">
              <w:rPr>
                <w:rStyle w:val="Hyperlink"/>
                <w:noProof/>
              </w:rPr>
              <w:t>Longevity of emergency temp &amp; concerns</w:t>
            </w:r>
            <w:r w:rsidR="007C621F">
              <w:rPr>
                <w:noProof/>
                <w:webHidden/>
              </w:rPr>
              <w:tab/>
            </w:r>
            <w:r w:rsidR="007C621F">
              <w:rPr>
                <w:noProof/>
                <w:webHidden/>
              </w:rPr>
              <w:fldChar w:fldCharType="begin"/>
            </w:r>
            <w:r w:rsidR="007C621F">
              <w:rPr>
                <w:noProof/>
                <w:webHidden/>
              </w:rPr>
              <w:instrText xml:space="preserve"> PAGEREF _Toc45530538 \h </w:instrText>
            </w:r>
            <w:r w:rsidR="007C621F">
              <w:rPr>
                <w:noProof/>
                <w:webHidden/>
              </w:rPr>
            </w:r>
            <w:r w:rsidR="007C621F">
              <w:rPr>
                <w:noProof/>
                <w:webHidden/>
              </w:rPr>
              <w:fldChar w:fldCharType="separate"/>
            </w:r>
            <w:r w:rsidR="007C621F">
              <w:rPr>
                <w:noProof/>
                <w:webHidden/>
              </w:rPr>
              <w:t>4</w:t>
            </w:r>
            <w:r w:rsidR="007C621F">
              <w:rPr>
                <w:noProof/>
                <w:webHidden/>
              </w:rPr>
              <w:fldChar w:fldCharType="end"/>
            </w:r>
          </w:hyperlink>
        </w:p>
        <w:p w14:paraId="4644F19F"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39" w:history="1">
            <w:r w:rsidR="007C621F" w:rsidRPr="001F1387">
              <w:rPr>
                <w:rStyle w:val="Hyperlink"/>
                <w:noProof/>
              </w:rPr>
              <w:t>Move-on plans</w:t>
            </w:r>
            <w:r w:rsidR="007C621F">
              <w:rPr>
                <w:noProof/>
                <w:webHidden/>
              </w:rPr>
              <w:tab/>
            </w:r>
            <w:r w:rsidR="007C621F">
              <w:rPr>
                <w:noProof/>
                <w:webHidden/>
              </w:rPr>
              <w:fldChar w:fldCharType="begin"/>
            </w:r>
            <w:r w:rsidR="007C621F">
              <w:rPr>
                <w:noProof/>
                <w:webHidden/>
              </w:rPr>
              <w:instrText xml:space="preserve"> PAGEREF _Toc45530539 \h </w:instrText>
            </w:r>
            <w:r w:rsidR="007C621F">
              <w:rPr>
                <w:noProof/>
                <w:webHidden/>
              </w:rPr>
            </w:r>
            <w:r w:rsidR="007C621F">
              <w:rPr>
                <w:noProof/>
                <w:webHidden/>
              </w:rPr>
              <w:fldChar w:fldCharType="separate"/>
            </w:r>
            <w:r w:rsidR="007C621F">
              <w:rPr>
                <w:noProof/>
                <w:webHidden/>
              </w:rPr>
              <w:t>6</w:t>
            </w:r>
            <w:r w:rsidR="007C621F">
              <w:rPr>
                <w:noProof/>
                <w:webHidden/>
              </w:rPr>
              <w:fldChar w:fldCharType="end"/>
            </w:r>
          </w:hyperlink>
        </w:p>
        <w:p w14:paraId="5DF640AB"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0" w:history="1">
            <w:r w:rsidR="007C621F" w:rsidRPr="001F1387">
              <w:rPr>
                <w:rStyle w:val="Hyperlink"/>
                <w:noProof/>
              </w:rPr>
              <w:t>NRTPF: how many in accommodation do we estimate are:</w:t>
            </w:r>
            <w:r w:rsidR="007C621F">
              <w:rPr>
                <w:noProof/>
                <w:webHidden/>
              </w:rPr>
              <w:tab/>
            </w:r>
            <w:r w:rsidR="007C621F">
              <w:rPr>
                <w:noProof/>
                <w:webHidden/>
              </w:rPr>
              <w:fldChar w:fldCharType="begin"/>
            </w:r>
            <w:r w:rsidR="007C621F">
              <w:rPr>
                <w:noProof/>
                <w:webHidden/>
              </w:rPr>
              <w:instrText xml:space="preserve"> PAGEREF _Toc45530540 \h </w:instrText>
            </w:r>
            <w:r w:rsidR="007C621F">
              <w:rPr>
                <w:noProof/>
                <w:webHidden/>
              </w:rPr>
            </w:r>
            <w:r w:rsidR="007C621F">
              <w:rPr>
                <w:noProof/>
                <w:webHidden/>
              </w:rPr>
              <w:fldChar w:fldCharType="separate"/>
            </w:r>
            <w:r w:rsidR="007C621F">
              <w:rPr>
                <w:noProof/>
                <w:webHidden/>
              </w:rPr>
              <w:t>6</w:t>
            </w:r>
            <w:r w:rsidR="007C621F">
              <w:rPr>
                <w:noProof/>
                <w:webHidden/>
              </w:rPr>
              <w:fldChar w:fldCharType="end"/>
            </w:r>
          </w:hyperlink>
        </w:p>
        <w:p w14:paraId="4B1BCD24"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1" w:history="1">
            <w:r w:rsidR="007C621F" w:rsidRPr="001F1387">
              <w:rPr>
                <w:rStyle w:val="Hyperlink"/>
                <w:noProof/>
              </w:rPr>
              <w:t>Need for self-contained accommodation</w:t>
            </w:r>
            <w:r w:rsidR="007C621F">
              <w:rPr>
                <w:noProof/>
                <w:webHidden/>
              </w:rPr>
              <w:tab/>
            </w:r>
            <w:r w:rsidR="007C621F">
              <w:rPr>
                <w:noProof/>
                <w:webHidden/>
              </w:rPr>
              <w:fldChar w:fldCharType="begin"/>
            </w:r>
            <w:r w:rsidR="007C621F">
              <w:rPr>
                <w:noProof/>
                <w:webHidden/>
              </w:rPr>
              <w:instrText xml:space="preserve"> PAGEREF _Toc45530541 \h </w:instrText>
            </w:r>
            <w:r w:rsidR="007C621F">
              <w:rPr>
                <w:noProof/>
                <w:webHidden/>
              </w:rPr>
            </w:r>
            <w:r w:rsidR="007C621F">
              <w:rPr>
                <w:noProof/>
                <w:webHidden/>
              </w:rPr>
              <w:fldChar w:fldCharType="separate"/>
            </w:r>
            <w:r w:rsidR="007C621F">
              <w:rPr>
                <w:noProof/>
                <w:webHidden/>
              </w:rPr>
              <w:t>7</w:t>
            </w:r>
            <w:r w:rsidR="007C621F">
              <w:rPr>
                <w:noProof/>
                <w:webHidden/>
              </w:rPr>
              <w:fldChar w:fldCharType="end"/>
            </w:r>
          </w:hyperlink>
        </w:p>
        <w:p w14:paraId="0499C2F0"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2" w:history="1">
            <w:r w:rsidR="007C621F" w:rsidRPr="001F1387">
              <w:rPr>
                <w:rStyle w:val="Hyperlink"/>
                <w:noProof/>
              </w:rPr>
              <w:t>Short/medium-term accommodation units</w:t>
            </w:r>
            <w:r w:rsidR="007C621F">
              <w:rPr>
                <w:noProof/>
                <w:webHidden/>
              </w:rPr>
              <w:tab/>
            </w:r>
            <w:r w:rsidR="007C621F">
              <w:rPr>
                <w:noProof/>
                <w:webHidden/>
              </w:rPr>
              <w:fldChar w:fldCharType="begin"/>
            </w:r>
            <w:r w:rsidR="007C621F">
              <w:rPr>
                <w:noProof/>
                <w:webHidden/>
              </w:rPr>
              <w:instrText xml:space="preserve"> PAGEREF _Toc45530542 \h </w:instrText>
            </w:r>
            <w:r w:rsidR="007C621F">
              <w:rPr>
                <w:noProof/>
                <w:webHidden/>
              </w:rPr>
            </w:r>
            <w:r w:rsidR="007C621F">
              <w:rPr>
                <w:noProof/>
                <w:webHidden/>
              </w:rPr>
              <w:fldChar w:fldCharType="separate"/>
            </w:r>
            <w:r w:rsidR="007C621F">
              <w:rPr>
                <w:noProof/>
                <w:webHidden/>
              </w:rPr>
              <w:t>7</w:t>
            </w:r>
            <w:r w:rsidR="007C621F">
              <w:rPr>
                <w:noProof/>
                <w:webHidden/>
              </w:rPr>
              <w:fldChar w:fldCharType="end"/>
            </w:r>
          </w:hyperlink>
        </w:p>
        <w:p w14:paraId="19D81109"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3" w:history="1">
            <w:r w:rsidR="007C621F" w:rsidRPr="001F1387">
              <w:rPr>
                <w:rStyle w:val="Hyperlink"/>
                <w:noProof/>
              </w:rPr>
              <w:t>Longer term move-on accommodation in use or being developed</w:t>
            </w:r>
            <w:r w:rsidR="007C621F">
              <w:rPr>
                <w:noProof/>
                <w:webHidden/>
              </w:rPr>
              <w:tab/>
            </w:r>
            <w:r w:rsidR="007C621F">
              <w:rPr>
                <w:noProof/>
                <w:webHidden/>
              </w:rPr>
              <w:fldChar w:fldCharType="begin"/>
            </w:r>
            <w:r w:rsidR="007C621F">
              <w:rPr>
                <w:noProof/>
                <w:webHidden/>
              </w:rPr>
              <w:instrText xml:space="preserve"> PAGEREF _Toc45530543 \h </w:instrText>
            </w:r>
            <w:r w:rsidR="007C621F">
              <w:rPr>
                <w:noProof/>
                <w:webHidden/>
              </w:rPr>
            </w:r>
            <w:r w:rsidR="007C621F">
              <w:rPr>
                <w:noProof/>
                <w:webHidden/>
              </w:rPr>
              <w:fldChar w:fldCharType="separate"/>
            </w:r>
            <w:r w:rsidR="007C621F">
              <w:rPr>
                <w:noProof/>
                <w:webHidden/>
              </w:rPr>
              <w:t>8</w:t>
            </w:r>
            <w:r w:rsidR="007C621F">
              <w:rPr>
                <w:noProof/>
                <w:webHidden/>
              </w:rPr>
              <w:fldChar w:fldCharType="end"/>
            </w:r>
          </w:hyperlink>
        </w:p>
        <w:p w14:paraId="11124151"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4" w:history="1">
            <w:r w:rsidR="007C621F" w:rsidRPr="001F1387">
              <w:rPr>
                <w:rStyle w:val="Hyperlink"/>
                <w:noProof/>
              </w:rPr>
              <w:t>Proposals for delivering additional move-on accommodation units</w:t>
            </w:r>
            <w:r w:rsidR="007C621F">
              <w:rPr>
                <w:noProof/>
                <w:webHidden/>
              </w:rPr>
              <w:tab/>
            </w:r>
            <w:r w:rsidR="007C621F">
              <w:rPr>
                <w:noProof/>
                <w:webHidden/>
              </w:rPr>
              <w:fldChar w:fldCharType="begin"/>
            </w:r>
            <w:r w:rsidR="007C621F">
              <w:rPr>
                <w:noProof/>
                <w:webHidden/>
              </w:rPr>
              <w:instrText xml:space="preserve"> PAGEREF _Toc45530544 \h </w:instrText>
            </w:r>
            <w:r w:rsidR="007C621F">
              <w:rPr>
                <w:noProof/>
                <w:webHidden/>
              </w:rPr>
            </w:r>
            <w:r w:rsidR="007C621F">
              <w:rPr>
                <w:noProof/>
                <w:webHidden/>
              </w:rPr>
              <w:fldChar w:fldCharType="separate"/>
            </w:r>
            <w:r w:rsidR="007C621F">
              <w:rPr>
                <w:noProof/>
                <w:webHidden/>
              </w:rPr>
              <w:t>8</w:t>
            </w:r>
            <w:r w:rsidR="007C621F">
              <w:rPr>
                <w:noProof/>
                <w:webHidden/>
              </w:rPr>
              <w:fldChar w:fldCharType="end"/>
            </w:r>
          </w:hyperlink>
        </w:p>
        <w:p w14:paraId="04607900"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5" w:history="1">
            <w:r w:rsidR="007C621F" w:rsidRPr="001F1387">
              <w:rPr>
                <w:rStyle w:val="Hyperlink"/>
                <w:noProof/>
              </w:rPr>
              <w:t>Other accommodation options</w:t>
            </w:r>
            <w:r w:rsidR="007C621F">
              <w:rPr>
                <w:noProof/>
                <w:webHidden/>
              </w:rPr>
              <w:tab/>
            </w:r>
            <w:r w:rsidR="007C621F">
              <w:rPr>
                <w:noProof/>
                <w:webHidden/>
              </w:rPr>
              <w:fldChar w:fldCharType="begin"/>
            </w:r>
            <w:r w:rsidR="007C621F">
              <w:rPr>
                <w:noProof/>
                <w:webHidden/>
              </w:rPr>
              <w:instrText xml:space="preserve"> PAGEREF _Toc45530545 \h </w:instrText>
            </w:r>
            <w:r w:rsidR="007C621F">
              <w:rPr>
                <w:noProof/>
                <w:webHidden/>
              </w:rPr>
            </w:r>
            <w:r w:rsidR="007C621F">
              <w:rPr>
                <w:noProof/>
                <w:webHidden/>
              </w:rPr>
              <w:fldChar w:fldCharType="separate"/>
            </w:r>
            <w:r w:rsidR="007C621F">
              <w:rPr>
                <w:noProof/>
                <w:webHidden/>
              </w:rPr>
              <w:t>9</w:t>
            </w:r>
            <w:r w:rsidR="007C621F">
              <w:rPr>
                <w:noProof/>
                <w:webHidden/>
              </w:rPr>
              <w:fldChar w:fldCharType="end"/>
            </w:r>
          </w:hyperlink>
        </w:p>
        <w:p w14:paraId="040EADCD"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6" w:history="1">
            <w:r w:rsidR="007C621F" w:rsidRPr="001F1387">
              <w:rPr>
                <w:rStyle w:val="Hyperlink"/>
                <w:noProof/>
              </w:rPr>
              <w:t>Support</w:t>
            </w:r>
            <w:r w:rsidR="007C621F">
              <w:rPr>
                <w:noProof/>
                <w:webHidden/>
              </w:rPr>
              <w:tab/>
            </w:r>
            <w:r w:rsidR="007C621F">
              <w:rPr>
                <w:noProof/>
                <w:webHidden/>
              </w:rPr>
              <w:fldChar w:fldCharType="begin"/>
            </w:r>
            <w:r w:rsidR="007C621F">
              <w:rPr>
                <w:noProof/>
                <w:webHidden/>
              </w:rPr>
              <w:instrText xml:space="preserve"> PAGEREF _Toc45530546 \h </w:instrText>
            </w:r>
            <w:r w:rsidR="007C621F">
              <w:rPr>
                <w:noProof/>
                <w:webHidden/>
              </w:rPr>
            </w:r>
            <w:r w:rsidR="007C621F">
              <w:rPr>
                <w:noProof/>
                <w:webHidden/>
              </w:rPr>
              <w:fldChar w:fldCharType="separate"/>
            </w:r>
            <w:r w:rsidR="007C621F">
              <w:rPr>
                <w:noProof/>
                <w:webHidden/>
              </w:rPr>
              <w:t>9</w:t>
            </w:r>
            <w:r w:rsidR="007C621F">
              <w:rPr>
                <w:noProof/>
                <w:webHidden/>
              </w:rPr>
              <w:fldChar w:fldCharType="end"/>
            </w:r>
          </w:hyperlink>
        </w:p>
        <w:p w14:paraId="422E38CF"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7" w:history="1">
            <w:r w:rsidR="007C621F" w:rsidRPr="001F1387">
              <w:rPr>
                <w:rStyle w:val="Hyperlink"/>
                <w:noProof/>
              </w:rPr>
              <w:t>Some suggested ‘POSITIVES’ of the period of hotel accommodation</w:t>
            </w:r>
            <w:r w:rsidR="007C621F">
              <w:rPr>
                <w:noProof/>
                <w:webHidden/>
              </w:rPr>
              <w:tab/>
            </w:r>
            <w:r w:rsidR="007C621F">
              <w:rPr>
                <w:noProof/>
                <w:webHidden/>
              </w:rPr>
              <w:fldChar w:fldCharType="begin"/>
            </w:r>
            <w:r w:rsidR="007C621F">
              <w:rPr>
                <w:noProof/>
                <w:webHidden/>
              </w:rPr>
              <w:instrText xml:space="preserve"> PAGEREF _Toc45530547 \h </w:instrText>
            </w:r>
            <w:r w:rsidR="007C621F">
              <w:rPr>
                <w:noProof/>
                <w:webHidden/>
              </w:rPr>
            </w:r>
            <w:r w:rsidR="007C621F">
              <w:rPr>
                <w:noProof/>
                <w:webHidden/>
              </w:rPr>
              <w:fldChar w:fldCharType="separate"/>
            </w:r>
            <w:r w:rsidR="007C621F">
              <w:rPr>
                <w:noProof/>
                <w:webHidden/>
              </w:rPr>
              <w:t>12</w:t>
            </w:r>
            <w:r w:rsidR="007C621F">
              <w:rPr>
                <w:noProof/>
                <w:webHidden/>
              </w:rPr>
              <w:fldChar w:fldCharType="end"/>
            </w:r>
          </w:hyperlink>
        </w:p>
        <w:p w14:paraId="024644E7" w14:textId="77777777" w:rsidR="007C621F" w:rsidRDefault="009B2696">
          <w:pPr>
            <w:pStyle w:val="TOC2"/>
            <w:tabs>
              <w:tab w:val="right" w:leader="dot" w:pos="10456"/>
            </w:tabs>
            <w:rPr>
              <w:rFonts w:asciiTheme="minorHAnsi" w:eastAsiaTheme="minorEastAsia" w:hAnsiTheme="minorHAnsi" w:cstheme="minorBidi"/>
              <w:bCs w:val="0"/>
              <w:noProof/>
              <w:lang w:eastAsia="en-GB"/>
            </w:rPr>
          </w:pPr>
          <w:hyperlink w:anchor="_Toc45530548" w:history="1">
            <w:r w:rsidR="007C621F" w:rsidRPr="001F1387">
              <w:rPr>
                <w:rStyle w:val="Hyperlink"/>
                <w:noProof/>
              </w:rPr>
              <w:t>Conclusions</w:t>
            </w:r>
            <w:r w:rsidR="007C621F">
              <w:rPr>
                <w:noProof/>
                <w:webHidden/>
              </w:rPr>
              <w:tab/>
            </w:r>
            <w:r w:rsidR="007C621F">
              <w:rPr>
                <w:noProof/>
                <w:webHidden/>
              </w:rPr>
              <w:fldChar w:fldCharType="begin"/>
            </w:r>
            <w:r w:rsidR="007C621F">
              <w:rPr>
                <w:noProof/>
                <w:webHidden/>
              </w:rPr>
              <w:instrText xml:space="preserve"> PAGEREF _Toc45530548 \h </w:instrText>
            </w:r>
            <w:r w:rsidR="007C621F">
              <w:rPr>
                <w:noProof/>
                <w:webHidden/>
              </w:rPr>
            </w:r>
            <w:r w:rsidR="007C621F">
              <w:rPr>
                <w:noProof/>
                <w:webHidden/>
              </w:rPr>
              <w:fldChar w:fldCharType="separate"/>
            </w:r>
            <w:r w:rsidR="007C621F">
              <w:rPr>
                <w:noProof/>
                <w:webHidden/>
              </w:rPr>
              <w:t>12</w:t>
            </w:r>
            <w:r w:rsidR="007C621F">
              <w:rPr>
                <w:noProof/>
                <w:webHidden/>
              </w:rPr>
              <w:fldChar w:fldCharType="end"/>
            </w:r>
          </w:hyperlink>
        </w:p>
        <w:p w14:paraId="4050710B" w14:textId="1FF0C557" w:rsidR="002A648E" w:rsidRDefault="002A648E">
          <w:r>
            <w:fldChar w:fldCharType="end"/>
          </w:r>
        </w:p>
      </w:sdtContent>
    </w:sdt>
    <w:p w14:paraId="73F02B4F" w14:textId="77777777" w:rsidR="007C621F" w:rsidRDefault="007C621F">
      <w:pPr>
        <w:spacing w:after="160" w:line="259" w:lineRule="auto"/>
        <w:textAlignment w:val="auto"/>
        <w:rPr>
          <w:rFonts w:eastAsiaTheme="majorEastAsia" w:cstheme="majorBidi"/>
          <w:b/>
          <w:bCs w:val="0"/>
          <w:color w:val="4472C4" w:themeColor="accent1"/>
          <w:sz w:val="26"/>
          <w:szCs w:val="26"/>
        </w:rPr>
      </w:pPr>
      <w:bookmarkStart w:id="3" w:name="_Toc45530535"/>
      <w:r>
        <w:br w:type="page"/>
      </w:r>
    </w:p>
    <w:p w14:paraId="56DF9F79" w14:textId="68F0AB80" w:rsidR="007C621F" w:rsidRPr="00750C79" w:rsidRDefault="007C621F" w:rsidP="007C621F">
      <w:pPr>
        <w:pStyle w:val="Heading2"/>
      </w:pPr>
      <w:r>
        <w:lastRenderedPageBreak/>
        <w:t>Summary</w:t>
      </w:r>
      <w:bookmarkEnd w:id="3"/>
    </w:p>
    <w:p w14:paraId="2655FB1C" w14:textId="4B8F27D4" w:rsidR="009B2696" w:rsidRPr="009B2696" w:rsidRDefault="009B2696" w:rsidP="00B85110">
      <w:pPr>
        <w:spacing w:before="120"/>
        <w:rPr>
          <w:b/>
        </w:rPr>
      </w:pPr>
      <w:r w:rsidRPr="009B2696">
        <w:rPr>
          <w:b/>
        </w:rPr>
        <w:t>Use / longevity of temp</w:t>
      </w:r>
    </w:p>
    <w:p w14:paraId="7CA41B4E" w14:textId="03C295E0" w:rsidR="009B2696" w:rsidRDefault="009B2696" w:rsidP="007C621F">
      <w:pPr>
        <w:pStyle w:val="ListParagraph"/>
        <w:numPr>
          <w:ilvl w:val="0"/>
          <w:numId w:val="17"/>
        </w:numPr>
      </w:pPr>
      <w:r>
        <w:t>The n</w:t>
      </w:r>
      <w:r w:rsidR="007C621F" w:rsidRPr="00750C79">
        <w:t xml:space="preserve">umber </w:t>
      </w:r>
      <w:r>
        <w:t xml:space="preserve">of people </w:t>
      </w:r>
      <w:r w:rsidR="007C621F" w:rsidRPr="00750C79">
        <w:t>in temp</w:t>
      </w:r>
      <w:r>
        <w:t xml:space="preserve">orary </w:t>
      </w:r>
      <w:r w:rsidR="00EE71DD">
        <w:t xml:space="preserve">accommodation </w:t>
      </w:r>
      <w:r w:rsidR="00EE71DD" w:rsidRPr="00750C79">
        <w:t>–</w:t>
      </w:r>
      <w:r w:rsidR="00B85110">
        <w:t xml:space="preserve"> </w:t>
      </w:r>
      <w:r w:rsidR="007C621F" w:rsidRPr="00750C79">
        <w:t>whether emergency or temporary due to Covid</w:t>
      </w:r>
      <w:r>
        <w:t xml:space="preserve"> - </w:t>
      </w:r>
      <w:r w:rsidR="007C621F" w:rsidRPr="00750C79">
        <w:t>ha</w:t>
      </w:r>
      <w:r>
        <w:t>s</w:t>
      </w:r>
      <w:r w:rsidR="007C621F" w:rsidRPr="00750C79">
        <w:t xml:space="preserve"> reduced since </w:t>
      </w:r>
      <w:r>
        <w:t xml:space="preserve">mid June 2020 when a form was returned to Luke Hall MP setting out each district’s plans for </w:t>
      </w:r>
      <w:r w:rsidR="007C621F" w:rsidRPr="00750C79">
        <w:t>“next steps</w:t>
      </w:r>
      <w:r>
        <w:t>”</w:t>
      </w:r>
      <w:r w:rsidR="007C621F" w:rsidRPr="00750C79">
        <w:t xml:space="preserve">.  </w:t>
      </w:r>
    </w:p>
    <w:p w14:paraId="5BF5B7D4" w14:textId="17565FEC" w:rsidR="007C621F" w:rsidRPr="00750C79" w:rsidRDefault="007C621F" w:rsidP="007C621F">
      <w:pPr>
        <w:pStyle w:val="ListParagraph"/>
        <w:numPr>
          <w:ilvl w:val="0"/>
          <w:numId w:val="17"/>
        </w:numPr>
      </w:pPr>
      <w:r w:rsidRPr="00750C79">
        <w:t>At the time there were 269 in temp</w:t>
      </w:r>
      <w:r w:rsidR="00B85110">
        <w:t xml:space="preserve">; </w:t>
      </w:r>
      <w:r w:rsidRPr="00750C79">
        <w:t xml:space="preserve">at </w:t>
      </w:r>
      <w:r w:rsidR="00B85110">
        <w:t xml:space="preserve">the start of </w:t>
      </w:r>
      <w:r w:rsidRPr="00750C79">
        <w:t xml:space="preserve">July </w:t>
      </w:r>
      <w:r w:rsidR="00B85110">
        <w:t xml:space="preserve">2020 </w:t>
      </w:r>
      <w:r w:rsidRPr="00750C79">
        <w:t>there were 234 in temp across Cambs and Peterborough. The reduction was seen mostly in Peterborough, though it’s useful to note the Luke Hall and the MAIC returns are counted a little differently (as usual!) for various reasons</w:t>
      </w:r>
      <w:r>
        <w:t xml:space="preserve">. </w:t>
      </w:r>
    </w:p>
    <w:p w14:paraId="7C9A15CE" w14:textId="5875A7AE" w:rsidR="007C621F" w:rsidRPr="00CD6722" w:rsidRDefault="007C621F" w:rsidP="007C621F">
      <w:pPr>
        <w:pStyle w:val="ListParagraph"/>
        <w:numPr>
          <w:ilvl w:val="0"/>
          <w:numId w:val="17"/>
        </w:numPr>
      </w:pPr>
      <w:r w:rsidRPr="00CD6722">
        <w:t>Some temp</w:t>
      </w:r>
      <w:r w:rsidR="009B2696">
        <w:t>orary accommodation</w:t>
      </w:r>
      <w:r w:rsidRPr="00CD6722">
        <w:t>, but by no means all, has an en</w:t>
      </w:r>
      <w:r>
        <w:t>d</w:t>
      </w:r>
      <w:r w:rsidRPr="00CD6722">
        <w:t xml:space="preserve"> date. The most significant numbers</w:t>
      </w:r>
      <w:r>
        <w:t xml:space="preserve"> </w:t>
      </w:r>
      <w:r w:rsidRPr="00CD6722">
        <w:t>in temp with an end date are:</w:t>
      </w:r>
    </w:p>
    <w:p w14:paraId="3E437F37" w14:textId="1ECF0A72" w:rsidR="007C621F" w:rsidRPr="00CD6722" w:rsidRDefault="007C621F" w:rsidP="007C621F">
      <w:pPr>
        <w:pStyle w:val="ListParagraph"/>
        <w:numPr>
          <w:ilvl w:val="1"/>
          <w:numId w:val="17"/>
        </w:numPr>
      </w:pPr>
      <w:r w:rsidRPr="00CD6722">
        <w:t>Travelo</w:t>
      </w:r>
      <w:r w:rsidR="009B2696">
        <w:t>dge Cambridge – 35 housed by Cambridge</w:t>
      </w:r>
      <w:r w:rsidRPr="00CD6722">
        <w:t xml:space="preserve"> </w:t>
      </w:r>
    </w:p>
    <w:p w14:paraId="3E7432BA" w14:textId="62E5E530" w:rsidR="007C621F" w:rsidRPr="00CD6722" w:rsidRDefault="007C621F" w:rsidP="007C621F">
      <w:pPr>
        <w:pStyle w:val="ListParagraph"/>
        <w:numPr>
          <w:ilvl w:val="1"/>
          <w:numId w:val="17"/>
        </w:numPr>
      </w:pPr>
      <w:r w:rsidRPr="00CD6722">
        <w:t xml:space="preserve">Bene’t Street hostel – 18 housed by </w:t>
      </w:r>
      <w:r w:rsidR="009B2696">
        <w:t>Cambridge</w:t>
      </w:r>
    </w:p>
    <w:p w14:paraId="0ACAE9EF" w14:textId="77777777" w:rsidR="007C621F" w:rsidRPr="00CD6722" w:rsidRDefault="007C621F" w:rsidP="007C621F">
      <w:pPr>
        <w:pStyle w:val="ListParagraph"/>
        <w:numPr>
          <w:ilvl w:val="1"/>
          <w:numId w:val="17"/>
        </w:numPr>
      </w:pPr>
      <w:r w:rsidRPr="00CD6722">
        <w:t>Possibly White Lyon Hotel Wisbech (B&amp;B) – 18 housed by FDC</w:t>
      </w:r>
    </w:p>
    <w:p w14:paraId="257D1991" w14:textId="28963C21" w:rsidR="007C621F" w:rsidRDefault="007C621F" w:rsidP="007C621F">
      <w:pPr>
        <w:pStyle w:val="ListParagraph"/>
        <w:numPr>
          <w:ilvl w:val="1"/>
          <w:numId w:val="17"/>
        </w:numPr>
      </w:pPr>
      <w:r>
        <w:t xml:space="preserve">PCC has a plan to end hotel </w:t>
      </w:r>
      <w:r w:rsidR="009B2696">
        <w:t xml:space="preserve">/ rest centre </w:t>
      </w:r>
      <w:r>
        <w:t>use by 31 August entirely, but at 8</w:t>
      </w:r>
      <w:r w:rsidRPr="00CD6722">
        <w:rPr>
          <w:vertAlign w:val="superscript"/>
        </w:rPr>
        <w:t>th</w:t>
      </w:r>
      <w:r>
        <w:t xml:space="preserve"> July were </w:t>
      </w:r>
      <w:r w:rsidRPr="00CD6722">
        <w:t>66 in Queensg</w:t>
      </w:r>
      <w:r>
        <w:t>a</w:t>
      </w:r>
      <w:r w:rsidRPr="00CD6722">
        <w:t xml:space="preserve">te and Park Inn </w:t>
      </w:r>
      <w:r>
        <w:t>hotels.</w:t>
      </w:r>
    </w:p>
    <w:p w14:paraId="26F2DD54" w14:textId="4E21A6B2" w:rsidR="00B85110" w:rsidRPr="00B85110" w:rsidRDefault="00B85110" w:rsidP="00B85110">
      <w:pPr>
        <w:spacing w:before="120"/>
        <w:rPr>
          <w:b/>
        </w:rPr>
      </w:pPr>
      <w:r w:rsidRPr="00B85110">
        <w:rPr>
          <w:b/>
        </w:rPr>
        <w:t>Move-on</w:t>
      </w:r>
    </w:p>
    <w:p w14:paraId="4B4A9BCD" w14:textId="268D81BA" w:rsidR="007C621F" w:rsidRDefault="007C621F" w:rsidP="007C621F">
      <w:pPr>
        <w:pStyle w:val="ListParagraph"/>
        <w:numPr>
          <w:ilvl w:val="0"/>
          <w:numId w:val="17"/>
        </w:numPr>
      </w:pPr>
      <w:r>
        <w:t xml:space="preserve">Move-on plans </w:t>
      </w:r>
      <w:r w:rsidR="009B2696">
        <w:t xml:space="preserve">as reported to Luke Hall </w:t>
      </w:r>
      <w:r>
        <w:t xml:space="preserve">are pretty firm for 286 out of 296 people in temp. So that’s </w:t>
      </w:r>
      <w:r w:rsidRPr="00CD6722">
        <w:rPr>
          <w:b/>
        </w:rPr>
        <w:t>97%</w:t>
      </w:r>
      <w:r>
        <w:rPr>
          <w:b/>
        </w:rPr>
        <w:t xml:space="preserve"> </w:t>
      </w:r>
      <w:r w:rsidRPr="00CD6722">
        <w:t>who have a planned path out, and 10 with no clear plan as yet</w:t>
      </w:r>
      <w:r>
        <w:t xml:space="preserve"> (at the time of the Luke Hall return)</w:t>
      </w:r>
      <w:r w:rsidRPr="00CD6722">
        <w:t>.</w:t>
      </w:r>
    </w:p>
    <w:p w14:paraId="0847F64C" w14:textId="1DB677D7" w:rsidR="007C621F" w:rsidRDefault="007C621F" w:rsidP="007C621F">
      <w:pPr>
        <w:pStyle w:val="ListParagraph"/>
        <w:numPr>
          <w:ilvl w:val="0"/>
          <w:numId w:val="17"/>
        </w:numPr>
      </w:pPr>
      <w:r>
        <w:t>People with No Recourse to Public Funds are a concern. Of the almost 300 people temporarily housed at the time of the Luke Hall return, 73 people (that’s 25%</w:t>
      </w:r>
      <w:r w:rsidR="009B2696">
        <w:t xml:space="preserve"> across Cambs and Peterborough</w:t>
      </w:r>
      <w:r>
        <w:t>) had NRTPF. The highest % was Fenland with 41%.</w:t>
      </w:r>
    </w:p>
    <w:p w14:paraId="4CD02BAC" w14:textId="69284504" w:rsidR="00B85110" w:rsidRPr="00B85110" w:rsidRDefault="00B85110" w:rsidP="00B85110">
      <w:pPr>
        <w:spacing w:before="120"/>
        <w:rPr>
          <w:b/>
        </w:rPr>
      </w:pPr>
      <w:r w:rsidRPr="00B85110">
        <w:rPr>
          <w:b/>
        </w:rPr>
        <w:t>Existing and additional accommodation</w:t>
      </w:r>
    </w:p>
    <w:p w14:paraId="4BC06786" w14:textId="7C204094" w:rsidR="007C621F" w:rsidRDefault="007C621F" w:rsidP="007C621F">
      <w:pPr>
        <w:pStyle w:val="ListParagraph"/>
        <w:numPr>
          <w:ilvl w:val="0"/>
          <w:numId w:val="17"/>
        </w:numPr>
      </w:pPr>
      <w:r>
        <w:t>There are plans to develop additional accommodation, as below:</w:t>
      </w:r>
    </w:p>
    <w:p w14:paraId="2F505613" w14:textId="77777777" w:rsidR="007C621F" w:rsidRPr="00B85110" w:rsidRDefault="007C621F" w:rsidP="00EE71DD">
      <w:pPr>
        <w:pStyle w:val="Heading4"/>
      </w:pPr>
      <w:r w:rsidRPr="00B85110">
        <w:t>Cambridge</w:t>
      </w:r>
    </w:p>
    <w:p w14:paraId="4F2B344E" w14:textId="72F87937" w:rsidR="007C621F" w:rsidRPr="001A17EF" w:rsidRDefault="009B2696" w:rsidP="009B2696">
      <w:pPr>
        <w:pStyle w:val="ListParagraph"/>
        <w:numPr>
          <w:ilvl w:val="2"/>
          <w:numId w:val="17"/>
        </w:numPr>
      </w:pPr>
      <w:r>
        <w:t>Plans for l</w:t>
      </w:r>
      <w:r w:rsidR="007C621F" w:rsidRPr="001A17EF">
        <w:t>onger term move-on</w:t>
      </w:r>
      <w:r>
        <w:t xml:space="preserve"> includes </w:t>
      </w:r>
      <w:r w:rsidR="007C621F" w:rsidRPr="001A17EF">
        <w:t>c.29 modular homes with intensive or floating support dependent on need</w:t>
      </w:r>
      <w:r>
        <w:t xml:space="preserve">, </w:t>
      </w:r>
      <w:r w:rsidR="007C621F" w:rsidRPr="001A17EF">
        <w:t xml:space="preserve">c.10 bed-spaces in shared accommodation </w:t>
      </w:r>
      <w:r>
        <w:t xml:space="preserve">and </w:t>
      </w:r>
      <w:r w:rsidR="007C621F" w:rsidRPr="001A17EF">
        <w:t>c.21 Housing First bed spaces</w:t>
      </w:r>
    </w:p>
    <w:p w14:paraId="47827B83" w14:textId="14D0563E" w:rsidR="007C621F" w:rsidRPr="001A17EF" w:rsidRDefault="007C621F" w:rsidP="00EE71DD">
      <w:pPr>
        <w:pStyle w:val="Heading4"/>
      </w:pPr>
      <w:r w:rsidRPr="001A17EF">
        <w:t>E</w:t>
      </w:r>
      <w:r w:rsidR="009B2696">
        <w:t>ast Cambs</w:t>
      </w:r>
    </w:p>
    <w:p w14:paraId="73C92EFF" w14:textId="3857F2C6" w:rsidR="007C621F" w:rsidRPr="001A17EF" w:rsidRDefault="009B2696" w:rsidP="007C621F">
      <w:pPr>
        <w:pStyle w:val="ListParagraph"/>
        <w:numPr>
          <w:ilvl w:val="2"/>
          <w:numId w:val="17"/>
        </w:numPr>
      </w:pPr>
      <w:r>
        <w:t>Plans for l</w:t>
      </w:r>
      <w:r w:rsidR="007C621F" w:rsidRPr="001A17EF">
        <w:t>onger term move-on</w:t>
      </w:r>
      <w:r>
        <w:t xml:space="preserve"> includes </w:t>
      </w:r>
      <w:r w:rsidR="007C621F" w:rsidRPr="001A17EF">
        <w:t xml:space="preserve">2 </w:t>
      </w:r>
      <w:r>
        <w:t xml:space="preserve">units </w:t>
      </w:r>
      <w:r w:rsidR="007C621F" w:rsidRPr="001A17EF">
        <w:t>available in the next 28 days</w:t>
      </w:r>
      <w:r w:rsidR="007C621F">
        <w:t xml:space="preserve">, </w:t>
      </w:r>
      <w:r w:rsidR="007C621F" w:rsidRPr="001A17EF">
        <w:t>1 available now</w:t>
      </w:r>
    </w:p>
    <w:p w14:paraId="081CE7BF" w14:textId="258953FE" w:rsidR="007C621F" w:rsidRPr="001A17EF" w:rsidRDefault="007C621F" w:rsidP="007C621F">
      <w:pPr>
        <w:pStyle w:val="ListParagraph"/>
        <w:numPr>
          <w:ilvl w:val="2"/>
          <w:numId w:val="17"/>
        </w:numPr>
      </w:pPr>
      <w:r w:rsidRPr="001A17EF">
        <w:t>Other accom</w:t>
      </w:r>
      <w:r w:rsidR="009B2696">
        <w:t>modation</w:t>
      </w:r>
      <w:r w:rsidRPr="001A17EF">
        <w:t xml:space="preserve"> </w:t>
      </w:r>
      <w:r w:rsidR="009B2696">
        <w:t xml:space="preserve">options are described as </w:t>
      </w:r>
      <w:r w:rsidRPr="001A17EF">
        <w:t>“</w:t>
      </w:r>
      <w:r w:rsidR="009B2696">
        <w:t>s</w:t>
      </w:r>
      <w:r w:rsidRPr="001A17EF">
        <w:t>hared housing with tenancy support”</w:t>
      </w:r>
      <w:r w:rsidR="009B2696">
        <w:t>.</w:t>
      </w:r>
    </w:p>
    <w:p w14:paraId="57F34EA5" w14:textId="77777777" w:rsidR="007C621F" w:rsidRPr="001A17EF" w:rsidRDefault="007C621F" w:rsidP="00EE71DD">
      <w:pPr>
        <w:pStyle w:val="Heading4"/>
      </w:pPr>
      <w:r w:rsidRPr="001A17EF">
        <w:t>Fenland</w:t>
      </w:r>
    </w:p>
    <w:p w14:paraId="6EFBEFE6" w14:textId="0BEDA92F" w:rsidR="007C621F" w:rsidRPr="001A17EF" w:rsidRDefault="009B2696" w:rsidP="007C621F">
      <w:pPr>
        <w:pStyle w:val="ListParagraph"/>
        <w:numPr>
          <w:ilvl w:val="2"/>
          <w:numId w:val="17"/>
        </w:numPr>
      </w:pPr>
      <w:r>
        <w:t xml:space="preserve">Has </w:t>
      </w:r>
      <w:r w:rsidR="007C621F">
        <w:t>10</w:t>
      </w:r>
      <w:r>
        <w:t xml:space="preserve"> units of short/medium term accommodation, and plans </w:t>
      </w:r>
      <w:r w:rsidR="007C621F" w:rsidRPr="001A17EF">
        <w:t>to develop</w:t>
      </w:r>
      <w:r>
        <w:t xml:space="preserve"> </w:t>
      </w:r>
      <w:r w:rsidR="007C621F">
        <w:t>2</w:t>
      </w:r>
      <w:r>
        <w:t xml:space="preserve"> </w:t>
      </w:r>
      <w:r w:rsidRPr="001A17EF">
        <w:t>more</w:t>
      </w:r>
      <w:r>
        <w:t>.</w:t>
      </w:r>
    </w:p>
    <w:p w14:paraId="7AAA2DC6" w14:textId="1EF5BDB5" w:rsidR="007C621F" w:rsidRPr="001A17EF" w:rsidRDefault="007C621F" w:rsidP="007C621F">
      <w:pPr>
        <w:pStyle w:val="ListParagraph"/>
        <w:numPr>
          <w:ilvl w:val="2"/>
          <w:numId w:val="17"/>
        </w:numPr>
      </w:pPr>
      <w:r w:rsidRPr="001A17EF">
        <w:t>No</w:t>
      </w:r>
      <w:r w:rsidR="009B2696">
        <w:t xml:space="preserve"> plans are </w:t>
      </w:r>
      <w:r w:rsidRPr="001A17EF">
        <w:t>yet confirmed</w:t>
      </w:r>
      <w:r w:rsidR="009B2696">
        <w:t xml:space="preserve"> for l</w:t>
      </w:r>
      <w:r w:rsidR="009B2696" w:rsidRPr="001A17EF">
        <w:t>onger term move-on</w:t>
      </w:r>
      <w:r w:rsidRPr="001A17EF">
        <w:t>. At the time of writing we have no secured units - all eligible clients are registered with Home-link (CBL).</w:t>
      </w:r>
      <w:r w:rsidR="009B2696">
        <w:t xml:space="preserve"> However o</w:t>
      </w:r>
      <w:r w:rsidRPr="001A17EF">
        <w:t>ther accom</w:t>
      </w:r>
      <w:r w:rsidR="009B2696">
        <w:t xml:space="preserve">modation </w:t>
      </w:r>
      <w:r w:rsidRPr="001A17EF">
        <w:t>options</w:t>
      </w:r>
      <w:r w:rsidR="009B2696">
        <w:t xml:space="preserve"> include</w:t>
      </w:r>
    </w:p>
    <w:p w14:paraId="6DAB11A4" w14:textId="77777777" w:rsidR="007C621F" w:rsidRPr="001A17EF" w:rsidRDefault="007C621F" w:rsidP="007C621F">
      <w:pPr>
        <w:pStyle w:val="ListParagraph"/>
        <w:numPr>
          <w:ilvl w:val="3"/>
          <w:numId w:val="17"/>
        </w:numPr>
      </w:pPr>
      <w:r w:rsidRPr="001A17EF">
        <w:t>More local private rented.</w:t>
      </w:r>
    </w:p>
    <w:p w14:paraId="56D0C56D" w14:textId="77777777" w:rsidR="007C621F" w:rsidRPr="001A17EF" w:rsidRDefault="007C621F" w:rsidP="007C621F">
      <w:pPr>
        <w:pStyle w:val="ListParagraph"/>
        <w:numPr>
          <w:ilvl w:val="3"/>
          <w:numId w:val="17"/>
        </w:numPr>
      </w:pPr>
      <w:r w:rsidRPr="001A17EF">
        <w:t xml:space="preserve">Housing First to be set up 7 units under negotiation. </w:t>
      </w:r>
    </w:p>
    <w:p w14:paraId="2232C263" w14:textId="77777777" w:rsidR="007C621F" w:rsidRPr="001A17EF" w:rsidRDefault="007C621F" w:rsidP="007C621F">
      <w:pPr>
        <w:pStyle w:val="ListParagraph"/>
        <w:numPr>
          <w:ilvl w:val="3"/>
          <w:numId w:val="17"/>
        </w:numPr>
      </w:pPr>
      <w:r w:rsidRPr="001A17EF">
        <w:t>Working with biggest social housing provider to plan move-on into this accommodation through direct lets.</w:t>
      </w:r>
    </w:p>
    <w:p w14:paraId="33FEB397" w14:textId="77777777" w:rsidR="009B2696" w:rsidRDefault="007C621F" w:rsidP="00EE71DD">
      <w:pPr>
        <w:pStyle w:val="Heading4"/>
      </w:pPr>
      <w:r w:rsidRPr="001A17EF">
        <w:t>Huntingdonshire</w:t>
      </w:r>
      <w:r w:rsidR="009B2696">
        <w:t xml:space="preserve"> </w:t>
      </w:r>
    </w:p>
    <w:p w14:paraId="5992A30F" w14:textId="0315CDBD" w:rsidR="007C621F" w:rsidRPr="001A17EF" w:rsidRDefault="009B2696" w:rsidP="009B2696">
      <w:pPr>
        <w:pStyle w:val="ListParagraph"/>
        <w:numPr>
          <w:ilvl w:val="2"/>
          <w:numId w:val="17"/>
        </w:numPr>
      </w:pPr>
      <w:r>
        <w:t xml:space="preserve">Has 39 units of short/medium term accommodation and plans to develop 21 more </w:t>
      </w:r>
      <w:r w:rsidR="007C621F" w:rsidRPr="001A17EF">
        <w:t>(</w:t>
      </w:r>
      <w:r>
        <w:t xml:space="preserve">these were </w:t>
      </w:r>
      <w:r w:rsidR="007C621F" w:rsidRPr="001A17EF">
        <w:t>in progress regardless of covid)</w:t>
      </w:r>
      <w:r>
        <w:t>.</w:t>
      </w:r>
    </w:p>
    <w:p w14:paraId="698659BA" w14:textId="76827B9C" w:rsidR="007C621F" w:rsidRDefault="009B2696" w:rsidP="007C621F">
      <w:pPr>
        <w:pStyle w:val="ListParagraph"/>
        <w:numPr>
          <w:ilvl w:val="2"/>
          <w:numId w:val="17"/>
        </w:numPr>
      </w:pPr>
      <w:r>
        <w:t>For l</w:t>
      </w:r>
      <w:r w:rsidR="007C621F" w:rsidRPr="001A17EF">
        <w:t>onger term move-on</w:t>
      </w:r>
      <w:r>
        <w:t>, set out:</w:t>
      </w:r>
    </w:p>
    <w:p w14:paraId="622D2842" w14:textId="1122C18F" w:rsidR="007C621F" w:rsidRPr="001A17EF" w:rsidRDefault="007C621F" w:rsidP="007C621F">
      <w:pPr>
        <w:pStyle w:val="ListParagraph"/>
        <w:numPr>
          <w:ilvl w:val="3"/>
          <w:numId w:val="17"/>
        </w:numPr>
      </w:pPr>
      <w:r w:rsidRPr="001A17EF">
        <w:t>A number of clients have been assisted into supported housing and private rented housing options (6 to date)</w:t>
      </w:r>
      <w:r w:rsidR="009B2696">
        <w:t xml:space="preserve"> which w</w:t>
      </w:r>
      <w:r w:rsidRPr="001A17EF">
        <w:t xml:space="preserve">ill continue </w:t>
      </w:r>
      <w:r w:rsidR="009B2696">
        <w:t>to pursue</w:t>
      </w:r>
      <w:r w:rsidRPr="001A17EF">
        <w:t>.</w:t>
      </w:r>
    </w:p>
    <w:p w14:paraId="796E5732" w14:textId="25ADD090" w:rsidR="007C621F" w:rsidRPr="001A17EF" w:rsidRDefault="007C621F" w:rsidP="007C621F">
      <w:pPr>
        <w:pStyle w:val="ListParagraph"/>
        <w:numPr>
          <w:ilvl w:val="3"/>
          <w:numId w:val="17"/>
        </w:numPr>
      </w:pPr>
      <w:r w:rsidRPr="001A17EF">
        <w:t>Aim</w:t>
      </w:r>
      <w:r w:rsidR="009B2696">
        <w:t>ing</w:t>
      </w:r>
      <w:r w:rsidRPr="001A17EF">
        <w:t xml:space="preserve"> for a proportion to move into social rented properties, once RPs lettings pick up in general </w:t>
      </w:r>
      <w:r w:rsidR="009B2696">
        <w:t xml:space="preserve">needs </w:t>
      </w:r>
      <w:r w:rsidRPr="001A17EF">
        <w:t xml:space="preserve">stock. </w:t>
      </w:r>
    </w:p>
    <w:p w14:paraId="19141699" w14:textId="77777777" w:rsidR="007C621F" w:rsidRPr="001A17EF" w:rsidRDefault="007C621F" w:rsidP="007C621F">
      <w:pPr>
        <w:pStyle w:val="ListParagraph"/>
        <w:numPr>
          <w:ilvl w:val="3"/>
          <w:numId w:val="17"/>
        </w:numPr>
      </w:pPr>
      <w:r w:rsidRPr="001A17EF">
        <w:t xml:space="preserve">Will investigate all tenures as part of PHPs developed with clients. </w:t>
      </w:r>
    </w:p>
    <w:p w14:paraId="32B3A19B" w14:textId="6F27E49A" w:rsidR="007C621F" w:rsidRPr="001A17EF" w:rsidRDefault="007C621F" w:rsidP="007C621F">
      <w:pPr>
        <w:pStyle w:val="ListParagraph"/>
        <w:numPr>
          <w:ilvl w:val="2"/>
          <w:numId w:val="17"/>
        </w:numPr>
      </w:pPr>
      <w:r w:rsidRPr="001A17EF">
        <w:t>Other accom options</w:t>
      </w:r>
      <w:r w:rsidR="009B2696">
        <w:t>; plans are…</w:t>
      </w:r>
    </w:p>
    <w:p w14:paraId="304B8FBA" w14:textId="77777777" w:rsidR="007C621F" w:rsidRPr="001A17EF" w:rsidRDefault="007C621F" w:rsidP="007C621F">
      <w:pPr>
        <w:pStyle w:val="ListParagraph"/>
        <w:numPr>
          <w:ilvl w:val="3"/>
          <w:numId w:val="17"/>
        </w:numPr>
      </w:pPr>
      <w:r w:rsidRPr="001A17EF">
        <w:t xml:space="preserve">There is not a specific number of units available or in development – this will depend upon the number of properties becoming available through RPs’ lettings processes as well as private rented options we are able to identify through local landlords and agents.  </w:t>
      </w:r>
    </w:p>
    <w:p w14:paraId="5DD592EF" w14:textId="77777777" w:rsidR="007C621F" w:rsidRPr="001A17EF" w:rsidRDefault="007C621F" w:rsidP="007C621F">
      <w:pPr>
        <w:pStyle w:val="ListParagraph"/>
        <w:numPr>
          <w:ilvl w:val="3"/>
          <w:numId w:val="17"/>
        </w:numPr>
      </w:pPr>
      <w:r w:rsidRPr="001A17EF">
        <w:lastRenderedPageBreak/>
        <w:t>Make use of the direct let process including working with RPs to allocate properties in advance of the CBL process.</w:t>
      </w:r>
    </w:p>
    <w:p w14:paraId="6572B5C9" w14:textId="726BA6AB" w:rsidR="007C621F" w:rsidRPr="001A17EF" w:rsidRDefault="009B2696" w:rsidP="00EE71DD">
      <w:pPr>
        <w:pStyle w:val="Heading4"/>
      </w:pPr>
      <w:r>
        <w:t>South Cambs</w:t>
      </w:r>
    </w:p>
    <w:p w14:paraId="7CB4CD7D" w14:textId="3DDAE135" w:rsidR="007C621F" w:rsidRPr="001A17EF" w:rsidRDefault="007C621F" w:rsidP="007C621F">
      <w:pPr>
        <w:pStyle w:val="ListParagraph"/>
        <w:numPr>
          <w:ilvl w:val="2"/>
          <w:numId w:val="17"/>
        </w:numPr>
      </w:pPr>
      <w:r w:rsidRPr="001A17EF">
        <w:t>Will look to provide single person accommodation through either a) existing partnership or b</w:t>
      </w:r>
      <w:r w:rsidR="009B2696">
        <w:t>) pilot scheme delivering HMOs for l</w:t>
      </w:r>
      <w:r w:rsidR="009B2696" w:rsidRPr="001A17EF">
        <w:t>onger term move-on</w:t>
      </w:r>
      <w:r w:rsidR="009B2696">
        <w:t xml:space="preserve"> accommodation</w:t>
      </w:r>
    </w:p>
    <w:p w14:paraId="3F3C1CB6" w14:textId="77777777" w:rsidR="007C621F" w:rsidRPr="001A17EF" w:rsidRDefault="007C621F" w:rsidP="00EE71DD">
      <w:pPr>
        <w:pStyle w:val="Heading4"/>
      </w:pPr>
      <w:r w:rsidRPr="001A17EF">
        <w:t>Peterborough</w:t>
      </w:r>
    </w:p>
    <w:p w14:paraId="5756D205" w14:textId="02D84BED" w:rsidR="007C621F" w:rsidRPr="001A17EF" w:rsidRDefault="009B2696" w:rsidP="007C621F">
      <w:pPr>
        <w:pStyle w:val="ListParagraph"/>
        <w:numPr>
          <w:ilvl w:val="2"/>
          <w:numId w:val="17"/>
        </w:numPr>
      </w:pPr>
      <w:r>
        <w:t xml:space="preserve">Short/medium term accommodation includes around </w:t>
      </w:r>
      <w:r w:rsidR="007C621F" w:rsidRPr="001A17EF">
        <w:t>50</w:t>
      </w:r>
      <w:r>
        <w:t xml:space="preserve"> units, with p</w:t>
      </w:r>
      <w:r w:rsidR="007C621F" w:rsidRPr="001A17EF">
        <w:t>lans to develop c.30</w:t>
      </w:r>
      <w:r>
        <w:t xml:space="preserve"> </w:t>
      </w:r>
      <w:r w:rsidRPr="001A17EF">
        <w:t>more</w:t>
      </w:r>
      <w:r>
        <w:t>.</w:t>
      </w:r>
    </w:p>
    <w:p w14:paraId="38C3F9FC" w14:textId="759DF75B" w:rsidR="007C621F" w:rsidRDefault="009B2696" w:rsidP="007C621F">
      <w:pPr>
        <w:pStyle w:val="ListParagraph"/>
        <w:numPr>
          <w:ilvl w:val="2"/>
          <w:numId w:val="17"/>
        </w:numPr>
      </w:pPr>
      <w:r>
        <w:t>For l</w:t>
      </w:r>
      <w:r w:rsidR="007C621F" w:rsidRPr="001A17EF">
        <w:t>onger term move-on</w:t>
      </w:r>
      <w:r>
        <w:t>…</w:t>
      </w:r>
    </w:p>
    <w:p w14:paraId="515A1D8D" w14:textId="77777777" w:rsidR="007C621F" w:rsidRPr="001A17EF" w:rsidRDefault="007C621F" w:rsidP="007C621F">
      <w:pPr>
        <w:pStyle w:val="ListParagraph"/>
        <w:numPr>
          <w:ilvl w:val="3"/>
          <w:numId w:val="17"/>
        </w:numPr>
      </w:pPr>
      <w:r w:rsidRPr="001A17EF">
        <w:t>Potential of 53 units: Reviews of supported accommodation settings have identified clients ready to move to independent accommodation with a private landlord or via Housing Register.  The moves free up space to be backfilled by those needing move on from short/medium stay accommodation or accommodated in the hotel rest centres.  Estimate that this will free up c.18 units of supported accommodation.</w:t>
      </w:r>
    </w:p>
    <w:p w14:paraId="092C7E5F" w14:textId="77777777" w:rsidR="007C621F" w:rsidRDefault="007C621F" w:rsidP="007C621F">
      <w:pPr>
        <w:pStyle w:val="ListParagraph"/>
        <w:numPr>
          <w:ilvl w:val="3"/>
          <w:numId w:val="17"/>
        </w:numPr>
      </w:pPr>
      <w:r w:rsidRPr="001A17EF">
        <w:t xml:space="preserve">We are also seeking single person units in the private sector and are working with landlords who have HMOs, which will meet the needs of many of the low needs client cohort with floating support. </w:t>
      </w:r>
    </w:p>
    <w:p w14:paraId="0AF8B551" w14:textId="77777777" w:rsidR="007C621F" w:rsidRPr="001A17EF" w:rsidRDefault="007C621F" w:rsidP="007C621F">
      <w:pPr>
        <w:pStyle w:val="ListParagraph"/>
        <w:numPr>
          <w:ilvl w:val="3"/>
          <w:numId w:val="17"/>
        </w:numPr>
      </w:pPr>
      <w:r w:rsidRPr="001A17EF">
        <w:t>We estimate that we should be able to secure c.20 units of accommodation from the private sector.</w:t>
      </w:r>
    </w:p>
    <w:p w14:paraId="69C08080" w14:textId="63CC1C4A" w:rsidR="007C621F" w:rsidRDefault="007C621F" w:rsidP="009B2696">
      <w:pPr>
        <w:pStyle w:val="ListParagraph"/>
        <w:numPr>
          <w:ilvl w:val="2"/>
          <w:numId w:val="17"/>
        </w:numPr>
      </w:pPr>
      <w:r w:rsidRPr="001A17EF">
        <w:t>Other accom options</w:t>
      </w:r>
      <w:r w:rsidR="009B2696">
        <w:t xml:space="preserve"> include (with </w:t>
      </w:r>
      <w:r w:rsidRPr="001A17EF">
        <w:t>support the Council and Longhurst</w:t>
      </w:r>
      <w:r w:rsidR="009B2696">
        <w:t>)</w:t>
      </w:r>
      <w:r w:rsidRPr="001A17EF">
        <w:t xml:space="preserve"> could mobilise very quickly to provide 15 self-contained flats for move on accommodation.</w:t>
      </w:r>
    </w:p>
    <w:p w14:paraId="190E9FB9" w14:textId="7392005A" w:rsidR="007C621F" w:rsidRDefault="00B85110" w:rsidP="00B85110">
      <w:pPr>
        <w:spacing w:before="120"/>
        <w:rPr>
          <w:b/>
        </w:rPr>
      </w:pPr>
      <w:r>
        <w:rPr>
          <w:b/>
        </w:rPr>
        <w:t>S</w:t>
      </w:r>
      <w:r w:rsidR="007C621F" w:rsidRPr="00B85110">
        <w:rPr>
          <w:b/>
        </w:rPr>
        <w:t>upport needs</w:t>
      </w:r>
    </w:p>
    <w:p w14:paraId="4FF27029" w14:textId="6A98E4DD" w:rsidR="00B85110" w:rsidRDefault="00B85110" w:rsidP="00B85110">
      <w:pPr>
        <w:pStyle w:val="ListParagraph"/>
        <w:numPr>
          <w:ilvl w:val="0"/>
          <w:numId w:val="17"/>
        </w:numPr>
      </w:pPr>
      <w:r>
        <w:t xml:space="preserve">There are </w:t>
      </w:r>
      <w:r>
        <w:t>some needs for support, which we can discuss and clarify, but based on the return to Luke Hall include</w:t>
      </w:r>
      <w:r>
        <w:t>:</w:t>
      </w:r>
    </w:p>
    <w:p w14:paraId="611231EE" w14:textId="77777777" w:rsidR="007C621F" w:rsidRPr="007C621F" w:rsidRDefault="007C621F" w:rsidP="00EE71DD">
      <w:pPr>
        <w:pStyle w:val="Heading4"/>
      </w:pPr>
      <w:r w:rsidRPr="007C621F">
        <w:t>Cambridge</w:t>
      </w:r>
    </w:p>
    <w:p w14:paraId="12125A5F" w14:textId="77777777" w:rsidR="007C621F" w:rsidRPr="007C621F" w:rsidRDefault="007C621F" w:rsidP="007C621F">
      <w:pPr>
        <w:pStyle w:val="ListParagraph"/>
        <w:numPr>
          <w:ilvl w:val="2"/>
          <w:numId w:val="17"/>
        </w:numPr>
      </w:pPr>
      <w:r w:rsidRPr="007C621F">
        <w:t>Think need funding for 23 individuals’ floating support and 20 individuals’ start-up support.</w:t>
      </w:r>
    </w:p>
    <w:p w14:paraId="652198FE" w14:textId="77777777" w:rsidR="007C621F" w:rsidRPr="007C621F" w:rsidRDefault="007C621F" w:rsidP="00EE71DD">
      <w:pPr>
        <w:pStyle w:val="Heading4"/>
      </w:pPr>
      <w:r w:rsidRPr="007C621F">
        <w:t xml:space="preserve">Fenland </w:t>
      </w:r>
    </w:p>
    <w:p w14:paraId="54F7481A" w14:textId="6CE6001D" w:rsidR="007C621F" w:rsidRPr="007C621F" w:rsidRDefault="00B85110" w:rsidP="007C621F">
      <w:pPr>
        <w:pStyle w:val="ListParagraph"/>
        <w:numPr>
          <w:ilvl w:val="2"/>
          <w:numId w:val="17"/>
        </w:numPr>
      </w:pPr>
      <w:r>
        <w:t>N</w:t>
      </w:r>
      <w:r w:rsidRPr="007C621F">
        <w:t>o additional funding needed</w:t>
      </w:r>
      <w:r>
        <w:t>.</w:t>
      </w:r>
      <w:r w:rsidRPr="007C621F">
        <w:t xml:space="preserve"> </w:t>
      </w:r>
    </w:p>
    <w:p w14:paraId="2D95E2A4" w14:textId="77777777" w:rsidR="007C621F" w:rsidRPr="007C621F" w:rsidRDefault="007C621F" w:rsidP="00EE71DD">
      <w:pPr>
        <w:pStyle w:val="Heading4"/>
      </w:pPr>
      <w:r w:rsidRPr="007C621F">
        <w:t xml:space="preserve">HDC  </w:t>
      </w:r>
    </w:p>
    <w:p w14:paraId="6A247535" w14:textId="77777777" w:rsidR="007C621F" w:rsidRPr="007C621F" w:rsidRDefault="007C621F" w:rsidP="007C621F">
      <w:pPr>
        <w:pStyle w:val="ListParagraph"/>
        <w:numPr>
          <w:ilvl w:val="2"/>
          <w:numId w:val="17"/>
        </w:numPr>
      </w:pPr>
      <w:r w:rsidRPr="007C621F">
        <w:t>Need for intensive supported housing for approx. 5 dual diagnosis customers, not readily available in HDC, with a co-ordinated package of support from a range of different agencies (including substance misuse and mental health services).</w:t>
      </w:r>
    </w:p>
    <w:p w14:paraId="13B164F9" w14:textId="77777777" w:rsidR="007C621F" w:rsidRPr="007C621F" w:rsidRDefault="007C621F" w:rsidP="00EE71DD">
      <w:pPr>
        <w:pStyle w:val="Heading4"/>
      </w:pPr>
      <w:r w:rsidRPr="007C621F">
        <w:t xml:space="preserve">SCDC </w:t>
      </w:r>
    </w:p>
    <w:p w14:paraId="177B5B75" w14:textId="5559B0F1" w:rsidR="007C621F" w:rsidRPr="007C621F" w:rsidRDefault="007C621F" w:rsidP="007C621F">
      <w:pPr>
        <w:pStyle w:val="ListParagraph"/>
        <w:numPr>
          <w:ilvl w:val="2"/>
          <w:numId w:val="17"/>
        </w:numPr>
      </w:pPr>
      <w:r w:rsidRPr="007C621F">
        <w:t>Small number in temp – implies all support needs are provided for</w:t>
      </w:r>
      <w:r w:rsidR="00B85110">
        <w:t>.</w:t>
      </w:r>
    </w:p>
    <w:p w14:paraId="7270576A" w14:textId="77777777" w:rsidR="007C621F" w:rsidRPr="007C621F" w:rsidRDefault="007C621F" w:rsidP="00EE71DD">
      <w:pPr>
        <w:pStyle w:val="Heading4"/>
      </w:pPr>
      <w:r w:rsidRPr="007C621F">
        <w:t>Peterborough</w:t>
      </w:r>
    </w:p>
    <w:p w14:paraId="5AD67B63" w14:textId="77777777" w:rsidR="007C621F" w:rsidRPr="007C621F" w:rsidRDefault="007C621F" w:rsidP="007C621F">
      <w:pPr>
        <w:pStyle w:val="ListParagraph"/>
        <w:numPr>
          <w:ilvl w:val="2"/>
          <w:numId w:val="17"/>
        </w:numPr>
      </w:pPr>
      <w:r w:rsidRPr="007C621F">
        <w:t xml:space="preserve">Subject to accommodation changes there will be a support need forecast as: </w:t>
      </w:r>
    </w:p>
    <w:p w14:paraId="714864CC" w14:textId="77777777" w:rsidR="007C621F" w:rsidRPr="006A7AEB" w:rsidRDefault="007C621F" w:rsidP="007C621F">
      <w:pPr>
        <w:ind w:left="1080"/>
      </w:pPr>
      <w:r w:rsidRPr="006A7AEB">
        <w:t xml:space="preserve">Onsite support @ 30 bed provision 4 x FTE support workers </w:t>
      </w:r>
      <w:r>
        <w:t>(</w:t>
      </w:r>
      <w:r w:rsidRPr="006A7AEB">
        <w:t>no current funding</w:t>
      </w:r>
      <w:r>
        <w:t xml:space="preserve"> in place)</w:t>
      </w:r>
    </w:p>
    <w:p w14:paraId="014FCC2A" w14:textId="77777777" w:rsidR="007C621F" w:rsidRPr="006A7AEB" w:rsidRDefault="007C621F" w:rsidP="007C621F">
      <w:pPr>
        <w:ind w:left="1080"/>
      </w:pPr>
      <w:r w:rsidRPr="006A7AEB">
        <w:t>Onsite support @ Change maker house. 2 x FTE support workers. This could be part funded by the support that is currently assigned to the Longhurst Crash Beds</w:t>
      </w:r>
      <w:r>
        <w:t xml:space="preserve"> (</w:t>
      </w:r>
      <w:r w:rsidRPr="006A7AEB">
        <w:t>shortfall in funding</w:t>
      </w:r>
      <w:r>
        <w:t>)</w:t>
      </w:r>
      <w:r w:rsidRPr="006A7AEB">
        <w:t xml:space="preserve">. </w:t>
      </w:r>
    </w:p>
    <w:p w14:paraId="21550CFA" w14:textId="77777777" w:rsidR="007C621F" w:rsidRDefault="007C621F" w:rsidP="00B85110"/>
    <w:p w14:paraId="6693DADC" w14:textId="77777777" w:rsidR="00B85110" w:rsidRDefault="00B85110">
      <w:pPr>
        <w:spacing w:after="160" w:line="259" w:lineRule="auto"/>
        <w:textAlignment w:val="auto"/>
        <w:rPr>
          <w:rFonts w:eastAsiaTheme="majorEastAsia" w:cstheme="majorBidi"/>
          <w:b/>
          <w:bCs w:val="0"/>
          <w:color w:val="4472C4" w:themeColor="accent1"/>
          <w:sz w:val="26"/>
          <w:szCs w:val="26"/>
        </w:rPr>
      </w:pPr>
      <w:bookmarkStart w:id="4" w:name="_Toc45530536"/>
      <w:r>
        <w:br w:type="page"/>
      </w:r>
    </w:p>
    <w:p w14:paraId="04A3F6EF" w14:textId="43246718" w:rsidR="007066F9" w:rsidRPr="00214607" w:rsidRDefault="007066F9" w:rsidP="006A7AEB">
      <w:pPr>
        <w:pStyle w:val="Heading2"/>
      </w:pPr>
      <w:r w:rsidRPr="00214607">
        <w:lastRenderedPageBreak/>
        <w:t>Intro</w:t>
      </w:r>
      <w:r w:rsidR="00214607">
        <w:t>duction</w:t>
      </w:r>
      <w:bookmarkEnd w:id="4"/>
    </w:p>
    <w:p w14:paraId="59D746C6" w14:textId="3B3C4378" w:rsidR="007066F9" w:rsidRPr="00682123" w:rsidRDefault="007066F9" w:rsidP="00682123">
      <w:r w:rsidRPr="00682123">
        <w:t xml:space="preserve">Report to housing board on recovery stages for homeless in hotel accommodation, </w:t>
      </w:r>
      <w:r w:rsidR="007E72E4" w:rsidRPr="00682123">
        <w:t>procured</w:t>
      </w:r>
      <w:r w:rsidRPr="00682123">
        <w:t xml:space="preserve"> under Covid-19 measures.</w:t>
      </w:r>
      <w:r w:rsidR="00214607" w:rsidRPr="00682123">
        <w:t xml:space="preserve"> </w:t>
      </w:r>
      <w:r w:rsidRPr="00682123">
        <w:t xml:space="preserve">This is based on the Initial Plan sent to Luke Hall MP in </w:t>
      </w:r>
      <w:r w:rsidR="00B85110">
        <w:t xml:space="preserve">mid </w:t>
      </w:r>
      <w:r w:rsidRPr="00682123">
        <w:t xml:space="preserve">June 2020 by each </w:t>
      </w:r>
      <w:r w:rsidR="00214607" w:rsidRPr="00682123">
        <w:t>district</w:t>
      </w:r>
      <w:r w:rsidRPr="00682123">
        <w:t>.</w:t>
      </w:r>
    </w:p>
    <w:p w14:paraId="3707A605" w14:textId="5637B86A" w:rsidR="007066F9" w:rsidRPr="00214607" w:rsidRDefault="007066F9" w:rsidP="00682123">
      <w:r w:rsidRPr="00214607">
        <w:t>A table collating all the returns is available on request.</w:t>
      </w:r>
    </w:p>
    <w:p w14:paraId="6A17584B" w14:textId="77777777" w:rsidR="00682123" w:rsidRDefault="00682123" w:rsidP="00682123"/>
    <w:p w14:paraId="04E4A9E0" w14:textId="32AAA3B5" w:rsidR="007066F9" w:rsidRPr="00214607" w:rsidRDefault="007066F9" w:rsidP="00682123">
      <w:r w:rsidRPr="00214607">
        <w:t>This report catches some highlights and puts the initial plan against the MAIC data on numbers in each form of temp.</w:t>
      </w:r>
    </w:p>
    <w:p w14:paraId="3B985D7A" w14:textId="77777777" w:rsidR="0043525E" w:rsidRPr="00214607" w:rsidRDefault="0043525E" w:rsidP="00682123"/>
    <w:p w14:paraId="405922D0" w14:textId="77777777" w:rsidR="0043525E" w:rsidRDefault="0043525E" w:rsidP="00682123">
      <w:r w:rsidRPr="00214607">
        <w:t>Each person gets a Personalised Housing Plan which maps out what they need in terms of accommodation and support, and that is used to try to secure the housing that will meet their needs and prevent them having to go back to rough sleeping (or any other kind of homelessness for that matter).</w:t>
      </w:r>
    </w:p>
    <w:p w14:paraId="02E11318" w14:textId="77777777" w:rsidR="004A2EDE" w:rsidRDefault="004A2EDE" w:rsidP="004A2EDE"/>
    <w:p w14:paraId="6CF4B56D" w14:textId="77777777" w:rsidR="004A2EDE" w:rsidRDefault="004A2EDE" w:rsidP="004A2EDE">
      <w:r w:rsidRPr="00214607">
        <w:t>From 4 July hotels and B&amp;Bs can open up to “normal use”. However across our area there are a variety of arrangements with individual providers, some of which have agreed to much longer end dates, or have agreed to keep accommodating our needs for the foreseeable.</w:t>
      </w:r>
    </w:p>
    <w:p w14:paraId="6D5CCEED" w14:textId="54C815B8" w:rsidR="00214607" w:rsidRPr="00214607" w:rsidRDefault="00214607" w:rsidP="006A7AEB">
      <w:pPr>
        <w:pStyle w:val="Heading2"/>
      </w:pPr>
      <w:bookmarkStart w:id="5" w:name="_Toc45530537"/>
      <w:r>
        <w:t xml:space="preserve">Numbers in covid-19 </w:t>
      </w:r>
      <w:r w:rsidR="004A2EDE">
        <w:t>emergency accommodation</w:t>
      </w:r>
      <w:r w:rsidR="002A648E">
        <w:t xml:space="preserve"> at time of “next steps” return</w:t>
      </w:r>
      <w:bookmarkEnd w:id="5"/>
    </w:p>
    <w:p w14:paraId="47128757" w14:textId="508C8E4F" w:rsidR="007066F9" w:rsidRDefault="006128DD" w:rsidP="00682123">
      <w:r w:rsidRPr="00214607">
        <w:t>Number of</w:t>
      </w:r>
      <w:r w:rsidRPr="00214607">
        <w:rPr>
          <w:color w:val="000000"/>
          <w:shd w:val="clear" w:color="auto" w:fill="FFFFFF"/>
        </w:rPr>
        <w:t xml:space="preserve"> </w:t>
      </w:r>
      <w:r w:rsidRPr="00214607">
        <w:t>single</w:t>
      </w:r>
      <w:r w:rsidRPr="00214607">
        <w:rPr>
          <w:color w:val="000000"/>
          <w:shd w:val="clear" w:color="auto" w:fill="FFFFFF"/>
        </w:rPr>
        <w:t xml:space="preserve"> </w:t>
      </w:r>
      <w:r w:rsidRPr="00214607">
        <w:t>people in emergency accommodation in response to C</w:t>
      </w:r>
      <w:r w:rsidR="00B26D90">
        <w:t>ovid-</w:t>
      </w:r>
      <w:r w:rsidR="0086146F" w:rsidRPr="00214607">
        <w:t>19</w:t>
      </w:r>
      <w:r w:rsidR="00B85110">
        <w:t>;</w:t>
      </w:r>
      <w:r w:rsidR="0086146F">
        <w:t xml:space="preserve"> that </w:t>
      </w:r>
      <w:r w:rsidR="002B7C3F">
        <w:t xml:space="preserve">is: </w:t>
      </w:r>
      <w:r w:rsidR="002B7C3F" w:rsidRPr="00214607">
        <w:t>hotels or other temporary accommodation acquired since 18 March in response to the Covid-19 pandemic and which has a time-limited availability.</w:t>
      </w:r>
      <w:r w:rsidR="002A648E">
        <w:t xml:space="preserve"> </w:t>
      </w:r>
    </w:p>
    <w:p w14:paraId="36FF3587" w14:textId="77777777" w:rsidR="002A648E" w:rsidRDefault="002A648E" w:rsidP="00682123"/>
    <w:p w14:paraId="7F37389A" w14:textId="0683D4B5" w:rsidR="002A648E" w:rsidRDefault="002A648E" w:rsidP="002A648E">
      <w:r>
        <w:t xml:space="preserve">Updated stats are provided by </w:t>
      </w:r>
      <w:r w:rsidRPr="00214607">
        <w:t xml:space="preserve">MAIC </w:t>
      </w:r>
      <w:r>
        <w:t>returns</w:t>
      </w:r>
      <w:r w:rsidR="00B26D90">
        <w:t xml:space="preserve"> (meaning the Police-led Multi Agency Incident Cell)</w:t>
      </w:r>
      <w:r>
        <w:t xml:space="preserve">, as at </w:t>
      </w:r>
      <w:r w:rsidRPr="00214607">
        <w:t>8/7/20</w:t>
      </w:r>
      <w:r>
        <w:t>, as these are gathered fortnightly so the numbers have changed (with people moving into and out of the emergency accommodation)</w:t>
      </w:r>
      <w:r w:rsidRPr="00214607">
        <w:t>.</w:t>
      </w:r>
      <w:r>
        <w:t xml:space="preserve"> SO these are provided to avoid confusion about the current situation.</w:t>
      </w:r>
    </w:p>
    <w:p w14:paraId="04836F00" w14:textId="77777777" w:rsidR="002A648E" w:rsidRDefault="002A648E" w:rsidP="002A648E"/>
    <w:p w14:paraId="34AD1C6D" w14:textId="428B3CD9" w:rsidR="002A648E" w:rsidRPr="00214607" w:rsidRDefault="002A648E" w:rsidP="002A648E">
      <w:r>
        <w:t>T</w:t>
      </w:r>
      <w:r w:rsidRPr="00214607">
        <w:t xml:space="preserve">he </w:t>
      </w:r>
      <w:r>
        <w:t xml:space="preserve">“Next Steps” </w:t>
      </w:r>
      <w:r w:rsidRPr="00214607">
        <w:t>P</w:t>
      </w:r>
      <w:r w:rsidR="00B85110">
        <w:t>l</w:t>
      </w:r>
      <w:r w:rsidRPr="00214607">
        <w:t xml:space="preserve">ans were submitted </w:t>
      </w:r>
      <w:r>
        <w:t xml:space="preserve">in </w:t>
      </w:r>
      <w:r w:rsidR="00B85110">
        <w:t>mid June</w:t>
      </w:r>
      <w:r>
        <w:t xml:space="preserve">, </w:t>
      </w:r>
      <w:r w:rsidRPr="00214607">
        <w:t>the numbers use</w:t>
      </w:r>
      <w:r w:rsidR="00B26D90">
        <w:t>d</w:t>
      </w:r>
      <w:r w:rsidRPr="00214607">
        <w:t xml:space="preserve"> in the return were correct at the time.</w:t>
      </w:r>
      <w:r w:rsidR="00B85110">
        <w:t xml:space="preserve"> </w:t>
      </w:r>
      <w:r>
        <w:t>There is a possibility of differen</w:t>
      </w:r>
      <w:r w:rsidR="00B85110">
        <w:t>ces</w:t>
      </w:r>
      <w:r>
        <w:t xml:space="preserve"> between MAIC and </w:t>
      </w:r>
      <w:r w:rsidRPr="00B85110">
        <w:rPr>
          <w:i/>
        </w:rPr>
        <w:t>next steps</w:t>
      </w:r>
      <w:r>
        <w:t xml:space="preserve"> in that some districts may have numbers reported on MAIC which are not rough sleepers in covid emergency accom</w:t>
      </w:r>
      <w:r w:rsidR="00B26D90">
        <w:t>modation</w:t>
      </w:r>
      <w:r>
        <w:t>, just “normal” homeless in temp (</w:t>
      </w:r>
      <w:r w:rsidRPr="00B26D90">
        <w:t xml:space="preserve">see </w:t>
      </w:r>
      <w:r w:rsidR="00B26D90" w:rsidRPr="00B26D90">
        <w:rPr>
          <w:color w:val="5B9BD5" w:themeColor="accent5"/>
          <w:u w:val="single"/>
        </w:rPr>
        <w:fldChar w:fldCharType="begin"/>
      </w:r>
      <w:r w:rsidR="00B26D90" w:rsidRPr="00B26D90">
        <w:rPr>
          <w:color w:val="5B9BD5" w:themeColor="accent5"/>
          <w:u w:val="single"/>
        </w:rPr>
        <w:instrText xml:space="preserve"> REF _Ref45184929 \r \h </w:instrText>
      </w:r>
      <w:r w:rsidR="00B26D90" w:rsidRPr="00B26D90">
        <w:rPr>
          <w:color w:val="5B9BD5" w:themeColor="accent5"/>
          <w:u w:val="single"/>
        </w:rPr>
      </w:r>
      <w:r w:rsidR="00B26D90" w:rsidRPr="00B26D90">
        <w:rPr>
          <w:color w:val="5B9BD5" w:themeColor="accent5"/>
          <w:u w:val="single"/>
        </w:rPr>
        <w:fldChar w:fldCharType="separate"/>
      </w:r>
      <w:r w:rsidR="00B26D90" w:rsidRPr="00B26D90">
        <w:rPr>
          <w:color w:val="5B9BD5" w:themeColor="accent5"/>
          <w:u w:val="single"/>
        </w:rPr>
        <w:t>Table 2</w:t>
      </w:r>
      <w:r w:rsidR="00B26D90" w:rsidRPr="00B26D90">
        <w:rPr>
          <w:color w:val="5B9BD5" w:themeColor="accent5"/>
          <w:u w:val="single"/>
        </w:rPr>
        <w:fldChar w:fldCharType="end"/>
      </w:r>
      <w:r>
        <w:t>).</w:t>
      </w:r>
    </w:p>
    <w:p w14:paraId="606CFE32" w14:textId="70AACE1F" w:rsidR="002A648E" w:rsidRPr="006A7AEB" w:rsidRDefault="002A648E" w:rsidP="00B85110">
      <w:pPr>
        <w:pStyle w:val="tablenumbered"/>
      </w:pPr>
      <w:r w:rsidRPr="006A7AEB">
        <w:t>Number in emergency accommodation at time of “next pans” submission, alongside updated</w:t>
      </w:r>
      <w:r w:rsidR="00B26D90" w:rsidRPr="006A7AEB">
        <w:t xml:space="preserve"> </w:t>
      </w:r>
      <w:r w:rsidRPr="006A7AEB">
        <w:t>numbers from fortnightly MAIC</w:t>
      </w:r>
    </w:p>
    <w:tbl>
      <w:tblPr>
        <w:tblStyle w:val="LightList-Accent1"/>
        <w:tblW w:w="5000" w:type="pct"/>
        <w:tblLook w:val="0420" w:firstRow="1" w:lastRow="0" w:firstColumn="0" w:lastColumn="0" w:noHBand="0" w:noVBand="1"/>
      </w:tblPr>
      <w:tblGrid>
        <w:gridCol w:w="3560"/>
        <w:gridCol w:w="3561"/>
        <w:gridCol w:w="3561"/>
      </w:tblGrid>
      <w:tr w:rsidR="002A648E" w:rsidRPr="002A648E" w14:paraId="416B8693" w14:textId="77777777" w:rsidTr="00B85110">
        <w:trPr>
          <w:cnfStyle w:val="100000000000" w:firstRow="1" w:lastRow="0" w:firstColumn="0" w:lastColumn="0" w:oddVBand="0" w:evenVBand="0" w:oddHBand="0" w:evenHBand="0" w:firstRowFirstColumn="0" w:firstRowLastColumn="0" w:lastRowFirstColumn="0" w:lastRowLastColumn="0"/>
        </w:trPr>
        <w:tc>
          <w:tcPr>
            <w:tcW w:w="1666" w:type="pct"/>
          </w:tcPr>
          <w:p w14:paraId="005BFD8C" w14:textId="77777777" w:rsidR="002A648E" w:rsidRPr="002A648E" w:rsidRDefault="002A648E" w:rsidP="006A7AEB"/>
        </w:tc>
        <w:tc>
          <w:tcPr>
            <w:tcW w:w="1667" w:type="pct"/>
          </w:tcPr>
          <w:p w14:paraId="641A8E91" w14:textId="55169FBA" w:rsidR="002A648E" w:rsidRPr="002A648E" w:rsidRDefault="002A648E" w:rsidP="006A7AEB">
            <w:r>
              <w:t>Next steps submission date</w:t>
            </w:r>
          </w:p>
        </w:tc>
        <w:tc>
          <w:tcPr>
            <w:tcW w:w="1667" w:type="pct"/>
          </w:tcPr>
          <w:p w14:paraId="69DC3F0B" w14:textId="68776726" w:rsidR="002A648E" w:rsidRPr="002A648E" w:rsidRDefault="002A648E" w:rsidP="006A7AEB">
            <w:r>
              <w:t>~8 July 2020</w:t>
            </w:r>
          </w:p>
        </w:tc>
      </w:tr>
      <w:tr w:rsidR="002A648E" w:rsidRPr="002A648E" w14:paraId="712EA46A" w14:textId="77777777" w:rsidTr="00B85110">
        <w:trPr>
          <w:cnfStyle w:val="000000100000" w:firstRow="0" w:lastRow="0" w:firstColumn="0" w:lastColumn="0" w:oddVBand="0" w:evenVBand="0" w:oddHBand="1" w:evenHBand="0" w:firstRowFirstColumn="0" w:firstRowLastColumn="0" w:lastRowFirstColumn="0" w:lastRowLastColumn="0"/>
        </w:trPr>
        <w:tc>
          <w:tcPr>
            <w:tcW w:w="1666" w:type="pct"/>
          </w:tcPr>
          <w:p w14:paraId="00052FD6" w14:textId="77777777" w:rsidR="002A648E" w:rsidRPr="002A648E" w:rsidRDefault="002A648E" w:rsidP="006A7AEB">
            <w:r w:rsidRPr="002A648E">
              <w:t>Cambridge</w:t>
            </w:r>
          </w:p>
        </w:tc>
        <w:tc>
          <w:tcPr>
            <w:tcW w:w="1667" w:type="pct"/>
          </w:tcPr>
          <w:p w14:paraId="061FA7C2" w14:textId="77777777" w:rsidR="002A648E" w:rsidRPr="002A648E" w:rsidRDefault="002A648E" w:rsidP="006A7AEB">
            <w:r w:rsidRPr="002A648E">
              <w:t>103</w:t>
            </w:r>
          </w:p>
        </w:tc>
        <w:tc>
          <w:tcPr>
            <w:tcW w:w="1667" w:type="pct"/>
          </w:tcPr>
          <w:p w14:paraId="07736677" w14:textId="27A803BC" w:rsidR="002A648E" w:rsidRPr="002A648E" w:rsidRDefault="002A648E" w:rsidP="006A7AEB">
            <w:r>
              <w:t>109</w:t>
            </w:r>
          </w:p>
        </w:tc>
      </w:tr>
      <w:tr w:rsidR="002A648E" w:rsidRPr="002A648E" w14:paraId="04968AA8" w14:textId="77777777" w:rsidTr="00B85110">
        <w:tc>
          <w:tcPr>
            <w:tcW w:w="1666" w:type="pct"/>
          </w:tcPr>
          <w:p w14:paraId="256677C3" w14:textId="77777777" w:rsidR="002A648E" w:rsidRPr="002A648E" w:rsidRDefault="002A648E" w:rsidP="006A7AEB">
            <w:r w:rsidRPr="002A648E">
              <w:t>ECDC</w:t>
            </w:r>
          </w:p>
        </w:tc>
        <w:tc>
          <w:tcPr>
            <w:tcW w:w="1667" w:type="pct"/>
          </w:tcPr>
          <w:p w14:paraId="0092CA1E" w14:textId="22A2E025" w:rsidR="002A648E" w:rsidRPr="002A648E" w:rsidRDefault="002A648E" w:rsidP="006A7AEB">
            <w:r w:rsidRPr="002A648E">
              <w:t>0</w:t>
            </w:r>
          </w:p>
        </w:tc>
        <w:tc>
          <w:tcPr>
            <w:tcW w:w="1667" w:type="pct"/>
          </w:tcPr>
          <w:p w14:paraId="1A6089E3" w14:textId="7963605E" w:rsidR="002A648E" w:rsidRPr="002A648E" w:rsidRDefault="002A648E" w:rsidP="002A648E">
            <w:r>
              <w:t>5 (see note, not RS)</w:t>
            </w:r>
          </w:p>
        </w:tc>
      </w:tr>
      <w:tr w:rsidR="002A648E" w:rsidRPr="002A648E" w14:paraId="77C90312" w14:textId="77777777" w:rsidTr="00B85110">
        <w:trPr>
          <w:cnfStyle w:val="000000100000" w:firstRow="0" w:lastRow="0" w:firstColumn="0" w:lastColumn="0" w:oddVBand="0" w:evenVBand="0" w:oddHBand="1" w:evenHBand="0" w:firstRowFirstColumn="0" w:firstRowLastColumn="0" w:lastRowFirstColumn="0" w:lastRowLastColumn="0"/>
        </w:trPr>
        <w:tc>
          <w:tcPr>
            <w:tcW w:w="1666" w:type="pct"/>
          </w:tcPr>
          <w:p w14:paraId="1E520F0F" w14:textId="77777777" w:rsidR="002A648E" w:rsidRPr="002A648E" w:rsidRDefault="002A648E" w:rsidP="006A7AEB">
            <w:r w:rsidRPr="002A648E">
              <w:t>FDC</w:t>
            </w:r>
          </w:p>
        </w:tc>
        <w:tc>
          <w:tcPr>
            <w:tcW w:w="1667" w:type="pct"/>
          </w:tcPr>
          <w:p w14:paraId="4022C7A1" w14:textId="5D7DC31B" w:rsidR="002A648E" w:rsidRPr="002A648E" w:rsidRDefault="002A648E" w:rsidP="006A7AEB">
            <w:r w:rsidRPr="002A648E">
              <w:t>39</w:t>
            </w:r>
          </w:p>
        </w:tc>
        <w:tc>
          <w:tcPr>
            <w:tcW w:w="1667" w:type="pct"/>
          </w:tcPr>
          <w:p w14:paraId="11515225" w14:textId="24AA5757" w:rsidR="002A648E" w:rsidRPr="002A648E" w:rsidRDefault="002A648E" w:rsidP="006A7AEB">
            <w:r>
              <w:t>39</w:t>
            </w:r>
          </w:p>
        </w:tc>
      </w:tr>
      <w:tr w:rsidR="002A648E" w:rsidRPr="002A648E" w14:paraId="7EE0B19E" w14:textId="77777777" w:rsidTr="00B85110">
        <w:tc>
          <w:tcPr>
            <w:tcW w:w="1666" w:type="pct"/>
          </w:tcPr>
          <w:p w14:paraId="7587BB21" w14:textId="77777777" w:rsidR="002A648E" w:rsidRPr="002A648E" w:rsidRDefault="002A648E" w:rsidP="006A7AEB">
            <w:r w:rsidRPr="002A648E">
              <w:t>HDC</w:t>
            </w:r>
          </w:p>
        </w:tc>
        <w:tc>
          <w:tcPr>
            <w:tcW w:w="1667" w:type="pct"/>
          </w:tcPr>
          <w:p w14:paraId="18829074" w14:textId="3CB2D094" w:rsidR="002A648E" w:rsidRPr="002A648E" w:rsidRDefault="002A648E" w:rsidP="006A7AEB">
            <w:r w:rsidRPr="002A648E">
              <w:t>25</w:t>
            </w:r>
          </w:p>
        </w:tc>
        <w:tc>
          <w:tcPr>
            <w:tcW w:w="1667" w:type="pct"/>
          </w:tcPr>
          <w:p w14:paraId="63EC64B7" w14:textId="35E560D9" w:rsidR="002A648E" w:rsidRPr="002A648E" w:rsidRDefault="002A648E" w:rsidP="006A7AEB">
            <w:r>
              <w:t>27</w:t>
            </w:r>
          </w:p>
        </w:tc>
      </w:tr>
      <w:tr w:rsidR="002A648E" w:rsidRPr="002A648E" w14:paraId="71E2A306" w14:textId="77777777" w:rsidTr="00B85110">
        <w:trPr>
          <w:cnfStyle w:val="000000100000" w:firstRow="0" w:lastRow="0" w:firstColumn="0" w:lastColumn="0" w:oddVBand="0" w:evenVBand="0" w:oddHBand="1" w:evenHBand="0" w:firstRowFirstColumn="0" w:firstRowLastColumn="0" w:lastRowFirstColumn="0" w:lastRowLastColumn="0"/>
        </w:trPr>
        <w:tc>
          <w:tcPr>
            <w:tcW w:w="1666" w:type="pct"/>
          </w:tcPr>
          <w:p w14:paraId="0D0B053E" w14:textId="77777777" w:rsidR="002A648E" w:rsidRPr="002A648E" w:rsidRDefault="002A648E" w:rsidP="006A7AEB">
            <w:r w:rsidRPr="002A648E">
              <w:t>SCDC</w:t>
            </w:r>
          </w:p>
        </w:tc>
        <w:tc>
          <w:tcPr>
            <w:tcW w:w="1667" w:type="pct"/>
          </w:tcPr>
          <w:p w14:paraId="546E9E22" w14:textId="32F89B94" w:rsidR="002A648E" w:rsidRPr="002A648E" w:rsidRDefault="002A648E" w:rsidP="006A7AEB">
            <w:r w:rsidRPr="002A648E">
              <w:t>3</w:t>
            </w:r>
          </w:p>
        </w:tc>
        <w:tc>
          <w:tcPr>
            <w:tcW w:w="1667" w:type="pct"/>
          </w:tcPr>
          <w:p w14:paraId="32B5574B" w14:textId="3BC1402C" w:rsidR="002A648E" w:rsidRPr="002A648E" w:rsidRDefault="002A648E" w:rsidP="006A7AEB">
            <w:r>
              <w:t>4</w:t>
            </w:r>
          </w:p>
        </w:tc>
      </w:tr>
      <w:tr w:rsidR="002A648E" w:rsidRPr="002A648E" w14:paraId="12F8C362" w14:textId="77777777" w:rsidTr="00B85110">
        <w:tc>
          <w:tcPr>
            <w:tcW w:w="1666" w:type="pct"/>
          </w:tcPr>
          <w:p w14:paraId="1E9501A9" w14:textId="77777777" w:rsidR="002A648E" w:rsidRPr="002A648E" w:rsidRDefault="002A648E" w:rsidP="006A7AEB">
            <w:r w:rsidRPr="002A648E">
              <w:t>PCC</w:t>
            </w:r>
          </w:p>
        </w:tc>
        <w:tc>
          <w:tcPr>
            <w:tcW w:w="1667" w:type="pct"/>
          </w:tcPr>
          <w:p w14:paraId="63F5CD25" w14:textId="06754021" w:rsidR="002A648E" w:rsidRPr="002A648E" w:rsidRDefault="002A648E" w:rsidP="006A7AEB">
            <w:r w:rsidRPr="002A648E">
              <w:t>87 single people and 12 couples</w:t>
            </w:r>
          </w:p>
        </w:tc>
        <w:tc>
          <w:tcPr>
            <w:tcW w:w="1667" w:type="pct"/>
          </w:tcPr>
          <w:p w14:paraId="67CBDD61" w14:textId="7FC79B91" w:rsidR="002A648E" w:rsidRPr="002A648E" w:rsidRDefault="002A648E" w:rsidP="006A7AEB">
            <w:r>
              <w:t>50</w:t>
            </w:r>
          </w:p>
        </w:tc>
      </w:tr>
    </w:tbl>
    <w:p w14:paraId="28FE9F4B" w14:textId="5EA81A58" w:rsidR="002A648E" w:rsidRDefault="00B26D90" w:rsidP="00B85110">
      <w:pPr>
        <w:pStyle w:val="tablenumbered"/>
      </w:pPr>
      <w:r>
        <w:t>MAIC stats over time</w:t>
      </w:r>
    </w:p>
    <w:p w14:paraId="123B2C40" w14:textId="2EA36D29" w:rsidR="0006207F" w:rsidRDefault="0006207F" w:rsidP="00682123">
      <w:r>
        <w:rPr>
          <w:noProof/>
          <w:lang w:eastAsia="en-GB"/>
        </w:rPr>
        <w:drawing>
          <wp:inline distT="0" distB="0" distL="0" distR="0" wp14:anchorId="4E9F8EE4" wp14:editId="6B3A4BFA">
            <wp:extent cx="3913867" cy="284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8457" t="27547" r="26286" b="13161"/>
                    <a:stretch/>
                  </pic:blipFill>
                  <pic:spPr bwMode="auto">
                    <a:xfrm>
                      <a:off x="0" y="0"/>
                      <a:ext cx="3927607" cy="2854787"/>
                    </a:xfrm>
                    <a:prstGeom prst="rect">
                      <a:avLst/>
                    </a:prstGeom>
                    <a:ln>
                      <a:noFill/>
                    </a:ln>
                    <a:extLst>
                      <a:ext uri="{53640926-AAD7-44D8-BBD7-CCE9431645EC}">
                        <a14:shadowObscured xmlns:a14="http://schemas.microsoft.com/office/drawing/2010/main"/>
                      </a:ext>
                    </a:extLst>
                  </pic:spPr>
                </pic:pic>
              </a:graphicData>
            </a:graphic>
          </wp:inline>
        </w:drawing>
      </w:r>
    </w:p>
    <w:p w14:paraId="689D1A58" w14:textId="443063FA" w:rsidR="0006207F" w:rsidRDefault="0006207F" w:rsidP="00682123">
      <w:r>
        <w:rPr>
          <w:noProof/>
          <w:lang w:eastAsia="en-GB"/>
        </w:rPr>
        <w:lastRenderedPageBreak/>
        <w:drawing>
          <wp:inline distT="0" distB="0" distL="0" distR="0" wp14:anchorId="0F783DB3" wp14:editId="5BC8E86A">
            <wp:extent cx="3912801" cy="2593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8459" t="27736" r="26133" b="18072"/>
                    <a:stretch/>
                  </pic:blipFill>
                  <pic:spPr bwMode="auto">
                    <a:xfrm>
                      <a:off x="0" y="0"/>
                      <a:ext cx="3923648" cy="2600663"/>
                    </a:xfrm>
                    <a:prstGeom prst="rect">
                      <a:avLst/>
                    </a:prstGeom>
                    <a:ln>
                      <a:noFill/>
                    </a:ln>
                    <a:extLst>
                      <a:ext uri="{53640926-AAD7-44D8-BBD7-CCE9431645EC}">
                        <a14:shadowObscured xmlns:a14="http://schemas.microsoft.com/office/drawing/2010/main"/>
                      </a:ext>
                    </a:extLst>
                  </pic:spPr>
                </pic:pic>
              </a:graphicData>
            </a:graphic>
          </wp:inline>
        </w:drawing>
      </w:r>
    </w:p>
    <w:p w14:paraId="45210A67" w14:textId="505FA6ED" w:rsidR="0006207F" w:rsidRDefault="00B26D90" w:rsidP="00682123">
      <w:r>
        <w:t>For all the MAIC d</w:t>
      </w:r>
      <w:r w:rsidR="0006207F">
        <w:t xml:space="preserve">ata </w:t>
      </w:r>
      <w:r>
        <w:t xml:space="preserve">used above </w:t>
      </w:r>
      <w:r w:rsidR="0006207F">
        <w:t xml:space="preserve">see </w:t>
      </w:r>
      <w:r w:rsidRPr="00B26D90">
        <w:rPr>
          <w:color w:val="5B9BD5" w:themeColor="accent5"/>
          <w:u w:val="single"/>
        </w:rPr>
        <w:fldChar w:fldCharType="begin"/>
      </w:r>
      <w:r w:rsidRPr="00B26D90">
        <w:rPr>
          <w:color w:val="5B9BD5" w:themeColor="accent5"/>
          <w:u w:val="single"/>
        </w:rPr>
        <w:instrText xml:space="preserve"> REF _Ref45185363 \r \h </w:instrText>
      </w:r>
      <w:r w:rsidRPr="00B26D90">
        <w:rPr>
          <w:color w:val="5B9BD5" w:themeColor="accent5"/>
          <w:u w:val="single"/>
        </w:rPr>
      </w:r>
      <w:r w:rsidRPr="00B26D90">
        <w:rPr>
          <w:color w:val="5B9BD5" w:themeColor="accent5"/>
          <w:u w:val="single"/>
        </w:rPr>
        <w:fldChar w:fldCharType="separate"/>
      </w:r>
      <w:r w:rsidRPr="00B26D90">
        <w:rPr>
          <w:color w:val="5B9BD5" w:themeColor="accent5"/>
          <w:u w:val="single"/>
        </w:rPr>
        <w:t>Table 11</w:t>
      </w:r>
      <w:r w:rsidRPr="00B26D90">
        <w:rPr>
          <w:color w:val="5B9BD5" w:themeColor="accent5"/>
          <w:u w:val="single"/>
        </w:rPr>
        <w:fldChar w:fldCharType="end"/>
      </w:r>
      <w:r>
        <w:t>.</w:t>
      </w:r>
    </w:p>
    <w:p w14:paraId="0D79D5B3" w14:textId="6E51B8DF" w:rsidR="00214607" w:rsidRDefault="00214607" w:rsidP="006A7AEB">
      <w:pPr>
        <w:pStyle w:val="Heading2"/>
      </w:pPr>
      <w:bookmarkStart w:id="6" w:name="_Toc45530538"/>
      <w:r>
        <w:t xml:space="preserve">Longevity of </w:t>
      </w:r>
      <w:r w:rsidR="004A2EDE">
        <w:t xml:space="preserve">emergency </w:t>
      </w:r>
      <w:r>
        <w:t>temp</w:t>
      </w:r>
      <w:r w:rsidR="002A648E">
        <w:t xml:space="preserve"> &amp; concerns</w:t>
      </w:r>
      <w:bookmarkEnd w:id="6"/>
    </w:p>
    <w:p w14:paraId="3751B7EF" w14:textId="5948FF0A" w:rsidR="002A648E" w:rsidRPr="002A648E" w:rsidRDefault="002A648E" w:rsidP="00B85110">
      <w:pPr>
        <w:pStyle w:val="tablenumbered"/>
      </w:pPr>
      <w:r>
        <w:t>Timelines for emergency accommodation</w:t>
      </w:r>
    </w:p>
    <w:tbl>
      <w:tblPr>
        <w:tblStyle w:val="TableGrid"/>
        <w:tblW w:w="0" w:type="auto"/>
        <w:tblLayout w:type="fixed"/>
        <w:tblLook w:val="04A0" w:firstRow="1" w:lastRow="0" w:firstColumn="1" w:lastColumn="0" w:noHBand="0" w:noVBand="1"/>
      </w:tblPr>
      <w:tblGrid>
        <w:gridCol w:w="3560"/>
        <w:gridCol w:w="3561"/>
        <w:gridCol w:w="3561"/>
      </w:tblGrid>
      <w:tr w:rsidR="006D0A2C" w:rsidRPr="006D0A2C" w14:paraId="5394E47A" w14:textId="77777777" w:rsidTr="006D0A2C">
        <w:trPr>
          <w:trHeight w:val="20"/>
          <w:tblHeader/>
        </w:trPr>
        <w:tc>
          <w:tcPr>
            <w:tcW w:w="3560" w:type="dxa"/>
            <w:shd w:val="clear" w:color="auto" w:fill="000000" w:themeFill="text1"/>
            <w:noWrap/>
            <w:hideMark/>
          </w:tcPr>
          <w:p w14:paraId="1AC15A1D" w14:textId="77777777" w:rsidR="006D0A2C" w:rsidRPr="0086146F" w:rsidRDefault="006D0A2C" w:rsidP="006D0A2C">
            <w:pPr>
              <w:textAlignment w:val="auto"/>
              <w:rPr>
                <w:rFonts w:eastAsia="Times New Roman"/>
                <w:b/>
                <w:color w:val="FFFFFF" w:themeColor="background1"/>
                <w:sz w:val="20"/>
                <w:szCs w:val="20"/>
                <w:lang w:eastAsia="en-GB"/>
              </w:rPr>
            </w:pPr>
            <w:r w:rsidRPr="0086146F">
              <w:rPr>
                <w:rFonts w:eastAsia="Times New Roman"/>
                <w:b/>
                <w:color w:val="FFFFFF" w:themeColor="background1"/>
                <w:sz w:val="20"/>
                <w:szCs w:val="20"/>
                <w:lang w:eastAsia="en-GB"/>
              </w:rPr>
              <w:t> </w:t>
            </w:r>
          </w:p>
        </w:tc>
        <w:tc>
          <w:tcPr>
            <w:tcW w:w="3561" w:type="dxa"/>
            <w:shd w:val="clear" w:color="auto" w:fill="000000" w:themeFill="text1"/>
            <w:hideMark/>
          </w:tcPr>
          <w:p w14:paraId="06AACADD" w14:textId="71A8D03A" w:rsidR="006D0A2C" w:rsidRPr="0086146F" w:rsidRDefault="006D0A2C" w:rsidP="006D0A2C">
            <w:pPr>
              <w:jc w:val="center"/>
              <w:textAlignment w:val="auto"/>
              <w:rPr>
                <w:rFonts w:eastAsia="Times New Roman"/>
                <w:bCs w:val="0"/>
                <w:color w:val="FFFFFF" w:themeColor="background1"/>
                <w:sz w:val="20"/>
                <w:szCs w:val="20"/>
                <w:lang w:eastAsia="en-GB"/>
              </w:rPr>
            </w:pPr>
            <w:r w:rsidRPr="0086146F">
              <w:rPr>
                <w:rFonts w:eastAsia="Times New Roman"/>
                <w:bCs w:val="0"/>
                <w:color w:val="FFFFFF" w:themeColor="background1"/>
                <w:sz w:val="20"/>
                <w:szCs w:val="20"/>
                <w:lang w:eastAsia="en-GB"/>
              </w:rPr>
              <w:t># people @ 1/07/20</w:t>
            </w:r>
          </w:p>
        </w:tc>
        <w:tc>
          <w:tcPr>
            <w:tcW w:w="3561" w:type="dxa"/>
            <w:shd w:val="clear" w:color="auto" w:fill="000000" w:themeFill="text1"/>
            <w:hideMark/>
          </w:tcPr>
          <w:p w14:paraId="61354495" w14:textId="44A43FB7" w:rsidR="006D0A2C" w:rsidRPr="0086146F" w:rsidRDefault="006D0A2C" w:rsidP="006D0A2C">
            <w:pPr>
              <w:textAlignment w:val="auto"/>
              <w:rPr>
                <w:rFonts w:eastAsia="Times New Roman"/>
                <w:bCs w:val="0"/>
                <w:color w:val="FFFFFF" w:themeColor="background1"/>
                <w:sz w:val="20"/>
                <w:szCs w:val="20"/>
                <w:lang w:eastAsia="en-GB"/>
              </w:rPr>
            </w:pPr>
            <w:r w:rsidRPr="0086146F">
              <w:rPr>
                <w:rFonts w:eastAsia="Times New Roman"/>
                <w:bCs w:val="0"/>
                <w:color w:val="FFFFFF" w:themeColor="background1"/>
                <w:sz w:val="20"/>
                <w:szCs w:val="20"/>
                <w:lang w:eastAsia="en-GB"/>
              </w:rPr>
              <w:t xml:space="preserve">Any end dates? </w:t>
            </w:r>
          </w:p>
        </w:tc>
      </w:tr>
      <w:tr w:rsidR="006D0A2C" w:rsidRPr="006D0A2C" w14:paraId="0C7D00EA" w14:textId="77777777" w:rsidTr="006D0A2C">
        <w:trPr>
          <w:trHeight w:val="20"/>
        </w:trPr>
        <w:tc>
          <w:tcPr>
            <w:tcW w:w="3560" w:type="dxa"/>
            <w:shd w:val="clear" w:color="auto" w:fill="D9D9D9" w:themeFill="background1" w:themeFillShade="D9"/>
            <w:noWrap/>
          </w:tcPr>
          <w:p w14:paraId="4184E516" w14:textId="307B5FF6" w:rsidR="006D0A2C" w:rsidRPr="0086146F" w:rsidRDefault="006D0A2C" w:rsidP="006D0A2C">
            <w:pPr>
              <w:textAlignment w:val="auto"/>
              <w:rPr>
                <w:rFonts w:eastAsia="Times New Roman"/>
                <w:b/>
                <w:bCs w:val="0"/>
                <w:sz w:val="20"/>
                <w:szCs w:val="20"/>
                <w:lang w:eastAsia="en-GB"/>
              </w:rPr>
            </w:pPr>
            <w:r w:rsidRPr="0086146F">
              <w:rPr>
                <w:rFonts w:eastAsia="Times New Roman"/>
                <w:b/>
                <w:bCs w:val="0"/>
                <w:sz w:val="20"/>
                <w:szCs w:val="20"/>
                <w:lang w:eastAsia="en-GB"/>
              </w:rPr>
              <w:t>Cambridge</w:t>
            </w:r>
          </w:p>
        </w:tc>
        <w:tc>
          <w:tcPr>
            <w:tcW w:w="3561" w:type="dxa"/>
            <w:shd w:val="clear" w:color="auto" w:fill="D9D9D9" w:themeFill="background1" w:themeFillShade="D9"/>
          </w:tcPr>
          <w:p w14:paraId="22555C74" w14:textId="77777777" w:rsidR="006D0A2C" w:rsidRPr="0086146F" w:rsidRDefault="006D0A2C" w:rsidP="006D0A2C">
            <w:pPr>
              <w:jc w:val="center"/>
              <w:textAlignment w:val="auto"/>
              <w:rPr>
                <w:rFonts w:eastAsia="Times New Roman"/>
                <w:bCs w:val="0"/>
                <w:sz w:val="20"/>
                <w:szCs w:val="20"/>
                <w:lang w:eastAsia="en-GB"/>
              </w:rPr>
            </w:pPr>
          </w:p>
        </w:tc>
        <w:tc>
          <w:tcPr>
            <w:tcW w:w="3561" w:type="dxa"/>
            <w:shd w:val="clear" w:color="auto" w:fill="D9D9D9" w:themeFill="background1" w:themeFillShade="D9"/>
          </w:tcPr>
          <w:p w14:paraId="3FC8915A"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1F6574A7" w14:textId="77777777" w:rsidTr="006D0A2C">
        <w:trPr>
          <w:trHeight w:val="20"/>
        </w:trPr>
        <w:tc>
          <w:tcPr>
            <w:tcW w:w="3560" w:type="dxa"/>
            <w:noWrap/>
            <w:hideMark/>
          </w:tcPr>
          <w:p w14:paraId="3ECE5BDE"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Fenners Hotel, Cambridge</w:t>
            </w:r>
          </w:p>
        </w:tc>
        <w:tc>
          <w:tcPr>
            <w:tcW w:w="3561" w:type="dxa"/>
            <w:hideMark/>
          </w:tcPr>
          <w:p w14:paraId="0DA7192F"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18</w:t>
            </w:r>
          </w:p>
        </w:tc>
        <w:tc>
          <w:tcPr>
            <w:tcW w:w="3561" w:type="dxa"/>
            <w:hideMark/>
          </w:tcPr>
          <w:p w14:paraId="5E7DE921" w14:textId="34AFD98B"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TBC</w:t>
            </w:r>
          </w:p>
        </w:tc>
      </w:tr>
      <w:tr w:rsidR="006D0A2C" w:rsidRPr="006D0A2C" w14:paraId="5D986D7F" w14:textId="77777777" w:rsidTr="006D0A2C">
        <w:trPr>
          <w:trHeight w:val="20"/>
        </w:trPr>
        <w:tc>
          <w:tcPr>
            <w:tcW w:w="3560" w:type="dxa"/>
            <w:noWrap/>
            <w:hideMark/>
          </w:tcPr>
          <w:p w14:paraId="2AF9BFC1"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 xml:space="preserve">Regency Guest House, Cambridge </w:t>
            </w:r>
          </w:p>
        </w:tc>
        <w:tc>
          <w:tcPr>
            <w:tcW w:w="3561" w:type="dxa"/>
            <w:hideMark/>
          </w:tcPr>
          <w:p w14:paraId="4A3E0A15"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13</w:t>
            </w:r>
          </w:p>
        </w:tc>
        <w:tc>
          <w:tcPr>
            <w:tcW w:w="3561" w:type="dxa"/>
            <w:hideMark/>
          </w:tcPr>
          <w:p w14:paraId="49159F98" w14:textId="7777777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No current end date</w:t>
            </w:r>
          </w:p>
        </w:tc>
      </w:tr>
      <w:tr w:rsidR="006D0A2C" w:rsidRPr="006D0A2C" w14:paraId="6072891A" w14:textId="77777777" w:rsidTr="006D0A2C">
        <w:trPr>
          <w:trHeight w:val="20"/>
        </w:trPr>
        <w:tc>
          <w:tcPr>
            <w:tcW w:w="3560" w:type="dxa"/>
            <w:noWrap/>
            <w:hideMark/>
          </w:tcPr>
          <w:p w14:paraId="0D334DE1"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Travelodge Cambridge Central</w:t>
            </w:r>
          </w:p>
        </w:tc>
        <w:tc>
          <w:tcPr>
            <w:tcW w:w="3561" w:type="dxa"/>
            <w:hideMark/>
          </w:tcPr>
          <w:p w14:paraId="043F6172"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35</w:t>
            </w:r>
          </w:p>
        </w:tc>
        <w:tc>
          <w:tcPr>
            <w:tcW w:w="3561" w:type="dxa"/>
            <w:hideMark/>
          </w:tcPr>
          <w:p w14:paraId="0E8A0871" w14:textId="345E19A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 xml:space="preserve">Staged reduction in block booked beds to nil by </w:t>
            </w:r>
            <w:r w:rsidRPr="006A7AEB">
              <w:rPr>
                <w:rFonts w:eastAsia="Times New Roman"/>
                <w:b/>
                <w:bCs w:val="0"/>
                <w:color w:val="000000"/>
                <w:sz w:val="20"/>
                <w:szCs w:val="20"/>
                <w:lang w:eastAsia="en-GB"/>
              </w:rPr>
              <w:t>end of August</w:t>
            </w:r>
          </w:p>
        </w:tc>
      </w:tr>
      <w:tr w:rsidR="006D0A2C" w:rsidRPr="006D0A2C" w14:paraId="544F40B5" w14:textId="77777777" w:rsidTr="006D0A2C">
        <w:trPr>
          <w:trHeight w:val="20"/>
        </w:trPr>
        <w:tc>
          <w:tcPr>
            <w:tcW w:w="3560" w:type="dxa"/>
            <w:noWrap/>
            <w:hideMark/>
          </w:tcPr>
          <w:p w14:paraId="6E881FF2"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4 Ashcroft Gardens, Peterborough</w:t>
            </w:r>
          </w:p>
        </w:tc>
        <w:tc>
          <w:tcPr>
            <w:tcW w:w="3561" w:type="dxa"/>
            <w:hideMark/>
          </w:tcPr>
          <w:p w14:paraId="773E7462"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4</w:t>
            </w:r>
          </w:p>
        </w:tc>
        <w:tc>
          <w:tcPr>
            <w:tcW w:w="3561" w:type="dxa"/>
            <w:hideMark/>
          </w:tcPr>
          <w:p w14:paraId="3203BBFA" w14:textId="7777777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No current end date</w:t>
            </w:r>
          </w:p>
        </w:tc>
      </w:tr>
      <w:tr w:rsidR="006D0A2C" w:rsidRPr="006D0A2C" w14:paraId="2F36130B" w14:textId="77777777" w:rsidTr="006D0A2C">
        <w:trPr>
          <w:trHeight w:val="20"/>
        </w:trPr>
        <w:tc>
          <w:tcPr>
            <w:tcW w:w="3560" w:type="dxa"/>
            <w:noWrap/>
            <w:hideMark/>
          </w:tcPr>
          <w:p w14:paraId="5DFE1808" w14:textId="3A98EA03"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Bene't Street Hostel, Cambridge</w:t>
            </w:r>
          </w:p>
        </w:tc>
        <w:tc>
          <w:tcPr>
            <w:tcW w:w="3561" w:type="dxa"/>
            <w:hideMark/>
          </w:tcPr>
          <w:p w14:paraId="77ECE4D0"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19</w:t>
            </w:r>
          </w:p>
        </w:tc>
        <w:tc>
          <w:tcPr>
            <w:tcW w:w="3561" w:type="dxa"/>
            <w:hideMark/>
          </w:tcPr>
          <w:p w14:paraId="5612EDB5" w14:textId="77777777" w:rsidR="006D0A2C" w:rsidRPr="006A7AEB" w:rsidRDefault="006D0A2C" w:rsidP="006D0A2C">
            <w:pPr>
              <w:textAlignment w:val="auto"/>
              <w:rPr>
                <w:rFonts w:eastAsia="Times New Roman"/>
                <w:b/>
                <w:bCs w:val="0"/>
                <w:color w:val="000000"/>
                <w:sz w:val="20"/>
                <w:szCs w:val="20"/>
                <w:lang w:eastAsia="en-GB"/>
              </w:rPr>
            </w:pPr>
            <w:r w:rsidRPr="006A7AEB">
              <w:rPr>
                <w:rFonts w:eastAsia="Times New Roman"/>
                <w:b/>
                <w:bCs w:val="0"/>
                <w:color w:val="000000"/>
                <w:sz w:val="20"/>
                <w:szCs w:val="20"/>
                <w:lang w:eastAsia="en-GB"/>
              </w:rPr>
              <w:t xml:space="preserve">End August </w:t>
            </w:r>
          </w:p>
        </w:tc>
      </w:tr>
      <w:tr w:rsidR="006D0A2C" w:rsidRPr="006D0A2C" w14:paraId="68D871EE" w14:textId="77777777" w:rsidTr="006D0A2C">
        <w:trPr>
          <w:trHeight w:val="20"/>
        </w:trPr>
        <w:tc>
          <w:tcPr>
            <w:tcW w:w="3560" w:type="dxa"/>
            <w:shd w:val="clear" w:color="auto" w:fill="D9D9D9" w:themeFill="background1" w:themeFillShade="D9"/>
            <w:noWrap/>
          </w:tcPr>
          <w:p w14:paraId="253E6B38" w14:textId="081D3544" w:rsidR="006D0A2C" w:rsidRPr="0086146F" w:rsidRDefault="006D0A2C" w:rsidP="006D0A2C">
            <w:pPr>
              <w:textAlignment w:val="auto"/>
              <w:rPr>
                <w:rFonts w:eastAsia="Times New Roman"/>
                <w:b/>
                <w:bCs w:val="0"/>
                <w:sz w:val="20"/>
                <w:szCs w:val="20"/>
                <w:lang w:eastAsia="en-GB"/>
              </w:rPr>
            </w:pPr>
            <w:r w:rsidRPr="0086146F">
              <w:rPr>
                <w:rFonts w:eastAsia="Times New Roman"/>
                <w:b/>
                <w:bCs w:val="0"/>
                <w:sz w:val="20"/>
                <w:szCs w:val="20"/>
                <w:lang w:eastAsia="en-GB"/>
              </w:rPr>
              <w:t>ECDC</w:t>
            </w:r>
          </w:p>
        </w:tc>
        <w:tc>
          <w:tcPr>
            <w:tcW w:w="3561" w:type="dxa"/>
            <w:shd w:val="clear" w:color="auto" w:fill="D9D9D9" w:themeFill="background1" w:themeFillShade="D9"/>
          </w:tcPr>
          <w:p w14:paraId="66A41A55" w14:textId="77777777" w:rsidR="006D0A2C" w:rsidRPr="0086146F" w:rsidRDefault="006D0A2C" w:rsidP="006D0A2C">
            <w:pPr>
              <w:jc w:val="center"/>
              <w:textAlignment w:val="auto"/>
              <w:rPr>
                <w:rFonts w:eastAsia="Times New Roman"/>
                <w:bCs w:val="0"/>
                <w:sz w:val="20"/>
                <w:szCs w:val="20"/>
                <w:lang w:eastAsia="en-GB"/>
              </w:rPr>
            </w:pPr>
          </w:p>
        </w:tc>
        <w:tc>
          <w:tcPr>
            <w:tcW w:w="3561" w:type="dxa"/>
            <w:shd w:val="clear" w:color="auto" w:fill="D9D9D9" w:themeFill="background1" w:themeFillShade="D9"/>
          </w:tcPr>
          <w:p w14:paraId="40932AA9"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35C85D2A" w14:textId="77777777" w:rsidTr="006D0A2C">
        <w:trPr>
          <w:trHeight w:val="20"/>
        </w:trPr>
        <w:tc>
          <w:tcPr>
            <w:tcW w:w="3560" w:type="dxa"/>
            <w:noWrap/>
            <w:hideMark/>
          </w:tcPr>
          <w:p w14:paraId="4011D990"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Ely Hostel</w:t>
            </w:r>
          </w:p>
        </w:tc>
        <w:tc>
          <w:tcPr>
            <w:tcW w:w="3561" w:type="dxa"/>
            <w:hideMark/>
          </w:tcPr>
          <w:p w14:paraId="07D439CA"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3</w:t>
            </w:r>
          </w:p>
        </w:tc>
        <w:tc>
          <w:tcPr>
            <w:tcW w:w="3561" w:type="dxa"/>
            <w:vMerge w:val="restart"/>
            <w:hideMark/>
          </w:tcPr>
          <w:p w14:paraId="73B9B101" w14:textId="1EA0C1AA"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 xml:space="preserve">All ECDC's </w:t>
            </w:r>
            <w:r w:rsidRPr="0086146F">
              <w:rPr>
                <w:rFonts w:eastAsia="Times New Roman"/>
                <w:bCs w:val="0"/>
                <w:color w:val="000000"/>
                <w:sz w:val="20"/>
                <w:szCs w:val="20"/>
                <w:u w:val="single"/>
                <w:lang w:eastAsia="en-GB"/>
              </w:rPr>
              <w:t>own</w:t>
            </w:r>
            <w:r w:rsidRPr="0086146F">
              <w:rPr>
                <w:rFonts w:eastAsia="Times New Roman"/>
                <w:bCs w:val="0"/>
                <w:color w:val="000000"/>
                <w:sz w:val="20"/>
                <w:szCs w:val="20"/>
                <w:lang w:eastAsia="en-GB"/>
              </w:rPr>
              <w:t xml:space="preserve"> temporary accommodation so no set end date. (Also not Rough Sleepers)</w:t>
            </w:r>
          </w:p>
        </w:tc>
      </w:tr>
      <w:tr w:rsidR="006D0A2C" w:rsidRPr="006D0A2C" w14:paraId="2AEB4938" w14:textId="77777777" w:rsidTr="006D0A2C">
        <w:trPr>
          <w:trHeight w:val="20"/>
        </w:trPr>
        <w:tc>
          <w:tcPr>
            <w:tcW w:w="3560" w:type="dxa"/>
            <w:noWrap/>
            <w:hideMark/>
          </w:tcPr>
          <w:p w14:paraId="4F7AA96A"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Burwell Hostel</w:t>
            </w:r>
          </w:p>
        </w:tc>
        <w:tc>
          <w:tcPr>
            <w:tcW w:w="3561" w:type="dxa"/>
            <w:hideMark/>
          </w:tcPr>
          <w:p w14:paraId="2FC218CE"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443E73BF"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2DAC5F79" w14:textId="77777777" w:rsidTr="006D0A2C">
        <w:trPr>
          <w:trHeight w:val="20"/>
        </w:trPr>
        <w:tc>
          <w:tcPr>
            <w:tcW w:w="3560" w:type="dxa"/>
            <w:noWrap/>
            <w:hideMark/>
          </w:tcPr>
          <w:p w14:paraId="753C6F4A"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Littleport Hostel</w:t>
            </w:r>
          </w:p>
        </w:tc>
        <w:tc>
          <w:tcPr>
            <w:tcW w:w="3561" w:type="dxa"/>
            <w:hideMark/>
          </w:tcPr>
          <w:p w14:paraId="2A866511"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00E00855"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03F5DD76" w14:textId="77777777" w:rsidTr="006D0A2C">
        <w:trPr>
          <w:trHeight w:val="20"/>
        </w:trPr>
        <w:tc>
          <w:tcPr>
            <w:tcW w:w="3560" w:type="dxa"/>
            <w:shd w:val="clear" w:color="auto" w:fill="D9D9D9" w:themeFill="background1" w:themeFillShade="D9"/>
            <w:noWrap/>
          </w:tcPr>
          <w:p w14:paraId="2C708A8A" w14:textId="31D28452" w:rsidR="006D0A2C" w:rsidRPr="0086146F" w:rsidRDefault="006D0A2C" w:rsidP="006D0A2C">
            <w:pPr>
              <w:textAlignment w:val="auto"/>
              <w:rPr>
                <w:rFonts w:eastAsia="Times New Roman"/>
                <w:bCs w:val="0"/>
                <w:sz w:val="20"/>
                <w:szCs w:val="20"/>
                <w:lang w:eastAsia="en-GB"/>
              </w:rPr>
            </w:pPr>
            <w:r w:rsidRPr="0086146F">
              <w:rPr>
                <w:rFonts w:eastAsia="Times New Roman"/>
                <w:b/>
                <w:sz w:val="20"/>
                <w:szCs w:val="20"/>
                <w:lang w:eastAsia="en-GB"/>
              </w:rPr>
              <w:t>Fenland</w:t>
            </w:r>
          </w:p>
        </w:tc>
        <w:tc>
          <w:tcPr>
            <w:tcW w:w="3561" w:type="dxa"/>
            <w:shd w:val="clear" w:color="auto" w:fill="D9D9D9" w:themeFill="background1" w:themeFillShade="D9"/>
          </w:tcPr>
          <w:p w14:paraId="747F8C72" w14:textId="77777777" w:rsidR="006D0A2C" w:rsidRPr="0086146F" w:rsidRDefault="006D0A2C" w:rsidP="006D0A2C">
            <w:pPr>
              <w:jc w:val="center"/>
              <w:textAlignment w:val="auto"/>
              <w:rPr>
                <w:rFonts w:eastAsia="Times New Roman"/>
                <w:bCs w:val="0"/>
                <w:sz w:val="20"/>
                <w:szCs w:val="20"/>
                <w:lang w:eastAsia="en-GB"/>
              </w:rPr>
            </w:pPr>
          </w:p>
        </w:tc>
        <w:tc>
          <w:tcPr>
            <w:tcW w:w="3561" w:type="dxa"/>
            <w:shd w:val="clear" w:color="auto" w:fill="D9D9D9" w:themeFill="background1" w:themeFillShade="D9"/>
          </w:tcPr>
          <w:p w14:paraId="5C3BFA15"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2EFEB56F" w14:textId="77777777" w:rsidTr="006D0A2C">
        <w:trPr>
          <w:trHeight w:val="20"/>
        </w:trPr>
        <w:tc>
          <w:tcPr>
            <w:tcW w:w="3560" w:type="dxa"/>
            <w:noWrap/>
            <w:hideMark/>
          </w:tcPr>
          <w:p w14:paraId="0E677271"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32 Magazine Close Wisbech</w:t>
            </w:r>
          </w:p>
        </w:tc>
        <w:tc>
          <w:tcPr>
            <w:tcW w:w="3561" w:type="dxa"/>
            <w:hideMark/>
          </w:tcPr>
          <w:p w14:paraId="319E0CD4"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val="restart"/>
            <w:hideMark/>
          </w:tcPr>
          <w:p w14:paraId="61CE1FDC" w14:textId="4A9539DE"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No specific end dates</w:t>
            </w:r>
            <w:r w:rsidR="00750C79">
              <w:rPr>
                <w:rFonts w:eastAsia="Times New Roman"/>
                <w:bCs w:val="0"/>
                <w:color w:val="000000"/>
                <w:sz w:val="20"/>
                <w:szCs w:val="20"/>
                <w:lang w:eastAsia="en-GB"/>
              </w:rPr>
              <w:t>.</w:t>
            </w:r>
          </w:p>
          <w:p w14:paraId="175EE833" w14:textId="3BA9314F" w:rsidR="006D0A2C" w:rsidRPr="0086146F" w:rsidRDefault="006D0A2C" w:rsidP="006D0A2C">
            <w:pPr>
              <w:rPr>
                <w:rFonts w:eastAsia="Times New Roman"/>
                <w:bCs w:val="0"/>
                <w:color w:val="000000"/>
                <w:sz w:val="20"/>
                <w:szCs w:val="20"/>
                <w:lang w:eastAsia="en-GB"/>
              </w:rPr>
            </w:pPr>
            <w:r w:rsidRPr="0086146F">
              <w:rPr>
                <w:rFonts w:eastAsia="Times New Roman"/>
                <w:bCs w:val="0"/>
                <w:color w:val="000000"/>
                <w:sz w:val="20"/>
                <w:szCs w:val="20"/>
                <w:lang w:eastAsia="en-GB"/>
              </w:rPr>
              <w:t> </w:t>
            </w:r>
          </w:p>
        </w:tc>
      </w:tr>
      <w:tr w:rsidR="006D0A2C" w:rsidRPr="006D0A2C" w14:paraId="2EC9FB11" w14:textId="77777777" w:rsidTr="006D0A2C">
        <w:trPr>
          <w:trHeight w:val="20"/>
        </w:trPr>
        <w:tc>
          <w:tcPr>
            <w:tcW w:w="3560" w:type="dxa"/>
            <w:noWrap/>
            <w:hideMark/>
          </w:tcPr>
          <w:p w14:paraId="504A3763" w14:textId="178890C8"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58 Burcroft Road, Wisbech</w:t>
            </w:r>
          </w:p>
        </w:tc>
        <w:tc>
          <w:tcPr>
            <w:tcW w:w="3561" w:type="dxa"/>
            <w:hideMark/>
          </w:tcPr>
          <w:p w14:paraId="4A3BBDAF"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70E8D1EA" w14:textId="7A8176F1" w:rsidR="006D0A2C" w:rsidRPr="0086146F" w:rsidRDefault="006D0A2C" w:rsidP="006D0A2C">
            <w:pPr>
              <w:rPr>
                <w:rFonts w:eastAsia="Times New Roman"/>
                <w:bCs w:val="0"/>
                <w:color w:val="000000"/>
                <w:sz w:val="20"/>
                <w:szCs w:val="20"/>
                <w:lang w:eastAsia="en-GB"/>
              </w:rPr>
            </w:pPr>
          </w:p>
        </w:tc>
      </w:tr>
      <w:tr w:rsidR="006D0A2C" w:rsidRPr="006D0A2C" w14:paraId="2999D24C" w14:textId="77777777" w:rsidTr="006D0A2C">
        <w:trPr>
          <w:trHeight w:val="20"/>
        </w:trPr>
        <w:tc>
          <w:tcPr>
            <w:tcW w:w="3560" w:type="dxa"/>
            <w:noWrap/>
            <w:hideMark/>
          </w:tcPr>
          <w:p w14:paraId="53DA83BC" w14:textId="43A2E152"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The White Lion Hotel, Wisbech</w:t>
            </w:r>
            <w:r w:rsidR="00750C79">
              <w:rPr>
                <w:rFonts w:eastAsia="Times New Roman"/>
                <w:bCs w:val="0"/>
                <w:sz w:val="20"/>
                <w:szCs w:val="20"/>
                <w:lang w:eastAsia="en-GB"/>
              </w:rPr>
              <w:t xml:space="preserve"> </w:t>
            </w:r>
            <w:r w:rsidR="00750C79" w:rsidRPr="00750C79">
              <w:rPr>
                <w:rFonts w:eastAsia="Times New Roman"/>
                <w:b/>
                <w:bCs w:val="0"/>
                <w:sz w:val="20"/>
                <w:szCs w:val="20"/>
                <w:lang w:eastAsia="en-GB"/>
              </w:rPr>
              <w:t>B&amp;B</w:t>
            </w:r>
          </w:p>
        </w:tc>
        <w:tc>
          <w:tcPr>
            <w:tcW w:w="3561" w:type="dxa"/>
            <w:hideMark/>
          </w:tcPr>
          <w:p w14:paraId="00FCA409" w14:textId="3F3DDF0E" w:rsidR="006D0A2C" w:rsidRPr="0086146F" w:rsidRDefault="006D0A2C" w:rsidP="00750C79">
            <w:pPr>
              <w:jc w:val="center"/>
              <w:textAlignment w:val="auto"/>
              <w:rPr>
                <w:rFonts w:eastAsia="Times New Roman"/>
                <w:bCs w:val="0"/>
                <w:sz w:val="20"/>
                <w:szCs w:val="20"/>
                <w:lang w:eastAsia="en-GB"/>
              </w:rPr>
            </w:pPr>
            <w:r w:rsidRPr="0086146F">
              <w:rPr>
                <w:rFonts w:eastAsia="Times New Roman"/>
                <w:bCs w:val="0"/>
                <w:sz w:val="20"/>
                <w:szCs w:val="20"/>
                <w:lang w:eastAsia="en-GB"/>
              </w:rPr>
              <w:t>18</w:t>
            </w:r>
          </w:p>
        </w:tc>
        <w:tc>
          <w:tcPr>
            <w:tcW w:w="3561" w:type="dxa"/>
            <w:vMerge/>
            <w:hideMark/>
          </w:tcPr>
          <w:p w14:paraId="772D8D7C" w14:textId="2FF15E09" w:rsidR="006D0A2C" w:rsidRPr="0086146F" w:rsidRDefault="006D0A2C" w:rsidP="006D0A2C">
            <w:pPr>
              <w:rPr>
                <w:rFonts w:eastAsia="Times New Roman"/>
                <w:bCs w:val="0"/>
                <w:color w:val="000000"/>
                <w:sz w:val="20"/>
                <w:szCs w:val="20"/>
                <w:lang w:eastAsia="en-GB"/>
              </w:rPr>
            </w:pPr>
          </w:p>
        </w:tc>
      </w:tr>
      <w:tr w:rsidR="006D0A2C" w:rsidRPr="006D0A2C" w14:paraId="7F6C9A87" w14:textId="77777777" w:rsidTr="006D0A2C">
        <w:trPr>
          <w:trHeight w:val="20"/>
        </w:trPr>
        <w:tc>
          <w:tcPr>
            <w:tcW w:w="3560" w:type="dxa"/>
            <w:noWrap/>
            <w:hideMark/>
          </w:tcPr>
          <w:p w14:paraId="732EDF6E"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341 Eastfield Road, Peterborough</w:t>
            </w:r>
          </w:p>
        </w:tc>
        <w:tc>
          <w:tcPr>
            <w:tcW w:w="3561" w:type="dxa"/>
            <w:hideMark/>
          </w:tcPr>
          <w:p w14:paraId="683E7712" w14:textId="5FE560CE" w:rsidR="006D0A2C" w:rsidRPr="0086146F" w:rsidRDefault="006D0A2C" w:rsidP="00750C79">
            <w:pPr>
              <w:jc w:val="center"/>
              <w:textAlignment w:val="auto"/>
              <w:rPr>
                <w:rFonts w:eastAsia="Times New Roman"/>
                <w:bCs w:val="0"/>
                <w:sz w:val="20"/>
                <w:szCs w:val="20"/>
                <w:lang w:eastAsia="en-GB"/>
              </w:rPr>
            </w:pPr>
            <w:r w:rsidRPr="0086146F">
              <w:rPr>
                <w:rFonts w:eastAsia="Times New Roman"/>
                <w:bCs w:val="0"/>
                <w:sz w:val="20"/>
                <w:szCs w:val="20"/>
                <w:lang w:eastAsia="en-GB"/>
              </w:rPr>
              <w:t>0</w:t>
            </w:r>
          </w:p>
        </w:tc>
        <w:tc>
          <w:tcPr>
            <w:tcW w:w="3561" w:type="dxa"/>
            <w:vMerge/>
            <w:hideMark/>
          </w:tcPr>
          <w:p w14:paraId="3F6ACDF9" w14:textId="28BA5502" w:rsidR="006D0A2C" w:rsidRPr="0086146F" w:rsidRDefault="006D0A2C" w:rsidP="006D0A2C">
            <w:pPr>
              <w:rPr>
                <w:rFonts w:eastAsia="Times New Roman"/>
                <w:bCs w:val="0"/>
                <w:color w:val="000000"/>
                <w:sz w:val="20"/>
                <w:szCs w:val="20"/>
                <w:lang w:eastAsia="en-GB"/>
              </w:rPr>
            </w:pPr>
          </w:p>
        </w:tc>
      </w:tr>
      <w:tr w:rsidR="006D0A2C" w:rsidRPr="006D0A2C" w14:paraId="5312C584" w14:textId="77777777" w:rsidTr="006D0A2C">
        <w:trPr>
          <w:trHeight w:val="20"/>
        </w:trPr>
        <w:tc>
          <w:tcPr>
            <w:tcW w:w="3560" w:type="dxa"/>
            <w:noWrap/>
            <w:hideMark/>
          </w:tcPr>
          <w:p w14:paraId="02357A6B"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109 Park Road, Peterborough</w:t>
            </w:r>
          </w:p>
        </w:tc>
        <w:tc>
          <w:tcPr>
            <w:tcW w:w="3561" w:type="dxa"/>
            <w:hideMark/>
          </w:tcPr>
          <w:p w14:paraId="58A6043B" w14:textId="7361FF62" w:rsidR="006D0A2C" w:rsidRPr="0086146F" w:rsidRDefault="00750C79" w:rsidP="00750C79">
            <w:pPr>
              <w:jc w:val="center"/>
              <w:textAlignment w:val="auto"/>
              <w:rPr>
                <w:rFonts w:eastAsia="Times New Roman"/>
                <w:bCs w:val="0"/>
                <w:sz w:val="20"/>
                <w:szCs w:val="20"/>
                <w:lang w:eastAsia="en-GB"/>
              </w:rPr>
            </w:pPr>
            <w:r>
              <w:rPr>
                <w:rFonts w:eastAsia="Times New Roman"/>
                <w:bCs w:val="0"/>
                <w:sz w:val="20"/>
                <w:szCs w:val="20"/>
                <w:lang w:eastAsia="en-GB"/>
              </w:rPr>
              <w:t>0</w:t>
            </w:r>
          </w:p>
        </w:tc>
        <w:tc>
          <w:tcPr>
            <w:tcW w:w="3561" w:type="dxa"/>
            <w:vMerge/>
            <w:hideMark/>
          </w:tcPr>
          <w:p w14:paraId="73FD2F76" w14:textId="06BD6187" w:rsidR="006D0A2C" w:rsidRPr="0086146F" w:rsidRDefault="006D0A2C" w:rsidP="006D0A2C">
            <w:pPr>
              <w:rPr>
                <w:rFonts w:eastAsia="Times New Roman"/>
                <w:bCs w:val="0"/>
                <w:color w:val="000000"/>
                <w:sz w:val="20"/>
                <w:szCs w:val="20"/>
                <w:lang w:eastAsia="en-GB"/>
              </w:rPr>
            </w:pPr>
          </w:p>
        </w:tc>
      </w:tr>
      <w:tr w:rsidR="006D0A2C" w:rsidRPr="006D0A2C" w14:paraId="0F7BB4BD" w14:textId="77777777" w:rsidTr="006D0A2C">
        <w:trPr>
          <w:trHeight w:val="20"/>
        </w:trPr>
        <w:tc>
          <w:tcPr>
            <w:tcW w:w="3560" w:type="dxa"/>
            <w:noWrap/>
            <w:hideMark/>
          </w:tcPr>
          <w:p w14:paraId="5EEE1DD9"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 xml:space="preserve">Ferry Project, Wisbech </w:t>
            </w:r>
          </w:p>
        </w:tc>
        <w:tc>
          <w:tcPr>
            <w:tcW w:w="3561" w:type="dxa"/>
            <w:hideMark/>
          </w:tcPr>
          <w:p w14:paraId="6FFBE92B"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11</w:t>
            </w:r>
          </w:p>
        </w:tc>
        <w:tc>
          <w:tcPr>
            <w:tcW w:w="3561" w:type="dxa"/>
            <w:vMerge/>
            <w:hideMark/>
          </w:tcPr>
          <w:p w14:paraId="2E2D0092" w14:textId="795BFB06" w:rsidR="006D0A2C" w:rsidRPr="0086146F" w:rsidRDefault="006D0A2C" w:rsidP="006D0A2C">
            <w:pPr>
              <w:rPr>
                <w:rFonts w:eastAsia="Times New Roman"/>
                <w:bCs w:val="0"/>
                <w:color w:val="000000"/>
                <w:sz w:val="20"/>
                <w:szCs w:val="20"/>
                <w:lang w:eastAsia="en-GB"/>
              </w:rPr>
            </w:pPr>
          </w:p>
        </w:tc>
      </w:tr>
      <w:tr w:rsidR="006D0A2C" w:rsidRPr="006D0A2C" w14:paraId="0551C4FB" w14:textId="77777777" w:rsidTr="006D0A2C">
        <w:trPr>
          <w:trHeight w:val="20"/>
        </w:trPr>
        <w:tc>
          <w:tcPr>
            <w:tcW w:w="3560" w:type="dxa"/>
            <w:tcBorders>
              <w:bottom w:val="single" w:sz="4" w:space="0" w:color="auto"/>
            </w:tcBorders>
            <w:noWrap/>
            <w:hideMark/>
          </w:tcPr>
          <w:p w14:paraId="57437980"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Rose and Crown Wisbech</w:t>
            </w:r>
          </w:p>
        </w:tc>
        <w:tc>
          <w:tcPr>
            <w:tcW w:w="3561" w:type="dxa"/>
            <w:tcBorders>
              <w:bottom w:val="single" w:sz="4" w:space="0" w:color="auto"/>
            </w:tcBorders>
            <w:hideMark/>
          </w:tcPr>
          <w:p w14:paraId="5298F95E"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8</w:t>
            </w:r>
          </w:p>
        </w:tc>
        <w:tc>
          <w:tcPr>
            <w:tcW w:w="3561" w:type="dxa"/>
            <w:vMerge/>
            <w:tcBorders>
              <w:bottom w:val="single" w:sz="4" w:space="0" w:color="auto"/>
            </w:tcBorders>
            <w:hideMark/>
          </w:tcPr>
          <w:p w14:paraId="51A36B21" w14:textId="65E9F1A3" w:rsidR="006D0A2C" w:rsidRPr="0086146F" w:rsidRDefault="006D0A2C" w:rsidP="006D0A2C">
            <w:pPr>
              <w:textAlignment w:val="auto"/>
              <w:rPr>
                <w:rFonts w:eastAsia="Times New Roman"/>
                <w:bCs w:val="0"/>
                <w:color w:val="000000"/>
                <w:sz w:val="20"/>
                <w:szCs w:val="20"/>
                <w:lang w:eastAsia="en-GB"/>
              </w:rPr>
            </w:pPr>
          </w:p>
        </w:tc>
      </w:tr>
      <w:tr w:rsidR="006D0A2C" w:rsidRPr="006D0A2C" w14:paraId="5179F64E" w14:textId="77777777" w:rsidTr="006D0A2C">
        <w:trPr>
          <w:trHeight w:val="20"/>
        </w:trPr>
        <w:tc>
          <w:tcPr>
            <w:tcW w:w="10682" w:type="dxa"/>
            <w:gridSpan w:val="3"/>
            <w:tcBorders>
              <w:bottom w:val="single" w:sz="4" w:space="0" w:color="auto"/>
            </w:tcBorders>
            <w:noWrap/>
          </w:tcPr>
          <w:p w14:paraId="69A09B7D" w14:textId="176431EB" w:rsidR="006D0A2C" w:rsidRPr="0086146F" w:rsidRDefault="006D0A2C" w:rsidP="00750C79">
            <w:pPr>
              <w:rPr>
                <w:rFonts w:eastAsia="Times New Roman"/>
                <w:bCs w:val="0"/>
                <w:color w:val="000000"/>
                <w:sz w:val="20"/>
                <w:szCs w:val="20"/>
                <w:lang w:eastAsia="en-GB"/>
              </w:rPr>
            </w:pPr>
            <w:r w:rsidRPr="0086146F">
              <w:rPr>
                <w:sz w:val="20"/>
                <w:szCs w:val="20"/>
              </w:rPr>
              <w:t xml:space="preserve">Concerns: The concern is those placed in B&amp;B </w:t>
            </w:r>
            <w:r w:rsidR="00750C79">
              <w:rPr>
                <w:sz w:val="20"/>
                <w:szCs w:val="20"/>
              </w:rPr>
              <w:t xml:space="preserve">(i.e. White Lyon Hotel) </w:t>
            </w:r>
            <w:r w:rsidRPr="0086146F">
              <w:rPr>
                <w:sz w:val="20"/>
                <w:szCs w:val="20"/>
              </w:rPr>
              <w:t>for when they start to open for the general public. 39 placed in B&amp;B</w:t>
            </w:r>
            <w:r w:rsidR="00750C79">
              <w:rPr>
                <w:sz w:val="20"/>
                <w:szCs w:val="20"/>
              </w:rPr>
              <w:t xml:space="preserve"> at time of return, now 18 at 1</w:t>
            </w:r>
            <w:r w:rsidR="00750C79" w:rsidRPr="00750C79">
              <w:rPr>
                <w:sz w:val="20"/>
                <w:szCs w:val="20"/>
                <w:vertAlign w:val="superscript"/>
              </w:rPr>
              <w:t>st</w:t>
            </w:r>
            <w:r w:rsidR="00750C79">
              <w:rPr>
                <w:sz w:val="20"/>
                <w:szCs w:val="20"/>
              </w:rPr>
              <w:t xml:space="preserve"> July</w:t>
            </w:r>
            <w:r w:rsidRPr="0086146F">
              <w:rPr>
                <w:sz w:val="20"/>
                <w:szCs w:val="20"/>
              </w:rPr>
              <w:t xml:space="preserve">. Also, the council has a gap in funding of £211k until the middle of June and COVID received funding does not meet the council’s financial commitments. </w:t>
            </w:r>
          </w:p>
        </w:tc>
      </w:tr>
      <w:tr w:rsidR="006D0A2C" w:rsidRPr="006D0A2C" w14:paraId="4D0CA856" w14:textId="77777777" w:rsidTr="006D0A2C">
        <w:trPr>
          <w:trHeight w:val="20"/>
        </w:trPr>
        <w:tc>
          <w:tcPr>
            <w:tcW w:w="3560" w:type="dxa"/>
            <w:tcBorders>
              <w:top w:val="nil"/>
            </w:tcBorders>
            <w:shd w:val="clear" w:color="auto" w:fill="D9D9D9" w:themeFill="background1" w:themeFillShade="D9"/>
            <w:noWrap/>
          </w:tcPr>
          <w:p w14:paraId="295615AE" w14:textId="179871FF" w:rsidR="006D0A2C" w:rsidRPr="0086146F" w:rsidRDefault="006D0A2C" w:rsidP="006D0A2C">
            <w:pPr>
              <w:textAlignment w:val="auto"/>
              <w:rPr>
                <w:rFonts w:eastAsia="Times New Roman"/>
                <w:b/>
                <w:bCs w:val="0"/>
                <w:sz w:val="20"/>
                <w:szCs w:val="20"/>
                <w:lang w:eastAsia="en-GB"/>
              </w:rPr>
            </w:pPr>
            <w:r w:rsidRPr="0086146F">
              <w:rPr>
                <w:rFonts w:eastAsia="Times New Roman"/>
                <w:b/>
                <w:bCs w:val="0"/>
                <w:sz w:val="20"/>
                <w:szCs w:val="20"/>
                <w:lang w:eastAsia="en-GB"/>
              </w:rPr>
              <w:t>Huntingdonshire</w:t>
            </w:r>
          </w:p>
        </w:tc>
        <w:tc>
          <w:tcPr>
            <w:tcW w:w="3561" w:type="dxa"/>
            <w:tcBorders>
              <w:top w:val="nil"/>
            </w:tcBorders>
            <w:shd w:val="clear" w:color="auto" w:fill="D9D9D9" w:themeFill="background1" w:themeFillShade="D9"/>
          </w:tcPr>
          <w:p w14:paraId="668A77F2" w14:textId="77777777" w:rsidR="006D0A2C" w:rsidRPr="0086146F" w:rsidRDefault="006D0A2C" w:rsidP="006D0A2C">
            <w:pPr>
              <w:jc w:val="center"/>
              <w:textAlignment w:val="auto"/>
              <w:rPr>
                <w:rFonts w:eastAsia="Times New Roman"/>
                <w:bCs w:val="0"/>
                <w:sz w:val="20"/>
                <w:szCs w:val="20"/>
                <w:lang w:eastAsia="en-GB"/>
              </w:rPr>
            </w:pPr>
          </w:p>
        </w:tc>
        <w:tc>
          <w:tcPr>
            <w:tcW w:w="3561" w:type="dxa"/>
            <w:tcBorders>
              <w:top w:val="nil"/>
            </w:tcBorders>
            <w:shd w:val="clear" w:color="auto" w:fill="D9D9D9" w:themeFill="background1" w:themeFillShade="D9"/>
          </w:tcPr>
          <w:p w14:paraId="6928608B"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73C5DDF4" w14:textId="77777777" w:rsidTr="006D0A2C">
        <w:trPr>
          <w:trHeight w:val="20"/>
        </w:trPr>
        <w:tc>
          <w:tcPr>
            <w:tcW w:w="3560" w:type="dxa"/>
            <w:noWrap/>
            <w:hideMark/>
          </w:tcPr>
          <w:p w14:paraId="2FB9666D"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Coneygear Court</w:t>
            </w:r>
          </w:p>
        </w:tc>
        <w:tc>
          <w:tcPr>
            <w:tcW w:w="3561" w:type="dxa"/>
            <w:hideMark/>
          </w:tcPr>
          <w:p w14:paraId="769B2768" w14:textId="55FEF8CC"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No more than 1</w:t>
            </w:r>
          </w:p>
        </w:tc>
        <w:tc>
          <w:tcPr>
            <w:tcW w:w="3561" w:type="dxa"/>
            <w:vMerge w:val="restart"/>
            <w:hideMark/>
          </w:tcPr>
          <w:p w14:paraId="271187F3" w14:textId="14AABB5D"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No specific end dates</w:t>
            </w:r>
          </w:p>
          <w:p w14:paraId="3943A962" w14:textId="669946A6" w:rsidR="006D0A2C" w:rsidRPr="0086146F" w:rsidRDefault="006D0A2C" w:rsidP="006D0A2C">
            <w:pPr>
              <w:rPr>
                <w:rFonts w:eastAsia="Times New Roman"/>
                <w:bCs w:val="0"/>
                <w:color w:val="000000"/>
                <w:sz w:val="20"/>
                <w:szCs w:val="20"/>
                <w:lang w:eastAsia="en-GB"/>
              </w:rPr>
            </w:pPr>
            <w:r w:rsidRPr="0086146F">
              <w:rPr>
                <w:rFonts w:eastAsia="Times New Roman"/>
                <w:bCs w:val="0"/>
                <w:color w:val="000000"/>
                <w:sz w:val="20"/>
                <w:szCs w:val="20"/>
                <w:lang w:eastAsia="en-GB"/>
              </w:rPr>
              <w:t> </w:t>
            </w:r>
          </w:p>
        </w:tc>
      </w:tr>
      <w:tr w:rsidR="006D0A2C" w:rsidRPr="006D0A2C" w14:paraId="70A13033" w14:textId="77777777" w:rsidTr="006D0A2C">
        <w:trPr>
          <w:trHeight w:val="20"/>
        </w:trPr>
        <w:tc>
          <w:tcPr>
            <w:tcW w:w="3560" w:type="dxa"/>
            <w:noWrap/>
            <w:hideMark/>
          </w:tcPr>
          <w:p w14:paraId="341230A7"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6 St Clements Passage</w:t>
            </w:r>
          </w:p>
        </w:tc>
        <w:tc>
          <w:tcPr>
            <w:tcW w:w="3561" w:type="dxa"/>
            <w:noWrap/>
            <w:hideMark/>
          </w:tcPr>
          <w:p w14:paraId="38E13F33"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34425AC6" w14:textId="6B0E98D7" w:rsidR="006D0A2C" w:rsidRPr="0086146F" w:rsidRDefault="006D0A2C" w:rsidP="006D0A2C">
            <w:pPr>
              <w:rPr>
                <w:rFonts w:eastAsia="Times New Roman"/>
                <w:bCs w:val="0"/>
                <w:color w:val="000000"/>
                <w:sz w:val="20"/>
                <w:szCs w:val="20"/>
                <w:lang w:eastAsia="en-GB"/>
              </w:rPr>
            </w:pPr>
          </w:p>
        </w:tc>
      </w:tr>
      <w:tr w:rsidR="006D0A2C" w:rsidRPr="006D0A2C" w14:paraId="55B196ED" w14:textId="77777777" w:rsidTr="006D0A2C">
        <w:trPr>
          <w:trHeight w:val="20"/>
        </w:trPr>
        <w:tc>
          <w:tcPr>
            <w:tcW w:w="3560" w:type="dxa"/>
            <w:noWrap/>
            <w:hideMark/>
          </w:tcPr>
          <w:p w14:paraId="3DC900AB"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Dolphin Hotel, London Road</w:t>
            </w:r>
          </w:p>
        </w:tc>
        <w:tc>
          <w:tcPr>
            <w:tcW w:w="3561" w:type="dxa"/>
            <w:hideMark/>
          </w:tcPr>
          <w:p w14:paraId="632B75EA"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9</w:t>
            </w:r>
          </w:p>
        </w:tc>
        <w:tc>
          <w:tcPr>
            <w:tcW w:w="3561" w:type="dxa"/>
            <w:vMerge/>
            <w:hideMark/>
          </w:tcPr>
          <w:p w14:paraId="15576B07" w14:textId="68A02518" w:rsidR="006D0A2C" w:rsidRPr="0086146F" w:rsidRDefault="006D0A2C" w:rsidP="006D0A2C">
            <w:pPr>
              <w:rPr>
                <w:rFonts w:eastAsia="Times New Roman"/>
                <w:bCs w:val="0"/>
                <w:color w:val="000000"/>
                <w:sz w:val="20"/>
                <w:szCs w:val="20"/>
                <w:lang w:eastAsia="en-GB"/>
              </w:rPr>
            </w:pPr>
          </w:p>
        </w:tc>
      </w:tr>
      <w:tr w:rsidR="006D0A2C" w:rsidRPr="006D0A2C" w14:paraId="72D59EBC" w14:textId="77777777" w:rsidTr="006D0A2C">
        <w:trPr>
          <w:trHeight w:val="20"/>
        </w:trPr>
        <w:tc>
          <w:tcPr>
            <w:tcW w:w="3560" w:type="dxa"/>
            <w:noWrap/>
            <w:hideMark/>
          </w:tcPr>
          <w:p w14:paraId="78B76C9B"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Eastfield Guest House</w:t>
            </w:r>
          </w:p>
        </w:tc>
        <w:tc>
          <w:tcPr>
            <w:tcW w:w="3561" w:type="dxa"/>
            <w:hideMark/>
          </w:tcPr>
          <w:p w14:paraId="2FCE68CD"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3</w:t>
            </w:r>
          </w:p>
        </w:tc>
        <w:tc>
          <w:tcPr>
            <w:tcW w:w="3561" w:type="dxa"/>
            <w:vMerge/>
            <w:hideMark/>
          </w:tcPr>
          <w:p w14:paraId="1C9748EE" w14:textId="1E60F199" w:rsidR="006D0A2C" w:rsidRPr="0086146F" w:rsidRDefault="006D0A2C" w:rsidP="006D0A2C">
            <w:pPr>
              <w:rPr>
                <w:rFonts w:eastAsia="Times New Roman"/>
                <w:bCs w:val="0"/>
                <w:color w:val="000000"/>
                <w:sz w:val="20"/>
                <w:szCs w:val="20"/>
                <w:lang w:eastAsia="en-GB"/>
              </w:rPr>
            </w:pPr>
          </w:p>
        </w:tc>
      </w:tr>
      <w:tr w:rsidR="006D0A2C" w:rsidRPr="006D0A2C" w14:paraId="140A066E" w14:textId="77777777" w:rsidTr="006D0A2C">
        <w:trPr>
          <w:trHeight w:val="20"/>
        </w:trPr>
        <w:tc>
          <w:tcPr>
            <w:tcW w:w="3560" w:type="dxa"/>
            <w:noWrap/>
            <w:hideMark/>
          </w:tcPr>
          <w:p w14:paraId="5677D032"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The Coach and Horses</w:t>
            </w:r>
          </w:p>
        </w:tc>
        <w:tc>
          <w:tcPr>
            <w:tcW w:w="3561" w:type="dxa"/>
            <w:hideMark/>
          </w:tcPr>
          <w:p w14:paraId="4D7AEC46"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8</w:t>
            </w:r>
          </w:p>
        </w:tc>
        <w:tc>
          <w:tcPr>
            <w:tcW w:w="3561" w:type="dxa"/>
            <w:vMerge/>
            <w:hideMark/>
          </w:tcPr>
          <w:p w14:paraId="7FC718A9" w14:textId="61E9AA50" w:rsidR="006D0A2C" w:rsidRPr="0086146F" w:rsidRDefault="006D0A2C" w:rsidP="006D0A2C">
            <w:pPr>
              <w:rPr>
                <w:rFonts w:eastAsia="Times New Roman"/>
                <w:bCs w:val="0"/>
                <w:color w:val="000000"/>
                <w:sz w:val="20"/>
                <w:szCs w:val="20"/>
                <w:lang w:eastAsia="en-GB"/>
              </w:rPr>
            </w:pPr>
          </w:p>
        </w:tc>
      </w:tr>
      <w:tr w:rsidR="006D0A2C" w:rsidRPr="006D0A2C" w14:paraId="029B051C" w14:textId="77777777" w:rsidTr="006D0A2C">
        <w:trPr>
          <w:trHeight w:val="20"/>
        </w:trPr>
        <w:tc>
          <w:tcPr>
            <w:tcW w:w="3560" w:type="dxa"/>
            <w:noWrap/>
            <w:hideMark/>
          </w:tcPr>
          <w:p w14:paraId="6774128B"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Travelodge Cambridge Central</w:t>
            </w:r>
          </w:p>
        </w:tc>
        <w:tc>
          <w:tcPr>
            <w:tcW w:w="3561" w:type="dxa"/>
            <w:hideMark/>
          </w:tcPr>
          <w:p w14:paraId="6AF85F98"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55784925" w14:textId="3DD7D7C9" w:rsidR="006D0A2C" w:rsidRPr="0086146F" w:rsidRDefault="006D0A2C" w:rsidP="006D0A2C">
            <w:pPr>
              <w:rPr>
                <w:rFonts w:eastAsia="Times New Roman"/>
                <w:bCs w:val="0"/>
                <w:color w:val="000000"/>
                <w:sz w:val="20"/>
                <w:szCs w:val="20"/>
                <w:lang w:eastAsia="en-GB"/>
              </w:rPr>
            </w:pPr>
          </w:p>
        </w:tc>
      </w:tr>
      <w:tr w:rsidR="006D0A2C" w:rsidRPr="006D0A2C" w14:paraId="0D36469B" w14:textId="77777777" w:rsidTr="006D0A2C">
        <w:trPr>
          <w:trHeight w:val="20"/>
        </w:trPr>
        <w:tc>
          <w:tcPr>
            <w:tcW w:w="3560" w:type="dxa"/>
            <w:noWrap/>
            <w:hideMark/>
          </w:tcPr>
          <w:p w14:paraId="2A9DBC44"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17 Ullswater</w:t>
            </w:r>
          </w:p>
        </w:tc>
        <w:tc>
          <w:tcPr>
            <w:tcW w:w="3561" w:type="dxa"/>
            <w:hideMark/>
          </w:tcPr>
          <w:p w14:paraId="004C4E9B"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0A7031E1" w14:textId="1D7FABEA" w:rsidR="006D0A2C" w:rsidRPr="0086146F" w:rsidRDefault="006D0A2C" w:rsidP="006D0A2C">
            <w:pPr>
              <w:rPr>
                <w:rFonts w:eastAsia="Times New Roman"/>
                <w:bCs w:val="0"/>
                <w:color w:val="000000"/>
                <w:sz w:val="20"/>
                <w:szCs w:val="20"/>
                <w:lang w:eastAsia="en-GB"/>
              </w:rPr>
            </w:pPr>
          </w:p>
        </w:tc>
      </w:tr>
      <w:tr w:rsidR="006D0A2C" w:rsidRPr="006D0A2C" w14:paraId="0883AB12" w14:textId="77777777" w:rsidTr="006D0A2C">
        <w:trPr>
          <w:trHeight w:val="20"/>
        </w:trPr>
        <w:tc>
          <w:tcPr>
            <w:tcW w:w="3560" w:type="dxa"/>
            <w:noWrap/>
            <w:hideMark/>
          </w:tcPr>
          <w:p w14:paraId="77E7413F"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Kings Ripton Road Bungalow</w:t>
            </w:r>
          </w:p>
        </w:tc>
        <w:tc>
          <w:tcPr>
            <w:tcW w:w="3561" w:type="dxa"/>
            <w:noWrap/>
            <w:hideMark/>
          </w:tcPr>
          <w:p w14:paraId="7DBF1162"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260AD46A" w14:textId="673429B7" w:rsidR="006D0A2C" w:rsidRPr="0086146F" w:rsidRDefault="006D0A2C" w:rsidP="006D0A2C">
            <w:pPr>
              <w:rPr>
                <w:rFonts w:eastAsia="Times New Roman"/>
                <w:bCs w:val="0"/>
                <w:color w:val="000000"/>
                <w:sz w:val="20"/>
                <w:szCs w:val="20"/>
                <w:lang w:eastAsia="en-GB"/>
              </w:rPr>
            </w:pPr>
          </w:p>
        </w:tc>
      </w:tr>
      <w:tr w:rsidR="006D0A2C" w:rsidRPr="006D0A2C" w14:paraId="04A22A0D" w14:textId="77777777" w:rsidTr="006D0A2C">
        <w:trPr>
          <w:trHeight w:val="20"/>
        </w:trPr>
        <w:tc>
          <w:tcPr>
            <w:tcW w:w="3560" w:type="dxa"/>
            <w:noWrap/>
            <w:hideMark/>
          </w:tcPr>
          <w:p w14:paraId="3391CECE"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46 Mill Green</w:t>
            </w:r>
          </w:p>
        </w:tc>
        <w:tc>
          <w:tcPr>
            <w:tcW w:w="3561" w:type="dxa"/>
            <w:hideMark/>
          </w:tcPr>
          <w:p w14:paraId="7BB78BC0"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4B793990" w14:textId="5FA91BA9" w:rsidR="006D0A2C" w:rsidRPr="0086146F" w:rsidRDefault="006D0A2C" w:rsidP="006D0A2C">
            <w:pPr>
              <w:rPr>
                <w:rFonts w:eastAsia="Times New Roman"/>
                <w:bCs w:val="0"/>
                <w:color w:val="000000"/>
                <w:sz w:val="20"/>
                <w:szCs w:val="20"/>
                <w:lang w:eastAsia="en-GB"/>
              </w:rPr>
            </w:pPr>
          </w:p>
        </w:tc>
      </w:tr>
      <w:tr w:rsidR="006D0A2C" w:rsidRPr="006D0A2C" w14:paraId="09892F82" w14:textId="77777777" w:rsidTr="006D0A2C">
        <w:trPr>
          <w:trHeight w:val="20"/>
        </w:trPr>
        <w:tc>
          <w:tcPr>
            <w:tcW w:w="3560" w:type="dxa"/>
            <w:noWrap/>
            <w:hideMark/>
          </w:tcPr>
          <w:p w14:paraId="4B7CFF70"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Out of county (Northants)</w:t>
            </w:r>
          </w:p>
        </w:tc>
        <w:tc>
          <w:tcPr>
            <w:tcW w:w="3561" w:type="dxa"/>
            <w:hideMark/>
          </w:tcPr>
          <w:p w14:paraId="15603605"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1</w:t>
            </w:r>
          </w:p>
        </w:tc>
        <w:tc>
          <w:tcPr>
            <w:tcW w:w="3561" w:type="dxa"/>
            <w:vMerge/>
            <w:hideMark/>
          </w:tcPr>
          <w:p w14:paraId="2705187D" w14:textId="4257BA4F" w:rsidR="006D0A2C" w:rsidRPr="0086146F" w:rsidRDefault="006D0A2C" w:rsidP="006D0A2C">
            <w:pPr>
              <w:textAlignment w:val="auto"/>
              <w:rPr>
                <w:rFonts w:eastAsia="Times New Roman"/>
                <w:bCs w:val="0"/>
                <w:color w:val="000000"/>
                <w:sz w:val="20"/>
                <w:szCs w:val="20"/>
                <w:lang w:eastAsia="en-GB"/>
              </w:rPr>
            </w:pPr>
          </w:p>
        </w:tc>
      </w:tr>
      <w:tr w:rsidR="006D0A2C" w:rsidRPr="006D0A2C" w14:paraId="1D1B9BE2" w14:textId="77777777" w:rsidTr="006D0A2C">
        <w:trPr>
          <w:trHeight w:val="20"/>
        </w:trPr>
        <w:tc>
          <w:tcPr>
            <w:tcW w:w="10682" w:type="dxa"/>
            <w:gridSpan w:val="3"/>
            <w:noWrap/>
          </w:tcPr>
          <w:p w14:paraId="2AB6B1C8" w14:textId="77777777" w:rsidR="006D0A2C" w:rsidRDefault="006D0A2C" w:rsidP="006D0A2C">
            <w:pPr>
              <w:rPr>
                <w:sz w:val="20"/>
                <w:szCs w:val="20"/>
              </w:rPr>
            </w:pPr>
            <w:r w:rsidRPr="0086146F">
              <w:rPr>
                <w:sz w:val="20"/>
                <w:szCs w:val="20"/>
              </w:rPr>
              <w:t>Concerns: There are no immediate pressures from our providers to end the provision of emergency accommodation for clients accommodated as a result of the pandemic.</w:t>
            </w:r>
          </w:p>
          <w:p w14:paraId="74E28D2A" w14:textId="77777777" w:rsidR="00B85110" w:rsidRDefault="00B85110" w:rsidP="006D0A2C">
            <w:pPr>
              <w:rPr>
                <w:sz w:val="20"/>
                <w:szCs w:val="20"/>
              </w:rPr>
            </w:pPr>
          </w:p>
          <w:p w14:paraId="6BE3CC25" w14:textId="7CD3CC03" w:rsidR="00B85110" w:rsidRPr="0086146F" w:rsidRDefault="00B85110" w:rsidP="006D0A2C">
            <w:pPr>
              <w:rPr>
                <w:rFonts w:eastAsia="Times New Roman"/>
                <w:bCs w:val="0"/>
                <w:color w:val="000000"/>
                <w:sz w:val="20"/>
                <w:szCs w:val="20"/>
                <w:lang w:eastAsia="en-GB"/>
              </w:rPr>
            </w:pPr>
          </w:p>
        </w:tc>
      </w:tr>
      <w:tr w:rsidR="006D0A2C" w:rsidRPr="006D0A2C" w14:paraId="2FEA27EA" w14:textId="77777777" w:rsidTr="006D0A2C">
        <w:trPr>
          <w:trHeight w:val="20"/>
        </w:trPr>
        <w:tc>
          <w:tcPr>
            <w:tcW w:w="3560" w:type="dxa"/>
            <w:shd w:val="clear" w:color="auto" w:fill="D9D9D9" w:themeFill="background1" w:themeFillShade="D9"/>
            <w:noWrap/>
          </w:tcPr>
          <w:p w14:paraId="23CA8E01" w14:textId="542A318C" w:rsidR="006D0A2C" w:rsidRPr="0086146F" w:rsidRDefault="006D0A2C" w:rsidP="004A2EDE">
            <w:pPr>
              <w:textAlignment w:val="auto"/>
              <w:rPr>
                <w:rFonts w:eastAsia="Times New Roman"/>
                <w:bCs w:val="0"/>
                <w:sz w:val="20"/>
                <w:szCs w:val="20"/>
                <w:lang w:eastAsia="en-GB"/>
              </w:rPr>
            </w:pPr>
            <w:r w:rsidRPr="0086146F">
              <w:rPr>
                <w:rFonts w:eastAsia="Times New Roman"/>
                <w:b/>
                <w:sz w:val="20"/>
                <w:szCs w:val="20"/>
                <w:lang w:eastAsia="en-GB"/>
              </w:rPr>
              <w:lastRenderedPageBreak/>
              <w:t>P</w:t>
            </w:r>
            <w:r w:rsidR="004A2EDE" w:rsidRPr="0086146F">
              <w:rPr>
                <w:rFonts w:eastAsia="Times New Roman"/>
                <w:b/>
                <w:sz w:val="20"/>
                <w:szCs w:val="20"/>
                <w:lang w:eastAsia="en-GB"/>
              </w:rPr>
              <w:t>eter</w:t>
            </w:r>
            <w:r w:rsidRPr="0086146F">
              <w:rPr>
                <w:rFonts w:eastAsia="Times New Roman"/>
                <w:b/>
                <w:sz w:val="20"/>
                <w:szCs w:val="20"/>
                <w:lang w:eastAsia="en-GB"/>
              </w:rPr>
              <w:t>boro</w:t>
            </w:r>
            <w:r w:rsidR="004A2EDE" w:rsidRPr="0086146F">
              <w:rPr>
                <w:rFonts w:eastAsia="Times New Roman"/>
                <w:b/>
                <w:sz w:val="20"/>
                <w:szCs w:val="20"/>
                <w:lang w:eastAsia="en-GB"/>
              </w:rPr>
              <w:t>ugh</w:t>
            </w:r>
          </w:p>
        </w:tc>
        <w:tc>
          <w:tcPr>
            <w:tcW w:w="3561" w:type="dxa"/>
            <w:shd w:val="clear" w:color="auto" w:fill="D9D9D9" w:themeFill="background1" w:themeFillShade="D9"/>
          </w:tcPr>
          <w:p w14:paraId="2CB682DF" w14:textId="77777777" w:rsidR="006D0A2C" w:rsidRPr="0086146F" w:rsidRDefault="006D0A2C" w:rsidP="006D0A2C">
            <w:pPr>
              <w:jc w:val="center"/>
              <w:textAlignment w:val="auto"/>
              <w:rPr>
                <w:rFonts w:eastAsia="Times New Roman"/>
                <w:bCs w:val="0"/>
                <w:sz w:val="20"/>
                <w:szCs w:val="20"/>
                <w:lang w:eastAsia="en-GB"/>
              </w:rPr>
            </w:pPr>
          </w:p>
        </w:tc>
        <w:tc>
          <w:tcPr>
            <w:tcW w:w="3561" w:type="dxa"/>
            <w:shd w:val="clear" w:color="auto" w:fill="D9D9D9" w:themeFill="background1" w:themeFillShade="D9"/>
          </w:tcPr>
          <w:p w14:paraId="70C77BED"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011DB767" w14:textId="77777777" w:rsidTr="006D0A2C">
        <w:trPr>
          <w:trHeight w:val="20"/>
        </w:trPr>
        <w:tc>
          <w:tcPr>
            <w:tcW w:w="3560" w:type="dxa"/>
            <w:noWrap/>
            <w:hideMark/>
          </w:tcPr>
          <w:p w14:paraId="10383D89" w14:textId="0C3AC30A" w:rsidR="006D0A2C" w:rsidRPr="0086146F" w:rsidRDefault="006D0A2C" w:rsidP="0086146F">
            <w:pPr>
              <w:textAlignment w:val="auto"/>
              <w:rPr>
                <w:rFonts w:eastAsia="Times New Roman"/>
                <w:bCs w:val="0"/>
                <w:sz w:val="20"/>
                <w:szCs w:val="20"/>
                <w:lang w:eastAsia="en-GB"/>
              </w:rPr>
            </w:pPr>
            <w:r w:rsidRPr="0086146F">
              <w:rPr>
                <w:rFonts w:eastAsia="Times New Roman"/>
                <w:bCs w:val="0"/>
                <w:sz w:val="20"/>
                <w:szCs w:val="20"/>
                <w:lang w:eastAsia="en-GB"/>
              </w:rPr>
              <w:t>The Queen</w:t>
            </w:r>
            <w:r w:rsidR="0086146F">
              <w:rPr>
                <w:rFonts w:eastAsia="Times New Roman"/>
                <w:bCs w:val="0"/>
                <w:sz w:val="20"/>
                <w:szCs w:val="20"/>
                <w:lang w:eastAsia="en-GB"/>
              </w:rPr>
              <w:t>s</w:t>
            </w:r>
            <w:r w:rsidRPr="0086146F">
              <w:rPr>
                <w:rFonts w:eastAsia="Times New Roman"/>
                <w:bCs w:val="0"/>
                <w:sz w:val="20"/>
                <w:szCs w:val="20"/>
                <w:lang w:eastAsia="en-GB"/>
              </w:rPr>
              <w:t>gate Hotel, Peterborough</w:t>
            </w:r>
          </w:p>
        </w:tc>
        <w:tc>
          <w:tcPr>
            <w:tcW w:w="3561" w:type="dxa"/>
            <w:hideMark/>
          </w:tcPr>
          <w:p w14:paraId="589D5D5A"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26</w:t>
            </w:r>
          </w:p>
        </w:tc>
        <w:tc>
          <w:tcPr>
            <w:tcW w:w="3561" w:type="dxa"/>
            <w:hideMark/>
          </w:tcPr>
          <w:p w14:paraId="28132275" w14:textId="7777777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Planned end of use 31/07/20</w:t>
            </w:r>
          </w:p>
        </w:tc>
      </w:tr>
      <w:tr w:rsidR="006D0A2C" w:rsidRPr="006D0A2C" w14:paraId="55BEDBCA" w14:textId="77777777" w:rsidTr="006D0A2C">
        <w:trPr>
          <w:trHeight w:val="20"/>
        </w:trPr>
        <w:tc>
          <w:tcPr>
            <w:tcW w:w="3560" w:type="dxa"/>
            <w:noWrap/>
            <w:hideMark/>
          </w:tcPr>
          <w:p w14:paraId="79BB192F" w14:textId="4D6C6A5B"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1 Charnwood Close, Peterborough</w:t>
            </w:r>
          </w:p>
        </w:tc>
        <w:tc>
          <w:tcPr>
            <w:tcW w:w="3561" w:type="dxa"/>
            <w:hideMark/>
          </w:tcPr>
          <w:p w14:paraId="19C20767"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3</w:t>
            </w:r>
          </w:p>
        </w:tc>
        <w:tc>
          <w:tcPr>
            <w:tcW w:w="3561" w:type="dxa"/>
            <w:hideMark/>
          </w:tcPr>
          <w:p w14:paraId="43A2C07A" w14:textId="7777777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 </w:t>
            </w:r>
          </w:p>
        </w:tc>
      </w:tr>
      <w:tr w:rsidR="006D0A2C" w:rsidRPr="006D0A2C" w14:paraId="041350EC" w14:textId="77777777" w:rsidTr="006D0A2C">
        <w:trPr>
          <w:trHeight w:val="20"/>
        </w:trPr>
        <w:tc>
          <w:tcPr>
            <w:tcW w:w="3560" w:type="dxa"/>
            <w:noWrap/>
            <w:hideMark/>
          </w:tcPr>
          <w:p w14:paraId="01E23B5D" w14:textId="5338FD79"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20 Charnwood Close</w:t>
            </w:r>
          </w:p>
        </w:tc>
        <w:tc>
          <w:tcPr>
            <w:tcW w:w="3561" w:type="dxa"/>
            <w:hideMark/>
          </w:tcPr>
          <w:p w14:paraId="5F0C0D2A"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2</w:t>
            </w:r>
          </w:p>
        </w:tc>
        <w:tc>
          <w:tcPr>
            <w:tcW w:w="3561" w:type="dxa"/>
            <w:hideMark/>
          </w:tcPr>
          <w:p w14:paraId="6C61EECE" w14:textId="7777777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 </w:t>
            </w:r>
          </w:p>
        </w:tc>
      </w:tr>
      <w:tr w:rsidR="006D0A2C" w:rsidRPr="006D0A2C" w14:paraId="1E88A769" w14:textId="77777777" w:rsidTr="006D0A2C">
        <w:trPr>
          <w:trHeight w:val="20"/>
        </w:trPr>
        <w:tc>
          <w:tcPr>
            <w:tcW w:w="3560" w:type="dxa"/>
            <w:noWrap/>
            <w:hideMark/>
          </w:tcPr>
          <w:p w14:paraId="421FF3BD" w14:textId="64BB6479"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The Park Inn Raddison Hotel, P’boro</w:t>
            </w:r>
          </w:p>
        </w:tc>
        <w:tc>
          <w:tcPr>
            <w:tcW w:w="3561" w:type="dxa"/>
            <w:hideMark/>
          </w:tcPr>
          <w:p w14:paraId="5ED679A4"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40</w:t>
            </w:r>
          </w:p>
        </w:tc>
        <w:tc>
          <w:tcPr>
            <w:tcW w:w="3561" w:type="dxa"/>
            <w:hideMark/>
          </w:tcPr>
          <w:p w14:paraId="65057C91" w14:textId="7777777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Planned end of use 31/08/20</w:t>
            </w:r>
          </w:p>
        </w:tc>
      </w:tr>
      <w:tr w:rsidR="006D0A2C" w:rsidRPr="006D0A2C" w14:paraId="0877F47F" w14:textId="77777777" w:rsidTr="006D0A2C">
        <w:trPr>
          <w:trHeight w:val="20"/>
        </w:trPr>
        <w:tc>
          <w:tcPr>
            <w:tcW w:w="3560" w:type="dxa"/>
            <w:noWrap/>
            <w:hideMark/>
          </w:tcPr>
          <w:p w14:paraId="25661675" w14:textId="6EDFEB7A"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Travelodge Peterborough</w:t>
            </w:r>
          </w:p>
        </w:tc>
        <w:tc>
          <w:tcPr>
            <w:tcW w:w="3561" w:type="dxa"/>
            <w:hideMark/>
          </w:tcPr>
          <w:p w14:paraId="587850E8"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0</w:t>
            </w:r>
          </w:p>
        </w:tc>
        <w:tc>
          <w:tcPr>
            <w:tcW w:w="3561" w:type="dxa"/>
            <w:hideMark/>
          </w:tcPr>
          <w:p w14:paraId="1AC4BC49" w14:textId="77777777" w:rsidR="006D0A2C" w:rsidRPr="0086146F" w:rsidRDefault="006D0A2C" w:rsidP="006D0A2C">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Finished using 15/6/20</w:t>
            </w:r>
          </w:p>
        </w:tc>
      </w:tr>
      <w:tr w:rsidR="006D0A2C" w:rsidRPr="006D0A2C" w14:paraId="048D0D71" w14:textId="77777777" w:rsidTr="006D0A2C">
        <w:trPr>
          <w:trHeight w:val="20"/>
        </w:trPr>
        <w:tc>
          <w:tcPr>
            <w:tcW w:w="10682" w:type="dxa"/>
            <w:gridSpan w:val="3"/>
            <w:noWrap/>
          </w:tcPr>
          <w:p w14:paraId="3319EC5A" w14:textId="5116857A" w:rsidR="006D0A2C" w:rsidRPr="006A7AEB" w:rsidRDefault="006D0A2C" w:rsidP="006D0A2C">
            <w:pPr>
              <w:rPr>
                <w:sz w:val="20"/>
                <w:szCs w:val="20"/>
              </w:rPr>
            </w:pPr>
            <w:r w:rsidRPr="0086146F">
              <w:rPr>
                <w:sz w:val="20"/>
                <w:szCs w:val="20"/>
              </w:rPr>
              <w:t>No major concerns. Our plan is a staged step down in provision by moving from 3 sites, down, to 2 sites and then 1.</w:t>
            </w:r>
          </w:p>
        </w:tc>
      </w:tr>
      <w:tr w:rsidR="006D0A2C" w:rsidRPr="006D0A2C" w14:paraId="42D996CF" w14:textId="77777777" w:rsidTr="006D0A2C">
        <w:trPr>
          <w:trHeight w:val="20"/>
        </w:trPr>
        <w:tc>
          <w:tcPr>
            <w:tcW w:w="3560" w:type="dxa"/>
            <w:shd w:val="clear" w:color="auto" w:fill="D9D9D9" w:themeFill="background1" w:themeFillShade="D9"/>
            <w:noWrap/>
          </w:tcPr>
          <w:p w14:paraId="5A75C631" w14:textId="2D4B4087" w:rsidR="006D0A2C" w:rsidRPr="0086146F" w:rsidRDefault="006D0A2C" w:rsidP="006D0A2C">
            <w:pPr>
              <w:textAlignment w:val="auto"/>
              <w:rPr>
                <w:rFonts w:eastAsia="Times New Roman"/>
                <w:bCs w:val="0"/>
                <w:sz w:val="20"/>
                <w:szCs w:val="20"/>
                <w:lang w:eastAsia="en-GB"/>
              </w:rPr>
            </w:pPr>
            <w:r w:rsidRPr="0086146F">
              <w:rPr>
                <w:rFonts w:eastAsia="Times New Roman"/>
                <w:b/>
                <w:sz w:val="20"/>
                <w:szCs w:val="20"/>
                <w:lang w:eastAsia="en-GB"/>
              </w:rPr>
              <w:t>South Cambs</w:t>
            </w:r>
          </w:p>
        </w:tc>
        <w:tc>
          <w:tcPr>
            <w:tcW w:w="3561" w:type="dxa"/>
            <w:shd w:val="clear" w:color="auto" w:fill="D9D9D9" w:themeFill="background1" w:themeFillShade="D9"/>
          </w:tcPr>
          <w:p w14:paraId="73413990" w14:textId="77777777" w:rsidR="006D0A2C" w:rsidRPr="0086146F" w:rsidRDefault="006D0A2C" w:rsidP="006D0A2C">
            <w:pPr>
              <w:jc w:val="center"/>
              <w:textAlignment w:val="auto"/>
              <w:rPr>
                <w:rFonts w:eastAsia="Times New Roman"/>
                <w:bCs w:val="0"/>
                <w:sz w:val="20"/>
                <w:szCs w:val="20"/>
                <w:lang w:eastAsia="en-GB"/>
              </w:rPr>
            </w:pPr>
          </w:p>
        </w:tc>
        <w:tc>
          <w:tcPr>
            <w:tcW w:w="3561" w:type="dxa"/>
            <w:shd w:val="clear" w:color="auto" w:fill="D9D9D9" w:themeFill="background1" w:themeFillShade="D9"/>
          </w:tcPr>
          <w:p w14:paraId="284A3B81" w14:textId="77777777" w:rsidR="006D0A2C" w:rsidRPr="0086146F" w:rsidRDefault="006D0A2C" w:rsidP="006D0A2C">
            <w:pPr>
              <w:textAlignment w:val="auto"/>
              <w:rPr>
                <w:rFonts w:eastAsia="Times New Roman"/>
                <w:bCs w:val="0"/>
                <w:color w:val="000000"/>
                <w:sz w:val="20"/>
                <w:szCs w:val="20"/>
                <w:lang w:eastAsia="en-GB"/>
              </w:rPr>
            </w:pPr>
          </w:p>
        </w:tc>
      </w:tr>
      <w:tr w:rsidR="006D0A2C" w:rsidRPr="006D0A2C" w14:paraId="0D37603B" w14:textId="77777777" w:rsidTr="006D0A2C">
        <w:trPr>
          <w:trHeight w:val="20"/>
        </w:trPr>
        <w:tc>
          <w:tcPr>
            <w:tcW w:w="3560" w:type="dxa"/>
            <w:noWrap/>
            <w:hideMark/>
          </w:tcPr>
          <w:p w14:paraId="6AF11087" w14:textId="77777777"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Travelodge Cambridge Central</w:t>
            </w:r>
          </w:p>
        </w:tc>
        <w:tc>
          <w:tcPr>
            <w:tcW w:w="3561" w:type="dxa"/>
            <w:hideMark/>
          </w:tcPr>
          <w:p w14:paraId="3D13EFD2"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2</w:t>
            </w:r>
          </w:p>
        </w:tc>
        <w:tc>
          <w:tcPr>
            <w:tcW w:w="3561" w:type="dxa"/>
            <w:vMerge w:val="restart"/>
            <w:hideMark/>
          </w:tcPr>
          <w:p w14:paraId="40E430F8" w14:textId="324E6ECF" w:rsidR="006D0A2C" w:rsidRPr="0086146F" w:rsidRDefault="006D0A2C" w:rsidP="00B85110">
            <w:pPr>
              <w:textAlignment w:val="auto"/>
              <w:rPr>
                <w:rFonts w:eastAsia="Times New Roman"/>
                <w:bCs w:val="0"/>
                <w:color w:val="000000"/>
                <w:sz w:val="20"/>
                <w:szCs w:val="20"/>
                <w:lang w:eastAsia="en-GB"/>
              </w:rPr>
            </w:pPr>
            <w:r w:rsidRPr="0086146F">
              <w:rPr>
                <w:rFonts w:eastAsia="Times New Roman"/>
                <w:bCs w:val="0"/>
                <w:color w:val="000000"/>
                <w:sz w:val="20"/>
                <w:szCs w:val="20"/>
                <w:lang w:eastAsia="en-GB"/>
              </w:rPr>
              <w:t>No specific end dates </w:t>
            </w:r>
          </w:p>
        </w:tc>
      </w:tr>
      <w:tr w:rsidR="006D0A2C" w:rsidRPr="006D0A2C" w14:paraId="6D3910DF" w14:textId="77777777" w:rsidTr="006D0A2C">
        <w:trPr>
          <w:trHeight w:val="20"/>
        </w:trPr>
        <w:tc>
          <w:tcPr>
            <w:tcW w:w="3560" w:type="dxa"/>
            <w:noWrap/>
            <w:hideMark/>
          </w:tcPr>
          <w:p w14:paraId="06F03D49" w14:textId="1E55F23E" w:rsidR="006D0A2C" w:rsidRPr="0086146F" w:rsidRDefault="006D0A2C" w:rsidP="006D0A2C">
            <w:pPr>
              <w:textAlignment w:val="auto"/>
              <w:rPr>
                <w:rFonts w:eastAsia="Times New Roman"/>
                <w:bCs w:val="0"/>
                <w:sz w:val="20"/>
                <w:szCs w:val="20"/>
                <w:lang w:eastAsia="en-GB"/>
              </w:rPr>
            </w:pPr>
            <w:r w:rsidRPr="0086146F">
              <w:rPr>
                <w:rFonts w:eastAsia="Times New Roman"/>
                <w:bCs w:val="0"/>
                <w:sz w:val="20"/>
                <w:szCs w:val="20"/>
                <w:lang w:eastAsia="en-GB"/>
              </w:rPr>
              <w:t>Eastfield Hotel, Peterborough</w:t>
            </w:r>
          </w:p>
        </w:tc>
        <w:tc>
          <w:tcPr>
            <w:tcW w:w="3561" w:type="dxa"/>
            <w:hideMark/>
          </w:tcPr>
          <w:p w14:paraId="496BD1F1" w14:textId="77777777" w:rsidR="006D0A2C" w:rsidRPr="0086146F" w:rsidRDefault="006D0A2C" w:rsidP="006D0A2C">
            <w:pPr>
              <w:jc w:val="center"/>
              <w:textAlignment w:val="auto"/>
              <w:rPr>
                <w:rFonts w:eastAsia="Times New Roman"/>
                <w:bCs w:val="0"/>
                <w:sz w:val="20"/>
                <w:szCs w:val="20"/>
                <w:lang w:eastAsia="en-GB"/>
              </w:rPr>
            </w:pPr>
            <w:r w:rsidRPr="0086146F">
              <w:rPr>
                <w:rFonts w:eastAsia="Times New Roman"/>
                <w:bCs w:val="0"/>
                <w:sz w:val="20"/>
                <w:szCs w:val="20"/>
                <w:lang w:eastAsia="en-GB"/>
              </w:rPr>
              <w:t>2</w:t>
            </w:r>
          </w:p>
        </w:tc>
        <w:tc>
          <w:tcPr>
            <w:tcW w:w="3561" w:type="dxa"/>
            <w:vMerge/>
            <w:hideMark/>
          </w:tcPr>
          <w:p w14:paraId="4861DBC6" w14:textId="73B37032" w:rsidR="006D0A2C" w:rsidRPr="0086146F" w:rsidRDefault="006D0A2C" w:rsidP="006D0A2C">
            <w:pPr>
              <w:textAlignment w:val="auto"/>
              <w:rPr>
                <w:rFonts w:eastAsia="Times New Roman"/>
                <w:bCs w:val="0"/>
                <w:color w:val="000000"/>
                <w:sz w:val="20"/>
                <w:szCs w:val="20"/>
                <w:lang w:eastAsia="en-GB"/>
              </w:rPr>
            </w:pPr>
          </w:p>
        </w:tc>
      </w:tr>
      <w:tr w:rsidR="006D0A2C" w:rsidRPr="006D0A2C" w14:paraId="24857A9F" w14:textId="77777777" w:rsidTr="006D0A2C">
        <w:trPr>
          <w:trHeight w:val="20"/>
        </w:trPr>
        <w:tc>
          <w:tcPr>
            <w:tcW w:w="10682" w:type="dxa"/>
            <w:gridSpan w:val="3"/>
            <w:noWrap/>
          </w:tcPr>
          <w:p w14:paraId="2A08893C" w14:textId="1D79836F" w:rsidR="006D0A2C" w:rsidRPr="0086146F" w:rsidRDefault="006D0A2C" w:rsidP="006A7AEB">
            <w:pPr>
              <w:rPr>
                <w:rFonts w:eastAsia="Times New Roman"/>
                <w:bCs w:val="0"/>
                <w:color w:val="000000"/>
                <w:sz w:val="20"/>
                <w:szCs w:val="20"/>
                <w:lang w:eastAsia="en-GB"/>
              </w:rPr>
            </w:pPr>
            <w:r w:rsidRPr="0086146F">
              <w:rPr>
                <w:sz w:val="20"/>
                <w:szCs w:val="20"/>
              </w:rPr>
              <w:t xml:space="preserve">Concerns: There is one very problematic person currently being managed in TA. This is </w:t>
            </w:r>
            <w:r w:rsidR="006A7AEB">
              <w:rPr>
                <w:sz w:val="20"/>
                <w:szCs w:val="20"/>
              </w:rPr>
              <w:t xml:space="preserve">their </w:t>
            </w:r>
            <w:r w:rsidRPr="0086146F">
              <w:rPr>
                <w:sz w:val="20"/>
                <w:szCs w:val="20"/>
              </w:rPr>
              <w:t xml:space="preserve">third placement and </w:t>
            </w:r>
            <w:r w:rsidR="006A7AEB">
              <w:rPr>
                <w:sz w:val="20"/>
                <w:szCs w:val="20"/>
              </w:rPr>
              <w:t xml:space="preserve">if </w:t>
            </w:r>
            <w:r w:rsidR="00750C79" w:rsidRPr="0086146F">
              <w:rPr>
                <w:sz w:val="20"/>
                <w:szCs w:val="20"/>
              </w:rPr>
              <w:t>l</w:t>
            </w:r>
            <w:r w:rsidR="00750C79">
              <w:rPr>
                <w:sz w:val="20"/>
                <w:szCs w:val="20"/>
              </w:rPr>
              <w:t>o</w:t>
            </w:r>
            <w:r w:rsidR="00750C79" w:rsidRPr="0086146F">
              <w:rPr>
                <w:sz w:val="20"/>
                <w:szCs w:val="20"/>
              </w:rPr>
              <w:t>ses</w:t>
            </w:r>
            <w:r w:rsidRPr="0086146F">
              <w:rPr>
                <w:sz w:val="20"/>
                <w:szCs w:val="20"/>
              </w:rPr>
              <w:t xml:space="preserve"> this there will be nowhere else to </w:t>
            </w:r>
            <w:r w:rsidR="006A7AEB">
              <w:rPr>
                <w:sz w:val="20"/>
                <w:szCs w:val="20"/>
              </w:rPr>
              <w:t>go</w:t>
            </w:r>
            <w:r w:rsidRPr="0086146F">
              <w:rPr>
                <w:sz w:val="20"/>
                <w:szCs w:val="20"/>
              </w:rPr>
              <w:t>. The end date has not been given but it could be brought to an end any day due to behaviour when drunk.</w:t>
            </w:r>
          </w:p>
        </w:tc>
      </w:tr>
    </w:tbl>
    <w:p w14:paraId="05FDB9EB" w14:textId="77777777" w:rsidR="00B85110" w:rsidRDefault="002A648E" w:rsidP="001F43DA">
      <w:pPr>
        <w:pStyle w:val="Heading3"/>
      </w:pPr>
      <w:r>
        <w:t>N</w:t>
      </w:r>
      <w:r w:rsidR="0043525E" w:rsidRPr="00214607">
        <w:t>umber of single people currently in Temporary Accommodation (TA) in response to the Covid-19 pandemic.</w:t>
      </w:r>
      <w:r w:rsidR="00160F73">
        <w:t xml:space="preserve"> </w:t>
      </w:r>
    </w:p>
    <w:p w14:paraId="0E5CA4E5" w14:textId="71D2211E" w:rsidR="006128DD" w:rsidRPr="00B85110" w:rsidRDefault="00160F73" w:rsidP="00B85110">
      <w:pPr>
        <w:rPr>
          <w:i/>
          <w:color w:val="5B9BD5" w:themeColor="accent5"/>
        </w:rPr>
      </w:pPr>
      <w:r w:rsidRPr="00B85110">
        <w:rPr>
          <w:i/>
          <w:color w:val="5B9BD5" w:themeColor="accent5"/>
        </w:rPr>
        <w:t xml:space="preserve">(This is, temp which is not </w:t>
      </w:r>
      <w:r w:rsidR="004A2EDE" w:rsidRPr="00B85110">
        <w:rPr>
          <w:i/>
          <w:color w:val="5B9BD5" w:themeColor="accent5"/>
        </w:rPr>
        <w:t>the emergency “specially for covid” accommodation</w:t>
      </w:r>
      <w:r w:rsidRPr="00B85110">
        <w:rPr>
          <w:i/>
          <w:color w:val="5B9BD5" w:themeColor="accent5"/>
        </w:rPr>
        <w:t>)</w:t>
      </w:r>
    </w:p>
    <w:p w14:paraId="41EA5F3B" w14:textId="11824062" w:rsidR="002A648E" w:rsidRPr="002A648E" w:rsidRDefault="002A648E" w:rsidP="00B85110">
      <w:pPr>
        <w:pStyle w:val="tablenumbered"/>
      </w:pPr>
      <w:bookmarkStart w:id="7" w:name="_Ref45184929"/>
      <w:r>
        <w:t>Temporary accommodation</w:t>
      </w:r>
      <w:bookmarkEnd w:id="7"/>
    </w:p>
    <w:tbl>
      <w:tblPr>
        <w:tblStyle w:val="TableGrid"/>
        <w:tblW w:w="5000" w:type="pct"/>
        <w:tblLook w:val="0420" w:firstRow="1" w:lastRow="0" w:firstColumn="0" w:lastColumn="0" w:noHBand="0" w:noVBand="1"/>
      </w:tblPr>
      <w:tblGrid>
        <w:gridCol w:w="1779"/>
        <w:gridCol w:w="1779"/>
        <w:gridCol w:w="1782"/>
        <w:gridCol w:w="1780"/>
        <w:gridCol w:w="1780"/>
        <w:gridCol w:w="1782"/>
      </w:tblGrid>
      <w:tr w:rsidR="006128DD" w:rsidRPr="0086146F" w14:paraId="32976D30" w14:textId="77777777" w:rsidTr="0043525E">
        <w:trPr>
          <w:trHeight w:val="20"/>
          <w:tblHeader/>
        </w:trPr>
        <w:tc>
          <w:tcPr>
            <w:tcW w:w="833" w:type="pct"/>
            <w:shd w:val="clear" w:color="auto" w:fill="000000" w:themeFill="text1"/>
          </w:tcPr>
          <w:p w14:paraId="06A35EC6" w14:textId="77777777" w:rsidR="006128DD" w:rsidRPr="0086146F" w:rsidRDefault="006128DD" w:rsidP="00682123">
            <w:pPr>
              <w:rPr>
                <w:sz w:val="20"/>
                <w:szCs w:val="20"/>
              </w:rPr>
            </w:pPr>
            <w:r w:rsidRPr="0086146F">
              <w:rPr>
                <w:sz w:val="20"/>
                <w:szCs w:val="20"/>
              </w:rPr>
              <w:t>Cambridge</w:t>
            </w:r>
          </w:p>
        </w:tc>
        <w:tc>
          <w:tcPr>
            <w:tcW w:w="833" w:type="pct"/>
            <w:shd w:val="clear" w:color="auto" w:fill="000000" w:themeFill="text1"/>
          </w:tcPr>
          <w:p w14:paraId="44778FE5" w14:textId="77777777" w:rsidR="006128DD" w:rsidRPr="0086146F" w:rsidRDefault="006128DD" w:rsidP="00682123">
            <w:pPr>
              <w:rPr>
                <w:sz w:val="20"/>
                <w:szCs w:val="20"/>
              </w:rPr>
            </w:pPr>
            <w:r w:rsidRPr="0086146F">
              <w:rPr>
                <w:sz w:val="20"/>
                <w:szCs w:val="20"/>
              </w:rPr>
              <w:t>ECDC</w:t>
            </w:r>
          </w:p>
        </w:tc>
        <w:tc>
          <w:tcPr>
            <w:tcW w:w="834" w:type="pct"/>
            <w:shd w:val="clear" w:color="auto" w:fill="000000" w:themeFill="text1"/>
          </w:tcPr>
          <w:p w14:paraId="39D82659" w14:textId="77777777" w:rsidR="006128DD" w:rsidRPr="0086146F" w:rsidRDefault="006128DD" w:rsidP="00682123">
            <w:pPr>
              <w:rPr>
                <w:sz w:val="20"/>
                <w:szCs w:val="20"/>
              </w:rPr>
            </w:pPr>
            <w:r w:rsidRPr="0086146F">
              <w:rPr>
                <w:sz w:val="20"/>
                <w:szCs w:val="20"/>
              </w:rPr>
              <w:t>FDC</w:t>
            </w:r>
          </w:p>
        </w:tc>
        <w:tc>
          <w:tcPr>
            <w:tcW w:w="833" w:type="pct"/>
            <w:shd w:val="clear" w:color="auto" w:fill="000000" w:themeFill="text1"/>
          </w:tcPr>
          <w:p w14:paraId="3443FC39" w14:textId="77777777" w:rsidR="006128DD" w:rsidRPr="0086146F" w:rsidRDefault="006128DD" w:rsidP="00682123">
            <w:pPr>
              <w:rPr>
                <w:sz w:val="20"/>
                <w:szCs w:val="20"/>
              </w:rPr>
            </w:pPr>
            <w:r w:rsidRPr="0086146F">
              <w:rPr>
                <w:sz w:val="20"/>
                <w:szCs w:val="20"/>
              </w:rPr>
              <w:t>HDC</w:t>
            </w:r>
          </w:p>
        </w:tc>
        <w:tc>
          <w:tcPr>
            <w:tcW w:w="833" w:type="pct"/>
            <w:shd w:val="clear" w:color="auto" w:fill="000000" w:themeFill="text1"/>
          </w:tcPr>
          <w:p w14:paraId="2F2FF305" w14:textId="77777777" w:rsidR="006128DD" w:rsidRPr="0086146F" w:rsidRDefault="006128DD" w:rsidP="00682123">
            <w:pPr>
              <w:rPr>
                <w:sz w:val="20"/>
                <w:szCs w:val="20"/>
              </w:rPr>
            </w:pPr>
            <w:r w:rsidRPr="0086146F">
              <w:rPr>
                <w:sz w:val="20"/>
                <w:szCs w:val="20"/>
              </w:rPr>
              <w:t>SCDC</w:t>
            </w:r>
          </w:p>
        </w:tc>
        <w:tc>
          <w:tcPr>
            <w:tcW w:w="834" w:type="pct"/>
            <w:shd w:val="clear" w:color="auto" w:fill="000000" w:themeFill="text1"/>
          </w:tcPr>
          <w:p w14:paraId="5D8AD843" w14:textId="77777777" w:rsidR="006128DD" w:rsidRPr="0086146F" w:rsidRDefault="006128DD" w:rsidP="00682123">
            <w:pPr>
              <w:rPr>
                <w:sz w:val="20"/>
                <w:szCs w:val="20"/>
              </w:rPr>
            </w:pPr>
            <w:r w:rsidRPr="0086146F">
              <w:rPr>
                <w:sz w:val="20"/>
                <w:szCs w:val="20"/>
              </w:rPr>
              <w:t>PCC</w:t>
            </w:r>
          </w:p>
        </w:tc>
      </w:tr>
      <w:tr w:rsidR="006128DD" w:rsidRPr="006A7AEB" w14:paraId="6321F70E" w14:textId="77777777" w:rsidTr="0043525E">
        <w:trPr>
          <w:trHeight w:val="20"/>
        </w:trPr>
        <w:tc>
          <w:tcPr>
            <w:tcW w:w="833" w:type="pct"/>
          </w:tcPr>
          <w:p w14:paraId="21BB1687" w14:textId="77777777" w:rsidR="006128DD" w:rsidRPr="006A7AEB" w:rsidRDefault="006128DD" w:rsidP="00682123">
            <w:pPr>
              <w:rPr>
                <w:sz w:val="20"/>
                <w:szCs w:val="20"/>
              </w:rPr>
            </w:pPr>
            <w:r w:rsidRPr="006A7AEB">
              <w:rPr>
                <w:sz w:val="20"/>
                <w:szCs w:val="20"/>
              </w:rPr>
              <w:t>7</w:t>
            </w:r>
          </w:p>
        </w:tc>
        <w:tc>
          <w:tcPr>
            <w:tcW w:w="833" w:type="pct"/>
          </w:tcPr>
          <w:p w14:paraId="215C0B04" w14:textId="77777777" w:rsidR="006128DD" w:rsidRPr="006A7AEB" w:rsidRDefault="006128DD" w:rsidP="00682123">
            <w:pPr>
              <w:rPr>
                <w:sz w:val="20"/>
                <w:szCs w:val="20"/>
              </w:rPr>
            </w:pPr>
            <w:r w:rsidRPr="006A7AEB">
              <w:rPr>
                <w:sz w:val="20"/>
                <w:szCs w:val="20"/>
              </w:rPr>
              <w:t>4</w:t>
            </w:r>
          </w:p>
        </w:tc>
        <w:tc>
          <w:tcPr>
            <w:tcW w:w="834" w:type="pct"/>
          </w:tcPr>
          <w:p w14:paraId="631F675A" w14:textId="7A437856" w:rsidR="006128DD" w:rsidRPr="006A7AEB" w:rsidRDefault="006128DD" w:rsidP="00682123">
            <w:pPr>
              <w:rPr>
                <w:sz w:val="20"/>
                <w:szCs w:val="20"/>
              </w:rPr>
            </w:pPr>
            <w:r w:rsidRPr="006A7AEB">
              <w:rPr>
                <w:sz w:val="20"/>
                <w:szCs w:val="20"/>
              </w:rPr>
              <w:t>10</w:t>
            </w:r>
          </w:p>
        </w:tc>
        <w:tc>
          <w:tcPr>
            <w:tcW w:w="833" w:type="pct"/>
          </w:tcPr>
          <w:p w14:paraId="46CCCBCD" w14:textId="77777777" w:rsidR="006128DD" w:rsidRPr="006A7AEB" w:rsidRDefault="006128DD" w:rsidP="00682123">
            <w:pPr>
              <w:rPr>
                <w:sz w:val="20"/>
                <w:szCs w:val="20"/>
              </w:rPr>
            </w:pPr>
            <w:r w:rsidRPr="006A7AEB">
              <w:rPr>
                <w:sz w:val="20"/>
                <w:szCs w:val="20"/>
              </w:rPr>
              <w:t>1</w:t>
            </w:r>
          </w:p>
        </w:tc>
        <w:tc>
          <w:tcPr>
            <w:tcW w:w="833" w:type="pct"/>
          </w:tcPr>
          <w:p w14:paraId="39B344B9" w14:textId="77777777" w:rsidR="006128DD" w:rsidRPr="006A7AEB" w:rsidRDefault="006128DD" w:rsidP="00682123">
            <w:pPr>
              <w:rPr>
                <w:sz w:val="20"/>
                <w:szCs w:val="20"/>
              </w:rPr>
            </w:pPr>
            <w:r w:rsidRPr="006A7AEB">
              <w:rPr>
                <w:sz w:val="20"/>
                <w:szCs w:val="20"/>
              </w:rPr>
              <w:t>1</w:t>
            </w:r>
          </w:p>
        </w:tc>
        <w:tc>
          <w:tcPr>
            <w:tcW w:w="834" w:type="pct"/>
          </w:tcPr>
          <w:p w14:paraId="2D605176" w14:textId="365BA811" w:rsidR="006128DD" w:rsidRPr="006A7AEB" w:rsidRDefault="006128DD" w:rsidP="00682123">
            <w:pPr>
              <w:rPr>
                <w:sz w:val="20"/>
                <w:szCs w:val="20"/>
              </w:rPr>
            </w:pPr>
            <w:r w:rsidRPr="006A7AEB">
              <w:rPr>
                <w:sz w:val="20"/>
                <w:szCs w:val="20"/>
              </w:rPr>
              <w:t xml:space="preserve">4 </w:t>
            </w:r>
          </w:p>
        </w:tc>
      </w:tr>
    </w:tbl>
    <w:p w14:paraId="05EEBE60" w14:textId="77777777" w:rsidR="00682123" w:rsidRDefault="00682123" w:rsidP="00682123">
      <w:r>
        <w:t xml:space="preserve">Notes: </w:t>
      </w:r>
    </w:p>
    <w:p w14:paraId="7D6E659E" w14:textId="7B549E00" w:rsidR="00682123" w:rsidRDefault="00682123" w:rsidP="00682123">
      <w:r>
        <w:t xml:space="preserve">FDC: </w:t>
      </w:r>
      <w:r w:rsidR="00160F73">
        <w:t xml:space="preserve">10 </w:t>
      </w:r>
      <w:r w:rsidR="002B7C3F">
        <w:t xml:space="preserve">placed </w:t>
      </w:r>
      <w:r w:rsidRPr="00214607">
        <w:t>in</w:t>
      </w:r>
      <w:r w:rsidRPr="00214607">
        <w:rPr>
          <w:b/>
        </w:rPr>
        <w:t xml:space="preserve"> </w:t>
      </w:r>
      <w:r w:rsidRPr="00214607">
        <w:t>Ferry &amp; FDC</w:t>
      </w:r>
      <w:r>
        <w:t xml:space="preserve"> accommodation </w:t>
      </w:r>
    </w:p>
    <w:p w14:paraId="754B5F8D" w14:textId="783E6D8B" w:rsidR="00682123" w:rsidRDefault="00682123" w:rsidP="00682123">
      <w:r>
        <w:t xml:space="preserve">PCC: </w:t>
      </w:r>
      <w:r w:rsidR="002B7C3F">
        <w:t>t</w:t>
      </w:r>
      <w:r w:rsidRPr="00214607">
        <w:t xml:space="preserve">hese </w:t>
      </w:r>
      <w:r w:rsidR="00160F73">
        <w:t xml:space="preserve">4 </w:t>
      </w:r>
      <w:r w:rsidRPr="00214607">
        <w:t xml:space="preserve">are low needs cases where we are exercising our power to accommodate. There is potential for this to be extended beyond the end of the hotel rest centre provision assuming we don’t have a surge in demand post Covid </w:t>
      </w:r>
      <w:r w:rsidR="002B7C3F">
        <w:t>–</w:t>
      </w:r>
      <w:r w:rsidRPr="00214607">
        <w:t xml:space="preserve"> 19</w:t>
      </w:r>
    </w:p>
    <w:p w14:paraId="01D48B71" w14:textId="6E99878C" w:rsidR="002B7C3F" w:rsidRDefault="002B7C3F" w:rsidP="007E72E4">
      <w:pPr>
        <w:pStyle w:val="Heading3"/>
      </w:pPr>
      <w:r>
        <w:t>All housed due to covid</w:t>
      </w:r>
      <w:r w:rsidR="00160F73">
        <w:t xml:space="preserve"> in EA and TA</w:t>
      </w:r>
    </w:p>
    <w:p w14:paraId="26F5271C" w14:textId="51441E28" w:rsidR="002A648E" w:rsidRPr="00B85110" w:rsidRDefault="002A648E" w:rsidP="00B85110">
      <w:pPr>
        <w:pStyle w:val="tablenumbered"/>
      </w:pPr>
      <w:r w:rsidRPr="00B85110">
        <w:t>Temporary accommodation plus emergency accommodation</w:t>
      </w:r>
    </w:p>
    <w:tbl>
      <w:tblPr>
        <w:tblStyle w:val="TableGrid"/>
        <w:tblW w:w="5000" w:type="pct"/>
        <w:tblLook w:val="0420" w:firstRow="1" w:lastRow="0" w:firstColumn="0" w:lastColumn="0" w:noHBand="0" w:noVBand="1"/>
      </w:tblPr>
      <w:tblGrid>
        <w:gridCol w:w="2707"/>
        <w:gridCol w:w="1743"/>
        <w:gridCol w:w="1025"/>
        <w:gridCol w:w="842"/>
        <w:gridCol w:w="895"/>
        <w:gridCol w:w="1015"/>
        <w:gridCol w:w="2455"/>
      </w:tblGrid>
      <w:tr w:rsidR="002B7C3F" w:rsidRPr="00214607" w14:paraId="44ED39B4" w14:textId="77777777" w:rsidTr="007E72E4">
        <w:trPr>
          <w:trHeight w:val="20"/>
          <w:tblHeader/>
        </w:trPr>
        <w:tc>
          <w:tcPr>
            <w:tcW w:w="1267" w:type="pct"/>
            <w:shd w:val="clear" w:color="auto" w:fill="000000" w:themeFill="text1"/>
          </w:tcPr>
          <w:p w14:paraId="7C522C75" w14:textId="77777777" w:rsidR="002B7C3F" w:rsidRPr="0086146F" w:rsidRDefault="002B7C3F" w:rsidP="006D0A2C">
            <w:pPr>
              <w:rPr>
                <w:sz w:val="20"/>
                <w:szCs w:val="20"/>
              </w:rPr>
            </w:pPr>
          </w:p>
        </w:tc>
        <w:tc>
          <w:tcPr>
            <w:tcW w:w="816" w:type="pct"/>
            <w:shd w:val="clear" w:color="auto" w:fill="000000" w:themeFill="text1"/>
          </w:tcPr>
          <w:p w14:paraId="71C8A0C2" w14:textId="09542668" w:rsidR="002B7C3F" w:rsidRPr="0086146F" w:rsidRDefault="002B7C3F" w:rsidP="006D0A2C">
            <w:pPr>
              <w:rPr>
                <w:sz w:val="20"/>
                <w:szCs w:val="20"/>
              </w:rPr>
            </w:pPr>
            <w:r w:rsidRPr="0086146F">
              <w:rPr>
                <w:sz w:val="20"/>
                <w:szCs w:val="20"/>
              </w:rPr>
              <w:t>Cambridge</w:t>
            </w:r>
          </w:p>
        </w:tc>
        <w:tc>
          <w:tcPr>
            <w:tcW w:w="480" w:type="pct"/>
            <w:shd w:val="clear" w:color="auto" w:fill="000000" w:themeFill="text1"/>
          </w:tcPr>
          <w:p w14:paraId="38CC30E2" w14:textId="77777777" w:rsidR="002B7C3F" w:rsidRPr="0086146F" w:rsidRDefault="002B7C3F" w:rsidP="006D0A2C">
            <w:pPr>
              <w:rPr>
                <w:sz w:val="20"/>
                <w:szCs w:val="20"/>
              </w:rPr>
            </w:pPr>
            <w:r w:rsidRPr="0086146F">
              <w:rPr>
                <w:sz w:val="20"/>
                <w:szCs w:val="20"/>
              </w:rPr>
              <w:t>ECDC</w:t>
            </w:r>
          </w:p>
        </w:tc>
        <w:tc>
          <w:tcPr>
            <w:tcW w:w="394" w:type="pct"/>
            <w:shd w:val="clear" w:color="auto" w:fill="000000" w:themeFill="text1"/>
          </w:tcPr>
          <w:p w14:paraId="0C7C1211" w14:textId="77777777" w:rsidR="002B7C3F" w:rsidRPr="0086146F" w:rsidRDefault="002B7C3F" w:rsidP="006D0A2C">
            <w:pPr>
              <w:rPr>
                <w:sz w:val="20"/>
                <w:szCs w:val="20"/>
              </w:rPr>
            </w:pPr>
            <w:r w:rsidRPr="0086146F">
              <w:rPr>
                <w:sz w:val="20"/>
                <w:szCs w:val="20"/>
              </w:rPr>
              <w:t>FDC</w:t>
            </w:r>
          </w:p>
        </w:tc>
        <w:tc>
          <w:tcPr>
            <w:tcW w:w="419" w:type="pct"/>
            <w:shd w:val="clear" w:color="auto" w:fill="000000" w:themeFill="text1"/>
          </w:tcPr>
          <w:p w14:paraId="0ECDBFFD" w14:textId="77777777" w:rsidR="002B7C3F" w:rsidRPr="0086146F" w:rsidRDefault="002B7C3F" w:rsidP="006D0A2C">
            <w:pPr>
              <w:rPr>
                <w:sz w:val="20"/>
                <w:szCs w:val="20"/>
              </w:rPr>
            </w:pPr>
            <w:r w:rsidRPr="0086146F">
              <w:rPr>
                <w:sz w:val="20"/>
                <w:szCs w:val="20"/>
              </w:rPr>
              <w:t>HDC</w:t>
            </w:r>
          </w:p>
        </w:tc>
        <w:tc>
          <w:tcPr>
            <w:tcW w:w="475" w:type="pct"/>
            <w:shd w:val="clear" w:color="auto" w:fill="000000" w:themeFill="text1"/>
          </w:tcPr>
          <w:p w14:paraId="064B0E07" w14:textId="77777777" w:rsidR="002B7C3F" w:rsidRPr="0086146F" w:rsidRDefault="002B7C3F" w:rsidP="006D0A2C">
            <w:pPr>
              <w:rPr>
                <w:sz w:val="20"/>
                <w:szCs w:val="20"/>
              </w:rPr>
            </w:pPr>
            <w:r w:rsidRPr="0086146F">
              <w:rPr>
                <w:sz w:val="20"/>
                <w:szCs w:val="20"/>
              </w:rPr>
              <w:t>SCDC</w:t>
            </w:r>
          </w:p>
        </w:tc>
        <w:tc>
          <w:tcPr>
            <w:tcW w:w="1149" w:type="pct"/>
            <w:shd w:val="clear" w:color="auto" w:fill="000000" w:themeFill="text1"/>
          </w:tcPr>
          <w:p w14:paraId="0865D01A" w14:textId="77777777" w:rsidR="002B7C3F" w:rsidRPr="0086146F" w:rsidRDefault="002B7C3F" w:rsidP="006D0A2C">
            <w:pPr>
              <w:rPr>
                <w:sz w:val="20"/>
                <w:szCs w:val="20"/>
              </w:rPr>
            </w:pPr>
            <w:r w:rsidRPr="0086146F">
              <w:rPr>
                <w:sz w:val="20"/>
                <w:szCs w:val="20"/>
              </w:rPr>
              <w:t>PCC</w:t>
            </w:r>
          </w:p>
        </w:tc>
      </w:tr>
      <w:tr w:rsidR="002B7C3F" w:rsidRPr="00214607" w14:paraId="73F4C44A" w14:textId="77777777" w:rsidTr="007E72E4">
        <w:trPr>
          <w:trHeight w:val="20"/>
        </w:trPr>
        <w:tc>
          <w:tcPr>
            <w:tcW w:w="1267" w:type="pct"/>
          </w:tcPr>
          <w:p w14:paraId="198998D4" w14:textId="50BDABBD" w:rsidR="002B7C3F" w:rsidRPr="0086146F" w:rsidRDefault="002B7C3F" w:rsidP="006D0A2C">
            <w:pPr>
              <w:rPr>
                <w:sz w:val="20"/>
                <w:szCs w:val="20"/>
              </w:rPr>
            </w:pPr>
            <w:r w:rsidRPr="0086146F">
              <w:rPr>
                <w:sz w:val="20"/>
                <w:szCs w:val="20"/>
              </w:rPr>
              <w:t>Emergency accom</w:t>
            </w:r>
            <w:r w:rsidR="004A2EDE" w:rsidRPr="0086146F">
              <w:rPr>
                <w:sz w:val="20"/>
                <w:szCs w:val="20"/>
              </w:rPr>
              <w:t>modation</w:t>
            </w:r>
          </w:p>
        </w:tc>
        <w:tc>
          <w:tcPr>
            <w:tcW w:w="816" w:type="pct"/>
          </w:tcPr>
          <w:p w14:paraId="5BCB9A70" w14:textId="77808C0C" w:rsidR="002B7C3F" w:rsidRPr="0086146F" w:rsidRDefault="002B7C3F" w:rsidP="006D0A2C">
            <w:pPr>
              <w:rPr>
                <w:sz w:val="20"/>
                <w:szCs w:val="20"/>
              </w:rPr>
            </w:pPr>
            <w:r w:rsidRPr="0086146F">
              <w:rPr>
                <w:sz w:val="20"/>
                <w:szCs w:val="20"/>
              </w:rPr>
              <w:t>103</w:t>
            </w:r>
          </w:p>
        </w:tc>
        <w:tc>
          <w:tcPr>
            <w:tcW w:w="480" w:type="pct"/>
          </w:tcPr>
          <w:p w14:paraId="2CF091AE" w14:textId="77777777" w:rsidR="002B7C3F" w:rsidRPr="0086146F" w:rsidRDefault="002B7C3F" w:rsidP="006D0A2C">
            <w:pPr>
              <w:rPr>
                <w:sz w:val="20"/>
                <w:szCs w:val="20"/>
              </w:rPr>
            </w:pPr>
            <w:r w:rsidRPr="0086146F">
              <w:rPr>
                <w:sz w:val="20"/>
                <w:szCs w:val="20"/>
              </w:rPr>
              <w:t>0</w:t>
            </w:r>
          </w:p>
        </w:tc>
        <w:tc>
          <w:tcPr>
            <w:tcW w:w="394" w:type="pct"/>
          </w:tcPr>
          <w:p w14:paraId="241195A2" w14:textId="77777777" w:rsidR="002B7C3F" w:rsidRPr="0086146F" w:rsidRDefault="002B7C3F" w:rsidP="006D0A2C">
            <w:pPr>
              <w:rPr>
                <w:sz w:val="20"/>
                <w:szCs w:val="20"/>
              </w:rPr>
            </w:pPr>
            <w:r w:rsidRPr="0086146F">
              <w:rPr>
                <w:sz w:val="20"/>
                <w:szCs w:val="20"/>
              </w:rPr>
              <w:t>39</w:t>
            </w:r>
          </w:p>
        </w:tc>
        <w:tc>
          <w:tcPr>
            <w:tcW w:w="419" w:type="pct"/>
          </w:tcPr>
          <w:p w14:paraId="51A61E06" w14:textId="77777777" w:rsidR="002B7C3F" w:rsidRPr="0086146F" w:rsidRDefault="002B7C3F" w:rsidP="006D0A2C">
            <w:pPr>
              <w:rPr>
                <w:sz w:val="20"/>
                <w:szCs w:val="20"/>
              </w:rPr>
            </w:pPr>
            <w:r w:rsidRPr="0086146F">
              <w:rPr>
                <w:sz w:val="20"/>
                <w:szCs w:val="20"/>
              </w:rPr>
              <w:t>25</w:t>
            </w:r>
          </w:p>
        </w:tc>
        <w:tc>
          <w:tcPr>
            <w:tcW w:w="475" w:type="pct"/>
          </w:tcPr>
          <w:p w14:paraId="6CDAB288" w14:textId="77777777" w:rsidR="002B7C3F" w:rsidRPr="0086146F" w:rsidRDefault="002B7C3F" w:rsidP="006D0A2C">
            <w:pPr>
              <w:rPr>
                <w:sz w:val="20"/>
                <w:szCs w:val="20"/>
              </w:rPr>
            </w:pPr>
            <w:r w:rsidRPr="0086146F">
              <w:rPr>
                <w:sz w:val="20"/>
                <w:szCs w:val="20"/>
              </w:rPr>
              <w:t>3</w:t>
            </w:r>
          </w:p>
        </w:tc>
        <w:tc>
          <w:tcPr>
            <w:tcW w:w="1149" w:type="pct"/>
          </w:tcPr>
          <w:p w14:paraId="1CFFE9E5" w14:textId="77777777" w:rsidR="002B7C3F" w:rsidRPr="0086146F" w:rsidRDefault="002B7C3F" w:rsidP="006D0A2C">
            <w:pPr>
              <w:rPr>
                <w:sz w:val="20"/>
                <w:szCs w:val="20"/>
              </w:rPr>
            </w:pPr>
            <w:r w:rsidRPr="0086146F">
              <w:rPr>
                <w:sz w:val="20"/>
                <w:szCs w:val="20"/>
              </w:rPr>
              <w:t>87 single people</w:t>
            </w:r>
          </w:p>
          <w:p w14:paraId="20BCAB9E" w14:textId="77777777" w:rsidR="002B7C3F" w:rsidRPr="0086146F" w:rsidRDefault="002B7C3F" w:rsidP="006D0A2C">
            <w:pPr>
              <w:rPr>
                <w:sz w:val="20"/>
                <w:szCs w:val="20"/>
              </w:rPr>
            </w:pPr>
            <w:r w:rsidRPr="0086146F">
              <w:rPr>
                <w:sz w:val="20"/>
                <w:szCs w:val="20"/>
              </w:rPr>
              <w:t>12 couples</w:t>
            </w:r>
          </w:p>
          <w:p w14:paraId="0110936F" w14:textId="77777777" w:rsidR="002B7C3F" w:rsidRPr="0086146F" w:rsidRDefault="002B7C3F" w:rsidP="006D0A2C">
            <w:pPr>
              <w:rPr>
                <w:sz w:val="20"/>
                <w:szCs w:val="20"/>
              </w:rPr>
            </w:pPr>
          </w:p>
        </w:tc>
      </w:tr>
      <w:tr w:rsidR="002B7C3F" w:rsidRPr="00214607" w14:paraId="51E39112" w14:textId="77777777" w:rsidTr="007E72E4">
        <w:tblPrEx>
          <w:tblLook w:val="04A0" w:firstRow="1" w:lastRow="0" w:firstColumn="1" w:lastColumn="0" w:noHBand="0" w:noVBand="1"/>
        </w:tblPrEx>
        <w:trPr>
          <w:trHeight w:val="20"/>
        </w:trPr>
        <w:tc>
          <w:tcPr>
            <w:tcW w:w="1267" w:type="pct"/>
          </w:tcPr>
          <w:p w14:paraId="220C38C5" w14:textId="616D146A" w:rsidR="002B7C3F" w:rsidRPr="0086146F" w:rsidRDefault="002B7C3F" w:rsidP="006D0A2C">
            <w:pPr>
              <w:rPr>
                <w:sz w:val="20"/>
                <w:szCs w:val="20"/>
              </w:rPr>
            </w:pPr>
            <w:r w:rsidRPr="0086146F">
              <w:rPr>
                <w:sz w:val="20"/>
                <w:szCs w:val="20"/>
              </w:rPr>
              <w:t xml:space="preserve">Temporary </w:t>
            </w:r>
            <w:r w:rsidR="004A2EDE" w:rsidRPr="0086146F">
              <w:rPr>
                <w:sz w:val="20"/>
                <w:szCs w:val="20"/>
              </w:rPr>
              <w:t>accommodation</w:t>
            </w:r>
          </w:p>
        </w:tc>
        <w:tc>
          <w:tcPr>
            <w:tcW w:w="816" w:type="pct"/>
          </w:tcPr>
          <w:p w14:paraId="53B04B39" w14:textId="4EB8C938" w:rsidR="002B7C3F" w:rsidRPr="0086146F" w:rsidRDefault="002B7C3F" w:rsidP="006D0A2C">
            <w:pPr>
              <w:rPr>
                <w:sz w:val="20"/>
                <w:szCs w:val="20"/>
              </w:rPr>
            </w:pPr>
            <w:r w:rsidRPr="0086146F">
              <w:rPr>
                <w:sz w:val="20"/>
                <w:szCs w:val="20"/>
              </w:rPr>
              <w:t>7</w:t>
            </w:r>
          </w:p>
        </w:tc>
        <w:tc>
          <w:tcPr>
            <w:tcW w:w="480" w:type="pct"/>
          </w:tcPr>
          <w:p w14:paraId="2D42BE73" w14:textId="77777777" w:rsidR="002B7C3F" w:rsidRPr="0086146F" w:rsidRDefault="002B7C3F" w:rsidP="006D0A2C">
            <w:pPr>
              <w:rPr>
                <w:sz w:val="20"/>
                <w:szCs w:val="20"/>
              </w:rPr>
            </w:pPr>
            <w:r w:rsidRPr="0086146F">
              <w:rPr>
                <w:sz w:val="20"/>
                <w:szCs w:val="20"/>
              </w:rPr>
              <w:t>4</w:t>
            </w:r>
          </w:p>
        </w:tc>
        <w:tc>
          <w:tcPr>
            <w:tcW w:w="394" w:type="pct"/>
          </w:tcPr>
          <w:p w14:paraId="74910C1A" w14:textId="77777777" w:rsidR="002B7C3F" w:rsidRPr="0086146F" w:rsidRDefault="002B7C3F" w:rsidP="006D0A2C">
            <w:pPr>
              <w:rPr>
                <w:sz w:val="20"/>
                <w:szCs w:val="20"/>
              </w:rPr>
            </w:pPr>
            <w:r w:rsidRPr="0086146F">
              <w:rPr>
                <w:sz w:val="20"/>
                <w:szCs w:val="20"/>
              </w:rPr>
              <w:t>10</w:t>
            </w:r>
          </w:p>
        </w:tc>
        <w:tc>
          <w:tcPr>
            <w:tcW w:w="419" w:type="pct"/>
          </w:tcPr>
          <w:p w14:paraId="7B8A48D6" w14:textId="77777777" w:rsidR="002B7C3F" w:rsidRPr="0086146F" w:rsidRDefault="002B7C3F" w:rsidP="006D0A2C">
            <w:pPr>
              <w:rPr>
                <w:sz w:val="20"/>
                <w:szCs w:val="20"/>
              </w:rPr>
            </w:pPr>
            <w:r w:rsidRPr="0086146F">
              <w:rPr>
                <w:sz w:val="20"/>
                <w:szCs w:val="20"/>
              </w:rPr>
              <w:t>1</w:t>
            </w:r>
          </w:p>
        </w:tc>
        <w:tc>
          <w:tcPr>
            <w:tcW w:w="475" w:type="pct"/>
          </w:tcPr>
          <w:p w14:paraId="031942A4" w14:textId="77777777" w:rsidR="002B7C3F" w:rsidRPr="0086146F" w:rsidRDefault="002B7C3F" w:rsidP="006D0A2C">
            <w:pPr>
              <w:rPr>
                <w:sz w:val="20"/>
                <w:szCs w:val="20"/>
              </w:rPr>
            </w:pPr>
            <w:r w:rsidRPr="0086146F">
              <w:rPr>
                <w:sz w:val="20"/>
                <w:szCs w:val="20"/>
              </w:rPr>
              <w:t>1</w:t>
            </w:r>
          </w:p>
        </w:tc>
        <w:tc>
          <w:tcPr>
            <w:tcW w:w="1149" w:type="pct"/>
          </w:tcPr>
          <w:p w14:paraId="7B1E3BA8" w14:textId="77777777" w:rsidR="002B7C3F" w:rsidRPr="0086146F" w:rsidRDefault="002B7C3F" w:rsidP="006D0A2C">
            <w:pPr>
              <w:rPr>
                <w:sz w:val="20"/>
                <w:szCs w:val="20"/>
              </w:rPr>
            </w:pPr>
            <w:r w:rsidRPr="0086146F">
              <w:rPr>
                <w:sz w:val="20"/>
                <w:szCs w:val="20"/>
              </w:rPr>
              <w:t xml:space="preserve">4 </w:t>
            </w:r>
          </w:p>
        </w:tc>
      </w:tr>
      <w:tr w:rsidR="002B7C3F" w:rsidRPr="00214607" w14:paraId="11FFF74E" w14:textId="77777777" w:rsidTr="007E72E4">
        <w:tblPrEx>
          <w:tblLook w:val="04A0" w:firstRow="1" w:lastRow="0" w:firstColumn="1" w:lastColumn="0" w:noHBand="0" w:noVBand="1"/>
        </w:tblPrEx>
        <w:trPr>
          <w:trHeight w:val="20"/>
        </w:trPr>
        <w:tc>
          <w:tcPr>
            <w:tcW w:w="1267" w:type="pct"/>
          </w:tcPr>
          <w:p w14:paraId="19BD8C28" w14:textId="23BF2901" w:rsidR="002B7C3F" w:rsidRPr="0086146F" w:rsidRDefault="002B7C3F" w:rsidP="006D0A2C">
            <w:pPr>
              <w:rPr>
                <w:sz w:val="20"/>
                <w:szCs w:val="20"/>
              </w:rPr>
            </w:pPr>
            <w:r w:rsidRPr="0086146F">
              <w:rPr>
                <w:sz w:val="20"/>
                <w:szCs w:val="20"/>
              </w:rPr>
              <w:t>Total</w:t>
            </w:r>
          </w:p>
        </w:tc>
        <w:tc>
          <w:tcPr>
            <w:tcW w:w="816" w:type="pct"/>
          </w:tcPr>
          <w:p w14:paraId="17B69640" w14:textId="7794D1A5" w:rsidR="002B7C3F" w:rsidRPr="0086146F" w:rsidRDefault="002B7C3F" w:rsidP="006D0A2C">
            <w:pPr>
              <w:rPr>
                <w:sz w:val="20"/>
                <w:szCs w:val="20"/>
              </w:rPr>
            </w:pPr>
            <w:r w:rsidRPr="0086146F">
              <w:rPr>
                <w:sz w:val="20"/>
                <w:szCs w:val="20"/>
              </w:rPr>
              <w:t>110</w:t>
            </w:r>
          </w:p>
        </w:tc>
        <w:tc>
          <w:tcPr>
            <w:tcW w:w="480" w:type="pct"/>
          </w:tcPr>
          <w:p w14:paraId="52AEE62C" w14:textId="233B8F52" w:rsidR="002B7C3F" w:rsidRPr="0086146F" w:rsidRDefault="002B7C3F" w:rsidP="006D0A2C">
            <w:pPr>
              <w:rPr>
                <w:sz w:val="20"/>
                <w:szCs w:val="20"/>
              </w:rPr>
            </w:pPr>
            <w:r w:rsidRPr="0086146F">
              <w:rPr>
                <w:sz w:val="20"/>
                <w:szCs w:val="20"/>
              </w:rPr>
              <w:t>4</w:t>
            </w:r>
          </w:p>
        </w:tc>
        <w:tc>
          <w:tcPr>
            <w:tcW w:w="394" w:type="pct"/>
          </w:tcPr>
          <w:p w14:paraId="1AC1066B" w14:textId="3EF5F150" w:rsidR="002B7C3F" w:rsidRPr="0086146F" w:rsidRDefault="002B7C3F" w:rsidP="006D0A2C">
            <w:pPr>
              <w:rPr>
                <w:sz w:val="20"/>
                <w:szCs w:val="20"/>
              </w:rPr>
            </w:pPr>
            <w:r w:rsidRPr="0086146F">
              <w:rPr>
                <w:sz w:val="20"/>
                <w:szCs w:val="20"/>
              </w:rPr>
              <w:t>49</w:t>
            </w:r>
          </w:p>
        </w:tc>
        <w:tc>
          <w:tcPr>
            <w:tcW w:w="419" w:type="pct"/>
          </w:tcPr>
          <w:p w14:paraId="7A2007F1" w14:textId="7C377090" w:rsidR="002B7C3F" w:rsidRPr="0086146F" w:rsidRDefault="002B7C3F" w:rsidP="006D0A2C">
            <w:pPr>
              <w:rPr>
                <w:sz w:val="20"/>
                <w:szCs w:val="20"/>
              </w:rPr>
            </w:pPr>
            <w:r w:rsidRPr="0086146F">
              <w:rPr>
                <w:sz w:val="20"/>
                <w:szCs w:val="20"/>
              </w:rPr>
              <w:t>26</w:t>
            </w:r>
          </w:p>
        </w:tc>
        <w:tc>
          <w:tcPr>
            <w:tcW w:w="475" w:type="pct"/>
          </w:tcPr>
          <w:p w14:paraId="39DD96EC" w14:textId="75E630BB" w:rsidR="002B7C3F" w:rsidRPr="0086146F" w:rsidRDefault="002B7C3F" w:rsidP="006D0A2C">
            <w:pPr>
              <w:rPr>
                <w:sz w:val="20"/>
                <w:szCs w:val="20"/>
              </w:rPr>
            </w:pPr>
            <w:r w:rsidRPr="0086146F">
              <w:rPr>
                <w:sz w:val="20"/>
                <w:szCs w:val="20"/>
              </w:rPr>
              <w:t>4</w:t>
            </w:r>
          </w:p>
        </w:tc>
        <w:tc>
          <w:tcPr>
            <w:tcW w:w="1149" w:type="pct"/>
          </w:tcPr>
          <w:p w14:paraId="04F3A4A5" w14:textId="64ACF63F" w:rsidR="002B7C3F" w:rsidRPr="0086146F" w:rsidRDefault="005C3FA0" w:rsidP="006D0A2C">
            <w:pPr>
              <w:rPr>
                <w:sz w:val="20"/>
                <w:szCs w:val="20"/>
              </w:rPr>
            </w:pPr>
            <w:r w:rsidRPr="0086146F">
              <w:rPr>
                <w:sz w:val="20"/>
                <w:szCs w:val="20"/>
              </w:rPr>
              <w:t>103</w:t>
            </w:r>
          </w:p>
        </w:tc>
      </w:tr>
    </w:tbl>
    <w:p w14:paraId="04D359EB" w14:textId="3B2D4BC3" w:rsidR="00682123" w:rsidRDefault="00682123" w:rsidP="006A7AEB">
      <w:pPr>
        <w:pStyle w:val="Heading2"/>
      </w:pPr>
      <w:bookmarkStart w:id="8" w:name="_Toc45530539"/>
      <w:r>
        <w:t>Move-on plans</w:t>
      </w:r>
      <w:bookmarkEnd w:id="8"/>
    </w:p>
    <w:p w14:paraId="7DA96988" w14:textId="09D75727" w:rsidR="006128DD" w:rsidRDefault="0043525E" w:rsidP="001F43DA">
      <w:pPr>
        <w:pStyle w:val="Heading3"/>
      </w:pPr>
      <w:r w:rsidRPr="00214607">
        <w:t>Of the people in accommodation</w:t>
      </w:r>
      <w:r w:rsidR="00B26D90">
        <w:t xml:space="preserve">, </w:t>
      </w:r>
      <w:r w:rsidRPr="00214607">
        <w:t xml:space="preserve">estimate </w:t>
      </w:r>
      <w:r w:rsidR="00B26D90">
        <w:t xml:space="preserve">of the number </w:t>
      </w:r>
      <w:r w:rsidRPr="00214607">
        <w:t>need</w:t>
      </w:r>
      <w:r w:rsidR="00B26D90">
        <w:t>ing</w:t>
      </w:r>
      <w:r w:rsidRPr="00214607">
        <w:t xml:space="preserve"> the following types of accommodation and support to move on</w:t>
      </w:r>
      <w:r w:rsidRPr="00214607">
        <w:rPr>
          <w:rStyle w:val="FootnoteReference"/>
        </w:rPr>
        <w:footnoteReference w:id="1"/>
      </w:r>
      <w:r w:rsidRPr="00214607">
        <w:t xml:space="preserve"> </w:t>
      </w:r>
    </w:p>
    <w:p w14:paraId="691D4D85" w14:textId="25373A0D" w:rsidR="00B26D90" w:rsidRPr="00B26D90" w:rsidRDefault="00B26D90" w:rsidP="00B85110">
      <w:pPr>
        <w:pStyle w:val="tablenumbered"/>
      </w:pPr>
      <w:r>
        <w:t>Accommodation &amp; support needs</w:t>
      </w:r>
    </w:p>
    <w:tbl>
      <w:tblPr>
        <w:tblStyle w:val="TableGrid"/>
        <w:tblW w:w="5000" w:type="pct"/>
        <w:tblLook w:val="0420" w:firstRow="1" w:lastRow="0" w:firstColumn="0" w:lastColumn="0" w:noHBand="0" w:noVBand="1"/>
      </w:tblPr>
      <w:tblGrid>
        <w:gridCol w:w="5235"/>
        <w:gridCol w:w="1610"/>
        <w:gridCol w:w="650"/>
        <w:gridCol w:w="923"/>
        <w:gridCol w:w="569"/>
        <w:gridCol w:w="642"/>
        <w:gridCol w:w="532"/>
        <w:gridCol w:w="521"/>
      </w:tblGrid>
      <w:tr w:rsidR="00CD6722" w:rsidRPr="00214607" w14:paraId="25161381" w14:textId="47F424E3" w:rsidTr="00CD6722">
        <w:trPr>
          <w:trHeight w:val="20"/>
          <w:tblHeader/>
        </w:trPr>
        <w:tc>
          <w:tcPr>
            <w:tcW w:w="2463" w:type="pct"/>
            <w:shd w:val="clear" w:color="auto" w:fill="000000" w:themeFill="text1"/>
          </w:tcPr>
          <w:p w14:paraId="25FC435F" w14:textId="77777777" w:rsidR="00CD6722" w:rsidRPr="0086146F" w:rsidRDefault="00CD6722" w:rsidP="00682123">
            <w:pPr>
              <w:rPr>
                <w:sz w:val="20"/>
                <w:szCs w:val="20"/>
              </w:rPr>
            </w:pPr>
          </w:p>
        </w:tc>
        <w:tc>
          <w:tcPr>
            <w:tcW w:w="766" w:type="pct"/>
            <w:shd w:val="clear" w:color="auto" w:fill="000000" w:themeFill="text1"/>
          </w:tcPr>
          <w:p w14:paraId="61374FC0" w14:textId="38E0DFF3" w:rsidR="00CD6722" w:rsidRPr="0086146F" w:rsidRDefault="00CD6722" w:rsidP="00682123">
            <w:pPr>
              <w:rPr>
                <w:sz w:val="20"/>
                <w:szCs w:val="20"/>
              </w:rPr>
            </w:pPr>
            <w:r w:rsidRPr="0086146F">
              <w:rPr>
                <w:sz w:val="20"/>
                <w:szCs w:val="20"/>
              </w:rPr>
              <w:t>Cambridge</w:t>
            </w:r>
          </w:p>
        </w:tc>
        <w:tc>
          <w:tcPr>
            <w:tcW w:w="304" w:type="pct"/>
            <w:shd w:val="clear" w:color="auto" w:fill="000000" w:themeFill="text1"/>
          </w:tcPr>
          <w:p w14:paraId="21FB7210" w14:textId="77777777" w:rsidR="00CD6722" w:rsidRPr="0086146F" w:rsidRDefault="00CD6722" w:rsidP="00682123">
            <w:pPr>
              <w:rPr>
                <w:sz w:val="20"/>
                <w:szCs w:val="20"/>
              </w:rPr>
            </w:pPr>
            <w:r w:rsidRPr="0086146F">
              <w:rPr>
                <w:sz w:val="20"/>
                <w:szCs w:val="20"/>
              </w:rPr>
              <w:t>ECDC</w:t>
            </w:r>
          </w:p>
        </w:tc>
        <w:tc>
          <w:tcPr>
            <w:tcW w:w="432" w:type="pct"/>
            <w:shd w:val="clear" w:color="auto" w:fill="000000" w:themeFill="text1"/>
          </w:tcPr>
          <w:p w14:paraId="46538636" w14:textId="57B6A00A" w:rsidR="00CD6722" w:rsidRPr="0086146F" w:rsidRDefault="00CD6722" w:rsidP="00682123">
            <w:pPr>
              <w:rPr>
                <w:sz w:val="20"/>
                <w:szCs w:val="20"/>
              </w:rPr>
            </w:pPr>
            <w:r w:rsidRPr="0086146F">
              <w:rPr>
                <w:sz w:val="20"/>
                <w:szCs w:val="20"/>
              </w:rPr>
              <w:t>FDC</w:t>
            </w:r>
            <w:r w:rsidRPr="0086146F">
              <w:rPr>
                <w:rStyle w:val="FootnoteReference"/>
                <w:b/>
                <w:sz w:val="20"/>
                <w:szCs w:val="20"/>
              </w:rPr>
              <w:footnoteReference w:id="2"/>
            </w:r>
          </w:p>
        </w:tc>
        <w:tc>
          <w:tcPr>
            <w:tcW w:w="266" w:type="pct"/>
            <w:shd w:val="clear" w:color="auto" w:fill="000000" w:themeFill="text1"/>
          </w:tcPr>
          <w:p w14:paraId="0D509A84" w14:textId="77777777" w:rsidR="00CD6722" w:rsidRPr="0086146F" w:rsidRDefault="00CD6722" w:rsidP="00682123">
            <w:pPr>
              <w:rPr>
                <w:sz w:val="20"/>
                <w:szCs w:val="20"/>
              </w:rPr>
            </w:pPr>
            <w:r w:rsidRPr="0086146F">
              <w:rPr>
                <w:sz w:val="20"/>
                <w:szCs w:val="20"/>
              </w:rPr>
              <w:t>HDC</w:t>
            </w:r>
          </w:p>
        </w:tc>
        <w:tc>
          <w:tcPr>
            <w:tcW w:w="301" w:type="pct"/>
            <w:shd w:val="clear" w:color="auto" w:fill="000000" w:themeFill="text1"/>
          </w:tcPr>
          <w:p w14:paraId="684465B6" w14:textId="77777777" w:rsidR="00CD6722" w:rsidRPr="0086146F" w:rsidRDefault="00CD6722" w:rsidP="00682123">
            <w:pPr>
              <w:rPr>
                <w:sz w:val="20"/>
                <w:szCs w:val="20"/>
              </w:rPr>
            </w:pPr>
            <w:r w:rsidRPr="0086146F">
              <w:rPr>
                <w:sz w:val="20"/>
                <w:szCs w:val="20"/>
              </w:rPr>
              <w:t>SCDC</w:t>
            </w:r>
          </w:p>
        </w:tc>
        <w:tc>
          <w:tcPr>
            <w:tcW w:w="249" w:type="pct"/>
            <w:shd w:val="clear" w:color="auto" w:fill="000000" w:themeFill="text1"/>
          </w:tcPr>
          <w:p w14:paraId="22FED3F5" w14:textId="77777777" w:rsidR="00CD6722" w:rsidRPr="0086146F" w:rsidRDefault="00CD6722" w:rsidP="00682123">
            <w:pPr>
              <w:rPr>
                <w:sz w:val="20"/>
                <w:szCs w:val="20"/>
              </w:rPr>
            </w:pPr>
            <w:r w:rsidRPr="0086146F">
              <w:rPr>
                <w:sz w:val="20"/>
                <w:szCs w:val="20"/>
              </w:rPr>
              <w:t>PCC</w:t>
            </w:r>
          </w:p>
        </w:tc>
        <w:tc>
          <w:tcPr>
            <w:tcW w:w="220" w:type="pct"/>
            <w:shd w:val="clear" w:color="auto" w:fill="000000" w:themeFill="text1"/>
          </w:tcPr>
          <w:p w14:paraId="7C37F3E0" w14:textId="0477B8A7" w:rsidR="00CD6722" w:rsidRPr="0086146F" w:rsidRDefault="00CD6722" w:rsidP="00682123">
            <w:pPr>
              <w:rPr>
                <w:sz w:val="20"/>
                <w:szCs w:val="20"/>
              </w:rPr>
            </w:pPr>
            <w:r>
              <w:rPr>
                <w:sz w:val="20"/>
                <w:szCs w:val="20"/>
              </w:rPr>
              <w:t>All</w:t>
            </w:r>
          </w:p>
        </w:tc>
      </w:tr>
      <w:tr w:rsidR="00CD6722" w:rsidRPr="00214607" w14:paraId="5B2A61AD" w14:textId="0993C94C" w:rsidTr="00CD6722">
        <w:trPr>
          <w:trHeight w:val="20"/>
        </w:trPr>
        <w:tc>
          <w:tcPr>
            <w:tcW w:w="2463" w:type="pct"/>
          </w:tcPr>
          <w:p w14:paraId="1B3D5FBE" w14:textId="2F983E33" w:rsidR="00CD6722" w:rsidRPr="0086146F" w:rsidRDefault="00CD6722" w:rsidP="002B7C3F">
            <w:pPr>
              <w:pStyle w:val="ListParagraph"/>
              <w:ind w:left="0"/>
              <w:rPr>
                <w:sz w:val="20"/>
                <w:szCs w:val="20"/>
              </w:rPr>
            </w:pPr>
            <w:r w:rsidRPr="0086146F">
              <w:rPr>
                <w:sz w:val="20"/>
                <w:szCs w:val="20"/>
              </w:rPr>
              <w:t>Housing First/ Supported Housing with intensive support</w:t>
            </w:r>
          </w:p>
        </w:tc>
        <w:tc>
          <w:tcPr>
            <w:tcW w:w="766" w:type="pct"/>
          </w:tcPr>
          <w:p w14:paraId="2703865A" w14:textId="46788A4E" w:rsidR="00CD6722" w:rsidRPr="0086146F" w:rsidRDefault="00CD6722" w:rsidP="007E72E4">
            <w:pPr>
              <w:rPr>
                <w:sz w:val="20"/>
                <w:szCs w:val="20"/>
              </w:rPr>
            </w:pPr>
            <w:r w:rsidRPr="0086146F">
              <w:rPr>
                <w:sz w:val="20"/>
                <w:szCs w:val="20"/>
              </w:rPr>
              <w:t>32</w:t>
            </w:r>
          </w:p>
        </w:tc>
        <w:tc>
          <w:tcPr>
            <w:tcW w:w="304" w:type="pct"/>
          </w:tcPr>
          <w:p w14:paraId="4D45F181" w14:textId="77777777" w:rsidR="00CD6722" w:rsidRPr="0086146F" w:rsidRDefault="00CD6722" w:rsidP="00682123">
            <w:pPr>
              <w:rPr>
                <w:sz w:val="20"/>
                <w:szCs w:val="20"/>
              </w:rPr>
            </w:pPr>
            <w:r w:rsidRPr="0086146F">
              <w:rPr>
                <w:sz w:val="20"/>
                <w:szCs w:val="20"/>
              </w:rPr>
              <w:t>0</w:t>
            </w:r>
          </w:p>
        </w:tc>
        <w:tc>
          <w:tcPr>
            <w:tcW w:w="432" w:type="pct"/>
          </w:tcPr>
          <w:p w14:paraId="0F4EAE4B" w14:textId="13D30B2E" w:rsidR="00CD6722" w:rsidRPr="0086146F" w:rsidRDefault="00CD6722" w:rsidP="00682123">
            <w:pPr>
              <w:rPr>
                <w:sz w:val="20"/>
                <w:szCs w:val="20"/>
              </w:rPr>
            </w:pPr>
            <w:r w:rsidRPr="0086146F">
              <w:rPr>
                <w:sz w:val="20"/>
                <w:szCs w:val="20"/>
              </w:rPr>
              <w:t>7</w:t>
            </w:r>
          </w:p>
        </w:tc>
        <w:tc>
          <w:tcPr>
            <w:tcW w:w="266" w:type="pct"/>
          </w:tcPr>
          <w:p w14:paraId="58813136" w14:textId="77777777" w:rsidR="00CD6722" w:rsidRPr="0086146F" w:rsidRDefault="00CD6722" w:rsidP="00682123">
            <w:pPr>
              <w:rPr>
                <w:sz w:val="20"/>
                <w:szCs w:val="20"/>
              </w:rPr>
            </w:pPr>
            <w:r w:rsidRPr="0086146F">
              <w:rPr>
                <w:sz w:val="20"/>
                <w:szCs w:val="20"/>
              </w:rPr>
              <w:t>5</w:t>
            </w:r>
          </w:p>
        </w:tc>
        <w:tc>
          <w:tcPr>
            <w:tcW w:w="301" w:type="pct"/>
          </w:tcPr>
          <w:p w14:paraId="6F49C6C5" w14:textId="77777777" w:rsidR="00CD6722" w:rsidRPr="0086146F" w:rsidRDefault="00CD6722" w:rsidP="00682123">
            <w:pPr>
              <w:rPr>
                <w:sz w:val="20"/>
                <w:szCs w:val="20"/>
              </w:rPr>
            </w:pPr>
            <w:r w:rsidRPr="0086146F">
              <w:rPr>
                <w:sz w:val="20"/>
                <w:szCs w:val="20"/>
              </w:rPr>
              <w:t>1</w:t>
            </w:r>
          </w:p>
        </w:tc>
        <w:tc>
          <w:tcPr>
            <w:tcW w:w="249" w:type="pct"/>
          </w:tcPr>
          <w:p w14:paraId="7C5B71D1" w14:textId="77777777" w:rsidR="00CD6722" w:rsidRPr="0086146F" w:rsidRDefault="00CD6722" w:rsidP="00682123">
            <w:pPr>
              <w:rPr>
                <w:sz w:val="20"/>
                <w:szCs w:val="20"/>
              </w:rPr>
            </w:pPr>
            <w:r w:rsidRPr="0086146F">
              <w:rPr>
                <w:sz w:val="20"/>
                <w:szCs w:val="20"/>
              </w:rPr>
              <w:t>8</w:t>
            </w:r>
          </w:p>
        </w:tc>
        <w:tc>
          <w:tcPr>
            <w:tcW w:w="220" w:type="pct"/>
          </w:tcPr>
          <w:p w14:paraId="059E11E6" w14:textId="6D7E5F93"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53</w:t>
            </w:r>
            <w:r>
              <w:rPr>
                <w:sz w:val="20"/>
                <w:szCs w:val="20"/>
              </w:rPr>
              <w:fldChar w:fldCharType="end"/>
            </w:r>
          </w:p>
        </w:tc>
      </w:tr>
      <w:tr w:rsidR="00CD6722" w:rsidRPr="00214607" w14:paraId="4669B0A8" w14:textId="1C215B41" w:rsidTr="00CD6722">
        <w:trPr>
          <w:trHeight w:val="20"/>
        </w:trPr>
        <w:tc>
          <w:tcPr>
            <w:tcW w:w="2463" w:type="pct"/>
          </w:tcPr>
          <w:p w14:paraId="46FDEC66" w14:textId="368159A8" w:rsidR="00CD6722" w:rsidRPr="0086146F" w:rsidRDefault="00CD6722" w:rsidP="002B7C3F">
            <w:pPr>
              <w:pStyle w:val="ListParagraph"/>
              <w:ind w:left="0"/>
              <w:rPr>
                <w:sz w:val="20"/>
                <w:szCs w:val="20"/>
              </w:rPr>
            </w:pPr>
            <w:r w:rsidRPr="0086146F">
              <w:rPr>
                <w:sz w:val="20"/>
                <w:szCs w:val="20"/>
              </w:rPr>
              <w:t>Supported housing or housing led with floating support</w:t>
            </w:r>
          </w:p>
        </w:tc>
        <w:tc>
          <w:tcPr>
            <w:tcW w:w="766" w:type="pct"/>
          </w:tcPr>
          <w:p w14:paraId="0AEEF008" w14:textId="195EA79B" w:rsidR="00CD6722" w:rsidRPr="0086146F" w:rsidRDefault="00CD6722" w:rsidP="007E72E4">
            <w:pPr>
              <w:rPr>
                <w:sz w:val="20"/>
                <w:szCs w:val="20"/>
              </w:rPr>
            </w:pPr>
            <w:r w:rsidRPr="0086146F">
              <w:rPr>
                <w:sz w:val="20"/>
                <w:szCs w:val="20"/>
              </w:rPr>
              <w:t>49</w:t>
            </w:r>
          </w:p>
        </w:tc>
        <w:tc>
          <w:tcPr>
            <w:tcW w:w="304" w:type="pct"/>
          </w:tcPr>
          <w:p w14:paraId="0B7B2A77" w14:textId="77777777" w:rsidR="00CD6722" w:rsidRPr="0086146F" w:rsidRDefault="00CD6722" w:rsidP="00682123">
            <w:pPr>
              <w:rPr>
                <w:sz w:val="20"/>
                <w:szCs w:val="20"/>
              </w:rPr>
            </w:pPr>
            <w:r w:rsidRPr="0086146F">
              <w:rPr>
                <w:sz w:val="20"/>
                <w:szCs w:val="20"/>
              </w:rPr>
              <w:t>0</w:t>
            </w:r>
          </w:p>
        </w:tc>
        <w:tc>
          <w:tcPr>
            <w:tcW w:w="432" w:type="pct"/>
          </w:tcPr>
          <w:p w14:paraId="0F18DC9E" w14:textId="77777777" w:rsidR="00CD6722" w:rsidRPr="0086146F" w:rsidRDefault="00CD6722" w:rsidP="00682123">
            <w:pPr>
              <w:rPr>
                <w:sz w:val="20"/>
                <w:szCs w:val="20"/>
              </w:rPr>
            </w:pPr>
          </w:p>
        </w:tc>
        <w:tc>
          <w:tcPr>
            <w:tcW w:w="266" w:type="pct"/>
          </w:tcPr>
          <w:p w14:paraId="47D45484" w14:textId="77777777" w:rsidR="00CD6722" w:rsidRPr="0086146F" w:rsidRDefault="00CD6722" w:rsidP="00682123">
            <w:pPr>
              <w:rPr>
                <w:sz w:val="20"/>
                <w:szCs w:val="20"/>
              </w:rPr>
            </w:pPr>
            <w:r w:rsidRPr="0086146F">
              <w:rPr>
                <w:sz w:val="20"/>
                <w:szCs w:val="20"/>
              </w:rPr>
              <w:t>8</w:t>
            </w:r>
          </w:p>
        </w:tc>
        <w:tc>
          <w:tcPr>
            <w:tcW w:w="301" w:type="pct"/>
          </w:tcPr>
          <w:p w14:paraId="37BB31DB" w14:textId="77777777" w:rsidR="00CD6722" w:rsidRPr="0086146F" w:rsidRDefault="00CD6722" w:rsidP="00682123">
            <w:pPr>
              <w:rPr>
                <w:sz w:val="20"/>
                <w:szCs w:val="20"/>
              </w:rPr>
            </w:pPr>
            <w:r w:rsidRPr="0086146F">
              <w:rPr>
                <w:sz w:val="20"/>
                <w:szCs w:val="20"/>
              </w:rPr>
              <w:t>1</w:t>
            </w:r>
          </w:p>
        </w:tc>
        <w:tc>
          <w:tcPr>
            <w:tcW w:w="249" w:type="pct"/>
          </w:tcPr>
          <w:p w14:paraId="23747999" w14:textId="77777777" w:rsidR="00CD6722" w:rsidRPr="0086146F" w:rsidRDefault="00CD6722" w:rsidP="00682123">
            <w:pPr>
              <w:rPr>
                <w:sz w:val="20"/>
                <w:szCs w:val="20"/>
              </w:rPr>
            </w:pPr>
            <w:r w:rsidRPr="0086146F">
              <w:rPr>
                <w:sz w:val="20"/>
                <w:szCs w:val="20"/>
              </w:rPr>
              <w:t>28</w:t>
            </w:r>
          </w:p>
        </w:tc>
        <w:tc>
          <w:tcPr>
            <w:tcW w:w="220" w:type="pct"/>
          </w:tcPr>
          <w:p w14:paraId="46B69704" w14:textId="53E1570F"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37</w:t>
            </w:r>
            <w:r>
              <w:rPr>
                <w:sz w:val="20"/>
                <w:szCs w:val="20"/>
              </w:rPr>
              <w:fldChar w:fldCharType="end"/>
            </w:r>
          </w:p>
        </w:tc>
      </w:tr>
      <w:tr w:rsidR="00CD6722" w:rsidRPr="00214607" w14:paraId="52C35EF9" w14:textId="65CC5C74" w:rsidTr="00CD6722">
        <w:trPr>
          <w:trHeight w:val="20"/>
        </w:trPr>
        <w:tc>
          <w:tcPr>
            <w:tcW w:w="2463" w:type="pct"/>
          </w:tcPr>
          <w:p w14:paraId="284AF874" w14:textId="7E96E81D" w:rsidR="00CD6722" w:rsidRPr="0086146F" w:rsidRDefault="00CD6722" w:rsidP="002B7C3F">
            <w:pPr>
              <w:pStyle w:val="ListParagraph"/>
              <w:ind w:left="0"/>
              <w:rPr>
                <w:sz w:val="20"/>
                <w:szCs w:val="20"/>
              </w:rPr>
            </w:pPr>
            <w:r w:rsidRPr="0086146F">
              <w:rPr>
                <w:sz w:val="20"/>
                <w:szCs w:val="20"/>
              </w:rPr>
              <w:t>PRS/ social housing tenancy with start-up floating support</w:t>
            </w:r>
          </w:p>
        </w:tc>
        <w:tc>
          <w:tcPr>
            <w:tcW w:w="766" w:type="pct"/>
          </w:tcPr>
          <w:p w14:paraId="28A919E0" w14:textId="5F50B3E8" w:rsidR="00CD6722" w:rsidRPr="0086146F" w:rsidRDefault="00CD6722" w:rsidP="007E72E4">
            <w:pPr>
              <w:rPr>
                <w:sz w:val="20"/>
                <w:szCs w:val="20"/>
              </w:rPr>
            </w:pPr>
            <w:r w:rsidRPr="0086146F">
              <w:rPr>
                <w:sz w:val="20"/>
                <w:szCs w:val="20"/>
              </w:rPr>
              <w:t>20</w:t>
            </w:r>
          </w:p>
        </w:tc>
        <w:tc>
          <w:tcPr>
            <w:tcW w:w="304" w:type="pct"/>
          </w:tcPr>
          <w:p w14:paraId="7A5281EF" w14:textId="77777777" w:rsidR="00CD6722" w:rsidRPr="0086146F" w:rsidRDefault="00CD6722" w:rsidP="00682123">
            <w:pPr>
              <w:rPr>
                <w:sz w:val="20"/>
                <w:szCs w:val="20"/>
              </w:rPr>
            </w:pPr>
            <w:r w:rsidRPr="0086146F">
              <w:rPr>
                <w:sz w:val="20"/>
                <w:szCs w:val="20"/>
              </w:rPr>
              <w:t>4</w:t>
            </w:r>
          </w:p>
        </w:tc>
        <w:tc>
          <w:tcPr>
            <w:tcW w:w="432" w:type="pct"/>
          </w:tcPr>
          <w:p w14:paraId="4A4FACAD" w14:textId="238A8312" w:rsidR="00CD6722" w:rsidRPr="0086146F" w:rsidRDefault="00CD6722" w:rsidP="00682123">
            <w:pPr>
              <w:rPr>
                <w:sz w:val="20"/>
                <w:szCs w:val="20"/>
              </w:rPr>
            </w:pPr>
            <w:r w:rsidRPr="0086146F">
              <w:rPr>
                <w:sz w:val="20"/>
                <w:szCs w:val="20"/>
              </w:rPr>
              <w:t>10+23+3</w:t>
            </w:r>
          </w:p>
        </w:tc>
        <w:tc>
          <w:tcPr>
            <w:tcW w:w="266" w:type="pct"/>
          </w:tcPr>
          <w:p w14:paraId="6DA0569D" w14:textId="77777777" w:rsidR="00CD6722" w:rsidRPr="0086146F" w:rsidRDefault="00CD6722" w:rsidP="00682123">
            <w:pPr>
              <w:rPr>
                <w:sz w:val="20"/>
                <w:szCs w:val="20"/>
              </w:rPr>
            </w:pPr>
            <w:r w:rsidRPr="0086146F">
              <w:rPr>
                <w:sz w:val="20"/>
                <w:szCs w:val="20"/>
              </w:rPr>
              <w:t>12</w:t>
            </w:r>
          </w:p>
        </w:tc>
        <w:tc>
          <w:tcPr>
            <w:tcW w:w="301" w:type="pct"/>
          </w:tcPr>
          <w:p w14:paraId="3B27C936" w14:textId="77777777" w:rsidR="00CD6722" w:rsidRPr="0086146F" w:rsidRDefault="00CD6722" w:rsidP="00682123">
            <w:pPr>
              <w:rPr>
                <w:sz w:val="20"/>
                <w:szCs w:val="20"/>
              </w:rPr>
            </w:pPr>
            <w:r w:rsidRPr="0086146F">
              <w:rPr>
                <w:sz w:val="20"/>
                <w:szCs w:val="20"/>
              </w:rPr>
              <w:t>2</w:t>
            </w:r>
          </w:p>
        </w:tc>
        <w:tc>
          <w:tcPr>
            <w:tcW w:w="249" w:type="pct"/>
          </w:tcPr>
          <w:p w14:paraId="005EDFFB" w14:textId="77777777" w:rsidR="00CD6722" w:rsidRPr="0086146F" w:rsidRDefault="00CD6722" w:rsidP="00682123">
            <w:pPr>
              <w:rPr>
                <w:sz w:val="20"/>
                <w:szCs w:val="20"/>
              </w:rPr>
            </w:pPr>
            <w:r w:rsidRPr="0086146F">
              <w:rPr>
                <w:sz w:val="20"/>
                <w:szCs w:val="20"/>
              </w:rPr>
              <w:t>35</w:t>
            </w:r>
          </w:p>
        </w:tc>
        <w:tc>
          <w:tcPr>
            <w:tcW w:w="220" w:type="pct"/>
          </w:tcPr>
          <w:p w14:paraId="6C03AC79" w14:textId="06D5C6B9"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49</w:t>
            </w:r>
            <w:r>
              <w:rPr>
                <w:sz w:val="20"/>
                <w:szCs w:val="20"/>
              </w:rPr>
              <w:fldChar w:fldCharType="end"/>
            </w:r>
          </w:p>
        </w:tc>
      </w:tr>
      <w:tr w:rsidR="00CD6722" w:rsidRPr="00214607" w14:paraId="7B94D337" w14:textId="63FC9218" w:rsidTr="00CD6722">
        <w:trPr>
          <w:trHeight w:val="20"/>
        </w:trPr>
        <w:tc>
          <w:tcPr>
            <w:tcW w:w="2463" w:type="pct"/>
          </w:tcPr>
          <w:p w14:paraId="1A214E1F" w14:textId="15C2499E" w:rsidR="00CD6722" w:rsidRPr="0086146F" w:rsidRDefault="00CD6722" w:rsidP="002B7C3F">
            <w:pPr>
              <w:pStyle w:val="ListParagraph"/>
              <w:ind w:left="0"/>
              <w:rPr>
                <w:sz w:val="20"/>
                <w:szCs w:val="20"/>
              </w:rPr>
            </w:pPr>
            <w:r w:rsidRPr="0086146F">
              <w:rPr>
                <w:sz w:val="20"/>
                <w:szCs w:val="20"/>
              </w:rPr>
              <w:t>Assistance to reconnect to family and friends/return home</w:t>
            </w:r>
          </w:p>
        </w:tc>
        <w:tc>
          <w:tcPr>
            <w:tcW w:w="766" w:type="pct"/>
          </w:tcPr>
          <w:p w14:paraId="61D01BB0" w14:textId="3612B9E0" w:rsidR="00CD6722" w:rsidRPr="0086146F" w:rsidRDefault="00CD6722" w:rsidP="007E72E4">
            <w:pPr>
              <w:rPr>
                <w:sz w:val="20"/>
                <w:szCs w:val="20"/>
              </w:rPr>
            </w:pPr>
            <w:r w:rsidRPr="0086146F">
              <w:rPr>
                <w:sz w:val="20"/>
                <w:szCs w:val="20"/>
              </w:rPr>
              <w:t>9</w:t>
            </w:r>
          </w:p>
        </w:tc>
        <w:tc>
          <w:tcPr>
            <w:tcW w:w="304" w:type="pct"/>
          </w:tcPr>
          <w:p w14:paraId="07C30E66" w14:textId="77777777" w:rsidR="00CD6722" w:rsidRPr="0086146F" w:rsidRDefault="00CD6722" w:rsidP="00682123">
            <w:pPr>
              <w:rPr>
                <w:sz w:val="20"/>
                <w:szCs w:val="20"/>
              </w:rPr>
            </w:pPr>
            <w:r w:rsidRPr="0086146F">
              <w:rPr>
                <w:sz w:val="20"/>
                <w:szCs w:val="20"/>
              </w:rPr>
              <w:t>0</w:t>
            </w:r>
          </w:p>
        </w:tc>
        <w:tc>
          <w:tcPr>
            <w:tcW w:w="432" w:type="pct"/>
          </w:tcPr>
          <w:p w14:paraId="610C2244" w14:textId="77777777" w:rsidR="00CD6722" w:rsidRPr="0086146F" w:rsidRDefault="00CD6722" w:rsidP="00682123">
            <w:pPr>
              <w:rPr>
                <w:sz w:val="20"/>
                <w:szCs w:val="20"/>
              </w:rPr>
            </w:pPr>
          </w:p>
        </w:tc>
        <w:tc>
          <w:tcPr>
            <w:tcW w:w="266" w:type="pct"/>
          </w:tcPr>
          <w:p w14:paraId="298B61EC" w14:textId="77777777" w:rsidR="00CD6722" w:rsidRPr="0086146F" w:rsidRDefault="00CD6722" w:rsidP="00682123">
            <w:pPr>
              <w:rPr>
                <w:sz w:val="20"/>
                <w:szCs w:val="20"/>
              </w:rPr>
            </w:pPr>
            <w:r w:rsidRPr="0086146F">
              <w:rPr>
                <w:sz w:val="20"/>
                <w:szCs w:val="20"/>
              </w:rPr>
              <w:t>1</w:t>
            </w:r>
          </w:p>
        </w:tc>
        <w:tc>
          <w:tcPr>
            <w:tcW w:w="301" w:type="pct"/>
          </w:tcPr>
          <w:p w14:paraId="63385EB1" w14:textId="77777777" w:rsidR="00CD6722" w:rsidRPr="0086146F" w:rsidRDefault="00CD6722" w:rsidP="00682123">
            <w:pPr>
              <w:rPr>
                <w:sz w:val="20"/>
                <w:szCs w:val="20"/>
              </w:rPr>
            </w:pPr>
            <w:r w:rsidRPr="0086146F">
              <w:rPr>
                <w:sz w:val="20"/>
                <w:szCs w:val="20"/>
              </w:rPr>
              <w:t>0</w:t>
            </w:r>
          </w:p>
        </w:tc>
        <w:tc>
          <w:tcPr>
            <w:tcW w:w="249" w:type="pct"/>
          </w:tcPr>
          <w:p w14:paraId="0495A2D7" w14:textId="77777777" w:rsidR="00CD6722" w:rsidRPr="0086146F" w:rsidRDefault="00CD6722" w:rsidP="00682123">
            <w:pPr>
              <w:rPr>
                <w:sz w:val="20"/>
                <w:szCs w:val="20"/>
              </w:rPr>
            </w:pPr>
            <w:r w:rsidRPr="0086146F">
              <w:rPr>
                <w:sz w:val="20"/>
                <w:szCs w:val="20"/>
              </w:rPr>
              <w:t>28</w:t>
            </w:r>
          </w:p>
        </w:tc>
        <w:tc>
          <w:tcPr>
            <w:tcW w:w="220" w:type="pct"/>
          </w:tcPr>
          <w:p w14:paraId="6B7D9163" w14:textId="52356CBD"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29</w:t>
            </w:r>
            <w:r>
              <w:rPr>
                <w:sz w:val="20"/>
                <w:szCs w:val="20"/>
              </w:rPr>
              <w:fldChar w:fldCharType="end"/>
            </w:r>
          </w:p>
        </w:tc>
      </w:tr>
      <w:tr w:rsidR="00CD6722" w:rsidRPr="00214607" w14:paraId="22E3FC50" w14:textId="4B3F67AB" w:rsidTr="00CD6722">
        <w:trPr>
          <w:trHeight w:val="20"/>
        </w:trPr>
        <w:tc>
          <w:tcPr>
            <w:tcW w:w="2463" w:type="pct"/>
          </w:tcPr>
          <w:p w14:paraId="3AA0A387" w14:textId="34B8F15F" w:rsidR="00CD6722" w:rsidRPr="0086146F" w:rsidRDefault="00CD6722" w:rsidP="002B7C3F">
            <w:pPr>
              <w:pStyle w:val="ListParagraph"/>
              <w:ind w:left="0"/>
              <w:rPr>
                <w:sz w:val="20"/>
                <w:szCs w:val="20"/>
              </w:rPr>
            </w:pPr>
            <w:r w:rsidRPr="0086146F">
              <w:rPr>
                <w:sz w:val="20"/>
                <w:szCs w:val="20"/>
              </w:rPr>
              <w:t xml:space="preserve">Total </w:t>
            </w:r>
          </w:p>
        </w:tc>
        <w:tc>
          <w:tcPr>
            <w:tcW w:w="766" w:type="pct"/>
          </w:tcPr>
          <w:p w14:paraId="3FAE41B1" w14:textId="1F9C4C9B" w:rsidR="00CD6722" w:rsidRPr="0086146F" w:rsidRDefault="00CD6722" w:rsidP="007E72E4">
            <w:pPr>
              <w:rPr>
                <w:sz w:val="20"/>
                <w:szCs w:val="20"/>
              </w:rPr>
            </w:pPr>
            <w:r w:rsidRPr="0086146F">
              <w:rPr>
                <w:sz w:val="20"/>
                <w:szCs w:val="20"/>
              </w:rPr>
              <w:fldChar w:fldCharType="begin"/>
            </w:r>
            <w:r w:rsidRPr="0086146F">
              <w:rPr>
                <w:sz w:val="20"/>
                <w:szCs w:val="20"/>
              </w:rPr>
              <w:instrText xml:space="preserve"> =SUM(ABOVE) </w:instrText>
            </w:r>
            <w:r w:rsidRPr="0086146F">
              <w:rPr>
                <w:sz w:val="20"/>
                <w:szCs w:val="20"/>
              </w:rPr>
              <w:fldChar w:fldCharType="separate"/>
            </w:r>
            <w:r w:rsidRPr="0086146F">
              <w:rPr>
                <w:noProof/>
                <w:sz w:val="20"/>
                <w:szCs w:val="20"/>
              </w:rPr>
              <w:t>110</w:t>
            </w:r>
            <w:r w:rsidRPr="0086146F">
              <w:rPr>
                <w:sz w:val="20"/>
                <w:szCs w:val="20"/>
              </w:rPr>
              <w:fldChar w:fldCharType="end"/>
            </w:r>
          </w:p>
        </w:tc>
        <w:tc>
          <w:tcPr>
            <w:tcW w:w="304" w:type="pct"/>
          </w:tcPr>
          <w:p w14:paraId="1B1B005D" w14:textId="56C4FEE6" w:rsidR="00CD6722" w:rsidRPr="0086146F" w:rsidRDefault="00CD6722" w:rsidP="00682123">
            <w:pPr>
              <w:rPr>
                <w:sz w:val="20"/>
                <w:szCs w:val="20"/>
              </w:rPr>
            </w:pPr>
            <w:r w:rsidRPr="0086146F">
              <w:rPr>
                <w:sz w:val="20"/>
                <w:szCs w:val="20"/>
              </w:rPr>
              <w:fldChar w:fldCharType="begin"/>
            </w:r>
            <w:r w:rsidRPr="0086146F">
              <w:rPr>
                <w:sz w:val="20"/>
                <w:szCs w:val="20"/>
              </w:rPr>
              <w:instrText xml:space="preserve"> =SUM(ABOVE) </w:instrText>
            </w:r>
            <w:r w:rsidRPr="0086146F">
              <w:rPr>
                <w:sz w:val="20"/>
                <w:szCs w:val="20"/>
              </w:rPr>
              <w:fldChar w:fldCharType="separate"/>
            </w:r>
            <w:r w:rsidRPr="0086146F">
              <w:rPr>
                <w:noProof/>
                <w:sz w:val="20"/>
                <w:szCs w:val="20"/>
              </w:rPr>
              <w:t>4</w:t>
            </w:r>
            <w:r w:rsidRPr="0086146F">
              <w:rPr>
                <w:sz w:val="20"/>
                <w:szCs w:val="20"/>
              </w:rPr>
              <w:fldChar w:fldCharType="end"/>
            </w:r>
          </w:p>
        </w:tc>
        <w:tc>
          <w:tcPr>
            <w:tcW w:w="432" w:type="pct"/>
          </w:tcPr>
          <w:p w14:paraId="75E9BA30" w14:textId="54A9F255" w:rsidR="00CD6722" w:rsidRPr="0086146F" w:rsidRDefault="00CD6722" w:rsidP="00682123">
            <w:pPr>
              <w:rPr>
                <w:sz w:val="20"/>
                <w:szCs w:val="20"/>
              </w:rPr>
            </w:pPr>
            <w:r>
              <w:rPr>
                <w:sz w:val="20"/>
                <w:szCs w:val="20"/>
              </w:rPr>
              <w:t>43</w:t>
            </w:r>
          </w:p>
        </w:tc>
        <w:tc>
          <w:tcPr>
            <w:tcW w:w="266" w:type="pct"/>
          </w:tcPr>
          <w:p w14:paraId="2298AB71" w14:textId="482D6E27" w:rsidR="00CD6722" w:rsidRPr="0086146F" w:rsidRDefault="00CD6722" w:rsidP="00682123">
            <w:pPr>
              <w:rPr>
                <w:sz w:val="20"/>
                <w:szCs w:val="20"/>
              </w:rPr>
            </w:pPr>
            <w:r w:rsidRPr="0086146F">
              <w:rPr>
                <w:sz w:val="20"/>
                <w:szCs w:val="20"/>
              </w:rPr>
              <w:fldChar w:fldCharType="begin"/>
            </w:r>
            <w:r w:rsidRPr="0086146F">
              <w:rPr>
                <w:sz w:val="20"/>
                <w:szCs w:val="20"/>
              </w:rPr>
              <w:instrText xml:space="preserve"> =SUM(ABOVE) </w:instrText>
            </w:r>
            <w:r w:rsidRPr="0086146F">
              <w:rPr>
                <w:sz w:val="20"/>
                <w:szCs w:val="20"/>
              </w:rPr>
              <w:fldChar w:fldCharType="separate"/>
            </w:r>
            <w:r w:rsidRPr="0086146F">
              <w:rPr>
                <w:noProof/>
                <w:sz w:val="20"/>
                <w:szCs w:val="20"/>
              </w:rPr>
              <w:t>26</w:t>
            </w:r>
            <w:r w:rsidRPr="0086146F">
              <w:rPr>
                <w:sz w:val="20"/>
                <w:szCs w:val="20"/>
              </w:rPr>
              <w:fldChar w:fldCharType="end"/>
            </w:r>
          </w:p>
        </w:tc>
        <w:tc>
          <w:tcPr>
            <w:tcW w:w="301" w:type="pct"/>
          </w:tcPr>
          <w:p w14:paraId="55F5C605" w14:textId="11E7A8D6" w:rsidR="00CD6722" w:rsidRPr="0086146F" w:rsidRDefault="00CD6722" w:rsidP="00682123">
            <w:pPr>
              <w:rPr>
                <w:sz w:val="20"/>
                <w:szCs w:val="20"/>
              </w:rPr>
            </w:pPr>
            <w:r w:rsidRPr="0086146F">
              <w:rPr>
                <w:sz w:val="20"/>
                <w:szCs w:val="20"/>
              </w:rPr>
              <w:fldChar w:fldCharType="begin"/>
            </w:r>
            <w:r w:rsidRPr="0086146F">
              <w:rPr>
                <w:sz w:val="20"/>
                <w:szCs w:val="20"/>
              </w:rPr>
              <w:instrText xml:space="preserve"> =SUM(ABOVE) </w:instrText>
            </w:r>
            <w:r w:rsidRPr="0086146F">
              <w:rPr>
                <w:sz w:val="20"/>
                <w:szCs w:val="20"/>
              </w:rPr>
              <w:fldChar w:fldCharType="separate"/>
            </w:r>
            <w:r w:rsidRPr="0086146F">
              <w:rPr>
                <w:noProof/>
                <w:sz w:val="20"/>
                <w:szCs w:val="20"/>
              </w:rPr>
              <w:t>4</w:t>
            </w:r>
            <w:r w:rsidRPr="0086146F">
              <w:rPr>
                <w:sz w:val="20"/>
                <w:szCs w:val="20"/>
              </w:rPr>
              <w:fldChar w:fldCharType="end"/>
            </w:r>
          </w:p>
        </w:tc>
        <w:tc>
          <w:tcPr>
            <w:tcW w:w="249" w:type="pct"/>
          </w:tcPr>
          <w:p w14:paraId="50BAA1F4" w14:textId="7F44C4F9" w:rsidR="00CD6722" w:rsidRPr="0086146F" w:rsidRDefault="00CD6722" w:rsidP="00682123">
            <w:pPr>
              <w:rPr>
                <w:sz w:val="20"/>
                <w:szCs w:val="20"/>
              </w:rPr>
            </w:pPr>
            <w:r w:rsidRPr="0086146F">
              <w:rPr>
                <w:sz w:val="20"/>
                <w:szCs w:val="20"/>
              </w:rPr>
              <w:fldChar w:fldCharType="begin"/>
            </w:r>
            <w:r w:rsidRPr="0086146F">
              <w:rPr>
                <w:sz w:val="20"/>
                <w:szCs w:val="20"/>
              </w:rPr>
              <w:instrText xml:space="preserve"> =SUM(ABOVE) </w:instrText>
            </w:r>
            <w:r w:rsidRPr="0086146F">
              <w:rPr>
                <w:sz w:val="20"/>
                <w:szCs w:val="20"/>
              </w:rPr>
              <w:fldChar w:fldCharType="separate"/>
            </w:r>
            <w:r w:rsidRPr="0086146F">
              <w:rPr>
                <w:noProof/>
                <w:sz w:val="20"/>
                <w:szCs w:val="20"/>
              </w:rPr>
              <w:t>99</w:t>
            </w:r>
            <w:r w:rsidRPr="0086146F">
              <w:rPr>
                <w:sz w:val="20"/>
                <w:szCs w:val="20"/>
              </w:rPr>
              <w:fldChar w:fldCharType="end"/>
            </w:r>
          </w:p>
        </w:tc>
        <w:tc>
          <w:tcPr>
            <w:tcW w:w="220" w:type="pct"/>
          </w:tcPr>
          <w:p w14:paraId="5A78E9C1" w14:textId="66997E14"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286</w:t>
            </w:r>
            <w:r>
              <w:rPr>
                <w:sz w:val="20"/>
                <w:szCs w:val="20"/>
              </w:rPr>
              <w:fldChar w:fldCharType="end"/>
            </w:r>
          </w:p>
        </w:tc>
      </w:tr>
      <w:tr w:rsidR="00CD6722" w:rsidRPr="00214607" w14:paraId="062BE2CB" w14:textId="6BAC7AC3" w:rsidTr="00CD6722">
        <w:trPr>
          <w:trHeight w:val="20"/>
        </w:trPr>
        <w:tc>
          <w:tcPr>
            <w:tcW w:w="2463" w:type="pct"/>
          </w:tcPr>
          <w:p w14:paraId="3150A716" w14:textId="5CA834F3" w:rsidR="00CD6722" w:rsidRPr="0086146F" w:rsidRDefault="00CD6722" w:rsidP="002B7C3F">
            <w:pPr>
              <w:pStyle w:val="ListParagraph"/>
              <w:ind w:left="0"/>
              <w:rPr>
                <w:sz w:val="20"/>
                <w:szCs w:val="20"/>
              </w:rPr>
            </w:pPr>
            <w:r w:rsidRPr="0086146F">
              <w:rPr>
                <w:sz w:val="20"/>
                <w:szCs w:val="20"/>
              </w:rPr>
              <w:t>Total in EA or TA</w:t>
            </w:r>
          </w:p>
        </w:tc>
        <w:tc>
          <w:tcPr>
            <w:tcW w:w="766" w:type="pct"/>
          </w:tcPr>
          <w:p w14:paraId="7E26C417" w14:textId="25B045A1" w:rsidR="00CD6722" w:rsidRPr="0086146F" w:rsidRDefault="00CD6722" w:rsidP="007E72E4">
            <w:pPr>
              <w:rPr>
                <w:sz w:val="20"/>
                <w:szCs w:val="20"/>
              </w:rPr>
            </w:pPr>
            <w:r w:rsidRPr="0086146F">
              <w:rPr>
                <w:sz w:val="20"/>
                <w:szCs w:val="20"/>
              </w:rPr>
              <w:t>110</w:t>
            </w:r>
          </w:p>
        </w:tc>
        <w:tc>
          <w:tcPr>
            <w:tcW w:w="304" w:type="pct"/>
          </w:tcPr>
          <w:p w14:paraId="303DA30A" w14:textId="766BF778" w:rsidR="00CD6722" w:rsidRPr="0086146F" w:rsidRDefault="00CD6722" w:rsidP="00682123">
            <w:pPr>
              <w:rPr>
                <w:sz w:val="20"/>
                <w:szCs w:val="20"/>
              </w:rPr>
            </w:pPr>
            <w:r w:rsidRPr="0086146F">
              <w:rPr>
                <w:sz w:val="20"/>
                <w:szCs w:val="20"/>
              </w:rPr>
              <w:t>4</w:t>
            </w:r>
          </w:p>
        </w:tc>
        <w:tc>
          <w:tcPr>
            <w:tcW w:w="432" w:type="pct"/>
          </w:tcPr>
          <w:p w14:paraId="47A473B3" w14:textId="2701A976" w:rsidR="00CD6722" w:rsidRPr="0086146F" w:rsidRDefault="00CD6722" w:rsidP="00682123">
            <w:pPr>
              <w:rPr>
                <w:sz w:val="20"/>
                <w:szCs w:val="20"/>
              </w:rPr>
            </w:pPr>
            <w:r w:rsidRPr="0086146F">
              <w:rPr>
                <w:sz w:val="20"/>
                <w:szCs w:val="20"/>
              </w:rPr>
              <w:t>49</w:t>
            </w:r>
          </w:p>
        </w:tc>
        <w:tc>
          <w:tcPr>
            <w:tcW w:w="266" w:type="pct"/>
          </w:tcPr>
          <w:p w14:paraId="0AF7754B" w14:textId="05CED8E1" w:rsidR="00CD6722" w:rsidRPr="0086146F" w:rsidRDefault="00CD6722" w:rsidP="00682123">
            <w:pPr>
              <w:rPr>
                <w:sz w:val="20"/>
                <w:szCs w:val="20"/>
              </w:rPr>
            </w:pPr>
            <w:r w:rsidRPr="0086146F">
              <w:rPr>
                <w:sz w:val="20"/>
                <w:szCs w:val="20"/>
              </w:rPr>
              <w:t>26</w:t>
            </w:r>
          </w:p>
        </w:tc>
        <w:tc>
          <w:tcPr>
            <w:tcW w:w="301" w:type="pct"/>
          </w:tcPr>
          <w:p w14:paraId="525B7ADD" w14:textId="6B62EE60" w:rsidR="00CD6722" w:rsidRPr="0086146F" w:rsidRDefault="00CD6722" w:rsidP="00682123">
            <w:pPr>
              <w:rPr>
                <w:sz w:val="20"/>
                <w:szCs w:val="20"/>
              </w:rPr>
            </w:pPr>
            <w:r w:rsidRPr="0086146F">
              <w:rPr>
                <w:sz w:val="20"/>
                <w:szCs w:val="20"/>
              </w:rPr>
              <w:t>4</w:t>
            </w:r>
          </w:p>
        </w:tc>
        <w:tc>
          <w:tcPr>
            <w:tcW w:w="249" w:type="pct"/>
          </w:tcPr>
          <w:p w14:paraId="1A85481B" w14:textId="4D5FD362" w:rsidR="00CD6722" w:rsidRPr="0086146F" w:rsidRDefault="00CD6722" w:rsidP="00682123">
            <w:pPr>
              <w:rPr>
                <w:sz w:val="20"/>
                <w:szCs w:val="20"/>
              </w:rPr>
            </w:pPr>
            <w:r w:rsidRPr="0086146F">
              <w:rPr>
                <w:sz w:val="20"/>
                <w:szCs w:val="20"/>
              </w:rPr>
              <w:t>103</w:t>
            </w:r>
          </w:p>
        </w:tc>
        <w:tc>
          <w:tcPr>
            <w:tcW w:w="220" w:type="pct"/>
          </w:tcPr>
          <w:p w14:paraId="52EE6906" w14:textId="2986A2ED"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296</w:t>
            </w:r>
            <w:r>
              <w:rPr>
                <w:sz w:val="20"/>
                <w:szCs w:val="20"/>
              </w:rPr>
              <w:fldChar w:fldCharType="end"/>
            </w:r>
          </w:p>
        </w:tc>
      </w:tr>
      <w:tr w:rsidR="00CD6722" w:rsidRPr="007E72E4" w14:paraId="044B7F4A" w14:textId="1F3FF176" w:rsidTr="00CD6722">
        <w:trPr>
          <w:trHeight w:val="20"/>
        </w:trPr>
        <w:tc>
          <w:tcPr>
            <w:tcW w:w="2463" w:type="pct"/>
          </w:tcPr>
          <w:p w14:paraId="708B75A8" w14:textId="5F5EEBB5" w:rsidR="00CD6722" w:rsidRPr="0086146F" w:rsidRDefault="00CD6722" w:rsidP="002B7C3F">
            <w:pPr>
              <w:pStyle w:val="ListParagraph"/>
              <w:ind w:left="0"/>
              <w:rPr>
                <w:i/>
                <w:sz w:val="20"/>
                <w:szCs w:val="20"/>
              </w:rPr>
            </w:pPr>
            <w:r w:rsidRPr="0086146F">
              <w:rPr>
                <w:i/>
                <w:sz w:val="20"/>
                <w:szCs w:val="20"/>
              </w:rPr>
              <w:t>Any shortfall / difference?</w:t>
            </w:r>
          </w:p>
        </w:tc>
        <w:tc>
          <w:tcPr>
            <w:tcW w:w="766" w:type="pct"/>
          </w:tcPr>
          <w:p w14:paraId="312DA804" w14:textId="578576F0" w:rsidR="00CD6722" w:rsidRPr="0086146F" w:rsidRDefault="00CD6722" w:rsidP="007E72E4">
            <w:pPr>
              <w:rPr>
                <w:i/>
                <w:sz w:val="20"/>
                <w:szCs w:val="20"/>
              </w:rPr>
            </w:pPr>
            <w:r w:rsidRPr="0086146F">
              <w:rPr>
                <w:i/>
                <w:sz w:val="20"/>
                <w:szCs w:val="20"/>
              </w:rPr>
              <w:t>0</w:t>
            </w:r>
          </w:p>
        </w:tc>
        <w:tc>
          <w:tcPr>
            <w:tcW w:w="304" w:type="pct"/>
          </w:tcPr>
          <w:p w14:paraId="3F937034" w14:textId="3630BC84" w:rsidR="00CD6722" w:rsidRPr="0086146F" w:rsidRDefault="00CD6722" w:rsidP="00682123">
            <w:pPr>
              <w:rPr>
                <w:i/>
                <w:sz w:val="20"/>
                <w:szCs w:val="20"/>
              </w:rPr>
            </w:pPr>
            <w:r w:rsidRPr="0086146F">
              <w:rPr>
                <w:i/>
                <w:sz w:val="20"/>
                <w:szCs w:val="20"/>
              </w:rPr>
              <w:t>0</w:t>
            </w:r>
          </w:p>
        </w:tc>
        <w:tc>
          <w:tcPr>
            <w:tcW w:w="432" w:type="pct"/>
          </w:tcPr>
          <w:p w14:paraId="16445110" w14:textId="22609BAF" w:rsidR="00CD6722" w:rsidRPr="0086146F" w:rsidRDefault="00CD6722" w:rsidP="00682123">
            <w:pPr>
              <w:rPr>
                <w:i/>
                <w:sz w:val="20"/>
                <w:szCs w:val="20"/>
              </w:rPr>
            </w:pPr>
            <w:r w:rsidRPr="0086146F">
              <w:rPr>
                <w:i/>
                <w:sz w:val="20"/>
                <w:szCs w:val="20"/>
              </w:rPr>
              <w:t>6</w:t>
            </w:r>
          </w:p>
        </w:tc>
        <w:tc>
          <w:tcPr>
            <w:tcW w:w="266" w:type="pct"/>
          </w:tcPr>
          <w:p w14:paraId="55E681F1" w14:textId="06BCD9F1" w:rsidR="00CD6722" w:rsidRPr="0086146F" w:rsidRDefault="00CD6722" w:rsidP="00682123">
            <w:pPr>
              <w:rPr>
                <w:i/>
                <w:sz w:val="20"/>
                <w:szCs w:val="20"/>
              </w:rPr>
            </w:pPr>
            <w:r w:rsidRPr="0086146F">
              <w:rPr>
                <w:i/>
                <w:sz w:val="20"/>
                <w:szCs w:val="20"/>
              </w:rPr>
              <w:t>0</w:t>
            </w:r>
          </w:p>
        </w:tc>
        <w:tc>
          <w:tcPr>
            <w:tcW w:w="301" w:type="pct"/>
          </w:tcPr>
          <w:p w14:paraId="0713DE0F" w14:textId="160198B1" w:rsidR="00CD6722" w:rsidRPr="0086146F" w:rsidRDefault="00CD6722" w:rsidP="00682123">
            <w:pPr>
              <w:rPr>
                <w:i/>
                <w:sz w:val="20"/>
                <w:szCs w:val="20"/>
              </w:rPr>
            </w:pPr>
            <w:r w:rsidRPr="0086146F">
              <w:rPr>
                <w:i/>
                <w:sz w:val="20"/>
                <w:szCs w:val="20"/>
              </w:rPr>
              <w:t>0</w:t>
            </w:r>
          </w:p>
        </w:tc>
        <w:tc>
          <w:tcPr>
            <w:tcW w:w="249" w:type="pct"/>
          </w:tcPr>
          <w:p w14:paraId="203AA152" w14:textId="564B833C" w:rsidR="00CD6722" w:rsidRPr="0086146F" w:rsidRDefault="00CD6722" w:rsidP="00682123">
            <w:pPr>
              <w:rPr>
                <w:i/>
                <w:sz w:val="20"/>
                <w:szCs w:val="20"/>
              </w:rPr>
            </w:pPr>
            <w:r w:rsidRPr="0086146F">
              <w:rPr>
                <w:i/>
                <w:sz w:val="20"/>
                <w:szCs w:val="20"/>
              </w:rPr>
              <w:t>4</w:t>
            </w:r>
          </w:p>
        </w:tc>
        <w:tc>
          <w:tcPr>
            <w:tcW w:w="220" w:type="pct"/>
          </w:tcPr>
          <w:p w14:paraId="731EED04" w14:textId="2D2539E3" w:rsidR="00CD6722" w:rsidRPr="0086146F" w:rsidRDefault="00CD6722" w:rsidP="00682123">
            <w:pPr>
              <w:rPr>
                <w:i/>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10</w:t>
            </w:r>
            <w:r>
              <w:rPr>
                <w:sz w:val="20"/>
                <w:szCs w:val="20"/>
              </w:rPr>
              <w:fldChar w:fldCharType="end"/>
            </w:r>
          </w:p>
        </w:tc>
      </w:tr>
    </w:tbl>
    <w:p w14:paraId="3791F850" w14:textId="77777777" w:rsidR="00B85110" w:rsidRDefault="00B85110" w:rsidP="00B85110">
      <w:bookmarkStart w:id="9" w:name="_Toc45530540"/>
    </w:p>
    <w:p w14:paraId="0CE1514E" w14:textId="77777777" w:rsidR="00B85110" w:rsidRDefault="00B85110">
      <w:pPr>
        <w:spacing w:after="160" w:line="259" w:lineRule="auto"/>
        <w:textAlignment w:val="auto"/>
        <w:rPr>
          <w:rFonts w:eastAsiaTheme="majorEastAsia" w:cstheme="majorBidi"/>
          <w:b/>
          <w:bCs w:val="0"/>
          <w:color w:val="4472C4" w:themeColor="accent1"/>
          <w:sz w:val="26"/>
          <w:szCs w:val="26"/>
        </w:rPr>
      </w:pPr>
      <w:r>
        <w:br w:type="page"/>
      </w:r>
    </w:p>
    <w:p w14:paraId="7CE56F6B" w14:textId="75EFD593" w:rsidR="006128DD" w:rsidRDefault="006128DD" w:rsidP="006A7AEB">
      <w:pPr>
        <w:pStyle w:val="Heading2"/>
      </w:pPr>
      <w:r w:rsidRPr="00214607">
        <w:t>NRTPF</w:t>
      </w:r>
      <w:r w:rsidR="004A2EDE">
        <w:t>: how many in accommodation do we estimate are:</w:t>
      </w:r>
      <w:bookmarkEnd w:id="9"/>
      <w:r w:rsidR="00CD6722">
        <w:t xml:space="preserve"> </w:t>
      </w:r>
    </w:p>
    <w:p w14:paraId="52BAD81E" w14:textId="6501D71B" w:rsidR="00B26D90" w:rsidRPr="00B26D90" w:rsidRDefault="00B26D90" w:rsidP="00B85110">
      <w:pPr>
        <w:pStyle w:val="tablenumbered"/>
      </w:pPr>
      <w:r>
        <w:t>NRTPF status</w:t>
      </w:r>
    </w:p>
    <w:tbl>
      <w:tblPr>
        <w:tblStyle w:val="TableGrid"/>
        <w:tblW w:w="5000" w:type="pct"/>
        <w:tblLayout w:type="fixed"/>
        <w:tblLook w:val="0420" w:firstRow="1" w:lastRow="0" w:firstColumn="0" w:lastColumn="0" w:noHBand="0" w:noVBand="1"/>
      </w:tblPr>
      <w:tblGrid>
        <w:gridCol w:w="4106"/>
        <w:gridCol w:w="938"/>
        <w:gridCol w:w="940"/>
        <w:gridCol w:w="940"/>
        <w:gridCol w:w="940"/>
        <w:gridCol w:w="940"/>
        <w:gridCol w:w="940"/>
        <w:gridCol w:w="938"/>
      </w:tblGrid>
      <w:tr w:rsidR="00CD6722" w:rsidRPr="00214607" w14:paraId="0E9B7535" w14:textId="5AA6B8E3" w:rsidTr="00CD6722">
        <w:trPr>
          <w:trHeight w:val="20"/>
          <w:tblHeader/>
        </w:trPr>
        <w:tc>
          <w:tcPr>
            <w:tcW w:w="1922" w:type="pct"/>
            <w:shd w:val="clear" w:color="auto" w:fill="000000" w:themeFill="text1"/>
          </w:tcPr>
          <w:p w14:paraId="79932188" w14:textId="77777777" w:rsidR="00CD6722" w:rsidRPr="0086146F" w:rsidRDefault="00CD6722" w:rsidP="00682123">
            <w:pPr>
              <w:rPr>
                <w:sz w:val="20"/>
                <w:szCs w:val="20"/>
              </w:rPr>
            </w:pPr>
          </w:p>
        </w:tc>
        <w:tc>
          <w:tcPr>
            <w:tcW w:w="439" w:type="pct"/>
            <w:shd w:val="clear" w:color="auto" w:fill="000000" w:themeFill="text1"/>
          </w:tcPr>
          <w:p w14:paraId="50BEAB1C" w14:textId="71D0FD52" w:rsidR="00CD6722" w:rsidRPr="0086146F" w:rsidRDefault="00CD6722" w:rsidP="00682123">
            <w:pPr>
              <w:rPr>
                <w:sz w:val="20"/>
                <w:szCs w:val="20"/>
              </w:rPr>
            </w:pPr>
            <w:r w:rsidRPr="0086146F">
              <w:rPr>
                <w:sz w:val="20"/>
                <w:szCs w:val="20"/>
              </w:rPr>
              <w:t>Cambridge</w:t>
            </w:r>
          </w:p>
        </w:tc>
        <w:tc>
          <w:tcPr>
            <w:tcW w:w="440" w:type="pct"/>
            <w:shd w:val="clear" w:color="auto" w:fill="000000" w:themeFill="text1"/>
          </w:tcPr>
          <w:p w14:paraId="3DB72445" w14:textId="77777777" w:rsidR="00CD6722" w:rsidRPr="0086146F" w:rsidRDefault="00CD6722" w:rsidP="00682123">
            <w:pPr>
              <w:rPr>
                <w:sz w:val="20"/>
                <w:szCs w:val="20"/>
              </w:rPr>
            </w:pPr>
            <w:r w:rsidRPr="0086146F">
              <w:rPr>
                <w:sz w:val="20"/>
                <w:szCs w:val="20"/>
              </w:rPr>
              <w:t>ECDC</w:t>
            </w:r>
          </w:p>
        </w:tc>
        <w:tc>
          <w:tcPr>
            <w:tcW w:w="440" w:type="pct"/>
            <w:shd w:val="clear" w:color="auto" w:fill="000000" w:themeFill="text1"/>
          </w:tcPr>
          <w:p w14:paraId="35F72F67" w14:textId="77777777" w:rsidR="00CD6722" w:rsidRPr="0086146F" w:rsidRDefault="00CD6722" w:rsidP="00682123">
            <w:pPr>
              <w:rPr>
                <w:sz w:val="20"/>
                <w:szCs w:val="20"/>
              </w:rPr>
            </w:pPr>
            <w:r w:rsidRPr="0086146F">
              <w:rPr>
                <w:sz w:val="20"/>
                <w:szCs w:val="20"/>
              </w:rPr>
              <w:t>FDC</w:t>
            </w:r>
          </w:p>
        </w:tc>
        <w:tc>
          <w:tcPr>
            <w:tcW w:w="440" w:type="pct"/>
            <w:shd w:val="clear" w:color="auto" w:fill="000000" w:themeFill="text1"/>
          </w:tcPr>
          <w:p w14:paraId="66E24F11" w14:textId="77777777" w:rsidR="00CD6722" w:rsidRPr="0086146F" w:rsidRDefault="00CD6722" w:rsidP="00682123">
            <w:pPr>
              <w:rPr>
                <w:sz w:val="20"/>
                <w:szCs w:val="20"/>
              </w:rPr>
            </w:pPr>
            <w:r w:rsidRPr="0086146F">
              <w:rPr>
                <w:sz w:val="20"/>
                <w:szCs w:val="20"/>
              </w:rPr>
              <w:t>HDC</w:t>
            </w:r>
          </w:p>
        </w:tc>
        <w:tc>
          <w:tcPr>
            <w:tcW w:w="440" w:type="pct"/>
            <w:shd w:val="clear" w:color="auto" w:fill="000000" w:themeFill="text1"/>
          </w:tcPr>
          <w:p w14:paraId="1300386A" w14:textId="77777777" w:rsidR="00CD6722" w:rsidRPr="0086146F" w:rsidRDefault="00CD6722" w:rsidP="00682123">
            <w:pPr>
              <w:rPr>
                <w:sz w:val="20"/>
                <w:szCs w:val="20"/>
              </w:rPr>
            </w:pPr>
            <w:r w:rsidRPr="0086146F">
              <w:rPr>
                <w:sz w:val="20"/>
                <w:szCs w:val="20"/>
              </w:rPr>
              <w:t>SCDC</w:t>
            </w:r>
          </w:p>
        </w:tc>
        <w:tc>
          <w:tcPr>
            <w:tcW w:w="440" w:type="pct"/>
            <w:shd w:val="clear" w:color="auto" w:fill="000000" w:themeFill="text1"/>
          </w:tcPr>
          <w:p w14:paraId="0A80E9F1" w14:textId="77777777" w:rsidR="00CD6722" w:rsidRPr="0086146F" w:rsidRDefault="00CD6722" w:rsidP="00682123">
            <w:pPr>
              <w:rPr>
                <w:sz w:val="20"/>
                <w:szCs w:val="20"/>
              </w:rPr>
            </w:pPr>
            <w:r w:rsidRPr="0086146F">
              <w:rPr>
                <w:sz w:val="20"/>
                <w:szCs w:val="20"/>
              </w:rPr>
              <w:t>PCC</w:t>
            </w:r>
          </w:p>
        </w:tc>
        <w:tc>
          <w:tcPr>
            <w:tcW w:w="439" w:type="pct"/>
            <w:shd w:val="clear" w:color="auto" w:fill="000000" w:themeFill="text1"/>
          </w:tcPr>
          <w:p w14:paraId="490FBB40" w14:textId="1D9B735D" w:rsidR="00CD6722" w:rsidRPr="0086146F" w:rsidRDefault="00CD6722" w:rsidP="00682123">
            <w:pPr>
              <w:rPr>
                <w:sz w:val="20"/>
                <w:szCs w:val="20"/>
              </w:rPr>
            </w:pPr>
            <w:r>
              <w:rPr>
                <w:sz w:val="20"/>
                <w:szCs w:val="20"/>
              </w:rPr>
              <w:t>All</w:t>
            </w:r>
          </w:p>
        </w:tc>
      </w:tr>
      <w:tr w:rsidR="00CD6722" w:rsidRPr="00214607" w14:paraId="4BADB8DF" w14:textId="7B8F5778" w:rsidTr="00CD6722">
        <w:trPr>
          <w:trHeight w:val="20"/>
        </w:trPr>
        <w:tc>
          <w:tcPr>
            <w:tcW w:w="1922" w:type="pct"/>
          </w:tcPr>
          <w:p w14:paraId="2FA786FB" w14:textId="3ECC23F9" w:rsidR="00CD6722" w:rsidRPr="0086146F" w:rsidRDefault="00CD6722" w:rsidP="00682123">
            <w:pPr>
              <w:rPr>
                <w:sz w:val="20"/>
                <w:szCs w:val="20"/>
              </w:rPr>
            </w:pPr>
            <w:r w:rsidRPr="0086146F">
              <w:rPr>
                <w:sz w:val="20"/>
                <w:szCs w:val="20"/>
              </w:rPr>
              <w:t xml:space="preserve">Are EEA nationals </w:t>
            </w:r>
            <w:r w:rsidRPr="0086146F">
              <w:rPr>
                <w:color w:val="000000"/>
                <w:sz w:val="20"/>
                <w:szCs w:val="20"/>
              </w:rPr>
              <w:t>with</w:t>
            </w:r>
            <w:r w:rsidRPr="0086146F">
              <w:rPr>
                <w:sz w:val="20"/>
                <w:szCs w:val="20"/>
              </w:rPr>
              <w:t xml:space="preserve"> no access to public funds</w:t>
            </w:r>
          </w:p>
        </w:tc>
        <w:tc>
          <w:tcPr>
            <w:tcW w:w="439" w:type="pct"/>
          </w:tcPr>
          <w:p w14:paraId="71527D83" w14:textId="3AA722C3" w:rsidR="00CD6722" w:rsidRPr="0086146F" w:rsidRDefault="00CD6722" w:rsidP="00682123">
            <w:pPr>
              <w:rPr>
                <w:sz w:val="20"/>
                <w:szCs w:val="20"/>
              </w:rPr>
            </w:pPr>
            <w:r w:rsidRPr="0086146F">
              <w:rPr>
                <w:sz w:val="20"/>
                <w:szCs w:val="20"/>
              </w:rPr>
              <w:t>16</w:t>
            </w:r>
          </w:p>
        </w:tc>
        <w:tc>
          <w:tcPr>
            <w:tcW w:w="440" w:type="pct"/>
          </w:tcPr>
          <w:p w14:paraId="04A5FD3C" w14:textId="77777777" w:rsidR="00CD6722" w:rsidRPr="0086146F" w:rsidRDefault="00CD6722" w:rsidP="00682123">
            <w:pPr>
              <w:rPr>
                <w:sz w:val="20"/>
                <w:szCs w:val="20"/>
              </w:rPr>
            </w:pPr>
            <w:r w:rsidRPr="0086146F">
              <w:rPr>
                <w:sz w:val="20"/>
                <w:szCs w:val="20"/>
              </w:rPr>
              <w:t>0</w:t>
            </w:r>
          </w:p>
        </w:tc>
        <w:tc>
          <w:tcPr>
            <w:tcW w:w="440" w:type="pct"/>
            <w:shd w:val="clear" w:color="auto" w:fill="auto"/>
          </w:tcPr>
          <w:p w14:paraId="6EF096D3" w14:textId="399C2C81" w:rsidR="00CD6722" w:rsidRPr="0086146F" w:rsidRDefault="00CD6722" w:rsidP="00682123">
            <w:pPr>
              <w:rPr>
                <w:sz w:val="20"/>
                <w:szCs w:val="20"/>
              </w:rPr>
            </w:pPr>
            <w:r w:rsidRPr="0086146F">
              <w:rPr>
                <w:sz w:val="20"/>
                <w:szCs w:val="20"/>
              </w:rPr>
              <w:t>3 + 17</w:t>
            </w:r>
            <w:r w:rsidRPr="0086146F">
              <w:rPr>
                <w:rStyle w:val="FootnoteReference"/>
                <w:sz w:val="20"/>
                <w:szCs w:val="20"/>
              </w:rPr>
              <w:footnoteReference w:id="3"/>
            </w:r>
          </w:p>
        </w:tc>
        <w:tc>
          <w:tcPr>
            <w:tcW w:w="440" w:type="pct"/>
          </w:tcPr>
          <w:p w14:paraId="1ED7070E" w14:textId="77777777" w:rsidR="00CD6722" w:rsidRPr="0086146F" w:rsidRDefault="00CD6722" w:rsidP="00682123">
            <w:pPr>
              <w:rPr>
                <w:sz w:val="20"/>
                <w:szCs w:val="20"/>
              </w:rPr>
            </w:pPr>
            <w:r w:rsidRPr="0086146F">
              <w:rPr>
                <w:sz w:val="20"/>
                <w:szCs w:val="20"/>
              </w:rPr>
              <w:t>5</w:t>
            </w:r>
          </w:p>
        </w:tc>
        <w:tc>
          <w:tcPr>
            <w:tcW w:w="440" w:type="pct"/>
          </w:tcPr>
          <w:p w14:paraId="3A3654DD" w14:textId="77777777" w:rsidR="00CD6722" w:rsidRPr="0086146F" w:rsidRDefault="00CD6722" w:rsidP="00682123">
            <w:pPr>
              <w:rPr>
                <w:sz w:val="20"/>
                <w:szCs w:val="20"/>
              </w:rPr>
            </w:pPr>
            <w:r w:rsidRPr="0086146F">
              <w:rPr>
                <w:sz w:val="20"/>
                <w:szCs w:val="20"/>
              </w:rPr>
              <w:t>0</w:t>
            </w:r>
          </w:p>
        </w:tc>
        <w:tc>
          <w:tcPr>
            <w:tcW w:w="440" w:type="pct"/>
          </w:tcPr>
          <w:p w14:paraId="516285A4" w14:textId="77777777" w:rsidR="00CD6722" w:rsidRPr="0086146F" w:rsidRDefault="00CD6722" w:rsidP="00682123">
            <w:pPr>
              <w:rPr>
                <w:sz w:val="20"/>
                <w:szCs w:val="20"/>
              </w:rPr>
            </w:pPr>
            <w:r w:rsidRPr="0086146F">
              <w:rPr>
                <w:sz w:val="20"/>
                <w:szCs w:val="20"/>
              </w:rPr>
              <w:t>27</w:t>
            </w:r>
          </w:p>
        </w:tc>
        <w:tc>
          <w:tcPr>
            <w:tcW w:w="439" w:type="pct"/>
          </w:tcPr>
          <w:p w14:paraId="451B92E6" w14:textId="52CA3368"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32</w:t>
            </w:r>
            <w:r>
              <w:rPr>
                <w:sz w:val="20"/>
                <w:szCs w:val="20"/>
              </w:rPr>
              <w:fldChar w:fldCharType="end"/>
            </w:r>
          </w:p>
        </w:tc>
      </w:tr>
      <w:tr w:rsidR="00CD6722" w:rsidRPr="00214607" w14:paraId="3F53BBBE" w14:textId="4DDF6895" w:rsidTr="00CD6722">
        <w:trPr>
          <w:trHeight w:val="20"/>
        </w:trPr>
        <w:tc>
          <w:tcPr>
            <w:tcW w:w="1922" w:type="pct"/>
          </w:tcPr>
          <w:p w14:paraId="6179BF6D" w14:textId="6C34A4E7" w:rsidR="00CD6722" w:rsidRPr="0086146F" w:rsidRDefault="00CD6722" w:rsidP="00682123">
            <w:pPr>
              <w:rPr>
                <w:sz w:val="20"/>
                <w:szCs w:val="20"/>
              </w:rPr>
            </w:pPr>
            <w:r w:rsidRPr="0086146F">
              <w:rPr>
                <w:color w:val="000000"/>
                <w:sz w:val="20"/>
                <w:szCs w:val="20"/>
              </w:rPr>
              <w:t>Other</w:t>
            </w:r>
            <w:r w:rsidRPr="0086146F">
              <w:rPr>
                <w:sz w:val="20"/>
                <w:szCs w:val="20"/>
              </w:rPr>
              <w:t xml:space="preserve"> Non UK Nationals with no recourse to public funds due to immigration status?</w:t>
            </w:r>
          </w:p>
        </w:tc>
        <w:tc>
          <w:tcPr>
            <w:tcW w:w="439" w:type="pct"/>
          </w:tcPr>
          <w:p w14:paraId="0F775CB0" w14:textId="38ED5B72" w:rsidR="00CD6722" w:rsidRPr="0086146F" w:rsidRDefault="00CD6722" w:rsidP="00682123">
            <w:pPr>
              <w:rPr>
                <w:sz w:val="20"/>
                <w:szCs w:val="20"/>
              </w:rPr>
            </w:pPr>
            <w:r w:rsidRPr="0086146F">
              <w:rPr>
                <w:sz w:val="20"/>
                <w:szCs w:val="20"/>
              </w:rPr>
              <w:t>4</w:t>
            </w:r>
          </w:p>
        </w:tc>
        <w:tc>
          <w:tcPr>
            <w:tcW w:w="440" w:type="pct"/>
          </w:tcPr>
          <w:p w14:paraId="712B8FBF" w14:textId="77777777" w:rsidR="00CD6722" w:rsidRPr="0086146F" w:rsidRDefault="00CD6722" w:rsidP="00682123">
            <w:pPr>
              <w:rPr>
                <w:sz w:val="20"/>
                <w:szCs w:val="20"/>
              </w:rPr>
            </w:pPr>
            <w:r w:rsidRPr="0086146F">
              <w:rPr>
                <w:sz w:val="20"/>
                <w:szCs w:val="20"/>
              </w:rPr>
              <w:t>0</w:t>
            </w:r>
          </w:p>
        </w:tc>
        <w:tc>
          <w:tcPr>
            <w:tcW w:w="440" w:type="pct"/>
            <w:shd w:val="clear" w:color="auto" w:fill="auto"/>
          </w:tcPr>
          <w:p w14:paraId="2F367AFD" w14:textId="77777777" w:rsidR="00CD6722" w:rsidRPr="0086146F" w:rsidRDefault="00CD6722" w:rsidP="00682123">
            <w:pPr>
              <w:rPr>
                <w:sz w:val="20"/>
                <w:szCs w:val="20"/>
              </w:rPr>
            </w:pPr>
            <w:r w:rsidRPr="0086146F">
              <w:rPr>
                <w:sz w:val="20"/>
                <w:szCs w:val="20"/>
              </w:rPr>
              <w:t>0</w:t>
            </w:r>
          </w:p>
        </w:tc>
        <w:tc>
          <w:tcPr>
            <w:tcW w:w="440" w:type="pct"/>
          </w:tcPr>
          <w:p w14:paraId="58190544" w14:textId="77777777" w:rsidR="00CD6722" w:rsidRPr="0086146F" w:rsidRDefault="00CD6722" w:rsidP="00682123">
            <w:pPr>
              <w:rPr>
                <w:sz w:val="20"/>
                <w:szCs w:val="20"/>
              </w:rPr>
            </w:pPr>
            <w:r w:rsidRPr="0086146F">
              <w:rPr>
                <w:sz w:val="20"/>
                <w:szCs w:val="20"/>
              </w:rPr>
              <w:t>0</w:t>
            </w:r>
          </w:p>
        </w:tc>
        <w:tc>
          <w:tcPr>
            <w:tcW w:w="440" w:type="pct"/>
          </w:tcPr>
          <w:p w14:paraId="52EBD4DF" w14:textId="77777777" w:rsidR="00CD6722" w:rsidRPr="0086146F" w:rsidRDefault="00CD6722" w:rsidP="00682123">
            <w:pPr>
              <w:rPr>
                <w:sz w:val="20"/>
                <w:szCs w:val="20"/>
              </w:rPr>
            </w:pPr>
            <w:r w:rsidRPr="0086146F">
              <w:rPr>
                <w:sz w:val="20"/>
                <w:szCs w:val="20"/>
              </w:rPr>
              <w:t>0</w:t>
            </w:r>
          </w:p>
        </w:tc>
        <w:tc>
          <w:tcPr>
            <w:tcW w:w="440" w:type="pct"/>
          </w:tcPr>
          <w:p w14:paraId="3C5260AE" w14:textId="77777777" w:rsidR="00CD6722" w:rsidRPr="0086146F" w:rsidRDefault="00CD6722" w:rsidP="00682123">
            <w:pPr>
              <w:rPr>
                <w:sz w:val="20"/>
                <w:szCs w:val="20"/>
              </w:rPr>
            </w:pPr>
            <w:r w:rsidRPr="0086146F">
              <w:rPr>
                <w:sz w:val="20"/>
                <w:szCs w:val="20"/>
              </w:rPr>
              <w:t>1</w:t>
            </w:r>
          </w:p>
        </w:tc>
        <w:tc>
          <w:tcPr>
            <w:tcW w:w="439" w:type="pct"/>
          </w:tcPr>
          <w:p w14:paraId="0EBBEC9B" w14:textId="5BB4EA8D"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5</w:t>
            </w:r>
            <w:r>
              <w:rPr>
                <w:sz w:val="20"/>
                <w:szCs w:val="20"/>
              </w:rPr>
              <w:fldChar w:fldCharType="end"/>
            </w:r>
          </w:p>
        </w:tc>
      </w:tr>
      <w:tr w:rsidR="00CD6722" w:rsidRPr="00214607" w14:paraId="52546E07" w14:textId="5A70ACEE" w:rsidTr="00CD6722">
        <w:trPr>
          <w:trHeight w:val="20"/>
        </w:trPr>
        <w:tc>
          <w:tcPr>
            <w:tcW w:w="1922" w:type="pct"/>
          </w:tcPr>
          <w:p w14:paraId="0619583A" w14:textId="0C0DE8E6" w:rsidR="00CD6722" w:rsidRPr="0086146F" w:rsidRDefault="00CD6722" w:rsidP="00682123">
            <w:pPr>
              <w:rPr>
                <w:color w:val="000000"/>
                <w:sz w:val="20"/>
                <w:szCs w:val="20"/>
              </w:rPr>
            </w:pPr>
            <w:r w:rsidRPr="0086146F">
              <w:rPr>
                <w:color w:val="000000"/>
                <w:sz w:val="20"/>
                <w:szCs w:val="20"/>
              </w:rPr>
              <w:t>Total</w:t>
            </w:r>
          </w:p>
        </w:tc>
        <w:tc>
          <w:tcPr>
            <w:tcW w:w="439" w:type="pct"/>
          </w:tcPr>
          <w:p w14:paraId="155A6A30" w14:textId="0CAC77AE" w:rsidR="00CD6722" w:rsidRPr="0086146F" w:rsidRDefault="00CD6722" w:rsidP="00682123">
            <w:pPr>
              <w:rPr>
                <w:sz w:val="20"/>
                <w:szCs w:val="20"/>
              </w:rPr>
            </w:pPr>
            <w:r w:rsidRPr="0086146F">
              <w:rPr>
                <w:sz w:val="20"/>
                <w:szCs w:val="20"/>
              </w:rPr>
              <w:t>20</w:t>
            </w:r>
          </w:p>
        </w:tc>
        <w:tc>
          <w:tcPr>
            <w:tcW w:w="440" w:type="pct"/>
          </w:tcPr>
          <w:p w14:paraId="48A860FE" w14:textId="4F78038F" w:rsidR="00CD6722" w:rsidRPr="0086146F" w:rsidRDefault="00CD6722" w:rsidP="00682123">
            <w:pPr>
              <w:rPr>
                <w:sz w:val="20"/>
                <w:szCs w:val="20"/>
              </w:rPr>
            </w:pPr>
            <w:r w:rsidRPr="0086146F">
              <w:rPr>
                <w:sz w:val="20"/>
                <w:szCs w:val="20"/>
              </w:rPr>
              <w:t>0</w:t>
            </w:r>
          </w:p>
        </w:tc>
        <w:tc>
          <w:tcPr>
            <w:tcW w:w="440" w:type="pct"/>
            <w:shd w:val="clear" w:color="auto" w:fill="auto"/>
          </w:tcPr>
          <w:p w14:paraId="7E9DDAE5" w14:textId="4A2D6B60" w:rsidR="00CD6722" w:rsidRPr="0086146F" w:rsidRDefault="00CD6722" w:rsidP="00682123">
            <w:pPr>
              <w:rPr>
                <w:sz w:val="20"/>
                <w:szCs w:val="20"/>
              </w:rPr>
            </w:pPr>
            <w:r w:rsidRPr="0086146F">
              <w:rPr>
                <w:sz w:val="20"/>
                <w:szCs w:val="20"/>
              </w:rPr>
              <w:t>20</w:t>
            </w:r>
          </w:p>
        </w:tc>
        <w:tc>
          <w:tcPr>
            <w:tcW w:w="440" w:type="pct"/>
          </w:tcPr>
          <w:p w14:paraId="08E36F3E" w14:textId="4B7D2754" w:rsidR="00CD6722" w:rsidRPr="0086146F" w:rsidRDefault="00CD6722" w:rsidP="00682123">
            <w:pPr>
              <w:rPr>
                <w:sz w:val="20"/>
                <w:szCs w:val="20"/>
              </w:rPr>
            </w:pPr>
            <w:r w:rsidRPr="0086146F">
              <w:rPr>
                <w:sz w:val="20"/>
                <w:szCs w:val="20"/>
              </w:rPr>
              <w:t>5</w:t>
            </w:r>
          </w:p>
        </w:tc>
        <w:tc>
          <w:tcPr>
            <w:tcW w:w="440" w:type="pct"/>
          </w:tcPr>
          <w:p w14:paraId="182F4E28" w14:textId="1B5A991C" w:rsidR="00CD6722" w:rsidRPr="0086146F" w:rsidRDefault="00CD6722" w:rsidP="00682123">
            <w:pPr>
              <w:rPr>
                <w:sz w:val="20"/>
                <w:szCs w:val="20"/>
              </w:rPr>
            </w:pPr>
            <w:r w:rsidRPr="0086146F">
              <w:rPr>
                <w:sz w:val="20"/>
                <w:szCs w:val="20"/>
              </w:rPr>
              <w:t>0</w:t>
            </w:r>
          </w:p>
        </w:tc>
        <w:tc>
          <w:tcPr>
            <w:tcW w:w="440" w:type="pct"/>
          </w:tcPr>
          <w:p w14:paraId="69D60396" w14:textId="7DB0879B" w:rsidR="00CD6722" w:rsidRPr="0086146F" w:rsidRDefault="00CD6722" w:rsidP="00682123">
            <w:pPr>
              <w:rPr>
                <w:sz w:val="20"/>
                <w:szCs w:val="20"/>
              </w:rPr>
            </w:pPr>
            <w:r w:rsidRPr="0086146F">
              <w:rPr>
                <w:sz w:val="20"/>
                <w:szCs w:val="20"/>
              </w:rPr>
              <w:t>28</w:t>
            </w:r>
          </w:p>
        </w:tc>
        <w:tc>
          <w:tcPr>
            <w:tcW w:w="439" w:type="pct"/>
          </w:tcPr>
          <w:p w14:paraId="2FA71043" w14:textId="46971617"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73</w:t>
            </w:r>
            <w:r>
              <w:rPr>
                <w:sz w:val="20"/>
                <w:szCs w:val="20"/>
              </w:rPr>
              <w:fldChar w:fldCharType="end"/>
            </w:r>
          </w:p>
        </w:tc>
      </w:tr>
      <w:tr w:rsidR="00CD6722" w:rsidRPr="00214607" w14:paraId="54311FB0" w14:textId="3727A019" w:rsidTr="00CD6722">
        <w:trPr>
          <w:trHeight w:val="20"/>
        </w:trPr>
        <w:tc>
          <w:tcPr>
            <w:tcW w:w="1922" w:type="pct"/>
          </w:tcPr>
          <w:p w14:paraId="795D8FF0" w14:textId="08E76612" w:rsidR="00CD6722" w:rsidRPr="0086146F" w:rsidRDefault="00CD6722" w:rsidP="00682123">
            <w:pPr>
              <w:rPr>
                <w:color w:val="000000"/>
                <w:sz w:val="20"/>
                <w:szCs w:val="20"/>
              </w:rPr>
            </w:pPr>
            <w:r w:rsidRPr="0086146F">
              <w:rPr>
                <w:color w:val="000000"/>
                <w:sz w:val="20"/>
                <w:szCs w:val="20"/>
              </w:rPr>
              <w:t>All housed in EA or TA due to covid</w:t>
            </w:r>
          </w:p>
        </w:tc>
        <w:tc>
          <w:tcPr>
            <w:tcW w:w="439" w:type="pct"/>
          </w:tcPr>
          <w:p w14:paraId="1567D018" w14:textId="03B13C08" w:rsidR="00CD6722" w:rsidRPr="0086146F" w:rsidRDefault="00CD6722" w:rsidP="00682123">
            <w:pPr>
              <w:rPr>
                <w:sz w:val="20"/>
                <w:szCs w:val="20"/>
              </w:rPr>
            </w:pPr>
            <w:r w:rsidRPr="0086146F">
              <w:rPr>
                <w:sz w:val="20"/>
                <w:szCs w:val="20"/>
              </w:rPr>
              <w:t>110</w:t>
            </w:r>
          </w:p>
        </w:tc>
        <w:tc>
          <w:tcPr>
            <w:tcW w:w="440" w:type="pct"/>
          </w:tcPr>
          <w:p w14:paraId="4AA6DD65" w14:textId="4158C138" w:rsidR="00CD6722" w:rsidRPr="0086146F" w:rsidRDefault="00CD6722" w:rsidP="00682123">
            <w:pPr>
              <w:rPr>
                <w:sz w:val="20"/>
                <w:szCs w:val="20"/>
              </w:rPr>
            </w:pPr>
            <w:r w:rsidRPr="0086146F">
              <w:rPr>
                <w:sz w:val="20"/>
                <w:szCs w:val="20"/>
              </w:rPr>
              <w:t>4</w:t>
            </w:r>
          </w:p>
        </w:tc>
        <w:tc>
          <w:tcPr>
            <w:tcW w:w="440" w:type="pct"/>
            <w:shd w:val="clear" w:color="auto" w:fill="auto"/>
          </w:tcPr>
          <w:p w14:paraId="7E8839C3" w14:textId="04F951AC" w:rsidR="00CD6722" w:rsidRPr="0086146F" w:rsidRDefault="00CD6722" w:rsidP="00682123">
            <w:pPr>
              <w:rPr>
                <w:sz w:val="20"/>
                <w:szCs w:val="20"/>
              </w:rPr>
            </w:pPr>
            <w:r w:rsidRPr="0086146F">
              <w:rPr>
                <w:sz w:val="20"/>
                <w:szCs w:val="20"/>
              </w:rPr>
              <w:t>49</w:t>
            </w:r>
          </w:p>
        </w:tc>
        <w:tc>
          <w:tcPr>
            <w:tcW w:w="440" w:type="pct"/>
          </w:tcPr>
          <w:p w14:paraId="4B1CF862" w14:textId="6BBEDC2B" w:rsidR="00CD6722" w:rsidRPr="0086146F" w:rsidRDefault="00CD6722" w:rsidP="00682123">
            <w:pPr>
              <w:rPr>
                <w:sz w:val="20"/>
                <w:szCs w:val="20"/>
              </w:rPr>
            </w:pPr>
            <w:r w:rsidRPr="0086146F">
              <w:rPr>
                <w:sz w:val="20"/>
                <w:szCs w:val="20"/>
              </w:rPr>
              <w:t>26</w:t>
            </w:r>
          </w:p>
        </w:tc>
        <w:tc>
          <w:tcPr>
            <w:tcW w:w="440" w:type="pct"/>
          </w:tcPr>
          <w:p w14:paraId="31719BE6" w14:textId="14114FAA" w:rsidR="00CD6722" w:rsidRPr="0086146F" w:rsidRDefault="00CD6722" w:rsidP="00682123">
            <w:pPr>
              <w:rPr>
                <w:sz w:val="20"/>
                <w:szCs w:val="20"/>
              </w:rPr>
            </w:pPr>
            <w:r w:rsidRPr="0086146F">
              <w:rPr>
                <w:sz w:val="20"/>
                <w:szCs w:val="20"/>
              </w:rPr>
              <w:t>4</w:t>
            </w:r>
          </w:p>
        </w:tc>
        <w:tc>
          <w:tcPr>
            <w:tcW w:w="440" w:type="pct"/>
          </w:tcPr>
          <w:p w14:paraId="6E76874A" w14:textId="7729F1C4" w:rsidR="00CD6722" w:rsidRPr="0086146F" w:rsidRDefault="00CD6722" w:rsidP="00682123">
            <w:pPr>
              <w:rPr>
                <w:sz w:val="20"/>
                <w:szCs w:val="20"/>
              </w:rPr>
            </w:pPr>
            <w:r w:rsidRPr="0086146F">
              <w:rPr>
                <w:sz w:val="20"/>
                <w:szCs w:val="20"/>
              </w:rPr>
              <w:t>103</w:t>
            </w:r>
          </w:p>
        </w:tc>
        <w:tc>
          <w:tcPr>
            <w:tcW w:w="439" w:type="pct"/>
          </w:tcPr>
          <w:p w14:paraId="0635BD0C" w14:textId="2D374C4B" w:rsidR="00CD6722" w:rsidRPr="0086146F" w:rsidRDefault="00CD6722" w:rsidP="00682123">
            <w:pPr>
              <w:rPr>
                <w:sz w:val="20"/>
                <w:szCs w:val="20"/>
              </w:rPr>
            </w:pPr>
            <w:r>
              <w:rPr>
                <w:sz w:val="20"/>
                <w:szCs w:val="20"/>
              </w:rPr>
              <w:fldChar w:fldCharType="begin"/>
            </w:r>
            <w:r>
              <w:rPr>
                <w:sz w:val="20"/>
                <w:szCs w:val="20"/>
              </w:rPr>
              <w:instrText xml:space="preserve"> =SUM(LEFT) </w:instrText>
            </w:r>
            <w:r>
              <w:rPr>
                <w:sz w:val="20"/>
                <w:szCs w:val="20"/>
              </w:rPr>
              <w:fldChar w:fldCharType="separate"/>
            </w:r>
            <w:r>
              <w:rPr>
                <w:noProof/>
                <w:sz w:val="20"/>
                <w:szCs w:val="20"/>
              </w:rPr>
              <w:t>296</w:t>
            </w:r>
            <w:r>
              <w:rPr>
                <w:sz w:val="20"/>
                <w:szCs w:val="20"/>
              </w:rPr>
              <w:fldChar w:fldCharType="end"/>
            </w:r>
          </w:p>
        </w:tc>
      </w:tr>
      <w:tr w:rsidR="00CD6722" w:rsidRPr="00214607" w14:paraId="368CE02E" w14:textId="56A2204B" w:rsidTr="00CD6722">
        <w:trPr>
          <w:trHeight w:val="20"/>
        </w:trPr>
        <w:tc>
          <w:tcPr>
            <w:tcW w:w="1922" w:type="pct"/>
          </w:tcPr>
          <w:p w14:paraId="597C44E8" w14:textId="55812392" w:rsidR="00CD6722" w:rsidRPr="0086146F" w:rsidRDefault="00CD6722" w:rsidP="00682123">
            <w:pPr>
              <w:rPr>
                <w:color w:val="000000"/>
                <w:sz w:val="20"/>
                <w:szCs w:val="20"/>
              </w:rPr>
            </w:pPr>
            <w:r w:rsidRPr="0086146F">
              <w:rPr>
                <w:color w:val="000000"/>
                <w:sz w:val="20"/>
                <w:szCs w:val="20"/>
              </w:rPr>
              <w:t>As % all housed due to covid</w:t>
            </w:r>
          </w:p>
        </w:tc>
        <w:tc>
          <w:tcPr>
            <w:tcW w:w="439" w:type="pct"/>
            <w:vAlign w:val="bottom"/>
          </w:tcPr>
          <w:p w14:paraId="0F6C630F" w14:textId="4BBB666D" w:rsidR="00CD6722" w:rsidRPr="0086146F" w:rsidRDefault="00CD6722" w:rsidP="00682123">
            <w:pPr>
              <w:rPr>
                <w:sz w:val="20"/>
                <w:szCs w:val="20"/>
              </w:rPr>
            </w:pPr>
            <w:r w:rsidRPr="0086146F">
              <w:rPr>
                <w:rFonts w:ascii="Calibri" w:hAnsi="Calibri" w:cs="Calibri"/>
                <w:color w:val="000000"/>
                <w:sz w:val="20"/>
                <w:szCs w:val="20"/>
              </w:rPr>
              <w:t>18%</w:t>
            </w:r>
          </w:p>
        </w:tc>
        <w:tc>
          <w:tcPr>
            <w:tcW w:w="440" w:type="pct"/>
            <w:vAlign w:val="bottom"/>
          </w:tcPr>
          <w:p w14:paraId="4C20E3B5" w14:textId="5244B427" w:rsidR="00CD6722" w:rsidRPr="0086146F" w:rsidRDefault="00CD6722" w:rsidP="00682123">
            <w:pPr>
              <w:rPr>
                <w:sz w:val="20"/>
                <w:szCs w:val="20"/>
              </w:rPr>
            </w:pPr>
            <w:r w:rsidRPr="0086146F">
              <w:rPr>
                <w:rFonts w:ascii="Calibri" w:hAnsi="Calibri" w:cs="Calibri"/>
                <w:color w:val="000000"/>
                <w:sz w:val="20"/>
                <w:szCs w:val="20"/>
              </w:rPr>
              <w:t>-</w:t>
            </w:r>
          </w:p>
        </w:tc>
        <w:tc>
          <w:tcPr>
            <w:tcW w:w="440" w:type="pct"/>
            <w:shd w:val="clear" w:color="auto" w:fill="auto"/>
            <w:vAlign w:val="bottom"/>
          </w:tcPr>
          <w:p w14:paraId="24CC6581" w14:textId="33C9A75F" w:rsidR="00CD6722" w:rsidRPr="0086146F" w:rsidRDefault="00CD6722" w:rsidP="00682123">
            <w:pPr>
              <w:rPr>
                <w:sz w:val="20"/>
                <w:szCs w:val="20"/>
              </w:rPr>
            </w:pPr>
            <w:r w:rsidRPr="0086146F">
              <w:rPr>
                <w:rFonts w:ascii="Calibri" w:hAnsi="Calibri" w:cs="Calibri"/>
                <w:color w:val="000000"/>
                <w:sz w:val="20"/>
                <w:szCs w:val="20"/>
              </w:rPr>
              <w:t>41%</w:t>
            </w:r>
          </w:p>
        </w:tc>
        <w:tc>
          <w:tcPr>
            <w:tcW w:w="440" w:type="pct"/>
            <w:vAlign w:val="bottom"/>
          </w:tcPr>
          <w:p w14:paraId="505EDC08" w14:textId="5A26A746" w:rsidR="00CD6722" w:rsidRPr="0086146F" w:rsidRDefault="00CD6722" w:rsidP="00682123">
            <w:pPr>
              <w:rPr>
                <w:sz w:val="20"/>
                <w:szCs w:val="20"/>
              </w:rPr>
            </w:pPr>
            <w:r w:rsidRPr="0086146F">
              <w:rPr>
                <w:rFonts w:ascii="Calibri" w:hAnsi="Calibri" w:cs="Calibri"/>
                <w:color w:val="000000"/>
                <w:sz w:val="20"/>
                <w:szCs w:val="20"/>
              </w:rPr>
              <w:t>19%</w:t>
            </w:r>
          </w:p>
        </w:tc>
        <w:tc>
          <w:tcPr>
            <w:tcW w:w="440" w:type="pct"/>
            <w:vAlign w:val="bottom"/>
          </w:tcPr>
          <w:p w14:paraId="622BF466" w14:textId="421A4B85" w:rsidR="00CD6722" w:rsidRPr="0086146F" w:rsidRDefault="00CD6722" w:rsidP="00682123">
            <w:pPr>
              <w:rPr>
                <w:sz w:val="20"/>
                <w:szCs w:val="20"/>
              </w:rPr>
            </w:pPr>
            <w:r w:rsidRPr="0086146F">
              <w:rPr>
                <w:rFonts w:ascii="Calibri" w:hAnsi="Calibri" w:cs="Calibri"/>
                <w:color w:val="000000"/>
                <w:sz w:val="20"/>
                <w:szCs w:val="20"/>
              </w:rPr>
              <w:t>-</w:t>
            </w:r>
          </w:p>
        </w:tc>
        <w:tc>
          <w:tcPr>
            <w:tcW w:w="440" w:type="pct"/>
            <w:vAlign w:val="bottom"/>
          </w:tcPr>
          <w:p w14:paraId="4B4BD08F" w14:textId="576FDC96" w:rsidR="00CD6722" w:rsidRPr="0086146F" w:rsidRDefault="00CD6722" w:rsidP="00682123">
            <w:pPr>
              <w:rPr>
                <w:sz w:val="20"/>
                <w:szCs w:val="20"/>
              </w:rPr>
            </w:pPr>
            <w:r w:rsidRPr="0086146F">
              <w:rPr>
                <w:rFonts w:ascii="Calibri" w:hAnsi="Calibri" w:cs="Calibri"/>
                <w:color w:val="000000"/>
                <w:sz w:val="20"/>
                <w:szCs w:val="20"/>
              </w:rPr>
              <w:t>27%</w:t>
            </w:r>
          </w:p>
        </w:tc>
        <w:tc>
          <w:tcPr>
            <w:tcW w:w="439" w:type="pct"/>
          </w:tcPr>
          <w:p w14:paraId="24BDBA29" w14:textId="77777777" w:rsidR="00CD6722" w:rsidRPr="0086146F" w:rsidRDefault="00CD6722" w:rsidP="00682123">
            <w:pPr>
              <w:rPr>
                <w:rFonts w:ascii="Calibri" w:hAnsi="Calibri" w:cs="Calibri"/>
                <w:color w:val="000000"/>
                <w:sz w:val="20"/>
                <w:szCs w:val="20"/>
              </w:rPr>
            </w:pPr>
          </w:p>
        </w:tc>
      </w:tr>
    </w:tbl>
    <w:p w14:paraId="3D0069C5" w14:textId="5AD7BF2B" w:rsidR="006128DD" w:rsidRPr="006A7AEB" w:rsidRDefault="00682123" w:rsidP="006A7AEB">
      <w:pPr>
        <w:pStyle w:val="Heading2"/>
      </w:pPr>
      <w:bookmarkStart w:id="10" w:name="_Toc45530541"/>
      <w:r w:rsidRPr="006A7AEB">
        <w:t>Need for s</w:t>
      </w:r>
      <w:r w:rsidR="006128DD" w:rsidRPr="006A7AEB">
        <w:t>elf</w:t>
      </w:r>
      <w:r w:rsidRPr="006A7AEB">
        <w:t>-</w:t>
      </w:r>
      <w:r w:rsidR="006128DD" w:rsidRPr="006A7AEB">
        <w:t xml:space="preserve">contained </w:t>
      </w:r>
      <w:r w:rsidRPr="006A7AEB">
        <w:t>accommodation</w:t>
      </w:r>
      <w:bookmarkEnd w:id="10"/>
    </w:p>
    <w:p w14:paraId="4DF04E7B" w14:textId="36ECFFED" w:rsidR="0043525E" w:rsidRDefault="0043525E" w:rsidP="001F43DA">
      <w:pPr>
        <w:pStyle w:val="Heading3"/>
      </w:pPr>
      <w:r w:rsidRPr="00214607">
        <w:t>Of the people accommodated how many will require self-contained accom</w:t>
      </w:r>
      <w:r w:rsidR="007E72E4">
        <w:t xml:space="preserve">modation </w:t>
      </w:r>
      <w:r w:rsidR="007E72E4" w:rsidRPr="004D54EA">
        <w:t xml:space="preserve">because they are at increased risk </w:t>
      </w:r>
      <w:r w:rsidR="007E72E4">
        <w:t>of severe illness from Covid-19</w:t>
      </w:r>
      <w:r w:rsidRPr="00214607">
        <w:t>? And is this based on an assessment or an estimate?</w:t>
      </w:r>
    </w:p>
    <w:p w14:paraId="3A679887" w14:textId="3353465D" w:rsidR="00B26D90" w:rsidRPr="00B26D90" w:rsidRDefault="00B26D90" w:rsidP="00B85110">
      <w:pPr>
        <w:pStyle w:val="tablenumbered"/>
      </w:pPr>
      <w:r>
        <w:t>Self-containment</w:t>
      </w:r>
    </w:p>
    <w:tbl>
      <w:tblPr>
        <w:tblStyle w:val="TableGrid"/>
        <w:tblW w:w="5000" w:type="pct"/>
        <w:tblLook w:val="0420" w:firstRow="1" w:lastRow="0" w:firstColumn="0" w:lastColumn="0" w:noHBand="0" w:noVBand="1"/>
      </w:tblPr>
      <w:tblGrid>
        <w:gridCol w:w="1779"/>
        <w:gridCol w:w="1779"/>
        <w:gridCol w:w="1782"/>
        <w:gridCol w:w="1780"/>
        <w:gridCol w:w="1780"/>
        <w:gridCol w:w="1782"/>
      </w:tblGrid>
      <w:tr w:rsidR="006128DD" w:rsidRPr="00214607" w14:paraId="4620F794" w14:textId="77777777" w:rsidTr="0043525E">
        <w:trPr>
          <w:trHeight w:val="20"/>
          <w:tblHeader/>
        </w:trPr>
        <w:tc>
          <w:tcPr>
            <w:tcW w:w="833" w:type="pct"/>
            <w:shd w:val="clear" w:color="auto" w:fill="000000" w:themeFill="text1"/>
          </w:tcPr>
          <w:p w14:paraId="6C509978" w14:textId="77777777" w:rsidR="006128DD" w:rsidRPr="0086146F" w:rsidRDefault="006128DD" w:rsidP="00682123">
            <w:pPr>
              <w:rPr>
                <w:sz w:val="20"/>
                <w:szCs w:val="20"/>
              </w:rPr>
            </w:pPr>
            <w:r w:rsidRPr="0086146F">
              <w:rPr>
                <w:sz w:val="20"/>
                <w:szCs w:val="20"/>
              </w:rPr>
              <w:t>Cambridge</w:t>
            </w:r>
          </w:p>
        </w:tc>
        <w:tc>
          <w:tcPr>
            <w:tcW w:w="833" w:type="pct"/>
            <w:shd w:val="clear" w:color="auto" w:fill="000000" w:themeFill="text1"/>
          </w:tcPr>
          <w:p w14:paraId="6B1C705A" w14:textId="77777777" w:rsidR="006128DD" w:rsidRPr="0086146F" w:rsidRDefault="006128DD" w:rsidP="00682123">
            <w:pPr>
              <w:rPr>
                <w:sz w:val="20"/>
                <w:szCs w:val="20"/>
              </w:rPr>
            </w:pPr>
            <w:r w:rsidRPr="0086146F">
              <w:rPr>
                <w:sz w:val="20"/>
                <w:szCs w:val="20"/>
              </w:rPr>
              <w:t>ECDC</w:t>
            </w:r>
          </w:p>
        </w:tc>
        <w:tc>
          <w:tcPr>
            <w:tcW w:w="834" w:type="pct"/>
            <w:shd w:val="clear" w:color="auto" w:fill="000000" w:themeFill="text1"/>
          </w:tcPr>
          <w:p w14:paraId="3D0F0BC8" w14:textId="77777777" w:rsidR="006128DD" w:rsidRPr="0086146F" w:rsidRDefault="006128DD" w:rsidP="00682123">
            <w:pPr>
              <w:rPr>
                <w:sz w:val="20"/>
                <w:szCs w:val="20"/>
              </w:rPr>
            </w:pPr>
            <w:r w:rsidRPr="0086146F">
              <w:rPr>
                <w:sz w:val="20"/>
                <w:szCs w:val="20"/>
              </w:rPr>
              <w:t>FDC</w:t>
            </w:r>
          </w:p>
        </w:tc>
        <w:tc>
          <w:tcPr>
            <w:tcW w:w="833" w:type="pct"/>
            <w:shd w:val="clear" w:color="auto" w:fill="000000" w:themeFill="text1"/>
          </w:tcPr>
          <w:p w14:paraId="0543BE78" w14:textId="77777777" w:rsidR="006128DD" w:rsidRPr="0086146F" w:rsidRDefault="006128DD" w:rsidP="00682123">
            <w:pPr>
              <w:rPr>
                <w:sz w:val="20"/>
                <w:szCs w:val="20"/>
              </w:rPr>
            </w:pPr>
            <w:r w:rsidRPr="0086146F">
              <w:rPr>
                <w:sz w:val="20"/>
                <w:szCs w:val="20"/>
              </w:rPr>
              <w:t>HDC</w:t>
            </w:r>
          </w:p>
        </w:tc>
        <w:tc>
          <w:tcPr>
            <w:tcW w:w="833" w:type="pct"/>
            <w:shd w:val="clear" w:color="auto" w:fill="000000" w:themeFill="text1"/>
          </w:tcPr>
          <w:p w14:paraId="12EEA7A9" w14:textId="77777777" w:rsidR="006128DD" w:rsidRPr="0086146F" w:rsidRDefault="006128DD" w:rsidP="00682123">
            <w:pPr>
              <w:rPr>
                <w:sz w:val="20"/>
                <w:szCs w:val="20"/>
              </w:rPr>
            </w:pPr>
            <w:r w:rsidRPr="0086146F">
              <w:rPr>
                <w:sz w:val="20"/>
                <w:szCs w:val="20"/>
              </w:rPr>
              <w:t>SCDC</w:t>
            </w:r>
          </w:p>
        </w:tc>
        <w:tc>
          <w:tcPr>
            <w:tcW w:w="834" w:type="pct"/>
            <w:shd w:val="clear" w:color="auto" w:fill="000000" w:themeFill="text1"/>
          </w:tcPr>
          <w:p w14:paraId="68A2BC5C" w14:textId="77777777" w:rsidR="006128DD" w:rsidRPr="0086146F" w:rsidRDefault="006128DD" w:rsidP="00682123">
            <w:pPr>
              <w:rPr>
                <w:sz w:val="20"/>
                <w:szCs w:val="20"/>
              </w:rPr>
            </w:pPr>
            <w:r w:rsidRPr="0086146F">
              <w:rPr>
                <w:sz w:val="20"/>
                <w:szCs w:val="20"/>
              </w:rPr>
              <w:t>PCC</w:t>
            </w:r>
          </w:p>
        </w:tc>
      </w:tr>
      <w:tr w:rsidR="006128DD" w:rsidRPr="00214607" w14:paraId="2D696560" w14:textId="77777777" w:rsidTr="0043525E">
        <w:trPr>
          <w:trHeight w:val="20"/>
        </w:trPr>
        <w:tc>
          <w:tcPr>
            <w:tcW w:w="833" w:type="pct"/>
          </w:tcPr>
          <w:p w14:paraId="360E066B" w14:textId="18B7C20E" w:rsidR="006128DD" w:rsidRPr="0086146F" w:rsidRDefault="006128DD" w:rsidP="00682123">
            <w:pPr>
              <w:rPr>
                <w:sz w:val="20"/>
                <w:szCs w:val="20"/>
              </w:rPr>
            </w:pPr>
            <w:r w:rsidRPr="0086146F">
              <w:rPr>
                <w:sz w:val="20"/>
                <w:szCs w:val="20"/>
              </w:rPr>
              <w:t>12</w:t>
            </w:r>
          </w:p>
        </w:tc>
        <w:tc>
          <w:tcPr>
            <w:tcW w:w="833" w:type="pct"/>
          </w:tcPr>
          <w:p w14:paraId="5318FB5B" w14:textId="77777777" w:rsidR="006128DD" w:rsidRPr="0086146F" w:rsidRDefault="006128DD" w:rsidP="00682123">
            <w:pPr>
              <w:rPr>
                <w:sz w:val="20"/>
                <w:szCs w:val="20"/>
              </w:rPr>
            </w:pPr>
            <w:r w:rsidRPr="0086146F">
              <w:rPr>
                <w:sz w:val="20"/>
                <w:szCs w:val="20"/>
              </w:rPr>
              <w:t> 0</w:t>
            </w:r>
          </w:p>
        </w:tc>
        <w:tc>
          <w:tcPr>
            <w:tcW w:w="834" w:type="pct"/>
          </w:tcPr>
          <w:p w14:paraId="006FACA7" w14:textId="77777777" w:rsidR="006128DD" w:rsidRPr="0086146F" w:rsidRDefault="006128DD" w:rsidP="00682123">
            <w:pPr>
              <w:rPr>
                <w:sz w:val="20"/>
                <w:szCs w:val="20"/>
              </w:rPr>
            </w:pPr>
            <w:r w:rsidRPr="0086146F">
              <w:rPr>
                <w:sz w:val="20"/>
                <w:szCs w:val="20"/>
              </w:rPr>
              <w:t>3 (underlying health conditions)</w:t>
            </w:r>
          </w:p>
        </w:tc>
        <w:tc>
          <w:tcPr>
            <w:tcW w:w="833" w:type="pct"/>
          </w:tcPr>
          <w:p w14:paraId="573F26EF" w14:textId="77777777" w:rsidR="006128DD" w:rsidRPr="0086146F" w:rsidRDefault="006128DD" w:rsidP="00682123">
            <w:pPr>
              <w:rPr>
                <w:sz w:val="20"/>
                <w:szCs w:val="20"/>
              </w:rPr>
            </w:pPr>
            <w:r w:rsidRPr="0086146F">
              <w:rPr>
                <w:sz w:val="20"/>
                <w:szCs w:val="20"/>
              </w:rPr>
              <w:t>7</w:t>
            </w:r>
          </w:p>
        </w:tc>
        <w:tc>
          <w:tcPr>
            <w:tcW w:w="833" w:type="pct"/>
          </w:tcPr>
          <w:p w14:paraId="2CC5755E" w14:textId="77777777" w:rsidR="006128DD" w:rsidRPr="0086146F" w:rsidRDefault="006128DD" w:rsidP="00682123">
            <w:pPr>
              <w:rPr>
                <w:sz w:val="20"/>
                <w:szCs w:val="20"/>
              </w:rPr>
            </w:pPr>
            <w:r w:rsidRPr="0086146F">
              <w:rPr>
                <w:sz w:val="20"/>
                <w:szCs w:val="20"/>
              </w:rPr>
              <w:t>0</w:t>
            </w:r>
          </w:p>
        </w:tc>
        <w:tc>
          <w:tcPr>
            <w:tcW w:w="834" w:type="pct"/>
          </w:tcPr>
          <w:p w14:paraId="2E347496" w14:textId="77777777" w:rsidR="006128DD" w:rsidRPr="0086146F" w:rsidRDefault="006128DD" w:rsidP="00682123">
            <w:pPr>
              <w:rPr>
                <w:sz w:val="20"/>
                <w:szCs w:val="20"/>
              </w:rPr>
            </w:pPr>
            <w:r w:rsidRPr="0086146F">
              <w:rPr>
                <w:sz w:val="20"/>
                <w:szCs w:val="20"/>
              </w:rPr>
              <w:t>23</w:t>
            </w:r>
          </w:p>
        </w:tc>
      </w:tr>
      <w:tr w:rsidR="006128DD" w:rsidRPr="00B85110" w14:paraId="623E79E6" w14:textId="77777777" w:rsidTr="0043525E">
        <w:trPr>
          <w:trHeight w:val="20"/>
        </w:trPr>
        <w:tc>
          <w:tcPr>
            <w:tcW w:w="833" w:type="pct"/>
          </w:tcPr>
          <w:p w14:paraId="06E2B9F7" w14:textId="4D717470" w:rsidR="006128DD" w:rsidRPr="00B85110" w:rsidRDefault="005C3FA0" w:rsidP="00682123">
            <w:pPr>
              <w:rPr>
                <w:i/>
                <w:sz w:val="20"/>
                <w:szCs w:val="20"/>
              </w:rPr>
            </w:pPr>
            <w:r w:rsidRPr="00B85110">
              <w:rPr>
                <w:i/>
                <w:sz w:val="20"/>
                <w:szCs w:val="20"/>
              </w:rPr>
              <w:t>Assessment</w:t>
            </w:r>
          </w:p>
        </w:tc>
        <w:tc>
          <w:tcPr>
            <w:tcW w:w="833" w:type="pct"/>
          </w:tcPr>
          <w:p w14:paraId="4304E6BD" w14:textId="5D87CD2A" w:rsidR="006128DD" w:rsidRPr="00B85110" w:rsidRDefault="0043525E" w:rsidP="00682123">
            <w:pPr>
              <w:rPr>
                <w:i/>
                <w:sz w:val="20"/>
                <w:szCs w:val="20"/>
              </w:rPr>
            </w:pPr>
            <w:r w:rsidRPr="00B85110">
              <w:rPr>
                <w:i/>
                <w:sz w:val="20"/>
                <w:szCs w:val="20"/>
              </w:rPr>
              <w:t>A</w:t>
            </w:r>
            <w:r w:rsidR="006128DD" w:rsidRPr="00B85110">
              <w:rPr>
                <w:i/>
                <w:sz w:val="20"/>
                <w:szCs w:val="20"/>
              </w:rPr>
              <w:t>ssessment</w:t>
            </w:r>
          </w:p>
        </w:tc>
        <w:tc>
          <w:tcPr>
            <w:tcW w:w="834" w:type="pct"/>
          </w:tcPr>
          <w:p w14:paraId="2E14A85E" w14:textId="148CC4A8" w:rsidR="006128DD" w:rsidRPr="00B85110" w:rsidRDefault="006128DD" w:rsidP="005C3FA0">
            <w:pPr>
              <w:rPr>
                <w:i/>
                <w:sz w:val="20"/>
                <w:szCs w:val="20"/>
              </w:rPr>
            </w:pPr>
            <w:r w:rsidRPr="00B85110">
              <w:rPr>
                <w:i/>
                <w:sz w:val="20"/>
                <w:szCs w:val="20"/>
              </w:rPr>
              <w:t>Estimate</w:t>
            </w:r>
          </w:p>
        </w:tc>
        <w:tc>
          <w:tcPr>
            <w:tcW w:w="833" w:type="pct"/>
          </w:tcPr>
          <w:p w14:paraId="698BF177" w14:textId="77777777" w:rsidR="006128DD" w:rsidRPr="00B85110" w:rsidRDefault="006128DD" w:rsidP="00682123">
            <w:pPr>
              <w:rPr>
                <w:i/>
                <w:sz w:val="20"/>
                <w:szCs w:val="20"/>
              </w:rPr>
            </w:pPr>
            <w:r w:rsidRPr="00B85110">
              <w:rPr>
                <w:i/>
                <w:sz w:val="20"/>
                <w:szCs w:val="20"/>
              </w:rPr>
              <w:t>Estimate</w:t>
            </w:r>
          </w:p>
        </w:tc>
        <w:tc>
          <w:tcPr>
            <w:tcW w:w="833" w:type="pct"/>
          </w:tcPr>
          <w:p w14:paraId="38BB61D6" w14:textId="3DD6BCF8" w:rsidR="006128DD" w:rsidRPr="00B85110" w:rsidRDefault="006128DD" w:rsidP="00682123">
            <w:pPr>
              <w:rPr>
                <w:i/>
                <w:sz w:val="20"/>
                <w:szCs w:val="20"/>
              </w:rPr>
            </w:pPr>
            <w:r w:rsidRPr="00B85110">
              <w:rPr>
                <w:i/>
                <w:sz w:val="20"/>
                <w:szCs w:val="20"/>
              </w:rPr>
              <w:t>Assessment</w:t>
            </w:r>
          </w:p>
        </w:tc>
        <w:tc>
          <w:tcPr>
            <w:tcW w:w="834" w:type="pct"/>
          </w:tcPr>
          <w:p w14:paraId="07A50F09" w14:textId="79FEC57E" w:rsidR="006128DD" w:rsidRPr="00B85110" w:rsidRDefault="0043525E" w:rsidP="00682123">
            <w:pPr>
              <w:rPr>
                <w:i/>
                <w:sz w:val="20"/>
                <w:szCs w:val="20"/>
              </w:rPr>
            </w:pPr>
            <w:r w:rsidRPr="00B85110">
              <w:rPr>
                <w:i/>
                <w:sz w:val="20"/>
                <w:szCs w:val="20"/>
              </w:rPr>
              <w:t>A</w:t>
            </w:r>
            <w:r w:rsidR="006128DD" w:rsidRPr="00B85110">
              <w:rPr>
                <w:i/>
                <w:sz w:val="20"/>
                <w:szCs w:val="20"/>
              </w:rPr>
              <w:t>s</w:t>
            </w:r>
            <w:r w:rsidRPr="00B85110">
              <w:rPr>
                <w:i/>
                <w:sz w:val="20"/>
                <w:szCs w:val="20"/>
              </w:rPr>
              <w:t>sessment</w:t>
            </w:r>
          </w:p>
        </w:tc>
      </w:tr>
    </w:tbl>
    <w:p w14:paraId="42350A60" w14:textId="77777777" w:rsidR="00B26D90" w:rsidRDefault="0043525E" w:rsidP="006A7AEB">
      <w:pPr>
        <w:pStyle w:val="Heading2"/>
      </w:pPr>
      <w:bookmarkStart w:id="11" w:name="_Toc45530542"/>
      <w:r w:rsidRPr="00214607">
        <w:t>Short/medium-term</w:t>
      </w:r>
      <w:r w:rsidR="005C3FA0">
        <w:t xml:space="preserve"> </w:t>
      </w:r>
      <w:r w:rsidRPr="00214607">
        <w:t>accommodation</w:t>
      </w:r>
      <w:r w:rsidR="005C3FA0">
        <w:t xml:space="preserve"> </w:t>
      </w:r>
      <w:r w:rsidRPr="00214607">
        <w:t>units</w:t>
      </w:r>
      <w:bookmarkEnd w:id="11"/>
    </w:p>
    <w:p w14:paraId="3060EA84" w14:textId="55ED8D84" w:rsidR="0043525E" w:rsidRPr="00214607" w:rsidRDefault="00B26D90" w:rsidP="00B85110">
      <w:pPr>
        <w:pStyle w:val="tablenumbered"/>
      </w:pPr>
      <w:r>
        <w:t>Units you have / plans for more</w:t>
      </w:r>
      <w:r w:rsidR="0043525E" w:rsidRPr="00214607">
        <w:t xml:space="preserve"> </w:t>
      </w:r>
    </w:p>
    <w:tbl>
      <w:tblPr>
        <w:tblStyle w:val="TableGrid"/>
        <w:tblW w:w="0" w:type="auto"/>
        <w:tblLook w:val="04A0" w:firstRow="1" w:lastRow="0" w:firstColumn="1" w:lastColumn="0" w:noHBand="0" w:noVBand="1"/>
      </w:tblPr>
      <w:tblGrid>
        <w:gridCol w:w="1562"/>
        <w:gridCol w:w="4560"/>
        <w:gridCol w:w="4560"/>
      </w:tblGrid>
      <w:tr w:rsidR="00F96B47" w:rsidRPr="00F96B47" w14:paraId="1A10BF29" w14:textId="32E9B928" w:rsidTr="004A2EDE">
        <w:trPr>
          <w:trHeight w:val="57"/>
          <w:tblHeader/>
        </w:trPr>
        <w:tc>
          <w:tcPr>
            <w:tcW w:w="0" w:type="auto"/>
          </w:tcPr>
          <w:p w14:paraId="4A9ABF2F" w14:textId="77777777" w:rsidR="00F96B47" w:rsidRPr="0086146F" w:rsidRDefault="00F96B47" w:rsidP="004A2EDE">
            <w:pPr>
              <w:pStyle w:val="Heading3"/>
              <w:spacing w:before="0"/>
              <w:outlineLvl w:val="2"/>
              <w:rPr>
                <w:sz w:val="20"/>
                <w:szCs w:val="20"/>
              </w:rPr>
            </w:pPr>
          </w:p>
        </w:tc>
        <w:tc>
          <w:tcPr>
            <w:tcW w:w="0" w:type="auto"/>
          </w:tcPr>
          <w:p w14:paraId="51072484" w14:textId="447346FC" w:rsidR="00F96B47" w:rsidRPr="0086146F" w:rsidRDefault="00F96B47" w:rsidP="004A2EDE">
            <w:pPr>
              <w:pStyle w:val="Heading3"/>
              <w:spacing w:before="0"/>
              <w:outlineLvl w:val="2"/>
              <w:rPr>
                <w:sz w:val="20"/>
                <w:szCs w:val="20"/>
              </w:rPr>
            </w:pPr>
            <w:r w:rsidRPr="0086146F">
              <w:rPr>
                <w:sz w:val="20"/>
                <w:szCs w:val="20"/>
              </w:rPr>
              <w:t xml:space="preserve">Units you have </w:t>
            </w:r>
          </w:p>
        </w:tc>
        <w:tc>
          <w:tcPr>
            <w:tcW w:w="0" w:type="auto"/>
          </w:tcPr>
          <w:p w14:paraId="4B70EF8C" w14:textId="1EF122CE" w:rsidR="00F96B47" w:rsidRPr="0086146F" w:rsidRDefault="00F96B47" w:rsidP="004A2EDE">
            <w:pPr>
              <w:pStyle w:val="Heading3"/>
              <w:spacing w:before="0"/>
              <w:outlineLvl w:val="2"/>
              <w:rPr>
                <w:sz w:val="20"/>
                <w:szCs w:val="20"/>
              </w:rPr>
            </w:pPr>
            <w:r w:rsidRPr="0086146F">
              <w:rPr>
                <w:sz w:val="20"/>
                <w:szCs w:val="20"/>
              </w:rPr>
              <w:t>Plans to develop more</w:t>
            </w:r>
          </w:p>
        </w:tc>
      </w:tr>
      <w:tr w:rsidR="00F96B47" w:rsidRPr="00F96B47" w14:paraId="1500DC99" w14:textId="46A2BAA8" w:rsidTr="004A2EDE">
        <w:trPr>
          <w:trHeight w:val="227"/>
        </w:trPr>
        <w:tc>
          <w:tcPr>
            <w:tcW w:w="0" w:type="auto"/>
          </w:tcPr>
          <w:p w14:paraId="36F302A2" w14:textId="03D38B72" w:rsidR="00F96B47" w:rsidRPr="0086146F" w:rsidRDefault="00F96B47" w:rsidP="004A2EDE">
            <w:pPr>
              <w:rPr>
                <w:sz w:val="20"/>
                <w:szCs w:val="20"/>
              </w:rPr>
            </w:pPr>
            <w:r w:rsidRPr="0086146F">
              <w:rPr>
                <w:sz w:val="20"/>
                <w:szCs w:val="20"/>
              </w:rPr>
              <w:t>Cambridge</w:t>
            </w:r>
          </w:p>
        </w:tc>
        <w:tc>
          <w:tcPr>
            <w:tcW w:w="0" w:type="auto"/>
          </w:tcPr>
          <w:p w14:paraId="0F824E41" w14:textId="2DA53BC7" w:rsidR="00F96B47" w:rsidRPr="0086146F" w:rsidRDefault="00F96B47" w:rsidP="004A2EDE">
            <w:pPr>
              <w:rPr>
                <w:sz w:val="20"/>
                <w:szCs w:val="20"/>
              </w:rPr>
            </w:pPr>
            <w:r w:rsidRPr="0086146F">
              <w:rPr>
                <w:sz w:val="20"/>
                <w:szCs w:val="20"/>
              </w:rPr>
              <w:t>Not applicable – we are focussing our efforts on procuring longer-term move-on accommodation.</w:t>
            </w:r>
          </w:p>
        </w:tc>
        <w:tc>
          <w:tcPr>
            <w:tcW w:w="0" w:type="auto"/>
          </w:tcPr>
          <w:p w14:paraId="6BDF8EFA" w14:textId="54AEE03D" w:rsidR="00F96B47" w:rsidRPr="0086146F" w:rsidRDefault="00F96B47" w:rsidP="004A2EDE">
            <w:pPr>
              <w:rPr>
                <w:sz w:val="20"/>
                <w:szCs w:val="20"/>
              </w:rPr>
            </w:pPr>
            <w:r w:rsidRPr="0086146F">
              <w:rPr>
                <w:sz w:val="20"/>
                <w:szCs w:val="20"/>
              </w:rPr>
              <w:t>n/a</w:t>
            </w:r>
          </w:p>
        </w:tc>
      </w:tr>
      <w:tr w:rsidR="00F96B47" w:rsidRPr="00F96B47" w14:paraId="1AC28C61" w14:textId="616D1543" w:rsidTr="004A2EDE">
        <w:trPr>
          <w:trHeight w:val="227"/>
        </w:trPr>
        <w:tc>
          <w:tcPr>
            <w:tcW w:w="0" w:type="auto"/>
          </w:tcPr>
          <w:p w14:paraId="7A8509CB" w14:textId="4F371B5F" w:rsidR="00F96B47" w:rsidRPr="0086146F" w:rsidRDefault="00F96B47" w:rsidP="004A2EDE">
            <w:pPr>
              <w:rPr>
                <w:sz w:val="20"/>
                <w:szCs w:val="20"/>
              </w:rPr>
            </w:pPr>
            <w:r w:rsidRPr="0086146F">
              <w:rPr>
                <w:sz w:val="20"/>
                <w:szCs w:val="20"/>
              </w:rPr>
              <w:t>Fenland</w:t>
            </w:r>
          </w:p>
        </w:tc>
        <w:tc>
          <w:tcPr>
            <w:tcW w:w="0" w:type="auto"/>
          </w:tcPr>
          <w:p w14:paraId="72C18A51" w14:textId="1F8137FC" w:rsidR="00F96B47" w:rsidRPr="0086146F" w:rsidRDefault="00F96B47" w:rsidP="004A2EDE">
            <w:pPr>
              <w:rPr>
                <w:sz w:val="20"/>
                <w:szCs w:val="20"/>
              </w:rPr>
            </w:pPr>
            <w:r w:rsidRPr="0086146F">
              <w:rPr>
                <w:sz w:val="20"/>
                <w:szCs w:val="20"/>
              </w:rPr>
              <w:t xml:space="preserve">10 units at Ferry Hostel Rooms and FDC temp. </w:t>
            </w:r>
          </w:p>
          <w:p w14:paraId="393E013E" w14:textId="05E43992" w:rsidR="00F96B47" w:rsidRPr="0086146F" w:rsidRDefault="00F96B47" w:rsidP="004A2EDE">
            <w:pPr>
              <w:rPr>
                <w:sz w:val="20"/>
                <w:szCs w:val="20"/>
              </w:rPr>
            </w:pPr>
            <w:r w:rsidRPr="0086146F">
              <w:rPr>
                <w:sz w:val="20"/>
                <w:szCs w:val="20"/>
              </w:rPr>
              <w:t>We have already secured this accommodation. The ten will receive ongoing support to move on.</w:t>
            </w:r>
          </w:p>
        </w:tc>
        <w:tc>
          <w:tcPr>
            <w:tcW w:w="0" w:type="auto"/>
          </w:tcPr>
          <w:p w14:paraId="30D5A8EC" w14:textId="42782893" w:rsidR="00F96B47" w:rsidRPr="0086146F" w:rsidRDefault="00F96B47" w:rsidP="004A2EDE">
            <w:pPr>
              <w:rPr>
                <w:sz w:val="20"/>
                <w:szCs w:val="20"/>
              </w:rPr>
            </w:pPr>
            <w:r w:rsidRPr="0086146F">
              <w:rPr>
                <w:sz w:val="20"/>
                <w:szCs w:val="20"/>
              </w:rPr>
              <w:t>2 in total</w:t>
            </w:r>
          </w:p>
        </w:tc>
      </w:tr>
      <w:tr w:rsidR="00F96B47" w:rsidRPr="00F96B47" w14:paraId="43E9BCE2" w14:textId="7779AAE8" w:rsidTr="004A2EDE">
        <w:trPr>
          <w:trHeight w:val="227"/>
        </w:trPr>
        <w:tc>
          <w:tcPr>
            <w:tcW w:w="0" w:type="auto"/>
          </w:tcPr>
          <w:p w14:paraId="3468186D" w14:textId="321A5D7C" w:rsidR="00F96B47" w:rsidRPr="0086146F" w:rsidRDefault="00F96B47" w:rsidP="004A2EDE">
            <w:pPr>
              <w:rPr>
                <w:sz w:val="20"/>
                <w:szCs w:val="20"/>
              </w:rPr>
            </w:pPr>
            <w:r w:rsidRPr="0086146F">
              <w:rPr>
                <w:sz w:val="20"/>
                <w:szCs w:val="20"/>
              </w:rPr>
              <w:t>Huntingdonshire</w:t>
            </w:r>
          </w:p>
        </w:tc>
        <w:tc>
          <w:tcPr>
            <w:tcW w:w="0" w:type="auto"/>
          </w:tcPr>
          <w:p w14:paraId="1CDC20F9" w14:textId="5FA0BC63" w:rsidR="00F96B47" w:rsidRPr="0086146F" w:rsidRDefault="00F96B47" w:rsidP="004A2EDE">
            <w:pPr>
              <w:rPr>
                <w:sz w:val="20"/>
                <w:szCs w:val="20"/>
              </w:rPr>
            </w:pPr>
            <w:r w:rsidRPr="0086146F">
              <w:rPr>
                <w:sz w:val="20"/>
                <w:szCs w:val="20"/>
              </w:rPr>
              <w:t>We have access to 39 units accommodation provided by RPs that are suitable short/medium term accommodation. Some clients have already been moved through this accommodation and we will continue to move those accommodated in emergency accommodation because of the pandemic through these units as vacancies arise. Availability and timescales will depend upon existing residents moving through this accommodation, the rate of which we anticipate will increase as RPs begin to restart their normal business and we see an increase in the number of lettings of settled homes.</w:t>
            </w:r>
          </w:p>
        </w:tc>
        <w:tc>
          <w:tcPr>
            <w:tcW w:w="0" w:type="auto"/>
          </w:tcPr>
          <w:p w14:paraId="119E6CA3" w14:textId="3C555779" w:rsidR="00F96B47" w:rsidRPr="0086146F" w:rsidRDefault="00F96B47" w:rsidP="004A2EDE">
            <w:pPr>
              <w:rPr>
                <w:sz w:val="20"/>
                <w:szCs w:val="20"/>
              </w:rPr>
            </w:pPr>
            <w:r w:rsidRPr="0086146F">
              <w:rPr>
                <w:sz w:val="20"/>
                <w:szCs w:val="20"/>
              </w:rPr>
              <w:t>The number of units we have available through existing short/medium term RP stock, together with additional units nightly paid accommodation that we are able to procure through private providers if required, will be sufficient to accommodate those clients in emergency accommodation.   We also have an additional short term housing scheme being converted by an RP that will deliver an additional 21 units. This was due to complete in June but the programme has slipped as a result of the pandemic. It will however shortly give additionality to the stock of short term units that we will be able to access.</w:t>
            </w:r>
          </w:p>
        </w:tc>
      </w:tr>
      <w:tr w:rsidR="00F96B47" w:rsidRPr="00F96B47" w14:paraId="2AC62BE9" w14:textId="557D1AB5" w:rsidTr="004A2EDE">
        <w:trPr>
          <w:trHeight w:val="227"/>
        </w:trPr>
        <w:tc>
          <w:tcPr>
            <w:tcW w:w="0" w:type="auto"/>
          </w:tcPr>
          <w:p w14:paraId="523CECAD" w14:textId="1A233B83" w:rsidR="00F96B47" w:rsidRPr="0086146F" w:rsidRDefault="00F96B47" w:rsidP="004A2EDE">
            <w:pPr>
              <w:rPr>
                <w:sz w:val="20"/>
                <w:szCs w:val="20"/>
              </w:rPr>
            </w:pPr>
            <w:r w:rsidRPr="0086146F">
              <w:rPr>
                <w:sz w:val="20"/>
                <w:szCs w:val="20"/>
              </w:rPr>
              <w:t>Peterborough</w:t>
            </w:r>
          </w:p>
        </w:tc>
        <w:tc>
          <w:tcPr>
            <w:tcW w:w="0" w:type="auto"/>
          </w:tcPr>
          <w:p w14:paraId="655BC200" w14:textId="77777777" w:rsidR="00F96B47" w:rsidRPr="0086146F" w:rsidRDefault="00F96B47" w:rsidP="004A2EDE">
            <w:pPr>
              <w:rPr>
                <w:sz w:val="20"/>
                <w:szCs w:val="20"/>
              </w:rPr>
            </w:pPr>
            <w:r w:rsidRPr="0086146F">
              <w:rPr>
                <w:sz w:val="20"/>
                <w:szCs w:val="20"/>
              </w:rPr>
              <w:t xml:space="preserve">Potential of around 50 units </w:t>
            </w:r>
          </w:p>
          <w:p w14:paraId="20F0931F" w14:textId="77777777" w:rsidR="00F96B47" w:rsidRPr="0086146F" w:rsidRDefault="00F96B47" w:rsidP="004A2EDE">
            <w:pPr>
              <w:rPr>
                <w:sz w:val="20"/>
                <w:szCs w:val="20"/>
              </w:rPr>
            </w:pPr>
            <w:r w:rsidRPr="0086146F">
              <w:rPr>
                <w:sz w:val="20"/>
                <w:szCs w:val="20"/>
              </w:rPr>
              <w:t xml:space="preserve">We are already in the process of undertaking reviews across all of our supported accommodation settings and identified a number of clients ready to move on from short/medium stay settings such as the YMCA Timestop &amp; the New Haven to move on or independent accommodation. These moves will free up space that will be backfilled by those currently accommodated in the hotel rest centres. </w:t>
            </w:r>
          </w:p>
          <w:p w14:paraId="3CA8B2E2" w14:textId="77777777" w:rsidR="00F96B47" w:rsidRPr="0086146F" w:rsidRDefault="00F96B47" w:rsidP="004A2EDE">
            <w:pPr>
              <w:rPr>
                <w:sz w:val="20"/>
                <w:szCs w:val="20"/>
              </w:rPr>
            </w:pPr>
            <w:r w:rsidRPr="0086146F">
              <w:rPr>
                <w:sz w:val="20"/>
                <w:szCs w:val="20"/>
              </w:rPr>
              <w:t>We estimate that this will free up c.12 units of short stay accommodation.</w:t>
            </w:r>
          </w:p>
          <w:p w14:paraId="6AF742AF" w14:textId="2EE3628B" w:rsidR="00F96B47" w:rsidRPr="0086146F" w:rsidRDefault="00F96B47" w:rsidP="004A2EDE">
            <w:pPr>
              <w:rPr>
                <w:sz w:val="20"/>
                <w:szCs w:val="20"/>
              </w:rPr>
            </w:pPr>
            <w:r w:rsidRPr="0086146F">
              <w:rPr>
                <w:sz w:val="20"/>
                <w:szCs w:val="20"/>
              </w:rPr>
              <w:t xml:space="preserve">In addition, we have a number of vacancies across </w:t>
            </w:r>
            <w:r w:rsidRPr="0086146F">
              <w:rPr>
                <w:sz w:val="20"/>
                <w:szCs w:val="20"/>
              </w:rPr>
              <w:lastRenderedPageBreak/>
              <w:t xml:space="preserve">our temporary accommodation, which have been freed up to minimise the risk of spread of infection due to COVID. We will be seeking to utilise some of these units to support in case they are required. We estimate that we will be able to utilise c.8 unit of short stay accommodation.  </w:t>
            </w:r>
          </w:p>
        </w:tc>
        <w:tc>
          <w:tcPr>
            <w:tcW w:w="0" w:type="auto"/>
          </w:tcPr>
          <w:p w14:paraId="6805F667" w14:textId="77777777" w:rsidR="00F96B47" w:rsidRPr="0086146F" w:rsidRDefault="00F96B47" w:rsidP="004A2EDE">
            <w:pPr>
              <w:rPr>
                <w:sz w:val="20"/>
                <w:szCs w:val="20"/>
              </w:rPr>
            </w:pPr>
            <w:r w:rsidRPr="0086146F">
              <w:rPr>
                <w:sz w:val="20"/>
                <w:szCs w:val="20"/>
              </w:rPr>
              <w:lastRenderedPageBreak/>
              <w:t>The Council has an opportunity to purchase 12 houses from a developer, which could be converted to c.30 units of short stay accommodation. This accommodation would be utilised as an emergency assessment facility with support on site where new flow of homeless singles are able to stay while assessments of the required support are undertaken and coordinated and a move to move-on or permanent accommodation can be facilitated.</w:t>
            </w:r>
          </w:p>
          <w:p w14:paraId="0745A329" w14:textId="77777777" w:rsidR="00F96B47" w:rsidRPr="0086146F" w:rsidRDefault="00F96B47" w:rsidP="004A2EDE">
            <w:pPr>
              <w:rPr>
                <w:sz w:val="20"/>
                <w:szCs w:val="20"/>
              </w:rPr>
            </w:pPr>
            <w:r w:rsidRPr="0086146F">
              <w:rPr>
                <w:sz w:val="20"/>
                <w:szCs w:val="20"/>
              </w:rPr>
              <w:t xml:space="preserve">We are awaiting the further information into the capital funding opportunity that has been announced. This scheme would cost in the region of £2.4m and </w:t>
            </w:r>
            <w:r w:rsidRPr="0086146F">
              <w:rPr>
                <w:sz w:val="20"/>
                <w:szCs w:val="20"/>
              </w:rPr>
              <w:lastRenderedPageBreak/>
              <w:t>we would be seeking £1.2m of capital funding as well as revenue funding to provide onsite support 4 x FTE.</w:t>
            </w:r>
          </w:p>
          <w:p w14:paraId="3B7670BA" w14:textId="22884F17" w:rsidR="00F96B47" w:rsidRPr="0086146F" w:rsidRDefault="00F96B47" w:rsidP="004A2EDE">
            <w:pPr>
              <w:rPr>
                <w:sz w:val="20"/>
                <w:szCs w:val="20"/>
              </w:rPr>
            </w:pPr>
            <w:r w:rsidRPr="0086146F">
              <w:rPr>
                <w:sz w:val="20"/>
                <w:szCs w:val="20"/>
              </w:rPr>
              <w:t xml:space="preserve">There is a real urgency around this opportunity and would be grateful if you could give </w:t>
            </w:r>
            <w:r w:rsidR="00EE71DD" w:rsidRPr="0086146F">
              <w:rPr>
                <w:sz w:val="20"/>
                <w:szCs w:val="20"/>
              </w:rPr>
              <w:t>a</w:t>
            </w:r>
            <w:r w:rsidRPr="0086146F">
              <w:rPr>
                <w:sz w:val="20"/>
                <w:szCs w:val="20"/>
              </w:rPr>
              <w:t xml:space="preserve"> timely indication of support so we don’t miss this opportunity or could have the bid criteria asap so we can expedite a submission and early consideration be given to the bid so the opportunity isn’t missed.</w:t>
            </w:r>
          </w:p>
        </w:tc>
      </w:tr>
    </w:tbl>
    <w:p w14:paraId="7A0C5A1F" w14:textId="2419C771" w:rsidR="0043525E" w:rsidRPr="00214607" w:rsidRDefault="004F5F91" w:rsidP="006A7AEB">
      <w:pPr>
        <w:pStyle w:val="Heading2"/>
      </w:pPr>
      <w:bookmarkStart w:id="12" w:name="_Toc45530543"/>
      <w:r>
        <w:lastRenderedPageBreak/>
        <w:t>Longer term m</w:t>
      </w:r>
      <w:r w:rsidR="0043525E" w:rsidRPr="00214607">
        <w:t>ove-on accommodation</w:t>
      </w:r>
      <w:r w:rsidR="00682123">
        <w:t xml:space="preserve"> in use or being developed</w:t>
      </w:r>
      <w:bookmarkEnd w:id="12"/>
      <w:r w:rsidR="0043525E" w:rsidRPr="00214607">
        <w:t xml:space="preserve"> </w:t>
      </w:r>
    </w:p>
    <w:p w14:paraId="351ED3DA" w14:textId="3CC8F87E" w:rsidR="0043525E" w:rsidRPr="00EE71DD" w:rsidRDefault="004F5F91" w:rsidP="004F5F91">
      <w:pPr>
        <w:rPr>
          <w:i/>
          <w:color w:val="5B9BD5" w:themeColor="accent5"/>
          <w:sz w:val="28"/>
          <w:szCs w:val="28"/>
        </w:rPr>
      </w:pPr>
      <w:r w:rsidRPr="00EE71DD">
        <w:rPr>
          <w:i/>
          <w:color w:val="5B9BD5" w:themeColor="accent5"/>
        </w:rPr>
        <w:t>(</w:t>
      </w:r>
      <w:r w:rsidR="0043525E" w:rsidRPr="00EE71DD">
        <w:rPr>
          <w:i/>
          <w:color w:val="5B9BD5" w:themeColor="accent5"/>
        </w:rPr>
        <w:t>in development and when expected to be available</w:t>
      </w:r>
      <w:r w:rsidRPr="00EE71DD">
        <w:rPr>
          <w:i/>
          <w:color w:val="5B9BD5" w:themeColor="accent5"/>
        </w:rPr>
        <w:t>)</w:t>
      </w:r>
    </w:p>
    <w:p w14:paraId="1E9B441F" w14:textId="680D070E" w:rsidR="007906BE" w:rsidRDefault="0043525E" w:rsidP="007906BE">
      <w:pPr>
        <w:pStyle w:val="Heading3"/>
      </w:pPr>
      <w:r w:rsidRPr="00214607">
        <w:t>C</w:t>
      </w:r>
      <w:r w:rsidR="007906BE">
        <w:t>ambridge</w:t>
      </w:r>
    </w:p>
    <w:p w14:paraId="5CB10572" w14:textId="56D493F4" w:rsidR="0043525E" w:rsidRPr="00214607" w:rsidRDefault="0043525E" w:rsidP="00B26D90">
      <w:pPr>
        <w:pStyle w:val="ListParagraph"/>
        <w:numPr>
          <w:ilvl w:val="0"/>
          <w:numId w:val="2"/>
        </w:numPr>
      </w:pPr>
      <w:r w:rsidRPr="00214607">
        <w:t>Up to 29 modular homes with intensive or floating support dependent on need (late summer 2020)</w:t>
      </w:r>
    </w:p>
    <w:p w14:paraId="0E2AD011" w14:textId="77777777" w:rsidR="0043525E" w:rsidRPr="00214607" w:rsidRDefault="0043525E" w:rsidP="00B26D90">
      <w:pPr>
        <w:pStyle w:val="ListParagraph"/>
        <w:numPr>
          <w:ilvl w:val="0"/>
          <w:numId w:val="2"/>
        </w:numPr>
      </w:pPr>
      <w:r w:rsidRPr="00214607">
        <w:t>Up to 10 bed-spaces in shared accommodation (late summer 2020)</w:t>
      </w:r>
    </w:p>
    <w:p w14:paraId="1B7CD400" w14:textId="77777777" w:rsidR="0043525E" w:rsidRPr="00214607" w:rsidRDefault="0043525E" w:rsidP="00B26D90">
      <w:pPr>
        <w:pStyle w:val="ListParagraph"/>
        <w:numPr>
          <w:ilvl w:val="0"/>
          <w:numId w:val="2"/>
        </w:numPr>
      </w:pPr>
      <w:r w:rsidRPr="00214607">
        <w:t>Up to 21 Housing First bed spaces (to Autumn 2020)</w:t>
      </w:r>
    </w:p>
    <w:p w14:paraId="24083A58" w14:textId="6B779586" w:rsidR="007906BE" w:rsidRDefault="0043525E" w:rsidP="007906BE">
      <w:pPr>
        <w:pStyle w:val="Heading3"/>
      </w:pPr>
      <w:r w:rsidRPr="00214607">
        <w:t>E</w:t>
      </w:r>
      <w:r w:rsidR="007906BE">
        <w:t>CDC</w:t>
      </w:r>
      <w:r w:rsidRPr="00214607">
        <w:t xml:space="preserve"> </w:t>
      </w:r>
    </w:p>
    <w:p w14:paraId="1EDDC3D7" w14:textId="6AB2FF1C" w:rsidR="0043525E" w:rsidRPr="00214607" w:rsidRDefault="0043525E" w:rsidP="00B26D90">
      <w:pPr>
        <w:pStyle w:val="ListParagraph"/>
        <w:numPr>
          <w:ilvl w:val="0"/>
          <w:numId w:val="3"/>
        </w:numPr>
      </w:pPr>
      <w:r w:rsidRPr="00214607">
        <w:t>2 available in the next 28 days</w:t>
      </w:r>
    </w:p>
    <w:p w14:paraId="3CAEDFA7" w14:textId="77777777" w:rsidR="0043525E" w:rsidRPr="00214607" w:rsidRDefault="0043525E" w:rsidP="00B26D90">
      <w:pPr>
        <w:pStyle w:val="ListParagraph"/>
        <w:numPr>
          <w:ilvl w:val="0"/>
          <w:numId w:val="3"/>
        </w:numPr>
      </w:pPr>
      <w:r w:rsidRPr="00214607">
        <w:t>1 available now</w:t>
      </w:r>
    </w:p>
    <w:p w14:paraId="582425A7" w14:textId="65B016EF" w:rsidR="007906BE" w:rsidRDefault="0043525E" w:rsidP="007906BE">
      <w:pPr>
        <w:pStyle w:val="Heading3"/>
      </w:pPr>
      <w:r w:rsidRPr="00214607">
        <w:t>F</w:t>
      </w:r>
      <w:r w:rsidR="007906BE">
        <w:t>DC</w:t>
      </w:r>
      <w:r w:rsidRPr="00214607">
        <w:t xml:space="preserve"> </w:t>
      </w:r>
    </w:p>
    <w:p w14:paraId="3996D271" w14:textId="6ED1F0EE" w:rsidR="0043525E" w:rsidRPr="00214607" w:rsidRDefault="00F96B47" w:rsidP="00B26D90">
      <w:pPr>
        <w:pStyle w:val="ListParagraph"/>
        <w:numPr>
          <w:ilvl w:val="0"/>
          <w:numId w:val="4"/>
        </w:numPr>
      </w:pPr>
      <w:r>
        <w:t>N</w:t>
      </w:r>
      <w:r w:rsidR="0043525E" w:rsidRPr="00214607">
        <w:t>othing yet confirmed</w:t>
      </w:r>
      <w:r w:rsidR="004F5F91">
        <w:t xml:space="preserve">. </w:t>
      </w:r>
      <w:r w:rsidR="0043525E" w:rsidRPr="00214607">
        <w:t>At the time of writing we have no secured units - all eligible clients are registered with Home-link (CBL).</w:t>
      </w:r>
    </w:p>
    <w:p w14:paraId="796A60CE" w14:textId="2F6CC630" w:rsidR="007906BE" w:rsidRDefault="0043525E" w:rsidP="007906BE">
      <w:pPr>
        <w:pStyle w:val="Heading3"/>
      </w:pPr>
      <w:r w:rsidRPr="00214607">
        <w:t>H</w:t>
      </w:r>
      <w:r w:rsidR="007906BE">
        <w:t>DC</w:t>
      </w:r>
      <w:r w:rsidRPr="00214607">
        <w:t xml:space="preserve"> </w:t>
      </w:r>
    </w:p>
    <w:p w14:paraId="6A13FF2E" w14:textId="0110BC0C" w:rsidR="0043525E" w:rsidRPr="00214607" w:rsidRDefault="0043525E" w:rsidP="00B26D90">
      <w:pPr>
        <w:pStyle w:val="ListParagraph"/>
        <w:numPr>
          <w:ilvl w:val="0"/>
          <w:numId w:val="5"/>
        </w:numPr>
      </w:pPr>
      <w:r w:rsidRPr="00214607">
        <w:t xml:space="preserve">A number of clients accommodated because of the pandemic have already been assisted through our normal move on routes into supported housing and private rented housing options (6 to date). We anticipate that we will continue to assist those clients in emergency accommodation through these routes, as well as a proportion into social rented settled  properties, once RPs begin to increase the number of lettings within their general stock. </w:t>
      </w:r>
    </w:p>
    <w:p w14:paraId="1C318884" w14:textId="77777777" w:rsidR="0043525E" w:rsidRPr="00214607" w:rsidRDefault="0043525E" w:rsidP="00B26D90">
      <w:pPr>
        <w:pStyle w:val="ListParagraph"/>
        <w:numPr>
          <w:ilvl w:val="0"/>
          <w:numId w:val="5"/>
        </w:numPr>
      </w:pPr>
      <w:r w:rsidRPr="00214607">
        <w:t xml:space="preserve">We will make sure that all tenures are investigated as part of the personal housing plans (PHPs) that we have developed with clients. There is not a specific number of units available or in development – this will depend upon the number of properties becoming available through RPs’ lettings processes as well as private rented options we are able to identify through local landlords and agents.  </w:t>
      </w:r>
    </w:p>
    <w:p w14:paraId="212ADAF6" w14:textId="7AFBE079" w:rsidR="007906BE" w:rsidRDefault="0043525E" w:rsidP="007906BE">
      <w:pPr>
        <w:pStyle w:val="Heading3"/>
      </w:pPr>
      <w:r w:rsidRPr="00214607">
        <w:t>S</w:t>
      </w:r>
      <w:r w:rsidR="007906BE">
        <w:t>CDC</w:t>
      </w:r>
      <w:r w:rsidRPr="00214607">
        <w:t xml:space="preserve"> </w:t>
      </w:r>
    </w:p>
    <w:p w14:paraId="334EECA5" w14:textId="041EC804" w:rsidR="0043525E" w:rsidRPr="00214607" w:rsidRDefault="0043525E" w:rsidP="00B26D90">
      <w:pPr>
        <w:pStyle w:val="ListParagraph"/>
        <w:numPr>
          <w:ilvl w:val="0"/>
          <w:numId w:val="6"/>
        </w:numPr>
      </w:pPr>
      <w:r w:rsidRPr="00214607">
        <w:t xml:space="preserve">Will look to provide single person accommodation through either a) existing partnership or b) pilot scheme delivering HMOs. </w:t>
      </w:r>
    </w:p>
    <w:p w14:paraId="694B3AED" w14:textId="2BDF7546" w:rsidR="007906BE" w:rsidRDefault="0043525E" w:rsidP="007906BE">
      <w:pPr>
        <w:pStyle w:val="Heading3"/>
      </w:pPr>
      <w:r w:rsidRPr="00214607">
        <w:t>P</w:t>
      </w:r>
      <w:r w:rsidR="007906BE">
        <w:t>CC</w:t>
      </w:r>
      <w:r w:rsidRPr="00214607">
        <w:t xml:space="preserve"> </w:t>
      </w:r>
    </w:p>
    <w:p w14:paraId="2D9434CB" w14:textId="26143E67" w:rsidR="0043525E" w:rsidRPr="00214607" w:rsidRDefault="0043525E" w:rsidP="00B26D90">
      <w:pPr>
        <w:pStyle w:val="ListParagraph"/>
        <w:numPr>
          <w:ilvl w:val="0"/>
          <w:numId w:val="6"/>
        </w:numPr>
      </w:pPr>
      <w:r w:rsidRPr="00214607">
        <w:t>Potential of 53 units</w:t>
      </w:r>
      <w:r w:rsidR="004F5F91">
        <w:t>:</w:t>
      </w:r>
      <w:r w:rsidRPr="00214607">
        <w:t xml:space="preserve"> </w:t>
      </w:r>
    </w:p>
    <w:p w14:paraId="6544B7E3" w14:textId="4D83037F" w:rsidR="0043525E" w:rsidRPr="00214607" w:rsidRDefault="0043525E" w:rsidP="00B26D90">
      <w:pPr>
        <w:pStyle w:val="ListParagraph"/>
        <w:numPr>
          <w:ilvl w:val="1"/>
          <w:numId w:val="6"/>
        </w:numPr>
      </w:pPr>
      <w:r w:rsidRPr="00214607">
        <w:t>We are in the process of undertaking reviews across all of the supported accommodation settings in Peterborough and have identified a number of clients who are ready to move on to independent accommodation either with a private landlord or through an allocation through the Housing Register. These moves will free up space that will be backfilled by those needing to move on from short/medium stay accommodation or currently accommodated in the hotel rest centres. We estimate that this will free up c.18 units of supported accommodation.</w:t>
      </w:r>
    </w:p>
    <w:p w14:paraId="3A6EF0FD" w14:textId="60A49C7D" w:rsidR="0043525E" w:rsidRPr="00214607" w:rsidRDefault="0043525E" w:rsidP="00B26D90">
      <w:pPr>
        <w:pStyle w:val="ListParagraph"/>
        <w:numPr>
          <w:ilvl w:val="1"/>
          <w:numId w:val="6"/>
        </w:numPr>
      </w:pPr>
      <w:r w:rsidRPr="00214607">
        <w:t>We are also seeking the single person units in the private sector and are working closely with landlords who have HMO type accommodation, which will meet the needs of many of the low needs client cohort with floating support.</w:t>
      </w:r>
      <w:r w:rsidR="004F5F91">
        <w:t xml:space="preserve"> </w:t>
      </w:r>
      <w:r w:rsidRPr="00214607">
        <w:t>We estimate that we should be able to secure c.20 units of accommodation from the private sector.</w:t>
      </w:r>
    </w:p>
    <w:p w14:paraId="57C5C48A" w14:textId="77777777" w:rsidR="00EE71DD" w:rsidRDefault="00EE71DD">
      <w:pPr>
        <w:spacing w:after="160" w:line="259" w:lineRule="auto"/>
        <w:textAlignment w:val="auto"/>
        <w:rPr>
          <w:rFonts w:eastAsiaTheme="majorEastAsia" w:cstheme="majorBidi"/>
          <w:b/>
          <w:bCs w:val="0"/>
          <w:color w:val="4472C4" w:themeColor="accent1"/>
          <w:sz w:val="26"/>
          <w:szCs w:val="26"/>
        </w:rPr>
      </w:pPr>
      <w:bookmarkStart w:id="13" w:name="_Toc45530544"/>
      <w:r>
        <w:lastRenderedPageBreak/>
        <w:br w:type="page"/>
      </w:r>
    </w:p>
    <w:p w14:paraId="37267A21" w14:textId="017099B7" w:rsidR="0043525E" w:rsidRPr="00214607" w:rsidRDefault="00682123" w:rsidP="006A7AEB">
      <w:pPr>
        <w:pStyle w:val="Heading2"/>
      </w:pPr>
      <w:r>
        <w:t>P</w:t>
      </w:r>
      <w:r w:rsidR="0043525E" w:rsidRPr="00214607">
        <w:t>roposals for delivering additional move</w:t>
      </w:r>
      <w:r w:rsidR="004F5F91">
        <w:t>-</w:t>
      </w:r>
      <w:r w:rsidR="0043525E" w:rsidRPr="00214607">
        <w:t>on accommodation units</w:t>
      </w:r>
      <w:bookmarkEnd w:id="13"/>
    </w:p>
    <w:p w14:paraId="4EBA9B38" w14:textId="77777777" w:rsidR="007906BE" w:rsidRDefault="0043525E" w:rsidP="007906BE">
      <w:pPr>
        <w:pStyle w:val="Heading3"/>
      </w:pPr>
      <w:r w:rsidRPr="00214607">
        <w:t>E</w:t>
      </w:r>
      <w:r w:rsidR="007906BE">
        <w:t>CDC</w:t>
      </w:r>
    </w:p>
    <w:p w14:paraId="3876B3DE" w14:textId="4D52C2B6" w:rsidR="0043525E" w:rsidRPr="00214607" w:rsidRDefault="0043525E" w:rsidP="008F2BB1">
      <w:pPr>
        <w:tabs>
          <w:tab w:val="center" w:pos="5233"/>
        </w:tabs>
      </w:pPr>
      <w:r w:rsidRPr="00214607">
        <w:t>Shared housing with tenancy support</w:t>
      </w:r>
      <w:r w:rsidR="008F2BB1">
        <w:tab/>
      </w:r>
    </w:p>
    <w:p w14:paraId="702A3696" w14:textId="6B7A9BF7" w:rsidR="007906BE" w:rsidRDefault="0043525E" w:rsidP="007906BE">
      <w:pPr>
        <w:pStyle w:val="Heading3"/>
      </w:pPr>
      <w:r w:rsidRPr="00214607">
        <w:t>F</w:t>
      </w:r>
      <w:r w:rsidR="007906BE">
        <w:t>DC</w:t>
      </w:r>
    </w:p>
    <w:p w14:paraId="3BBA2D3A" w14:textId="77777777" w:rsidR="00AA2857" w:rsidRDefault="00AA2857" w:rsidP="00B26D90">
      <w:pPr>
        <w:pStyle w:val="ListParagraph"/>
        <w:numPr>
          <w:ilvl w:val="0"/>
          <w:numId w:val="7"/>
        </w:numPr>
      </w:pPr>
      <w:r>
        <w:t>Of the 49:</w:t>
      </w:r>
    </w:p>
    <w:p w14:paraId="2AD8A6EC" w14:textId="37E1DA22" w:rsidR="00214607" w:rsidRPr="001C0DDD" w:rsidRDefault="0043525E" w:rsidP="00B26D90">
      <w:pPr>
        <w:pStyle w:val="ListParagraph"/>
        <w:numPr>
          <w:ilvl w:val="1"/>
          <w:numId w:val="7"/>
        </w:numPr>
      </w:pPr>
      <w:r w:rsidRPr="00214607">
        <w:t xml:space="preserve">20 currently cannot secure accommodation due to having NRPF. </w:t>
      </w:r>
      <w:r w:rsidR="00214607" w:rsidRPr="001C0DDD">
        <w:t>One barrier is for residents with NRPF where there is evidence that are not acting in accordance with EU Treaty Rights</w:t>
      </w:r>
      <w:r w:rsidR="004F5F91">
        <w:t>.</w:t>
      </w:r>
      <w:r w:rsidR="00214607" w:rsidRPr="001C0DDD">
        <w:t xml:space="preserve"> </w:t>
      </w:r>
      <w:r w:rsidR="004F5F91">
        <w:t>W</w:t>
      </w:r>
      <w:r w:rsidR="00214607" w:rsidRPr="001C0DDD">
        <w:t xml:space="preserve">e used to be able to repatriate with the help of UK Border Force but option is no longer available to the council.  </w:t>
      </w:r>
    </w:p>
    <w:p w14:paraId="552DC0EF" w14:textId="77777777" w:rsidR="00AA2857" w:rsidRDefault="00214607" w:rsidP="00B26D90">
      <w:pPr>
        <w:pStyle w:val="ListParagraph"/>
        <w:numPr>
          <w:ilvl w:val="1"/>
          <w:numId w:val="7"/>
        </w:numPr>
      </w:pPr>
      <w:r w:rsidRPr="001C0DDD">
        <w:t xml:space="preserve">12 have interim </w:t>
      </w:r>
      <w:r w:rsidR="00F96B47">
        <w:t xml:space="preserve">temporary accommodation </w:t>
      </w:r>
      <w:r w:rsidRPr="001C0DDD">
        <w:t xml:space="preserve">(as set out above). </w:t>
      </w:r>
    </w:p>
    <w:p w14:paraId="548875D6" w14:textId="0B6A3272" w:rsidR="00214607" w:rsidRPr="001C0DDD" w:rsidRDefault="00214607" w:rsidP="00B26D90">
      <w:pPr>
        <w:pStyle w:val="ListParagraph"/>
        <w:numPr>
          <w:ilvl w:val="1"/>
          <w:numId w:val="7"/>
        </w:numPr>
      </w:pPr>
      <w:r w:rsidRPr="001C0DDD">
        <w:t xml:space="preserve">17 have recourse </w:t>
      </w:r>
      <w:r w:rsidR="00AA2857">
        <w:t xml:space="preserve">to public funds </w:t>
      </w:r>
      <w:r w:rsidRPr="001C0DDD">
        <w:t xml:space="preserve">but we currently have no confirmed option. </w:t>
      </w:r>
    </w:p>
    <w:p w14:paraId="121D853C" w14:textId="0BD6882F" w:rsidR="00214607" w:rsidRPr="001C0DDD" w:rsidRDefault="00AA2857" w:rsidP="00B26D90">
      <w:pPr>
        <w:pStyle w:val="ListParagraph"/>
        <w:numPr>
          <w:ilvl w:val="0"/>
          <w:numId w:val="7"/>
        </w:numPr>
      </w:pPr>
      <w:r>
        <w:t xml:space="preserve">What we are doing </w:t>
      </w:r>
      <w:r w:rsidR="00214607" w:rsidRPr="001C0DDD">
        <w:t xml:space="preserve">to meet that gap. </w:t>
      </w:r>
    </w:p>
    <w:p w14:paraId="118D1741" w14:textId="7C0973F2" w:rsidR="00214607" w:rsidRDefault="00214607" w:rsidP="00B26D90">
      <w:pPr>
        <w:pStyle w:val="ListParagraph"/>
        <w:numPr>
          <w:ilvl w:val="0"/>
          <w:numId w:val="8"/>
        </w:numPr>
      </w:pPr>
      <w:r w:rsidRPr="0022360A">
        <w:t xml:space="preserve">We have a good working relationship with local private rented agencies in Fenland which opens opportunities for our clients. </w:t>
      </w:r>
    </w:p>
    <w:p w14:paraId="0190D143" w14:textId="77777777" w:rsidR="007906BE" w:rsidRDefault="00214607" w:rsidP="00B26D90">
      <w:pPr>
        <w:pStyle w:val="ListParagraph"/>
        <w:numPr>
          <w:ilvl w:val="0"/>
          <w:numId w:val="8"/>
        </w:numPr>
      </w:pPr>
      <w:r w:rsidRPr="0022360A">
        <w:t xml:space="preserve">Active plans on Housing First to be set up in the area to accommodate our most vulnerable clients. 7 units currently under negotiation with Living Plus and Clarion. </w:t>
      </w:r>
    </w:p>
    <w:p w14:paraId="6CC1E4E3" w14:textId="148DAE1D" w:rsidR="00214607" w:rsidRPr="0022360A" w:rsidRDefault="00AA2857" w:rsidP="00B26D90">
      <w:pPr>
        <w:pStyle w:val="ListParagraph"/>
        <w:numPr>
          <w:ilvl w:val="0"/>
          <w:numId w:val="8"/>
        </w:numPr>
      </w:pPr>
      <w:r>
        <w:t>W</w:t>
      </w:r>
      <w:r w:rsidR="00214607" w:rsidRPr="0022360A">
        <w:t>orking with our biggest social housing provider to plan move</w:t>
      </w:r>
      <w:r>
        <w:t>-</w:t>
      </w:r>
      <w:r w:rsidR="00214607" w:rsidRPr="0022360A">
        <w:t>on into this accommodation through direct lets. This process has already started.</w:t>
      </w:r>
    </w:p>
    <w:p w14:paraId="00EF3151" w14:textId="77777777" w:rsidR="007906BE" w:rsidRDefault="0043525E" w:rsidP="007906BE">
      <w:pPr>
        <w:pStyle w:val="Heading3"/>
      </w:pPr>
      <w:r w:rsidRPr="00214607">
        <w:t>H</w:t>
      </w:r>
      <w:r w:rsidR="007906BE">
        <w:t>DC</w:t>
      </w:r>
      <w:r w:rsidRPr="00214607">
        <w:t xml:space="preserve"> </w:t>
      </w:r>
    </w:p>
    <w:p w14:paraId="54AE809C" w14:textId="73439A32" w:rsidR="0043525E" w:rsidRPr="00214607" w:rsidRDefault="0043525E" w:rsidP="00682123">
      <w:pPr>
        <w:rPr>
          <w:sz w:val="24"/>
          <w:szCs w:val="24"/>
        </w:rPr>
      </w:pPr>
      <w:r w:rsidRPr="00214607">
        <w:t>We will maximise the units available to move these clients on through emergency and short-term accommodation by making use of the direct let process contained within our lettings policy. This involves working with RPs to allocate properties in advance of the CBL process.</w:t>
      </w:r>
    </w:p>
    <w:p w14:paraId="49AC42E8" w14:textId="77777777" w:rsidR="007906BE" w:rsidRDefault="0043525E" w:rsidP="007906BE">
      <w:pPr>
        <w:pStyle w:val="Heading3"/>
      </w:pPr>
      <w:r w:rsidRPr="00214607">
        <w:t>P</w:t>
      </w:r>
      <w:r w:rsidR="007906BE">
        <w:t>CC</w:t>
      </w:r>
      <w:r w:rsidRPr="00214607">
        <w:t xml:space="preserve"> </w:t>
      </w:r>
    </w:p>
    <w:p w14:paraId="2D41F8E8" w14:textId="708F9100" w:rsidR="0043525E" w:rsidRPr="00214607" w:rsidRDefault="0043525E" w:rsidP="00682123">
      <w:pPr>
        <w:rPr>
          <w:sz w:val="24"/>
          <w:szCs w:val="24"/>
        </w:rPr>
      </w:pPr>
      <w:r w:rsidRPr="00214607">
        <w:t xml:space="preserve">There is an opportunity that with support the Council and Longhurst could mobilise very quickly which would provide 15 self-contained flats for move on accommodation. All flats are in a single block with sufficient space and office facilities to convert to supported accommodation.     </w:t>
      </w:r>
    </w:p>
    <w:p w14:paraId="08EBC856" w14:textId="5AC42830" w:rsidR="00214607" w:rsidRPr="00214607" w:rsidRDefault="00214607" w:rsidP="006A7AEB">
      <w:pPr>
        <w:pStyle w:val="Heading2"/>
      </w:pPr>
      <w:bookmarkStart w:id="14" w:name="_Toc45530545"/>
      <w:r w:rsidRPr="00214607">
        <w:t>Other accommodation options</w:t>
      </w:r>
      <w:bookmarkEnd w:id="14"/>
      <w:r w:rsidRPr="00214607">
        <w:t xml:space="preserve"> </w:t>
      </w:r>
    </w:p>
    <w:p w14:paraId="64E8FCB2" w14:textId="20F49CD9" w:rsidR="0043525E" w:rsidRPr="00214607" w:rsidRDefault="00214607" w:rsidP="007906BE">
      <w:pPr>
        <w:pStyle w:val="Heading3"/>
        <w:rPr>
          <w:sz w:val="28"/>
          <w:szCs w:val="28"/>
        </w:rPr>
      </w:pPr>
      <w:r w:rsidRPr="00214607">
        <w:t>How many do you estimate</w:t>
      </w:r>
      <w:r w:rsidR="005C3FA0">
        <w:t xml:space="preserve"> </w:t>
      </w:r>
      <w:r w:rsidRPr="00214607">
        <w:t>will be reconnected</w:t>
      </w:r>
      <w:r w:rsidR="005C3FA0">
        <w:t xml:space="preserve"> </w:t>
      </w:r>
      <w:r w:rsidRPr="00214607">
        <w:t>to friends/family or other support networks</w:t>
      </w:r>
    </w:p>
    <w:p w14:paraId="0CEBF701" w14:textId="4AF0D067" w:rsidR="005C3FA0" w:rsidRPr="00214607" w:rsidRDefault="005C3FA0" w:rsidP="00587717">
      <w:r w:rsidRPr="00214607">
        <w:t>Cambridge</w:t>
      </w:r>
      <w:r w:rsidR="00587717">
        <w:t xml:space="preserve"> </w:t>
      </w:r>
      <w:r w:rsidR="00587717">
        <w:tab/>
      </w:r>
      <w:r w:rsidRPr="00214607">
        <w:t>3</w:t>
      </w:r>
    </w:p>
    <w:p w14:paraId="5451BB16" w14:textId="23248436" w:rsidR="005C3FA0" w:rsidRPr="00214607" w:rsidRDefault="005C3FA0" w:rsidP="00587717">
      <w:pPr>
        <w:ind w:left="1440" w:hanging="1440"/>
        <w:rPr>
          <w:sz w:val="24"/>
          <w:szCs w:val="24"/>
        </w:rPr>
      </w:pPr>
      <w:r w:rsidRPr="00214607">
        <w:t>P</w:t>
      </w:r>
      <w:r w:rsidR="00AA2857">
        <w:t>eterborough</w:t>
      </w:r>
      <w:r w:rsidR="00587717">
        <w:t xml:space="preserve"> </w:t>
      </w:r>
      <w:r w:rsidR="00587717">
        <w:tab/>
      </w:r>
      <w:r w:rsidRPr="00214607">
        <w:t>We are not expecting many clients who are eligible for assistance to be able to reconnect with family or friends post Covid. We have been quite rigorous in ensuring that households stay together during this time and only the clients where this has clearly not been an option have been accommodated. It is not likely this will be any different post Covid.</w:t>
      </w:r>
      <w:r w:rsidR="007906BE">
        <w:t xml:space="preserve"> </w:t>
      </w:r>
      <w:r w:rsidRPr="00214607">
        <w:t xml:space="preserve">There are however 28 clients who are currently not eligible to make an application for assistance. Most of these will be supported with a reconnection.  </w:t>
      </w:r>
    </w:p>
    <w:p w14:paraId="388DF126" w14:textId="38691EA4" w:rsidR="00214607" w:rsidRPr="00214607" w:rsidRDefault="00214607" w:rsidP="00682123">
      <w:pPr>
        <w:pStyle w:val="Heading3"/>
      </w:pPr>
      <w:r w:rsidRPr="00214607">
        <w:t xml:space="preserve">How many do you estimate will be reconnected to friends/family or other support networks outside the UK, through </w:t>
      </w:r>
      <w:r w:rsidRPr="00682123">
        <w:t>international reconnection?</w:t>
      </w:r>
    </w:p>
    <w:p w14:paraId="1C3AAB84" w14:textId="3CF5234F" w:rsidR="005C3FA0" w:rsidRPr="00214607" w:rsidRDefault="005C3FA0" w:rsidP="007906BE">
      <w:r>
        <w:t>C</w:t>
      </w:r>
      <w:r w:rsidR="007906BE">
        <w:t xml:space="preserve">ambridge: </w:t>
      </w:r>
      <w:r w:rsidR="00587717">
        <w:tab/>
      </w:r>
      <w:r w:rsidRPr="00214607">
        <w:t>6</w:t>
      </w:r>
    </w:p>
    <w:p w14:paraId="11D2A1ED" w14:textId="124F41E2" w:rsidR="005C3FA0" w:rsidRPr="00214607" w:rsidRDefault="005C3FA0" w:rsidP="007906BE">
      <w:r>
        <w:t>F</w:t>
      </w:r>
      <w:r w:rsidR="007906BE">
        <w:t xml:space="preserve">DC: </w:t>
      </w:r>
      <w:r w:rsidR="00587717">
        <w:tab/>
      </w:r>
      <w:r w:rsidR="00587717">
        <w:tab/>
      </w:r>
      <w:r w:rsidRPr="00214607">
        <w:t>0 (see point above re NRPF and EU treaty rights)</w:t>
      </w:r>
    </w:p>
    <w:p w14:paraId="589AB2B3" w14:textId="4A1AAF49" w:rsidR="005C3FA0" w:rsidRPr="00214607" w:rsidRDefault="005C3FA0" w:rsidP="007906BE">
      <w:r>
        <w:t>H</w:t>
      </w:r>
      <w:r w:rsidR="007906BE">
        <w:t xml:space="preserve">DC: </w:t>
      </w:r>
      <w:r w:rsidR="00587717">
        <w:tab/>
      </w:r>
      <w:r w:rsidR="00587717">
        <w:tab/>
      </w:r>
      <w:r w:rsidRPr="00214607">
        <w:t>1</w:t>
      </w:r>
    </w:p>
    <w:p w14:paraId="396614C3" w14:textId="76405B53" w:rsidR="006128DD" w:rsidRPr="00214607" w:rsidRDefault="0043525E" w:rsidP="006A7AEB">
      <w:pPr>
        <w:pStyle w:val="Heading2"/>
      </w:pPr>
      <w:bookmarkStart w:id="15" w:name="_Toc45530546"/>
      <w:r w:rsidRPr="00214607">
        <w:t>Support</w:t>
      </w:r>
      <w:bookmarkEnd w:id="15"/>
    </w:p>
    <w:p w14:paraId="686F1DEC" w14:textId="09DBDA47" w:rsidR="00214607" w:rsidRPr="00214607" w:rsidRDefault="00214607" w:rsidP="00587717">
      <w:pPr>
        <w:pStyle w:val="Heading3"/>
        <w:rPr>
          <w:sz w:val="28"/>
          <w:szCs w:val="28"/>
        </w:rPr>
      </w:pPr>
      <w:r w:rsidRPr="00214607">
        <w:t>What are the additional support or other services associated with the above accommodation plans (e.g. floating or on-site support, admin, any other accommodation related services)</w:t>
      </w:r>
    </w:p>
    <w:p w14:paraId="76B4B148" w14:textId="0CF7ED46" w:rsidR="007906BE" w:rsidRDefault="007906BE" w:rsidP="00EE71DD">
      <w:pPr>
        <w:pStyle w:val="Heading4"/>
      </w:pPr>
      <w:r>
        <w:t xml:space="preserve">Cambridge </w:t>
      </w:r>
    </w:p>
    <w:p w14:paraId="5B7FE66E" w14:textId="1377CF85" w:rsidR="005C3FA0" w:rsidRPr="00214607" w:rsidRDefault="005C3FA0" w:rsidP="00682123">
      <w:r>
        <w:t>C</w:t>
      </w:r>
      <w:r w:rsidRPr="00214607">
        <w:t>urrently commissioned (MHCLG RSI y</w:t>
      </w:r>
      <w:r w:rsidR="00AA2857">
        <w:t>ear</w:t>
      </w:r>
      <w:r w:rsidRPr="00214607">
        <w:t>3):</w:t>
      </w:r>
    </w:p>
    <w:p w14:paraId="54B7E36D" w14:textId="77777777" w:rsidR="005C3FA0" w:rsidRPr="00214607" w:rsidRDefault="005C3FA0" w:rsidP="00B26D90">
      <w:pPr>
        <w:pStyle w:val="ListParagraph"/>
        <w:numPr>
          <w:ilvl w:val="0"/>
          <w:numId w:val="9"/>
        </w:numPr>
      </w:pPr>
      <w:r w:rsidRPr="00214607">
        <w:t>3.5 FTE Housing First support workers (1:6 ratio, total 21 clients)</w:t>
      </w:r>
    </w:p>
    <w:p w14:paraId="2D9CA1CB" w14:textId="77777777" w:rsidR="005C3FA0" w:rsidRPr="00214607" w:rsidRDefault="005C3FA0" w:rsidP="00B26D90">
      <w:pPr>
        <w:pStyle w:val="ListParagraph"/>
        <w:numPr>
          <w:ilvl w:val="0"/>
          <w:numId w:val="9"/>
        </w:numPr>
      </w:pPr>
      <w:r w:rsidRPr="00214607">
        <w:t>1 FTE Modular Home support worker (1:10 ratio, total 10 clients)</w:t>
      </w:r>
    </w:p>
    <w:p w14:paraId="6CF7B060" w14:textId="77777777" w:rsidR="005C3FA0" w:rsidRPr="007906BE" w:rsidRDefault="005C3FA0" w:rsidP="00B26D90">
      <w:pPr>
        <w:pStyle w:val="ListParagraph"/>
        <w:numPr>
          <w:ilvl w:val="0"/>
          <w:numId w:val="9"/>
        </w:numPr>
        <w:rPr>
          <w:b/>
        </w:rPr>
      </w:pPr>
      <w:r w:rsidRPr="00214607">
        <w:t>1 FTE Shared Housing support worker (1:10 ratio, total 10 clients)</w:t>
      </w:r>
    </w:p>
    <w:p w14:paraId="7660DB75" w14:textId="77777777" w:rsidR="00AA2857" w:rsidRDefault="005C3FA0" w:rsidP="00682123">
      <w:r w:rsidRPr="00214607">
        <w:t xml:space="preserve">The MHCLG workers will enable us to support 41 individuals. </w:t>
      </w:r>
    </w:p>
    <w:p w14:paraId="3E188F4B" w14:textId="7CD015E8" w:rsidR="005C3FA0" w:rsidRPr="00214607" w:rsidRDefault="005C3FA0" w:rsidP="00682123">
      <w:pPr>
        <w:rPr>
          <w:b/>
        </w:rPr>
      </w:pPr>
      <w:r w:rsidRPr="00214607">
        <w:lastRenderedPageBreak/>
        <w:t>We expect 17 people to be housed through the traditional hostel route, which leaves us with around 23 individuals requiring floating support and 20 individuals requiring start-up support</w:t>
      </w:r>
    </w:p>
    <w:p w14:paraId="17416042" w14:textId="33C233EF" w:rsidR="005C3FA0" w:rsidRDefault="005C3FA0" w:rsidP="00EE71DD">
      <w:pPr>
        <w:pStyle w:val="Heading4"/>
      </w:pPr>
      <w:r>
        <w:t>F</w:t>
      </w:r>
      <w:r w:rsidR="007906BE">
        <w:t>enland</w:t>
      </w:r>
    </w:p>
    <w:p w14:paraId="55E54F9A" w14:textId="77777777" w:rsidR="00AA2857" w:rsidRDefault="005C3FA0" w:rsidP="00682123">
      <w:r w:rsidRPr="001C0DDD">
        <w:t xml:space="preserve">Contact and support will remain from the current support providers who are assigned to the client. </w:t>
      </w:r>
    </w:p>
    <w:p w14:paraId="41895F5C" w14:textId="77777777" w:rsidR="00AA2857" w:rsidRDefault="00AA2857" w:rsidP="00682123">
      <w:r>
        <w:t>C</w:t>
      </w:r>
      <w:r w:rsidR="005C3FA0" w:rsidRPr="001C0DDD">
        <w:t xml:space="preserve">lients are assigned to either the Hub or CGL Outreach. </w:t>
      </w:r>
    </w:p>
    <w:p w14:paraId="482AA634" w14:textId="77777777" w:rsidR="00AA2857" w:rsidRDefault="005C3FA0" w:rsidP="00682123">
      <w:r w:rsidRPr="001C0DDD">
        <w:t>CGL</w:t>
      </w:r>
      <w:r w:rsidR="00AA2857">
        <w:t>’s</w:t>
      </w:r>
      <w:r w:rsidRPr="001C0DDD">
        <w:t xml:space="preserve"> third outreach post will be in place soon and the focus of this role will be on tenancy sustainment</w:t>
      </w:r>
      <w:r w:rsidR="00AA2857">
        <w:t xml:space="preserve"> –</w:t>
      </w:r>
      <w:r w:rsidRPr="001C0DDD">
        <w:t xml:space="preserve"> </w:t>
      </w:r>
      <w:r w:rsidR="00AA2857">
        <w:t xml:space="preserve">just </w:t>
      </w:r>
      <w:r w:rsidRPr="001C0DDD">
        <w:t xml:space="preserve">awaiting </w:t>
      </w:r>
      <w:r w:rsidR="00AA2857">
        <w:t xml:space="preserve">a </w:t>
      </w:r>
      <w:r w:rsidRPr="001C0DDD">
        <w:t xml:space="preserve">DBS check. </w:t>
      </w:r>
    </w:p>
    <w:p w14:paraId="340CB579" w14:textId="77777777" w:rsidR="00AA2857" w:rsidRDefault="005C3FA0" w:rsidP="00682123">
      <w:r w:rsidRPr="001C0DDD">
        <w:t>FDC also have a good working relationship with P3 Floating Support</w:t>
      </w:r>
      <w:r w:rsidR="00AA2857">
        <w:t xml:space="preserve"> </w:t>
      </w:r>
      <w:r w:rsidRPr="001C0DDD">
        <w:t>- we will signpost our</w:t>
      </w:r>
      <w:r w:rsidR="00AA2857">
        <w:t xml:space="preserve"> clients that have slightly lower</w:t>
      </w:r>
      <w:r w:rsidRPr="001C0DDD">
        <w:t xml:space="preserve"> support needs </w:t>
      </w:r>
      <w:r w:rsidR="00AA2857">
        <w:t xml:space="preserve">to P3 </w:t>
      </w:r>
      <w:r w:rsidRPr="001C0DDD">
        <w:t xml:space="preserve">and link in with Ferry &amp; CGL. </w:t>
      </w:r>
    </w:p>
    <w:p w14:paraId="5A15C699" w14:textId="77777777" w:rsidR="00AA2857" w:rsidRDefault="005C3FA0" w:rsidP="00682123">
      <w:r w:rsidRPr="001C0DDD">
        <w:t xml:space="preserve">Rough Sleeper Coordinator will be the point of contact for social and private landlords offering support. </w:t>
      </w:r>
    </w:p>
    <w:p w14:paraId="683D93AE" w14:textId="77777777" w:rsidR="00AA2857" w:rsidRDefault="005C3FA0" w:rsidP="00682123">
      <w:r w:rsidRPr="001C0DDD">
        <w:t>Recruitment for the mental health nurse is moving forward</w:t>
      </w:r>
      <w:r w:rsidR="00AA2857">
        <w:t xml:space="preserve"> to provide p</w:t>
      </w:r>
      <w:r w:rsidRPr="001C0DDD">
        <w:t xml:space="preserve">ro-active support for our clients with poor mental health. </w:t>
      </w:r>
    </w:p>
    <w:p w14:paraId="421679B3" w14:textId="3B7F5A0A" w:rsidR="005C3FA0" w:rsidRPr="001C0DDD" w:rsidRDefault="005C3FA0" w:rsidP="00682123">
      <w:r w:rsidRPr="001C0DDD">
        <w:t>There is also support from the police under Op</w:t>
      </w:r>
      <w:r w:rsidR="00AA2857">
        <w:t>eration</w:t>
      </w:r>
      <w:r w:rsidRPr="001C0DDD">
        <w:t xml:space="preserve"> Luscombe which will open an opportunity for tougher conversations around re-connections for our clients where they are not acting in relation to EU treaty rights. </w:t>
      </w:r>
    </w:p>
    <w:p w14:paraId="23902970" w14:textId="77777777" w:rsidR="007906BE" w:rsidRDefault="007906BE" w:rsidP="00682123"/>
    <w:p w14:paraId="7347AAEE" w14:textId="77777777" w:rsidR="005C3FA0" w:rsidRPr="001C0DDD" w:rsidRDefault="005C3FA0" w:rsidP="00682123">
      <w:r w:rsidRPr="001C0DDD">
        <w:t xml:space="preserve">The proposal for the Hub and support workers is detailed below:  </w:t>
      </w:r>
    </w:p>
    <w:p w14:paraId="1F7563AD" w14:textId="77777777" w:rsidR="005C3FA0" w:rsidRPr="001F43DA" w:rsidRDefault="005C3FA0" w:rsidP="001F43DA">
      <w:pPr>
        <w:rPr>
          <w:b/>
        </w:rPr>
      </w:pPr>
      <w:r w:rsidRPr="001F43DA">
        <w:rPr>
          <w:b/>
        </w:rPr>
        <w:t>HUB</w:t>
      </w:r>
    </w:p>
    <w:p w14:paraId="757D9705" w14:textId="5AA99D81" w:rsidR="005C3FA0" w:rsidRPr="001C0DDD" w:rsidRDefault="005C3FA0" w:rsidP="00B26D90">
      <w:pPr>
        <w:pStyle w:val="ListParagraph"/>
        <w:numPr>
          <w:ilvl w:val="0"/>
          <w:numId w:val="14"/>
        </w:numPr>
      </w:pPr>
      <w:r w:rsidRPr="001C0DDD">
        <w:t>We would move the HUB from its existing location in Octavia View into the Queen Mary’s Centre.  This is a very spacious community centre that Ferry run (owned by Cambridgeshire County Council).  Ferry run this and have successfully encourage</w:t>
      </w:r>
      <w:r w:rsidR="00AA2857">
        <w:t>d</w:t>
      </w:r>
      <w:r w:rsidRPr="001C0DDD">
        <w:t xml:space="preserve"> a host of community groups to rent the space.   The building is currently not in use </w:t>
      </w:r>
      <w:r w:rsidR="00AA2857" w:rsidRPr="001C0DDD">
        <w:t xml:space="preserve">due to COVID </w:t>
      </w:r>
      <w:r w:rsidRPr="001C0DDD">
        <w:t>and would be an opportunity, given its size</w:t>
      </w:r>
      <w:r w:rsidR="00AA2857">
        <w:t>,</w:t>
      </w:r>
      <w:r w:rsidRPr="001C0DDD">
        <w:t xml:space="preserve"> to repurpose for the Hub.   Here we could achieve a COVID 19 safe environment. The HUB would operate Monday to Friday. It would have drop in sessions for two hours each day between 1pm– 3pm. Outside these hours staff would meet clients by appointment and do telephone support to clients introduced by the Outreach workers.  The service would continue to run between 9.30am and 4.3</w:t>
      </w:r>
      <w:r w:rsidR="00AA2857">
        <w:t>0</w:t>
      </w:r>
      <w:r w:rsidRPr="001C0DDD">
        <w:t>pm.  Not everyone will attend an appointment so a drop in session is important to offer that flexibility.  Social distancing and sneeze screens would be put into place, 4 desks, signage (translated) to operate in a safe and appropriate way. The Council and Partners are keen to return to the Hub working as it did prior to COVID as soon as possible (with appropriate risk assessment)…both in terms of service offered and hours for drop in… and will continue to review the Hub’s procedures after each Government change in guidance as lockdown eases.</w:t>
      </w:r>
    </w:p>
    <w:p w14:paraId="6E179D57" w14:textId="54B38814" w:rsidR="005C3FA0" w:rsidRPr="001C0DDD" w:rsidRDefault="005C3FA0" w:rsidP="00B26D90">
      <w:pPr>
        <w:pStyle w:val="ListParagraph"/>
        <w:numPr>
          <w:ilvl w:val="0"/>
          <w:numId w:val="14"/>
        </w:numPr>
      </w:pPr>
      <w:r w:rsidRPr="001C0DDD">
        <w:t>The HUB would gain the trust of the clients and carry out risk and needs assessments with the clients. These would be holistic and not just restricted to housing. The HUB staff would also arrange appointment for HUB clients and help them access services they need based on their risk and needs assessment. There would be food parcels on offer and donated clothes to support the clients and the clients could access employment support although this would not be funded by the HUB. Clients would also be able to access the bespoke intervention fund where needed, get help gaining appointments with doctors, dentists etc. The mental health worker would be based in the HUB and provide support to clients and staff both HUB and outreach staff. The HUB would work with the police and other agencies so that if they wanted to meet clients in a safe place they could.  The Rough Sleeper Coordinator could also be based here.</w:t>
      </w:r>
    </w:p>
    <w:p w14:paraId="1AFBFC7B" w14:textId="77777777" w:rsidR="005C3FA0" w:rsidRPr="001C0DDD" w:rsidRDefault="005C3FA0" w:rsidP="00B26D90">
      <w:pPr>
        <w:pStyle w:val="ListParagraph"/>
        <w:numPr>
          <w:ilvl w:val="0"/>
          <w:numId w:val="14"/>
        </w:numPr>
      </w:pPr>
      <w:r w:rsidRPr="001C0DDD">
        <w:t>The current funding for the HUB would fund the use of the QMC including making it COVID safe. This includes equipment, cleaning, heating, lighting, telephones, desks etc.</w:t>
      </w:r>
    </w:p>
    <w:p w14:paraId="5011C77C" w14:textId="6C92849A" w:rsidR="005C3FA0" w:rsidRPr="001F43DA" w:rsidRDefault="005C3FA0" w:rsidP="001F43DA">
      <w:pPr>
        <w:rPr>
          <w:b/>
        </w:rPr>
      </w:pPr>
      <w:r w:rsidRPr="001F43DA">
        <w:rPr>
          <w:b/>
        </w:rPr>
        <w:t>SUPPORT STAFF</w:t>
      </w:r>
    </w:p>
    <w:p w14:paraId="551EC0DA" w14:textId="4BF5FCC2" w:rsidR="005C3FA0" w:rsidRPr="001C0DDD" w:rsidRDefault="005C3FA0" w:rsidP="00682123">
      <w:r w:rsidRPr="001C0DDD">
        <w:t xml:space="preserve">The 2.5 night staff have moved from nights to day and deliver 11.5 hour shifts each day 7 days a week. They would continue to work out of Octavia View. Their role is: </w:t>
      </w:r>
    </w:p>
    <w:p w14:paraId="17D95F1D" w14:textId="239154BE" w:rsidR="005C3FA0" w:rsidRPr="001C0DDD" w:rsidRDefault="005C3FA0" w:rsidP="00B26D90">
      <w:pPr>
        <w:pStyle w:val="ListParagraph"/>
        <w:numPr>
          <w:ilvl w:val="0"/>
          <w:numId w:val="7"/>
        </w:numPr>
      </w:pPr>
      <w:r w:rsidRPr="001C0DDD">
        <w:t>Have daily contact with clients – welfare, updates, action issues, update on rehousing options</w:t>
      </w:r>
    </w:p>
    <w:p w14:paraId="09228EF1" w14:textId="7C6BBAA2" w:rsidR="005C3FA0" w:rsidRPr="001C0DDD" w:rsidRDefault="005C3FA0" w:rsidP="00B26D90">
      <w:pPr>
        <w:pStyle w:val="ListParagraph"/>
        <w:numPr>
          <w:ilvl w:val="0"/>
          <w:numId w:val="7"/>
        </w:numPr>
      </w:pPr>
      <w:r w:rsidRPr="001C0DDD">
        <w:t>Ensuring that action plans are formulated and progressed, this includes -  </w:t>
      </w:r>
    </w:p>
    <w:p w14:paraId="0DD257E5" w14:textId="0891206E" w:rsidR="005C3FA0" w:rsidRPr="001C0DDD" w:rsidRDefault="005C3FA0" w:rsidP="00B26D90">
      <w:pPr>
        <w:pStyle w:val="ListParagraph"/>
        <w:numPr>
          <w:ilvl w:val="0"/>
          <w:numId w:val="10"/>
        </w:numPr>
      </w:pPr>
      <w:r w:rsidRPr="001C0DDD">
        <w:t>Regular contact with other support providers e.g</w:t>
      </w:r>
      <w:r w:rsidR="00F96B47">
        <w:t>.</w:t>
      </w:r>
      <w:r w:rsidRPr="001C0DDD">
        <w:t xml:space="preserve"> drug and  alcohol, mental health,  GP links, UC claims, seeking work, training, finding accommodation, acting as advocate for their clients with landlords and getting rehoused  (using bespoke interventions fund) (currently £9k) to help with deposits and any other initiatives to enable a move on out of B&amp;B / rough sleeping. Taking part in regular operational meetings to discuss cases, blockages, shared learning etc</w:t>
      </w:r>
      <w:r w:rsidR="00F96B47">
        <w:t>.</w:t>
      </w:r>
      <w:r w:rsidRPr="001C0DDD">
        <w:t xml:space="preserve"> with Rough Sleeper Coordinator.  Referrals to other </w:t>
      </w:r>
      <w:r w:rsidR="00F96B47" w:rsidRPr="001C0DDD">
        <w:t>support providers</w:t>
      </w:r>
      <w:r w:rsidRPr="001C0DDD">
        <w:t>, basically being proactive and motivated to get all clients housed.  Liaison with FDC Housing Options team/Private Sector Housing teams for tenancy/property queries.</w:t>
      </w:r>
    </w:p>
    <w:p w14:paraId="03C10E76" w14:textId="59103A8D" w:rsidR="005C3FA0" w:rsidRPr="001C0DDD" w:rsidRDefault="005C3FA0" w:rsidP="00B26D90">
      <w:pPr>
        <w:pStyle w:val="ListParagraph"/>
        <w:numPr>
          <w:ilvl w:val="0"/>
          <w:numId w:val="7"/>
        </w:numPr>
      </w:pPr>
      <w:r w:rsidRPr="001C0DDD">
        <w:lastRenderedPageBreak/>
        <w:t xml:space="preserve">Ensuring that once in the tenancy they have some support for the initial few months to maintain that tenancy and starting to access local services. </w:t>
      </w:r>
      <w:r w:rsidR="007906BE">
        <w:t xml:space="preserve"> </w:t>
      </w:r>
      <w:r w:rsidRPr="001C0DDD">
        <w:t> This would include help with furniture, setting up utilities, bank accounts benefits.</w:t>
      </w:r>
    </w:p>
    <w:p w14:paraId="20546DC8" w14:textId="18603386" w:rsidR="005C3FA0" w:rsidRPr="001C0DDD" w:rsidRDefault="005C3FA0" w:rsidP="00B26D90">
      <w:pPr>
        <w:pStyle w:val="ListParagraph"/>
        <w:numPr>
          <w:ilvl w:val="0"/>
          <w:numId w:val="7"/>
        </w:numPr>
      </w:pPr>
      <w:r w:rsidRPr="001C0DDD">
        <w:t xml:space="preserve">The staff working closely with the Housing First team and learning from that team </w:t>
      </w:r>
      <w:r w:rsidR="00F96B47">
        <w:t xml:space="preserve">in order to progress </w:t>
      </w:r>
      <w:r w:rsidRPr="001C0DDD">
        <w:t xml:space="preserve">the support element of the Housing First project to enable work force development and </w:t>
      </w:r>
      <w:r w:rsidR="00F96B47" w:rsidRPr="001C0DDD">
        <w:t xml:space="preserve">sustainability. </w:t>
      </w:r>
      <w:r w:rsidRPr="001C0DDD">
        <w:t>There might be opportunities to move clients from one service to another as their circumstances changed.</w:t>
      </w:r>
    </w:p>
    <w:p w14:paraId="62044BE0" w14:textId="0D279D2F" w:rsidR="005C3FA0" w:rsidRPr="001C0DDD" w:rsidRDefault="005C3FA0" w:rsidP="00B26D90">
      <w:pPr>
        <w:pStyle w:val="ListParagraph"/>
        <w:numPr>
          <w:ilvl w:val="0"/>
          <w:numId w:val="7"/>
        </w:numPr>
      </w:pPr>
      <w:r w:rsidRPr="001C0DDD">
        <w:t xml:space="preserve">If these proposals are agreed there would be no underspend if the mental health worker started on </w:t>
      </w:r>
      <w:r w:rsidR="00F96B47">
        <w:t xml:space="preserve">1 </w:t>
      </w:r>
      <w:r w:rsidRPr="001C0DDD">
        <w:t>July 2020</w:t>
      </w:r>
      <w:r w:rsidR="007906BE">
        <w:t>.</w:t>
      </w:r>
      <w:r w:rsidRPr="001C0DDD">
        <w:t xml:space="preserve">  This process is progressing well now and we hope to have someone in place very soon.     If they do not then each week there would be an under</w:t>
      </w:r>
      <w:r w:rsidR="00F96B47">
        <w:t>-</w:t>
      </w:r>
      <w:r w:rsidRPr="001C0DDD">
        <w:t xml:space="preserve">spend of approximately £600. This funding would be repurposed into the bespoke intervention fund. </w:t>
      </w:r>
    </w:p>
    <w:p w14:paraId="59DFAF62" w14:textId="77777777" w:rsidR="005C3FA0" w:rsidRPr="007906BE" w:rsidRDefault="005C3FA0" w:rsidP="00B26D90">
      <w:pPr>
        <w:pStyle w:val="ListParagraph"/>
        <w:numPr>
          <w:ilvl w:val="0"/>
          <w:numId w:val="7"/>
        </w:numPr>
      </w:pPr>
      <w:r w:rsidRPr="001C0DDD">
        <w:t>The trained counsellor who is currently in post has for personal reasons tendered her resignation 30 June 2020.</w:t>
      </w:r>
    </w:p>
    <w:p w14:paraId="32837FD0" w14:textId="404521DE" w:rsidR="007906BE" w:rsidRDefault="005C3FA0" w:rsidP="00EE71DD">
      <w:pPr>
        <w:pStyle w:val="Heading4"/>
      </w:pPr>
      <w:r>
        <w:t>H</w:t>
      </w:r>
      <w:r w:rsidR="007906BE">
        <w:t>DC</w:t>
      </w:r>
      <w:r>
        <w:t xml:space="preserve"> </w:t>
      </w:r>
    </w:p>
    <w:p w14:paraId="755828BA" w14:textId="70287387" w:rsidR="005C3FA0" w:rsidRPr="00214607" w:rsidRDefault="005C3FA0" w:rsidP="00B26D90">
      <w:pPr>
        <w:pStyle w:val="ListParagraph"/>
        <w:numPr>
          <w:ilvl w:val="0"/>
          <w:numId w:val="11"/>
        </w:numPr>
      </w:pPr>
      <w:r w:rsidRPr="00214607">
        <w:t>The development of P</w:t>
      </w:r>
      <w:r w:rsidR="00F96B47">
        <w:t xml:space="preserve">ersonalized </w:t>
      </w:r>
      <w:r w:rsidRPr="00214607">
        <w:t>H</w:t>
      </w:r>
      <w:r w:rsidR="00F96B47">
        <w:t xml:space="preserve">ousing </w:t>
      </w:r>
      <w:r w:rsidRPr="00214607">
        <w:t>P</w:t>
      </w:r>
      <w:r w:rsidR="00F96B47">
        <w:t>lans</w:t>
      </w:r>
      <w:r w:rsidRPr="00214607">
        <w:t xml:space="preserve"> with clients includes an assessment of the additional support services that they are likely to need to transition through emergency and short term accommodation and successfully move through to settled housing. We already have pathways to appropriate supported housing options where these are required as a transition to settled housing. The pathways will also incorporate referrals and engagement with floating support services where appropriate. </w:t>
      </w:r>
    </w:p>
    <w:p w14:paraId="521F5783" w14:textId="77777777" w:rsidR="005C3FA0" w:rsidRPr="00214607" w:rsidRDefault="005C3FA0" w:rsidP="00B26D90">
      <w:pPr>
        <w:pStyle w:val="ListParagraph"/>
        <w:numPr>
          <w:ilvl w:val="0"/>
          <w:numId w:val="11"/>
        </w:numPr>
      </w:pPr>
      <w:r w:rsidRPr="00214607">
        <w:t xml:space="preserve">A number of the clients in emergency accommodation because of the pandemic were previously being supported by our street outreach service and have continued to be. </w:t>
      </w:r>
    </w:p>
    <w:p w14:paraId="176D24AB" w14:textId="77777777" w:rsidR="005C3FA0" w:rsidRPr="00214607" w:rsidRDefault="005C3FA0" w:rsidP="00B26D90">
      <w:pPr>
        <w:pStyle w:val="ListParagraph"/>
        <w:numPr>
          <w:ilvl w:val="0"/>
          <w:numId w:val="11"/>
        </w:numPr>
      </w:pPr>
      <w:r w:rsidRPr="00214607">
        <w:t xml:space="preserve">There are therefore a range of support services that we are able to engage clients with as well as pathways into various supported housing options. We are also looking to increase use of the personalised budgets available through the street outreach service to assist those former rough sleepers into appropriate housing solutions and this will be used flexibly on things such as deposits, finders fees and help with the costs of moving into a new home. </w:t>
      </w:r>
    </w:p>
    <w:p w14:paraId="5124730F" w14:textId="77777777" w:rsidR="005C3FA0" w:rsidRPr="00F96B47" w:rsidRDefault="005C3FA0" w:rsidP="00B26D90">
      <w:pPr>
        <w:pStyle w:val="ListParagraph"/>
        <w:numPr>
          <w:ilvl w:val="0"/>
          <w:numId w:val="11"/>
        </w:numPr>
        <w:rPr>
          <w:b/>
        </w:rPr>
      </w:pPr>
      <w:r w:rsidRPr="00214607">
        <w:t xml:space="preserve">A small number of clients have more chaotic lifestyles and possible issues around dual diagnosis. We estimate that possibly 5 of our current cohort fall within this category and these are likely to require more intensive supported housing solutions that are not necessarily readily available in the area. These clients are likely to require a more co-ordinated package of support from a range of different agencies (including substance misuse and mental health services). </w:t>
      </w:r>
    </w:p>
    <w:p w14:paraId="5A6925B8" w14:textId="44852848" w:rsidR="007906BE" w:rsidRDefault="005C3FA0" w:rsidP="00EE71DD">
      <w:pPr>
        <w:pStyle w:val="Heading4"/>
      </w:pPr>
      <w:r>
        <w:t>S</w:t>
      </w:r>
      <w:r w:rsidR="00587717">
        <w:t>CDC</w:t>
      </w:r>
      <w:r>
        <w:t xml:space="preserve"> </w:t>
      </w:r>
    </w:p>
    <w:p w14:paraId="7E5EF677" w14:textId="0ED8E986" w:rsidR="005C3FA0" w:rsidRPr="00214607" w:rsidRDefault="005C3FA0" w:rsidP="00682123">
      <w:r w:rsidRPr="00214607">
        <w:t xml:space="preserve">Floating support and continued multi agency until settled. </w:t>
      </w:r>
    </w:p>
    <w:p w14:paraId="1548BA97" w14:textId="5D91EB91" w:rsidR="00F96B47" w:rsidRDefault="006A7AEB" w:rsidP="00EE71DD">
      <w:pPr>
        <w:pStyle w:val="Heading4"/>
      </w:pPr>
      <w:r>
        <w:t>Peterborough</w:t>
      </w:r>
    </w:p>
    <w:p w14:paraId="6489B89C" w14:textId="43672301" w:rsidR="005C3FA0" w:rsidRPr="00214607" w:rsidRDefault="005C3FA0" w:rsidP="00B26D90">
      <w:pPr>
        <w:pStyle w:val="ListParagraph"/>
        <w:numPr>
          <w:ilvl w:val="0"/>
          <w:numId w:val="12"/>
        </w:numPr>
      </w:pPr>
      <w:r w:rsidRPr="00214607">
        <w:t>There is going to be an on</w:t>
      </w:r>
      <w:r w:rsidR="00587717">
        <w:t>-</w:t>
      </w:r>
      <w:r w:rsidRPr="00214607">
        <w:t>going requirement for support for both new initiatives and to fill gaps in provision that have formed over changes in support services over the years.</w:t>
      </w:r>
    </w:p>
    <w:p w14:paraId="127C2911" w14:textId="48DD7F7B" w:rsidR="005C3FA0" w:rsidRPr="00214607" w:rsidRDefault="005C3FA0" w:rsidP="00B26D90">
      <w:pPr>
        <w:pStyle w:val="ListParagraph"/>
        <w:numPr>
          <w:ilvl w:val="0"/>
          <w:numId w:val="12"/>
        </w:numPr>
      </w:pPr>
      <w:r w:rsidRPr="00214607">
        <w:t>There is going to be an increased need for tenure</w:t>
      </w:r>
      <w:r w:rsidR="00AA2857">
        <w:t>-</w:t>
      </w:r>
      <w:r w:rsidRPr="00214607">
        <w:t>neutral floating support services whole could be delivered by a number of partners would need to be co-ordinated centrally.</w:t>
      </w:r>
    </w:p>
    <w:p w14:paraId="40403656" w14:textId="0A49A7F1" w:rsidR="005C3FA0" w:rsidRPr="00214607" w:rsidRDefault="005C3FA0" w:rsidP="00B26D90">
      <w:pPr>
        <w:pStyle w:val="ListParagraph"/>
        <w:numPr>
          <w:ilvl w:val="0"/>
          <w:numId w:val="12"/>
        </w:numPr>
      </w:pPr>
      <w:r w:rsidRPr="00214607">
        <w:t xml:space="preserve">There is going to be a need to administer the referral pathways and processes for supported accommodation, which is likely to include handling referrals, coordinating and </w:t>
      </w:r>
      <w:r w:rsidR="00AA2857">
        <w:t xml:space="preserve">taking minutes of </w:t>
      </w:r>
      <w:r w:rsidRPr="00214607">
        <w:t xml:space="preserve">meetings </w:t>
      </w:r>
      <w:r w:rsidR="00AA2857">
        <w:t xml:space="preserve">between </w:t>
      </w:r>
      <w:r w:rsidRPr="00214607">
        <w:t>providers.</w:t>
      </w:r>
    </w:p>
    <w:p w14:paraId="67C33D30" w14:textId="77777777" w:rsidR="005C3FA0" w:rsidRPr="001C0DDD" w:rsidRDefault="005C3FA0" w:rsidP="00682123">
      <w:r w:rsidRPr="001C0DDD">
        <w:t>There are resident support needs for the 2 new schemes detailed above which will need to be met also.</w:t>
      </w:r>
    </w:p>
    <w:p w14:paraId="480F5ACA" w14:textId="77777777" w:rsidR="005C3FA0" w:rsidRPr="001C0DDD" w:rsidRDefault="005C3FA0" w:rsidP="00682123">
      <w:r w:rsidRPr="001C0DDD">
        <w:t>We forecast that the below provision will be required ongoing:</w:t>
      </w:r>
    </w:p>
    <w:p w14:paraId="101AD6FF" w14:textId="77777777" w:rsidR="005C3FA0" w:rsidRPr="001C0DDD" w:rsidRDefault="005C3FA0" w:rsidP="00B26D90">
      <w:pPr>
        <w:pStyle w:val="ListParagraph"/>
        <w:numPr>
          <w:ilvl w:val="0"/>
          <w:numId w:val="13"/>
        </w:numPr>
      </w:pPr>
      <w:r w:rsidRPr="001C0DDD">
        <w:t>Floating support for c.100 clients. Of which we expect 80% will be low needs and 20% will be medium/high need.</w:t>
      </w:r>
    </w:p>
    <w:p w14:paraId="70B69F6B" w14:textId="77777777" w:rsidR="005C3FA0" w:rsidRPr="001C0DDD" w:rsidRDefault="005C3FA0" w:rsidP="00B26D90">
      <w:pPr>
        <w:pStyle w:val="ListParagraph"/>
        <w:numPr>
          <w:ilvl w:val="0"/>
          <w:numId w:val="13"/>
        </w:numPr>
      </w:pPr>
      <w:r w:rsidRPr="001C0DDD">
        <w:t xml:space="preserve">We feel that floating support workers dealing with low needs clients should have between 18 &amp; 20 clients on their load at any one time and those dealing with medium needs clients should have between 10-12 clients at any one time. </w:t>
      </w:r>
    </w:p>
    <w:p w14:paraId="290EC136" w14:textId="77777777" w:rsidR="005C3FA0" w:rsidRPr="001C0DDD" w:rsidRDefault="005C3FA0" w:rsidP="00B26D90">
      <w:pPr>
        <w:pStyle w:val="ListParagraph"/>
        <w:numPr>
          <w:ilvl w:val="0"/>
          <w:numId w:val="13"/>
        </w:numPr>
      </w:pPr>
      <w:r w:rsidRPr="001C0DDD">
        <w:t>To deal with the levels detailed above we propose to repurpose the RSI funding that has not been utilised for the provision of crash beds and night shelter to increase our floating support provision over what is currently in place as follows:</w:t>
      </w:r>
    </w:p>
    <w:p w14:paraId="3616F954" w14:textId="77777777" w:rsidR="005C3FA0" w:rsidRPr="001C0DDD" w:rsidRDefault="005C3FA0" w:rsidP="00B26D90">
      <w:pPr>
        <w:pStyle w:val="ListParagraph"/>
        <w:numPr>
          <w:ilvl w:val="1"/>
          <w:numId w:val="13"/>
        </w:numPr>
      </w:pPr>
      <w:r w:rsidRPr="001C0DDD">
        <w:t>2 x FTE currently funded, delivered Longhurst</w:t>
      </w:r>
    </w:p>
    <w:p w14:paraId="2A67D4A6" w14:textId="77777777" w:rsidR="005C3FA0" w:rsidRPr="001C0DDD" w:rsidRDefault="005C3FA0" w:rsidP="00B26D90">
      <w:pPr>
        <w:pStyle w:val="ListParagraph"/>
        <w:numPr>
          <w:ilvl w:val="1"/>
          <w:numId w:val="13"/>
        </w:numPr>
      </w:pPr>
      <w:r w:rsidRPr="001C0DDD">
        <w:t xml:space="preserve">1 X FTE currently funded, delivered by Cross Keys Homes  </w:t>
      </w:r>
    </w:p>
    <w:p w14:paraId="6C55A291" w14:textId="77777777" w:rsidR="005C3FA0" w:rsidRPr="001C0DDD" w:rsidRDefault="005C3FA0" w:rsidP="00B26D90">
      <w:pPr>
        <w:pStyle w:val="ListParagraph"/>
        <w:numPr>
          <w:ilvl w:val="1"/>
          <w:numId w:val="13"/>
        </w:numPr>
      </w:pPr>
      <w:r w:rsidRPr="001C0DDD">
        <w:t>5 x FTE repurposed Light Project Peterborough funding from crash beds and night shelter</w:t>
      </w:r>
    </w:p>
    <w:p w14:paraId="2C4A92B5" w14:textId="596DB224" w:rsidR="005C3FA0" w:rsidRPr="001C0DDD" w:rsidRDefault="005C3FA0" w:rsidP="00B26D90">
      <w:pPr>
        <w:pStyle w:val="ListParagraph"/>
        <w:numPr>
          <w:ilvl w:val="0"/>
          <w:numId w:val="13"/>
        </w:numPr>
      </w:pPr>
      <w:r w:rsidRPr="001C0DDD">
        <w:lastRenderedPageBreak/>
        <w:t xml:space="preserve">Increasing the team of floating support will require co-ordination. Bringing together all organisations and having a single referral route will reduce confusion. It is proposed that a </w:t>
      </w:r>
      <w:r w:rsidR="00F96B47">
        <w:t>c</w:t>
      </w:r>
      <w:r w:rsidRPr="001C0DDD">
        <w:t>o-</w:t>
      </w:r>
      <w:r w:rsidR="00F96B47">
        <w:t>o</w:t>
      </w:r>
      <w:r w:rsidRPr="001C0DDD">
        <w:t>rdinator role is created to pick up this area of work with an admin support role.</w:t>
      </w:r>
    </w:p>
    <w:p w14:paraId="43EAF129" w14:textId="77777777" w:rsidR="005C3FA0" w:rsidRPr="001C0DDD" w:rsidRDefault="005C3FA0" w:rsidP="00B26D90">
      <w:pPr>
        <w:pStyle w:val="ListParagraph"/>
        <w:numPr>
          <w:ilvl w:val="0"/>
          <w:numId w:val="13"/>
        </w:numPr>
      </w:pPr>
      <w:r w:rsidRPr="001C0DDD">
        <w:t xml:space="preserve">1 x FTE Floating Support Co-Ordinator repurposed Light Project Peterborough funding from Crash Beds &amp; Night Shelter   </w:t>
      </w:r>
    </w:p>
    <w:p w14:paraId="27328FB5" w14:textId="77777777" w:rsidR="005C3FA0" w:rsidRPr="001C0DDD" w:rsidRDefault="005C3FA0" w:rsidP="00B26D90">
      <w:pPr>
        <w:pStyle w:val="ListParagraph"/>
        <w:numPr>
          <w:ilvl w:val="0"/>
          <w:numId w:val="13"/>
        </w:numPr>
      </w:pPr>
      <w:r w:rsidRPr="001C0DDD">
        <w:t xml:space="preserve">1 x FTE Admin Support repurposed Light Project Peterborough funding from Crash Beds &amp; Night Shelter   </w:t>
      </w:r>
    </w:p>
    <w:p w14:paraId="59BFD61D" w14:textId="77777777" w:rsidR="005C3FA0" w:rsidRPr="001C0DDD" w:rsidRDefault="005C3FA0" w:rsidP="00B26D90">
      <w:pPr>
        <w:pStyle w:val="ListParagraph"/>
        <w:numPr>
          <w:ilvl w:val="0"/>
          <w:numId w:val="13"/>
        </w:numPr>
      </w:pPr>
      <w:r w:rsidRPr="001C0DDD">
        <w:t>In addition in order to adequately cover the significant gap left by non-provision of the Crash Beds &amp; Night Shelter there is a need for ongoing requirement for co-ordination of movement between the current supported accommodation settings to ensure schemes do not become silted up and there is no availability at the crisis entry point. There is also a need for better management of the flow of clients through supported accommodation settings to ensure move on to independent accommodation when ready is not delayed.  It is proposed that a Co-Ordinator Role be created to manage this process.</w:t>
      </w:r>
    </w:p>
    <w:p w14:paraId="2F85FBB1" w14:textId="77777777" w:rsidR="005C3FA0" w:rsidRPr="001C0DDD" w:rsidRDefault="005C3FA0" w:rsidP="00B26D90">
      <w:pPr>
        <w:pStyle w:val="ListParagraph"/>
        <w:numPr>
          <w:ilvl w:val="0"/>
          <w:numId w:val="13"/>
        </w:numPr>
      </w:pPr>
      <w:r w:rsidRPr="001C0DDD">
        <w:t xml:space="preserve">1 x FTE Supported Accommodation Pathway Co-Ordinator – Repurposed RSI funding that was intended to fund Community Based Housing Solutions Officer – Drug and Alcohol Support    </w:t>
      </w:r>
    </w:p>
    <w:p w14:paraId="42157105" w14:textId="77777777" w:rsidR="005C3FA0" w:rsidRPr="001C0DDD" w:rsidRDefault="005C3FA0" w:rsidP="00B26D90">
      <w:pPr>
        <w:pStyle w:val="ListParagraph"/>
        <w:numPr>
          <w:ilvl w:val="0"/>
          <w:numId w:val="13"/>
        </w:numPr>
      </w:pPr>
      <w:r w:rsidRPr="001C0DDD">
        <w:t xml:space="preserve">Subject to the potential accommodation options detailed above being delivered there will be a support element that is required to support these schemes. The forecast need is: </w:t>
      </w:r>
    </w:p>
    <w:p w14:paraId="4B9D9DBD" w14:textId="77777777" w:rsidR="005C3FA0" w:rsidRPr="001C0DDD" w:rsidRDefault="005C3FA0" w:rsidP="00B26D90">
      <w:pPr>
        <w:pStyle w:val="ListParagraph"/>
        <w:numPr>
          <w:ilvl w:val="1"/>
          <w:numId w:val="13"/>
        </w:numPr>
      </w:pPr>
      <w:r w:rsidRPr="001C0DDD">
        <w:t xml:space="preserve">Onsite support @ 30 bed provision 4 x FTE support workers – No current funding in place. </w:t>
      </w:r>
    </w:p>
    <w:p w14:paraId="78B93C17" w14:textId="77777777" w:rsidR="005C3FA0" w:rsidRDefault="005C3FA0" w:rsidP="00B26D90">
      <w:pPr>
        <w:pStyle w:val="ListParagraph"/>
        <w:numPr>
          <w:ilvl w:val="1"/>
          <w:numId w:val="13"/>
        </w:numPr>
      </w:pPr>
      <w:r w:rsidRPr="001C0DDD">
        <w:t xml:space="preserve">Onsite support @ Change maker house. 2 x FTE support workers. This could be part funded by the support that is currently assigned to the Longhurst Crash Beds, but there will be a shortfall in funding. </w:t>
      </w:r>
    </w:p>
    <w:p w14:paraId="7B73A362" w14:textId="43119C20" w:rsidR="006A7AEB" w:rsidRDefault="006A7AEB" w:rsidP="006A7AEB">
      <w:pPr>
        <w:pStyle w:val="ListParagraph"/>
        <w:numPr>
          <w:ilvl w:val="0"/>
          <w:numId w:val="13"/>
        </w:numPr>
      </w:pPr>
      <w:r>
        <w:t>Summary of unfunded support needs (from Sue’s reading of the above)</w:t>
      </w:r>
    </w:p>
    <w:p w14:paraId="3892D9A3" w14:textId="77777777" w:rsidR="006A7AEB" w:rsidRPr="006A7AEB" w:rsidRDefault="006A7AEB" w:rsidP="00EE71DD">
      <w:pPr>
        <w:pStyle w:val="Heading3"/>
      </w:pPr>
      <w:r w:rsidRPr="006A7AEB">
        <w:t>Summary of funding support needs</w:t>
      </w:r>
    </w:p>
    <w:p w14:paraId="02EA2DCA" w14:textId="56B7A79D" w:rsidR="006A7AEB" w:rsidRPr="00EE71DD" w:rsidRDefault="006A7AEB" w:rsidP="00EE71DD">
      <w:pPr>
        <w:pStyle w:val="Heading4"/>
      </w:pPr>
      <w:r w:rsidRPr="00EE71DD">
        <w:t>Cambridge</w:t>
      </w:r>
    </w:p>
    <w:p w14:paraId="3AF8CA07" w14:textId="6CEB4B0A" w:rsidR="006A7AEB" w:rsidRPr="006A7AEB" w:rsidRDefault="006A7AEB" w:rsidP="00EE71DD">
      <w:pPr>
        <w:rPr>
          <w:i/>
        </w:rPr>
      </w:pPr>
      <w:r w:rsidRPr="006A7AEB">
        <w:rPr>
          <w:i/>
        </w:rPr>
        <w:t>Think need funding for 23 individuals’ floating support and 20 individuals’ start-up support.</w:t>
      </w:r>
    </w:p>
    <w:p w14:paraId="19AAA25E" w14:textId="5EA6061B" w:rsidR="006A7AEB" w:rsidRPr="006A7AEB" w:rsidRDefault="006A7AEB" w:rsidP="00EE71DD">
      <w:pPr>
        <w:pStyle w:val="Heading4"/>
      </w:pPr>
      <w:r w:rsidRPr="006A7AEB">
        <w:t xml:space="preserve">Fenland </w:t>
      </w:r>
    </w:p>
    <w:p w14:paraId="2FBEE989" w14:textId="4223B190" w:rsidR="006A7AEB" w:rsidRPr="006A7AEB" w:rsidRDefault="006A7AEB" w:rsidP="00EE71DD">
      <w:pPr>
        <w:rPr>
          <w:i/>
        </w:rPr>
      </w:pPr>
      <w:r w:rsidRPr="006A7AEB">
        <w:rPr>
          <w:i/>
        </w:rPr>
        <w:t>NO ADDITIONAL FUNDING NEEDED – check with SG</w:t>
      </w:r>
    </w:p>
    <w:p w14:paraId="6E5FAABD" w14:textId="22451A65" w:rsidR="006A7AEB" w:rsidRPr="006A7AEB" w:rsidRDefault="006A7AEB" w:rsidP="00EE71DD">
      <w:pPr>
        <w:pStyle w:val="Heading4"/>
      </w:pPr>
      <w:r w:rsidRPr="006A7AEB">
        <w:t xml:space="preserve">HDC  </w:t>
      </w:r>
    </w:p>
    <w:p w14:paraId="2BFF951C" w14:textId="67261529" w:rsidR="006A7AEB" w:rsidRPr="006A7AEB" w:rsidRDefault="006A7AEB" w:rsidP="00EE71DD">
      <w:pPr>
        <w:rPr>
          <w:i/>
        </w:rPr>
      </w:pPr>
      <w:r w:rsidRPr="006A7AEB">
        <w:rPr>
          <w:i/>
        </w:rPr>
        <w:t>Need for intensive supported housing for approx. 5 dual diagnosis customers, not readily available in HDC, with a co-ordinated package of support from a range of different agencies (including substance misuse and mental health services).</w:t>
      </w:r>
    </w:p>
    <w:p w14:paraId="50124D56" w14:textId="1B868018" w:rsidR="006A7AEB" w:rsidRPr="006A7AEB" w:rsidRDefault="006A7AEB" w:rsidP="00EE71DD">
      <w:pPr>
        <w:pStyle w:val="Heading4"/>
      </w:pPr>
      <w:r w:rsidRPr="006A7AEB">
        <w:t xml:space="preserve">SCDC </w:t>
      </w:r>
    </w:p>
    <w:p w14:paraId="5EA569EB" w14:textId="692DC25E" w:rsidR="006A7AEB" w:rsidRPr="006A7AEB" w:rsidRDefault="006A7AEB" w:rsidP="00EE71DD">
      <w:pPr>
        <w:rPr>
          <w:i/>
        </w:rPr>
      </w:pPr>
      <w:r w:rsidRPr="006A7AEB">
        <w:rPr>
          <w:i/>
        </w:rPr>
        <w:t>Small number in temp – implies all support needs are provided for</w:t>
      </w:r>
    </w:p>
    <w:p w14:paraId="0ADD3983" w14:textId="46849344" w:rsidR="006A7AEB" w:rsidRPr="006A7AEB" w:rsidRDefault="006A7AEB" w:rsidP="00EE71DD">
      <w:pPr>
        <w:pStyle w:val="Heading4"/>
      </w:pPr>
      <w:r w:rsidRPr="006A7AEB">
        <w:t>Peterborough</w:t>
      </w:r>
    </w:p>
    <w:p w14:paraId="63F40199" w14:textId="77777777" w:rsidR="006A7AEB" w:rsidRPr="006A7AEB" w:rsidRDefault="006A7AEB" w:rsidP="00EE71DD">
      <w:pPr>
        <w:rPr>
          <w:i/>
        </w:rPr>
      </w:pPr>
      <w:r w:rsidRPr="006A7AEB">
        <w:rPr>
          <w:i/>
        </w:rPr>
        <w:t xml:space="preserve">Subject to accommodation changes there will be a support need forecast as: </w:t>
      </w:r>
    </w:p>
    <w:p w14:paraId="22EE2E77" w14:textId="304EC6DC" w:rsidR="006A7AEB" w:rsidRPr="006A7AEB" w:rsidRDefault="006A7AEB" w:rsidP="00EE71DD">
      <w:r w:rsidRPr="006A7AEB">
        <w:t xml:space="preserve">Onsite support @ 30 bed provision 4 x FTE support workers </w:t>
      </w:r>
      <w:r>
        <w:t>(</w:t>
      </w:r>
      <w:r w:rsidRPr="006A7AEB">
        <w:t>no current funding</w:t>
      </w:r>
      <w:r>
        <w:t xml:space="preserve"> in place)</w:t>
      </w:r>
    </w:p>
    <w:p w14:paraId="26794394" w14:textId="6619208C" w:rsidR="006A7AEB" w:rsidRPr="006A7AEB" w:rsidRDefault="006A7AEB" w:rsidP="00EE71DD">
      <w:r w:rsidRPr="006A7AEB">
        <w:t>Onsite support @ Change maker house. 2 x FTE support workers. This could be part funded by the support that is currently assigned to the Longhurst Crash Beds</w:t>
      </w:r>
      <w:r>
        <w:t xml:space="preserve"> (</w:t>
      </w:r>
      <w:r w:rsidRPr="006A7AEB">
        <w:t>shortfall in funding</w:t>
      </w:r>
      <w:r>
        <w:t>)</w:t>
      </w:r>
      <w:r w:rsidRPr="006A7AEB">
        <w:t xml:space="preserve">. </w:t>
      </w:r>
    </w:p>
    <w:p w14:paraId="54A3A297" w14:textId="77777777" w:rsidR="006A7AEB" w:rsidRDefault="006A7AEB" w:rsidP="006A7AEB">
      <w:pPr>
        <w:ind w:left="360"/>
      </w:pPr>
    </w:p>
    <w:p w14:paraId="6640B820" w14:textId="59B3EB3A" w:rsidR="0086146F" w:rsidRPr="00214607" w:rsidRDefault="0086146F" w:rsidP="006A7AEB">
      <w:pPr>
        <w:pStyle w:val="Heading2"/>
      </w:pPr>
      <w:bookmarkStart w:id="16" w:name="_Toc45530547"/>
      <w:r w:rsidRPr="00214607">
        <w:t>Some</w:t>
      </w:r>
      <w:r w:rsidR="00750C79">
        <w:t xml:space="preserve"> suggested</w:t>
      </w:r>
      <w:r w:rsidRPr="00214607">
        <w:t xml:space="preserve"> ‘POSITIVES’ of the period of hotel accommodation</w:t>
      </w:r>
      <w:bookmarkEnd w:id="16"/>
    </w:p>
    <w:p w14:paraId="5BE494EA" w14:textId="77777777" w:rsidR="0086146F" w:rsidRPr="00682123" w:rsidRDefault="0086146F" w:rsidP="00B26D90">
      <w:pPr>
        <w:pStyle w:val="ListParagraph"/>
        <w:numPr>
          <w:ilvl w:val="0"/>
          <w:numId w:val="1"/>
        </w:numPr>
      </w:pPr>
      <w:r w:rsidRPr="00682123">
        <w:t>Amazing community response via support, meals etc in the hotels</w:t>
      </w:r>
    </w:p>
    <w:p w14:paraId="6B31C76C" w14:textId="77777777" w:rsidR="0086146F" w:rsidRPr="00682123" w:rsidRDefault="0086146F" w:rsidP="00B26D90">
      <w:pPr>
        <w:pStyle w:val="ListParagraph"/>
        <w:numPr>
          <w:ilvl w:val="0"/>
          <w:numId w:val="1"/>
        </w:numPr>
      </w:pPr>
      <w:r w:rsidRPr="00682123">
        <w:t>GP registrations</w:t>
      </w:r>
    </w:p>
    <w:p w14:paraId="6FBC6215" w14:textId="77777777" w:rsidR="0086146F" w:rsidRPr="00682123" w:rsidRDefault="0086146F" w:rsidP="00B26D90">
      <w:pPr>
        <w:pStyle w:val="ListParagraph"/>
        <w:numPr>
          <w:ilvl w:val="0"/>
          <w:numId w:val="1"/>
        </w:numPr>
      </w:pPr>
      <w:r w:rsidRPr="00682123">
        <w:t>Peterborough’s health survey</w:t>
      </w:r>
    </w:p>
    <w:p w14:paraId="290BB664" w14:textId="77777777" w:rsidR="0086146F" w:rsidRPr="00682123" w:rsidRDefault="0086146F" w:rsidP="00B26D90">
      <w:pPr>
        <w:pStyle w:val="ListParagraph"/>
        <w:numPr>
          <w:ilvl w:val="0"/>
          <w:numId w:val="1"/>
        </w:numPr>
      </w:pPr>
      <w:r w:rsidRPr="00682123">
        <w:t>Hep C testing</w:t>
      </w:r>
    </w:p>
    <w:p w14:paraId="4160F06C" w14:textId="77777777" w:rsidR="0086146F" w:rsidRPr="00682123" w:rsidRDefault="0086146F" w:rsidP="00B26D90">
      <w:pPr>
        <w:pStyle w:val="ListParagraph"/>
        <w:numPr>
          <w:ilvl w:val="0"/>
          <w:numId w:val="1"/>
        </w:numPr>
      </w:pPr>
      <w:r w:rsidRPr="00682123">
        <w:t>Building up an approach to TB screening</w:t>
      </w:r>
    </w:p>
    <w:p w14:paraId="3EF42DC2" w14:textId="0218EA06" w:rsidR="0086146F" w:rsidRPr="00682123" w:rsidRDefault="0086146F" w:rsidP="00B26D90">
      <w:pPr>
        <w:pStyle w:val="ListParagraph"/>
        <w:numPr>
          <w:ilvl w:val="0"/>
          <w:numId w:val="1"/>
        </w:numPr>
      </w:pPr>
      <w:r w:rsidRPr="00682123">
        <w:t>Funding fr</w:t>
      </w:r>
      <w:r w:rsidR="007C621F">
        <w:t>o</w:t>
      </w:r>
      <w:r w:rsidRPr="00682123">
        <w:t>m CCG for a half time officer to work on rough sleeper / homelessness issues for a year</w:t>
      </w:r>
    </w:p>
    <w:p w14:paraId="388C531A" w14:textId="77777777" w:rsidR="0086146F" w:rsidRPr="00682123" w:rsidRDefault="0086146F" w:rsidP="00B26D90">
      <w:pPr>
        <w:pStyle w:val="ListParagraph"/>
        <w:numPr>
          <w:ilvl w:val="0"/>
          <w:numId w:val="1"/>
        </w:numPr>
      </w:pPr>
      <w:r w:rsidRPr="00682123">
        <w:t>Dual diagnosis project</w:t>
      </w:r>
    </w:p>
    <w:p w14:paraId="7A5CEE4C" w14:textId="77777777" w:rsidR="0086146F" w:rsidRPr="00682123" w:rsidRDefault="0086146F" w:rsidP="00B26D90">
      <w:pPr>
        <w:pStyle w:val="ListParagraph"/>
        <w:numPr>
          <w:ilvl w:val="0"/>
          <w:numId w:val="1"/>
        </w:numPr>
      </w:pPr>
      <w:r w:rsidRPr="00682123">
        <w:t>Drug and Alcohol funding for Cambridge and Peterborough (JK)</w:t>
      </w:r>
    </w:p>
    <w:p w14:paraId="5A2EE25A" w14:textId="77777777" w:rsidR="0086146F" w:rsidRPr="00682123" w:rsidRDefault="0086146F" w:rsidP="00B26D90">
      <w:pPr>
        <w:pStyle w:val="ListParagraph"/>
        <w:numPr>
          <w:ilvl w:val="0"/>
          <w:numId w:val="1"/>
        </w:numPr>
        <w:rPr>
          <w:b/>
          <w:u w:val="single"/>
        </w:rPr>
      </w:pPr>
      <w:r w:rsidRPr="00682123">
        <w:t>Mental health – gaps and immediate / longer term measures</w:t>
      </w:r>
    </w:p>
    <w:p w14:paraId="53AE8391" w14:textId="77777777" w:rsidR="0086146F" w:rsidRDefault="0086146F" w:rsidP="0086146F"/>
    <w:p w14:paraId="22BCEB18" w14:textId="3C192321" w:rsidR="00682123" w:rsidRPr="00750C79" w:rsidRDefault="00750C79" w:rsidP="00750C79">
      <w:pPr>
        <w:pStyle w:val="Heading2"/>
      </w:pPr>
      <w:bookmarkStart w:id="17" w:name="_Toc45530548"/>
      <w:r w:rsidRPr="00750C79">
        <w:lastRenderedPageBreak/>
        <w:t>Conclusions</w:t>
      </w:r>
      <w:bookmarkEnd w:id="17"/>
    </w:p>
    <w:p w14:paraId="6653E8DC" w14:textId="2B32CAA8" w:rsidR="00750C79" w:rsidRPr="00750C79" w:rsidRDefault="00750C79" w:rsidP="00750C79">
      <w:pPr>
        <w:pStyle w:val="ListParagraph"/>
        <w:numPr>
          <w:ilvl w:val="0"/>
          <w:numId w:val="17"/>
        </w:numPr>
      </w:pPr>
      <w:r w:rsidRPr="00750C79">
        <w:t>Number in temp –whether emergency or temporary due to Covid, have reduced since the return was made outlining “next steps.  At the time there were 269 in temp, and at 8 July there were 234 in temp across Cambs and Peterborough. The reduction was seen mostly in Peterborough, though it’s useful to note the Luke Hall and the MAIC returns are counted a little differently (as usual!) for various reasons</w:t>
      </w:r>
      <w:r>
        <w:t xml:space="preserve">. </w:t>
      </w:r>
    </w:p>
    <w:p w14:paraId="752DE239" w14:textId="655D51A5" w:rsidR="00750C79" w:rsidRPr="00CD6722" w:rsidRDefault="00CD6722" w:rsidP="00750C79">
      <w:pPr>
        <w:pStyle w:val="ListParagraph"/>
        <w:numPr>
          <w:ilvl w:val="0"/>
          <w:numId w:val="17"/>
        </w:numPr>
      </w:pPr>
      <w:r w:rsidRPr="00CD6722">
        <w:t>Some of the temp, but by no means all, has an en</w:t>
      </w:r>
      <w:r>
        <w:t>d</w:t>
      </w:r>
      <w:r w:rsidRPr="00CD6722">
        <w:t xml:space="preserve"> date. The most significant numbers</w:t>
      </w:r>
      <w:r>
        <w:t xml:space="preserve"> </w:t>
      </w:r>
      <w:r w:rsidRPr="00CD6722">
        <w:t>in temp with an end date are:</w:t>
      </w:r>
    </w:p>
    <w:p w14:paraId="080645DC" w14:textId="59B1FC56" w:rsidR="00CD6722" w:rsidRPr="00CD6722" w:rsidRDefault="00CD6722" w:rsidP="00CD6722">
      <w:pPr>
        <w:pStyle w:val="ListParagraph"/>
        <w:numPr>
          <w:ilvl w:val="1"/>
          <w:numId w:val="17"/>
        </w:numPr>
      </w:pPr>
      <w:r w:rsidRPr="00CD6722">
        <w:t xml:space="preserve">Travelodge Cambridge – 35 housed by CCC, </w:t>
      </w:r>
    </w:p>
    <w:p w14:paraId="1C2A5DFD" w14:textId="2667030F" w:rsidR="00CD6722" w:rsidRPr="00CD6722" w:rsidRDefault="00CD6722" w:rsidP="00CD6722">
      <w:pPr>
        <w:pStyle w:val="ListParagraph"/>
        <w:numPr>
          <w:ilvl w:val="1"/>
          <w:numId w:val="17"/>
        </w:numPr>
      </w:pPr>
      <w:r w:rsidRPr="00CD6722">
        <w:t>Bene’t Street hostel – 18 housed by CCC</w:t>
      </w:r>
    </w:p>
    <w:p w14:paraId="27709DEB" w14:textId="473287CB" w:rsidR="00CD6722" w:rsidRPr="00CD6722" w:rsidRDefault="00CD6722" w:rsidP="00CD6722">
      <w:pPr>
        <w:pStyle w:val="ListParagraph"/>
        <w:numPr>
          <w:ilvl w:val="1"/>
          <w:numId w:val="17"/>
        </w:numPr>
      </w:pPr>
      <w:r w:rsidRPr="00CD6722">
        <w:t>Possibly White Lyon Hotel Wisbech (B&amp;B) – 18 housed by FDC</w:t>
      </w:r>
    </w:p>
    <w:p w14:paraId="67A879C3" w14:textId="18A67CC0" w:rsidR="00CD6722" w:rsidRDefault="00CD6722" w:rsidP="00CD6722">
      <w:pPr>
        <w:pStyle w:val="ListParagraph"/>
        <w:numPr>
          <w:ilvl w:val="1"/>
          <w:numId w:val="17"/>
        </w:numPr>
      </w:pPr>
      <w:r>
        <w:t>PCC has a plan to end hotel use by 31 August entirely, but at 8</w:t>
      </w:r>
      <w:r w:rsidRPr="00CD6722">
        <w:rPr>
          <w:vertAlign w:val="superscript"/>
        </w:rPr>
        <w:t>th</w:t>
      </w:r>
      <w:r>
        <w:t xml:space="preserve"> July were </w:t>
      </w:r>
      <w:r w:rsidRPr="00CD6722">
        <w:t>66 in Queensg</w:t>
      </w:r>
      <w:r>
        <w:t>a</w:t>
      </w:r>
      <w:r w:rsidRPr="00CD6722">
        <w:t xml:space="preserve">te and Park Inn </w:t>
      </w:r>
      <w:r>
        <w:t>hotels.</w:t>
      </w:r>
    </w:p>
    <w:p w14:paraId="460CA2BF" w14:textId="58A874C9" w:rsidR="00CD6722" w:rsidRDefault="00CD6722" w:rsidP="00CD6722">
      <w:pPr>
        <w:pStyle w:val="ListParagraph"/>
        <w:numPr>
          <w:ilvl w:val="0"/>
          <w:numId w:val="17"/>
        </w:numPr>
      </w:pPr>
      <w:r>
        <w:t xml:space="preserve">Move-on plans are pretty firm for 286 out of 296 people in temp. So that’s </w:t>
      </w:r>
      <w:r w:rsidRPr="00CD6722">
        <w:rPr>
          <w:b/>
        </w:rPr>
        <w:t>97%</w:t>
      </w:r>
      <w:r>
        <w:rPr>
          <w:b/>
        </w:rPr>
        <w:t xml:space="preserve"> </w:t>
      </w:r>
      <w:r w:rsidRPr="00CD6722">
        <w:t>who have a planned path out, and 10 with no clear plan as yet</w:t>
      </w:r>
      <w:r>
        <w:t xml:space="preserve"> (at the time of the Luke Hall return)</w:t>
      </w:r>
      <w:r w:rsidRPr="00CD6722">
        <w:t>.</w:t>
      </w:r>
    </w:p>
    <w:p w14:paraId="51951690" w14:textId="6A67B850" w:rsidR="00CD6722" w:rsidRDefault="00CD6722" w:rsidP="00CD6722">
      <w:pPr>
        <w:pStyle w:val="ListParagraph"/>
        <w:numPr>
          <w:ilvl w:val="0"/>
          <w:numId w:val="17"/>
        </w:numPr>
      </w:pPr>
      <w:r>
        <w:t>People with N</w:t>
      </w:r>
      <w:r w:rsidR="001A17EF">
        <w:t>o</w:t>
      </w:r>
      <w:r>
        <w:t xml:space="preserve"> Recourse to Public Funds are a concern. Of the almost 300 people temporarily housed at the time of the Luke Hall return, 73 people (that’s 25%) had NRTPF. The highest </w:t>
      </w:r>
      <w:r w:rsidR="007C621F">
        <w:t xml:space="preserve">% </w:t>
      </w:r>
      <w:r>
        <w:t>was Fenland with 41%.</w:t>
      </w:r>
    </w:p>
    <w:p w14:paraId="4C8F761A" w14:textId="214C0F99" w:rsidR="00CD6722" w:rsidRDefault="00CD6722" w:rsidP="00CD6722">
      <w:pPr>
        <w:pStyle w:val="ListParagraph"/>
        <w:numPr>
          <w:ilvl w:val="0"/>
          <w:numId w:val="17"/>
        </w:numPr>
      </w:pPr>
      <w:r>
        <w:t>There are plans to develop additional accommodation, as below</w:t>
      </w:r>
      <w:r w:rsidR="001A17EF">
        <w:t xml:space="preserve"> (removed lines where no answer provided)</w:t>
      </w:r>
      <w:r>
        <w:t>:</w:t>
      </w:r>
    </w:p>
    <w:p w14:paraId="34B1895E" w14:textId="77777777" w:rsidR="001A17EF" w:rsidRPr="001A17EF" w:rsidRDefault="001A17EF" w:rsidP="00EE71DD">
      <w:pPr>
        <w:pStyle w:val="Heading4"/>
      </w:pPr>
      <w:r w:rsidRPr="001A17EF">
        <w:t>Cambridge</w:t>
      </w:r>
    </w:p>
    <w:p w14:paraId="37158E34" w14:textId="77777777" w:rsidR="001A17EF" w:rsidRDefault="001A17EF" w:rsidP="001A17EF">
      <w:pPr>
        <w:pStyle w:val="ListParagraph"/>
        <w:numPr>
          <w:ilvl w:val="2"/>
          <w:numId w:val="18"/>
        </w:numPr>
      </w:pPr>
      <w:r w:rsidRPr="001A17EF">
        <w:t>Longer term move-on</w:t>
      </w:r>
    </w:p>
    <w:p w14:paraId="37777809" w14:textId="77777777" w:rsidR="001A17EF" w:rsidRPr="001A17EF" w:rsidRDefault="001A17EF" w:rsidP="001A17EF">
      <w:pPr>
        <w:pStyle w:val="ListParagraph"/>
        <w:numPr>
          <w:ilvl w:val="3"/>
          <w:numId w:val="18"/>
        </w:numPr>
      </w:pPr>
      <w:r w:rsidRPr="001A17EF">
        <w:t>c.29 modular homes with intensive or floating support dependent on need</w:t>
      </w:r>
    </w:p>
    <w:p w14:paraId="7D44B96C" w14:textId="6DE1A126" w:rsidR="001A17EF" w:rsidRPr="001A17EF" w:rsidRDefault="001A17EF" w:rsidP="001A17EF">
      <w:pPr>
        <w:pStyle w:val="ListParagraph"/>
        <w:numPr>
          <w:ilvl w:val="3"/>
          <w:numId w:val="18"/>
        </w:numPr>
      </w:pPr>
      <w:r w:rsidRPr="001A17EF">
        <w:t xml:space="preserve">c.10 bed-spaces in shared accommodation </w:t>
      </w:r>
    </w:p>
    <w:p w14:paraId="508A615D" w14:textId="77777777" w:rsidR="001A17EF" w:rsidRPr="001A17EF" w:rsidRDefault="001A17EF" w:rsidP="001A17EF">
      <w:pPr>
        <w:pStyle w:val="ListParagraph"/>
        <w:numPr>
          <w:ilvl w:val="3"/>
          <w:numId w:val="18"/>
        </w:numPr>
      </w:pPr>
      <w:r w:rsidRPr="001A17EF">
        <w:t>c.21 Housing First bed spaces</w:t>
      </w:r>
    </w:p>
    <w:p w14:paraId="1D57BFCA" w14:textId="77777777" w:rsidR="001A17EF" w:rsidRPr="001A17EF" w:rsidRDefault="001A17EF" w:rsidP="00EE71DD">
      <w:pPr>
        <w:pStyle w:val="Heading4"/>
      </w:pPr>
      <w:r w:rsidRPr="001A17EF">
        <w:t>ECDC</w:t>
      </w:r>
    </w:p>
    <w:p w14:paraId="1717CA7C" w14:textId="45353044" w:rsidR="001A17EF" w:rsidRPr="001A17EF" w:rsidRDefault="001A17EF" w:rsidP="001A17EF">
      <w:pPr>
        <w:pStyle w:val="ListParagraph"/>
        <w:numPr>
          <w:ilvl w:val="2"/>
          <w:numId w:val="18"/>
        </w:numPr>
      </w:pPr>
      <w:r w:rsidRPr="001A17EF">
        <w:t>Longer term move-on</w:t>
      </w:r>
      <w:r>
        <w:t xml:space="preserve">: </w:t>
      </w:r>
      <w:r>
        <w:tab/>
      </w:r>
      <w:r w:rsidRPr="001A17EF">
        <w:t>2 available in the next 28 days</w:t>
      </w:r>
      <w:r>
        <w:t xml:space="preserve">, </w:t>
      </w:r>
      <w:r w:rsidRPr="001A17EF">
        <w:t>1 available now</w:t>
      </w:r>
    </w:p>
    <w:p w14:paraId="2A212BCA" w14:textId="0A68591E" w:rsidR="001A17EF" w:rsidRPr="001A17EF" w:rsidRDefault="001A17EF" w:rsidP="001A17EF">
      <w:pPr>
        <w:pStyle w:val="ListParagraph"/>
        <w:numPr>
          <w:ilvl w:val="2"/>
          <w:numId w:val="18"/>
        </w:numPr>
      </w:pPr>
      <w:r w:rsidRPr="001A17EF">
        <w:t>Other accom options</w:t>
      </w:r>
      <w:r>
        <w:tab/>
      </w:r>
      <w:r w:rsidRPr="001A17EF">
        <w:t>“Shared housing with tenancy support”</w:t>
      </w:r>
    </w:p>
    <w:p w14:paraId="0FDD6128" w14:textId="77777777" w:rsidR="001A17EF" w:rsidRPr="001A17EF" w:rsidRDefault="001A17EF" w:rsidP="00EE71DD">
      <w:pPr>
        <w:pStyle w:val="Heading4"/>
      </w:pPr>
      <w:r w:rsidRPr="001A17EF">
        <w:t>Fenland</w:t>
      </w:r>
    </w:p>
    <w:p w14:paraId="5BD6798A" w14:textId="6E74ABEE" w:rsidR="001A17EF" w:rsidRPr="001A17EF" w:rsidRDefault="001A17EF" w:rsidP="001A17EF">
      <w:pPr>
        <w:pStyle w:val="ListParagraph"/>
        <w:numPr>
          <w:ilvl w:val="2"/>
          <w:numId w:val="18"/>
        </w:numPr>
      </w:pPr>
      <w:r w:rsidRPr="001A17EF">
        <w:t>Units you have</w:t>
      </w:r>
      <w:r>
        <w:tab/>
      </w:r>
      <w:r>
        <w:tab/>
        <w:t>10</w:t>
      </w:r>
    </w:p>
    <w:p w14:paraId="4E019C24" w14:textId="234E6E83" w:rsidR="001A17EF" w:rsidRPr="001A17EF" w:rsidRDefault="001A17EF" w:rsidP="001A17EF">
      <w:pPr>
        <w:pStyle w:val="ListParagraph"/>
        <w:numPr>
          <w:ilvl w:val="2"/>
          <w:numId w:val="18"/>
        </w:numPr>
      </w:pPr>
      <w:r w:rsidRPr="001A17EF">
        <w:t>Plans to develop more</w:t>
      </w:r>
      <w:r>
        <w:tab/>
        <w:t>2</w:t>
      </w:r>
    </w:p>
    <w:p w14:paraId="2D197B16" w14:textId="062DA9BC" w:rsidR="001A17EF" w:rsidRPr="001A17EF" w:rsidRDefault="001A17EF" w:rsidP="007C621F">
      <w:pPr>
        <w:pStyle w:val="ListParagraph"/>
        <w:numPr>
          <w:ilvl w:val="2"/>
          <w:numId w:val="18"/>
        </w:numPr>
      </w:pPr>
      <w:r w:rsidRPr="001A17EF">
        <w:t>Longer term move-on</w:t>
      </w:r>
      <w:r w:rsidR="007C621F">
        <w:tab/>
      </w:r>
      <w:r w:rsidRPr="001A17EF">
        <w:t>Nothing yet confirmed. At the time of writing we have no secured units - all eligible clients are registered with Home-link (CBL).</w:t>
      </w:r>
    </w:p>
    <w:p w14:paraId="7B7693E4" w14:textId="77777777" w:rsidR="001A17EF" w:rsidRPr="001A17EF" w:rsidRDefault="001A17EF" w:rsidP="001A17EF">
      <w:pPr>
        <w:pStyle w:val="ListParagraph"/>
        <w:numPr>
          <w:ilvl w:val="2"/>
          <w:numId w:val="18"/>
        </w:numPr>
      </w:pPr>
      <w:r w:rsidRPr="001A17EF">
        <w:t>Other accom options</w:t>
      </w:r>
    </w:p>
    <w:p w14:paraId="6EF5C0C9" w14:textId="77777777" w:rsidR="001A17EF" w:rsidRPr="001A17EF" w:rsidRDefault="001A17EF" w:rsidP="001A17EF">
      <w:pPr>
        <w:pStyle w:val="ListParagraph"/>
        <w:numPr>
          <w:ilvl w:val="3"/>
          <w:numId w:val="18"/>
        </w:numPr>
      </w:pPr>
      <w:r w:rsidRPr="001A17EF">
        <w:t>More local private rented.</w:t>
      </w:r>
    </w:p>
    <w:p w14:paraId="64F1E1EB" w14:textId="77777777" w:rsidR="001A17EF" w:rsidRPr="001A17EF" w:rsidRDefault="001A17EF" w:rsidP="001A17EF">
      <w:pPr>
        <w:pStyle w:val="ListParagraph"/>
        <w:numPr>
          <w:ilvl w:val="3"/>
          <w:numId w:val="18"/>
        </w:numPr>
      </w:pPr>
      <w:r w:rsidRPr="001A17EF">
        <w:t xml:space="preserve">Housing First to be set up 7 units under negotiation. </w:t>
      </w:r>
    </w:p>
    <w:p w14:paraId="2E74DACD" w14:textId="77777777" w:rsidR="001A17EF" w:rsidRPr="001A17EF" w:rsidRDefault="001A17EF" w:rsidP="001A17EF">
      <w:pPr>
        <w:pStyle w:val="ListParagraph"/>
        <w:numPr>
          <w:ilvl w:val="3"/>
          <w:numId w:val="18"/>
        </w:numPr>
      </w:pPr>
      <w:r w:rsidRPr="001A17EF">
        <w:t>Working with biggest social housing provider to plan move-on into this accommodation through direct lets.</w:t>
      </w:r>
    </w:p>
    <w:p w14:paraId="4E7EF8EB" w14:textId="77777777" w:rsidR="001A17EF" w:rsidRPr="001A17EF" w:rsidRDefault="001A17EF" w:rsidP="00EE71DD">
      <w:pPr>
        <w:pStyle w:val="Heading4"/>
      </w:pPr>
      <w:r w:rsidRPr="001A17EF">
        <w:t>Huntingdonshire</w:t>
      </w:r>
    </w:p>
    <w:p w14:paraId="75446F40" w14:textId="365B5430" w:rsidR="001A17EF" w:rsidRPr="001A17EF" w:rsidRDefault="001A17EF" w:rsidP="001A17EF">
      <w:pPr>
        <w:pStyle w:val="ListParagraph"/>
        <w:numPr>
          <w:ilvl w:val="2"/>
          <w:numId w:val="18"/>
        </w:numPr>
      </w:pPr>
      <w:r w:rsidRPr="001A17EF">
        <w:t>Units you have</w:t>
      </w:r>
      <w:r>
        <w:tab/>
      </w:r>
      <w:r>
        <w:tab/>
        <w:t>39</w:t>
      </w:r>
    </w:p>
    <w:p w14:paraId="0ACA8F1A" w14:textId="77777777" w:rsidR="001A17EF" w:rsidRPr="001A17EF" w:rsidRDefault="001A17EF" w:rsidP="001A17EF">
      <w:pPr>
        <w:pStyle w:val="ListParagraph"/>
        <w:numPr>
          <w:ilvl w:val="2"/>
          <w:numId w:val="18"/>
        </w:numPr>
      </w:pPr>
      <w:r w:rsidRPr="001A17EF">
        <w:t>Plans to develop more</w:t>
      </w:r>
      <w:r>
        <w:tab/>
      </w:r>
      <w:r w:rsidRPr="001A17EF">
        <w:t>21 (in progress regardless of covid)</w:t>
      </w:r>
    </w:p>
    <w:p w14:paraId="363A5803" w14:textId="77777777" w:rsidR="001A17EF" w:rsidRDefault="001A17EF" w:rsidP="001A17EF">
      <w:pPr>
        <w:pStyle w:val="ListParagraph"/>
        <w:numPr>
          <w:ilvl w:val="2"/>
          <w:numId w:val="18"/>
        </w:numPr>
      </w:pPr>
      <w:r w:rsidRPr="001A17EF">
        <w:t>Longer term move-on</w:t>
      </w:r>
    </w:p>
    <w:p w14:paraId="2986AF3A" w14:textId="77777777" w:rsidR="001A17EF" w:rsidRPr="001A17EF" w:rsidRDefault="001A17EF" w:rsidP="001A17EF">
      <w:pPr>
        <w:pStyle w:val="ListParagraph"/>
        <w:numPr>
          <w:ilvl w:val="3"/>
          <w:numId w:val="18"/>
        </w:numPr>
      </w:pPr>
      <w:r w:rsidRPr="001A17EF">
        <w:t>A number of clients have been assisted into supported housing and private rented housing options (6 to date). Will continue with that.</w:t>
      </w:r>
    </w:p>
    <w:p w14:paraId="2EFD1452" w14:textId="77777777" w:rsidR="001A17EF" w:rsidRPr="001A17EF" w:rsidRDefault="001A17EF" w:rsidP="001A17EF">
      <w:pPr>
        <w:pStyle w:val="ListParagraph"/>
        <w:numPr>
          <w:ilvl w:val="3"/>
          <w:numId w:val="18"/>
        </w:numPr>
      </w:pPr>
      <w:r w:rsidRPr="001A17EF">
        <w:t xml:space="preserve">Aim for a proportion to move into social rented properties, once RPs lettings pick up in general stock. </w:t>
      </w:r>
    </w:p>
    <w:p w14:paraId="3E0155DF" w14:textId="77777777" w:rsidR="001A17EF" w:rsidRPr="001A17EF" w:rsidRDefault="001A17EF" w:rsidP="001A17EF">
      <w:pPr>
        <w:pStyle w:val="ListParagraph"/>
        <w:numPr>
          <w:ilvl w:val="3"/>
          <w:numId w:val="18"/>
        </w:numPr>
      </w:pPr>
      <w:r w:rsidRPr="001A17EF">
        <w:t xml:space="preserve">Will investigate all tenures as part of PHPs developed with clients. </w:t>
      </w:r>
    </w:p>
    <w:p w14:paraId="774F3DCF" w14:textId="77777777" w:rsidR="001A17EF" w:rsidRPr="001A17EF" w:rsidRDefault="001A17EF" w:rsidP="001A17EF">
      <w:pPr>
        <w:pStyle w:val="ListParagraph"/>
        <w:numPr>
          <w:ilvl w:val="2"/>
          <w:numId w:val="18"/>
        </w:numPr>
      </w:pPr>
      <w:r w:rsidRPr="001A17EF">
        <w:t>Other accom options</w:t>
      </w:r>
    </w:p>
    <w:p w14:paraId="1C4B5E38" w14:textId="77777777" w:rsidR="001A17EF" w:rsidRPr="001A17EF" w:rsidRDefault="001A17EF" w:rsidP="001A17EF">
      <w:pPr>
        <w:pStyle w:val="ListParagraph"/>
        <w:numPr>
          <w:ilvl w:val="3"/>
          <w:numId w:val="18"/>
        </w:numPr>
      </w:pPr>
      <w:r w:rsidRPr="001A17EF">
        <w:t xml:space="preserve">There is not a specific number of units available or in development – this will depend upon the number of properties becoming available through RPs’ lettings processes as well as private rented options we are able to identify through local landlords and agents.  </w:t>
      </w:r>
    </w:p>
    <w:p w14:paraId="126A4757" w14:textId="77777777" w:rsidR="001A17EF" w:rsidRPr="001A17EF" w:rsidRDefault="001A17EF" w:rsidP="001A17EF">
      <w:pPr>
        <w:pStyle w:val="ListParagraph"/>
        <w:numPr>
          <w:ilvl w:val="3"/>
          <w:numId w:val="18"/>
        </w:numPr>
      </w:pPr>
      <w:r w:rsidRPr="001A17EF">
        <w:t>Make use of the direct let process including working with RPs to allocate properties in advance of the CBL process.</w:t>
      </w:r>
    </w:p>
    <w:p w14:paraId="6D5FBF32" w14:textId="77777777" w:rsidR="001A17EF" w:rsidRPr="001A17EF" w:rsidRDefault="001A17EF" w:rsidP="00EE71DD">
      <w:pPr>
        <w:pStyle w:val="Heading4"/>
      </w:pPr>
      <w:r w:rsidRPr="001A17EF">
        <w:t>SCDC</w:t>
      </w:r>
    </w:p>
    <w:p w14:paraId="339CFF6C" w14:textId="68C8FA8A" w:rsidR="001A17EF" w:rsidRPr="001A17EF" w:rsidRDefault="001A17EF" w:rsidP="007C621F">
      <w:pPr>
        <w:pStyle w:val="ListParagraph"/>
        <w:numPr>
          <w:ilvl w:val="2"/>
          <w:numId w:val="18"/>
        </w:numPr>
      </w:pPr>
      <w:r w:rsidRPr="001A17EF">
        <w:t>Longer term move-on</w:t>
      </w:r>
      <w:r w:rsidR="007C621F">
        <w:tab/>
      </w:r>
      <w:r w:rsidRPr="001A17EF">
        <w:t xml:space="preserve">Will look to provide single person accommodation through either a) existing partnership or b) pilot scheme delivering HMOs. </w:t>
      </w:r>
    </w:p>
    <w:p w14:paraId="6508B762" w14:textId="77777777" w:rsidR="001A17EF" w:rsidRPr="001A17EF" w:rsidRDefault="001A17EF" w:rsidP="00EE71DD">
      <w:pPr>
        <w:pStyle w:val="Heading4"/>
      </w:pPr>
      <w:r w:rsidRPr="001A17EF">
        <w:lastRenderedPageBreak/>
        <w:t>Peterborough</w:t>
      </w:r>
    </w:p>
    <w:p w14:paraId="12178CE8" w14:textId="77777777" w:rsidR="001A17EF" w:rsidRPr="001A17EF" w:rsidRDefault="001A17EF" w:rsidP="001A17EF">
      <w:pPr>
        <w:pStyle w:val="ListParagraph"/>
        <w:numPr>
          <w:ilvl w:val="2"/>
          <w:numId w:val="18"/>
        </w:numPr>
      </w:pPr>
      <w:r w:rsidRPr="001A17EF">
        <w:t>Units you have</w:t>
      </w:r>
      <w:r>
        <w:tab/>
      </w:r>
      <w:r>
        <w:tab/>
      </w:r>
      <w:r w:rsidRPr="001A17EF">
        <w:t>c.50</w:t>
      </w:r>
    </w:p>
    <w:p w14:paraId="47816E34" w14:textId="77777777" w:rsidR="001A17EF" w:rsidRPr="001A17EF" w:rsidRDefault="001A17EF" w:rsidP="001A17EF">
      <w:pPr>
        <w:pStyle w:val="ListParagraph"/>
        <w:numPr>
          <w:ilvl w:val="2"/>
          <w:numId w:val="18"/>
        </w:numPr>
      </w:pPr>
      <w:r w:rsidRPr="001A17EF">
        <w:t>Plans to develop more</w:t>
      </w:r>
      <w:r>
        <w:tab/>
      </w:r>
      <w:r w:rsidRPr="001A17EF">
        <w:t>c.30</w:t>
      </w:r>
    </w:p>
    <w:p w14:paraId="0FFFF9F1" w14:textId="77777777" w:rsidR="001A17EF" w:rsidRDefault="001A17EF" w:rsidP="001A17EF">
      <w:pPr>
        <w:pStyle w:val="ListParagraph"/>
        <w:numPr>
          <w:ilvl w:val="2"/>
          <w:numId w:val="18"/>
        </w:numPr>
      </w:pPr>
      <w:r w:rsidRPr="001A17EF">
        <w:t>Longer term move-on</w:t>
      </w:r>
    </w:p>
    <w:p w14:paraId="65E7EDAD" w14:textId="1FA1E830" w:rsidR="001A17EF" w:rsidRPr="001A17EF" w:rsidRDefault="001A17EF" w:rsidP="001A17EF">
      <w:pPr>
        <w:pStyle w:val="ListParagraph"/>
        <w:numPr>
          <w:ilvl w:val="3"/>
          <w:numId w:val="18"/>
        </w:numPr>
      </w:pPr>
      <w:r w:rsidRPr="001A17EF">
        <w:t>Potential of 53 units: Reviews of supported accommodation settings have identified clients ready to move to independent accommodation with a private landlord or via Housing Register.  The moves free up space to be backfilled by those needing move on from short/medium stay accommodation or accommodated in the hotel rest centres.  Estimate that this will free up c.18 units of supported accommodation.</w:t>
      </w:r>
    </w:p>
    <w:p w14:paraId="0D95E41C" w14:textId="77777777" w:rsidR="001A17EF" w:rsidRDefault="001A17EF" w:rsidP="001A17EF">
      <w:pPr>
        <w:pStyle w:val="ListParagraph"/>
        <w:numPr>
          <w:ilvl w:val="3"/>
          <w:numId w:val="18"/>
        </w:numPr>
      </w:pPr>
      <w:r w:rsidRPr="001A17EF">
        <w:t xml:space="preserve">We are also seeking single person units in the private sector and are working with landlords who have HMOs, which will meet the needs of many of the low needs client cohort with floating support. </w:t>
      </w:r>
    </w:p>
    <w:p w14:paraId="4733B582" w14:textId="77777777" w:rsidR="001A17EF" w:rsidRPr="001A17EF" w:rsidRDefault="001A17EF" w:rsidP="001A17EF">
      <w:pPr>
        <w:pStyle w:val="ListParagraph"/>
        <w:numPr>
          <w:ilvl w:val="3"/>
          <w:numId w:val="18"/>
        </w:numPr>
      </w:pPr>
      <w:r w:rsidRPr="001A17EF">
        <w:t>We estimate that we should be able to secure c.20 units of accommodation from the private sector.</w:t>
      </w:r>
    </w:p>
    <w:p w14:paraId="6A243EC2" w14:textId="77777777" w:rsidR="001A17EF" w:rsidRPr="001A17EF" w:rsidRDefault="001A17EF" w:rsidP="001A17EF">
      <w:pPr>
        <w:pStyle w:val="ListParagraph"/>
        <w:numPr>
          <w:ilvl w:val="2"/>
          <w:numId w:val="18"/>
        </w:numPr>
      </w:pPr>
      <w:r w:rsidRPr="001A17EF">
        <w:t>Other accom options</w:t>
      </w:r>
    </w:p>
    <w:p w14:paraId="0BAD33FC" w14:textId="77777777" w:rsidR="001A17EF" w:rsidRPr="001A17EF" w:rsidRDefault="001A17EF" w:rsidP="001A17EF">
      <w:pPr>
        <w:pStyle w:val="ListParagraph"/>
        <w:numPr>
          <w:ilvl w:val="3"/>
          <w:numId w:val="18"/>
        </w:numPr>
      </w:pPr>
      <w:r w:rsidRPr="001A17EF">
        <w:t>With support the Council and Longhurst could mobilise very quickly to provide 15 self-contained flats for move on accommodation.</w:t>
      </w:r>
    </w:p>
    <w:p w14:paraId="216F44E1" w14:textId="77777777" w:rsidR="001A17EF" w:rsidRPr="007C621F" w:rsidRDefault="001A17EF" w:rsidP="007C621F">
      <w:pPr>
        <w:pStyle w:val="ListParagraph"/>
        <w:numPr>
          <w:ilvl w:val="0"/>
          <w:numId w:val="17"/>
        </w:numPr>
      </w:pPr>
      <w:r w:rsidRPr="007C621F">
        <w:t>Summary of funding support needs</w:t>
      </w:r>
    </w:p>
    <w:p w14:paraId="44B21FDA" w14:textId="77777777" w:rsidR="001A17EF" w:rsidRPr="007C621F" w:rsidRDefault="001A17EF" w:rsidP="00EE71DD">
      <w:pPr>
        <w:pStyle w:val="Heading4"/>
      </w:pPr>
      <w:r w:rsidRPr="007C621F">
        <w:t>Cambridge</w:t>
      </w:r>
    </w:p>
    <w:p w14:paraId="007CC18F" w14:textId="77777777" w:rsidR="001A17EF" w:rsidRPr="007C621F" w:rsidRDefault="001A17EF" w:rsidP="007C621F">
      <w:pPr>
        <w:pStyle w:val="ListParagraph"/>
        <w:numPr>
          <w:ilvl w:val="2"/>
          <w:numId w:val="18"/>
        </w:numPr>
      </w:pPr>
      <w:r w:rsidRPr="007C621F">
        <w:t>Think need funding for 23 individuals’ floating support and 20 individuals’ start-up support.</w:t>
      </w:r>
    </w:p>
    <w:p w14:paraId="4D1A2E2A" w14:textId="77777777" w:rsidR="001A17EF" w:rsidRPr="007C621F" w:rsidRDefault="001A17EF" w:rsidP="00EE71DD">
      <w:pPr>
        <w:pStyle w:val="Heading4"/>
      </w:pPr>
      <w:r w:rsidRPr="007C621F">
        <w:t xml:space="preserve">Fenland </w:t>
      </w:r>
    </w:p>
    <w:p w14:paraId="0069E957" w14:textId="77777777" w:rsidR="001A17EF" w:rsidRPr="007C621F" w:rsidRDefault="001A17EF" w:rsidP="007C621F">
      <w:pPr>
        <w:pStyle w:val="ListParagraph"/>
        <w:numPr>
          <w:ilvl w:val="2"/>
          <w:numId w:val="18"/>
        </w:numPr>
      </w:pPr>
      <w:r w:rsidRPr="007C621F">
        <w:t>NO ADDITIONAL FUNDING NEEDED – check with SG</w:t>
      </w:r>
    </w:p>
    <w:p w14:paraId="7A2952A5" w14:textId="77777777" w:rsidR="001A17EF" w:rsidRPr="007C621F" w:rsidRDefault="001A17EF" w:rsidP="00EE71DD">
      <w:pPr>
        <w:pStyle w:val="Heading4"/>
      </w:pPr>
      <w:r w:rsidRPr="007C621F">
        <w:t xml:space="preserve">HDC  </w:t>
      </w:r>
    </w:p>
    <w:p w14:paraId="1E546BF2" w14:textId="77777777" w:rsidR="001A17EF" w:rsidRPr="007C621F" w:rsidRDefault="001A17EF" w:rsidP="007C621F">
      <w:pPr>
        <w:pStyle w:val="ListParagraph"/>
        <w:numPr>
          <w:ilvl w:val="2"/>
          <w:numId w:val="18"/>
        </w:numPr>
      </w:pPr>
      <w:r w:rsidRPr="007C621F">
        <w:t>Need for intensive supported housing for approx. 5 dual diagnosis customers, not readily available in HDC, with a co-ordinated package of support from a range of different agencies (including substance misuse and mental health services).</w:t>
      </w:r>
    </w:p>
    <w:p w14:paraId="27BDE946" w14:textId="77777777" w:rsidR="001A17EF" w:rsidRPr="007C621F" w:rsidRDefault="001A17EF" w:rsidP="00EE71DD">
      <w:pPr>
        <w:pStyle w:val="Heading4"/>
      </w:pPr>
      <w:r w:rsidRPr="007C621F">
        <w:t xml:space="preserve">SCDC </w:t>
      </w:r>
    </w:p>
    <w:p w14:paraId="3BAAEB69" w14:textId="77777777" w:rsidR="001A17EF" w:rsidRPr="007C621F" w:rsidRDefault="001A17EF" w:rsidP="007C621F">
      <w:pPr>
        <w:pStyle w:val="ListParagraph"/>
        <w:numPr>
          <w:ilvl w:val="2"/>
          <w:numId w:val="18"/>
        </w:numPr>
      </w:pPr>
      <w:r w:rsidRPr="007C621F">
        <w:t>Small number in temp – implies all support needs are provided for</w:t>
      </w:r>
    </w:p>
    <w:p w14:paraId="2715F1D7" w14:textId="77777777" w:rsidR="001A17EF" w:rsidRPr="007C621F" w:rsidRDefault="001A17EF" w:rsidP="00EE71DD">
      <w:pPr>
        <w:pStyle w:val="Heading4"/>
      </w:pPr>
      <w:r w:rsidRPr="007C621F">
        <w:t>Peterborough</w:t>
      </w:r>
    </w:p>
    <w:p w14:paraId="0FEB7EA7" w14:textId="77777777" w:rsidR="001A17EF" w:rsidRPr="007C621F" w:rsidRDefault="001A17EF" w:rsidP="007C621F">
      <w:pPr>
        <w:pStyle w:val="ListParagraph"/>
        <w:numPr>
          <w:ilvl w:val="2"/>
          <w:numId w:val="18"/>
        </w:numPr>
      </w:pPr>
      <w:r w:rsidRPr="007C621F">
        <w:t xml:space="preserve">Subject to accommodation changes there will be a support need forecast as: </w:t>
      </w:r>
    </w:p>
    <w:p w14:paraId="58669353" w14:textId="77777777" w:rsidR="001A17EF" w:rsidRPr="006A7AEB" w:rsidRDefault="001A17EF" w:rsidP="007C621F">
      <w:pPr>
        <w:pStyle w:val="ListParagraph"/>
        <w:numPr>
          <w:ilvl w:val="3"/>
          <w:numId w:val="18"/>
        </w:numPr>
      </w:pPr>
      <w:r w:rsidRPr="006A7AEB">
        <w:t xml:space="preserve">Onsite support @ 30 bed provision 4 x FTE support workers </w:t>
      </w:r>
      <w:r>
        <w:t>(</w:t>
      </w:r>
      <w:r w:rsidRPr="006A7AEB">
        <w:t>no current funding</w:t>
      </w:r>
      <w:r>
        <w:t xml:space="preserve"> in place)</w:t>
      </w:r>
    </w:p>
    <w:p w14:paraId="722EBC01" w14:textId="77777777" w:rsidR="001A17EF" w:rsidRDefault="001A17EF" w:rsidP="007C621F">
      <w:pPr>
        <w:pStyle w:val="ListParagraph"/>
        <w:numPr>
          <w:ilvl w:val="3"/>
          <w:numId w:val="18"/>
        </w:numPr>
      </w:pPr>
      <w:r w:rsidRPr="006A7AEB">
        <w:t>Onsite support @ Change maker house. 2 x FTE support workers. This could be part funded by the support that is currently assigned to the Longhurst Crash Beds</w:t>
      </w:r>
      <w:r>
        <w:t xml:space="preserve"> (</w:t>
      </w:r>
      <w:r w:rsidRPr="006A7AEB">
        <w:t>shortfall in funding</w:t>
      </w:r>
      <w:r>
        <w:t>)</w:t>
      </w:r>
      <w:r w:rsidRPr="006A7AEB">
        <w:t xml:space="preserve">. </w:t>
      </w:r>
    </w:p>
    <w:p w14:paraId="09B4C402" w14:textId="77777777" w:rsidR="00B85110" w:rsidRDefault="00B85110" w:rsidP="00B85110">
      <w:pPr>
        <w:rPr>
          <w:i/>
        </w:rPr>
      </w:pPr>
    </w:p>
    <w:p w14:paraId="159F3F2F" w14:textId="1947B376" w:rsidR="00B85110" w:rsidRPr="00B85110" w:rsidRDefault="00B85110" w:rsidP="00B85110">
      <w:pPr>
        <w:rPr>
          <w:i/>
        </w:rPr>
      </w:pPr>
      <w:r w:rsidRPr="00B85110">
        <w:rPr>
          <w:i/>
        </w:rPr>
        <w:t>(to be shortened and added in as summary at front of report)</w:t>
      </w:r>
    </w:p>
    <w:p w14:paraId="49CF8441" w14:textId="77777777" w:rsidR="00587717" w:rsidRDefault="00587717">
      <w:pPr>
        <w:spacing w:after="160" w:line="259" w:lineRule="auto"/>
        <w:textAlignment w:val="auto"/>
        <w:rPr>
          <w:b/>
          <w:u w:val="single"/>
        </w:rPr>
      </w:pPr>
      <w:r>
        <w:rPr>
          <w:b/>
          <w:u w:val="single"/>
        </w:rPr>
        <w:br w:type="page"/>
      </w:r>
    </w:p>
    <w:p w14:paraId="36595C3C" w14:textId="0968299C" w:rsidR="00682123" w:rsidRDefault="00682123" w:rsidP="00B85110">
      <w:pPr>
        <w:pStyle w:val="tablenumbered"/>
      </w:pPr>
      <w:r>
        <w:lastRenderedPageBreak/>
        <w:t>All the numbers</w:t>
      </w:r>
      <w:r w:rsidR="00B26D90">
        <w:t xml:space="preserve"> in the Next Steps plans</w:t>
      </w:r>
    </w:p>
    <w:tbl>
      <w:tblPr>
        <w:tblStyle w:val="TableGrid"/>
        <w:tblW w:w="5000" w:type="pct"/>
        <w:tblLook w:val="04A0" w:firstRow="1" w:lastRow="0" w:firstColumn="1" w:lastColumn="0" w:noHBand="0" w:noVBand="1"/>
      </w:tblPr>
      <w:tblGrid>
        <w:gridCol w:w="2802"/>
        <w:gridCol w:w="1201"/>
        <w:gridCol w:w="1359"/>
        <w:gridCol w:w="1284"/>
        <w:gridCol w:w="1320"/>
        <w:gridCol w:w="1359"/>
        <w:gridCol w:w="1357"/>
      </w:tblGrid>
      <w:tr w:rsidR="002B7C3F" w:rsidRPr="002B7C3F" w14:paraId="2CE151B7" w14:textId="77777777" w:rsidTr="00B26D90">
        <w:trPr>
          <w:trHeight w:val="20"/>
          <w:tblHeader/>
        </w:trPr>
        <w:tc>
          <w:tcPr>
            <w:tcW w:w="1312" w:type="pct"/>
            <w:shd w:val="clear" w:color="auto" w:fill="F2F2F2" w:themeFill="background1" w:themeFillShade="F2"/>
            <w:hideMark/>
          </w:tcPr>
          <w:p w14:paraId="49C16077" w14:textId="518E121A" w:rsidR="00682123" w:rsidRPr="00587717" w:rsidRDefault="00682123" w:rsidP="00682123">
            <w:pPr>
              <w:textAlignment w:val="auto"/>
              <w:rPr>
                <w:rFonts w:ascii="Calibri" w:eastAsia="Times New Roman" w:hAnsi="Calibri" w:cs="Calibri"/>
                <w:b/>
                <w:sz w:val="20"/>
                <w:szCs w:val="20"/>
                <w:lang w:eastAsia="en-GB"/>
              </w:rPr>
            </w:pPr>
            <w:r w:rsidRPr="00587717">
              <w:rPr>
                <w:rFonts w:ascii="Calibri" w:eastAsia="Times New Roman" w:hAnsi="Calibri" w:cs="Calibri"/>
                <w:b/>
                <w:sz w:val="20"/>
                <w:szCs w:val="20"/>
                <w:lang w:eastAsia="en-GB"/>
              </w:rPr>
              <w:t>NU</w:t>
            </w:r>
            <w:r w:rsidR="002B7C3F" w:rsidRPr="00587717">
              <w:rPr>
                <w:rFonts w:ascii="Calibri" w:eastAsia="Times New Roman" w:hAnsi="Calibri" w:cs="Calibri"/>
                <w:b/>
                <w:sz w:val="20"/>
                <w:szCs w:val="20"/>
                <w:lang w:eastAsia="en-GB"/>
              </w:rPr>
              <w:t>M</w:t>
            </w:r>
            <w:r w:rsidRPr="00587717">
              <w:rPr>
                <w:rFonts w:ascii="Calibri" w:eastAsia="Times New Roman" w:hAnsi="Calibri" w:cs="Calibri"/>
                <w:b/>
                <w:sz w:val="20"/>
                <w:szCs w:val="20"/>
                <w:lang w:eastAsia="en-GB"/>
              </w:rPr>
              <w:t>BERS ONLY</w:t>
            </w:r>
          </w:p>
        </w:tc>
        <w:tc>
          <w:tcPr>
            <w:tcW w:w="562" w:type="pct"/>
            <w:shd w:val="clear" w:color="auto" w:fill="F2F2F2" w:themeFill="background1" w:themeFillShade="F2"/>
            <w:vAlign w:val="center"/>
            <w:hideMark/>
          </w:tcPr>
          <w:p w14:paraId="1A9E87A7" w14:textId="3535D7EA" w:rsidR="00682123" w:rsidRPr="00587717" w:rsidRDefault="00682123" w:rsidP="00587717">
            <w:pPr>
              <w:jc w:val="right"/>
              <w:textAlignment w:val="auto"/>
              <w:rPr>
                <w:rFonts w:ascii="Calibri" w:eastAsia="Times New Roman" w:hAnsi="Calibri" w:cs="Calibri"/>
                <w:bCs w:val="0"/>
                <w:sz w:val="20"/>
                <w:szCs w:val="20"/>
                <w:lang w:eastAsia="en-GB"/>
              </w:rPr>
            </w:pPr>
            <w:r w:rsidRPr="00587717">
              <w:rPr>
                <w:rFonts w:ascii="Calibri" w:eastAsia="Times New Roman" w:hAnsi="Calibri" w:cs="Calibri"/>
                <w:bCs w:val="0"/>
                <w:sz w:val="20"/>
                <w:szCs w:val="20"/>
                <w:lang w:eastAsia="en-GB"/>
              </w:rPr>
              <w:t>Ca</w:t>
            </w:r>
            <w:r w:rsidR="002B7C3F" w:rsidRPr="00587717">
              <w:rPr>
                <w:rFonts w:ascii="Calibri" w:eastAsia="Times New Roman" w:hAnsi="Calibri" w:cs="Calibri"/>
                <w:bCs w:val="0"/>
                <w:sz w:val="20"/>
                <w:szCs w:val="20"/>
                <w:lang w:eastAsia="en-GB"/>
              </w:rPr>
              <w:t>m</w:t>
            </w:r>
            <w:r w:rsidRPr="00587717">
              <w:rPr>
                <w:rFonts w:ascii="Calibri" w:eastAsia="Times New Roman" w:hAnsi="Calibri" w:cs="Calibri"/>
                <w:bCs w:val="0"/>
                <w:sz w:val="20"/>
                <w:szCs w:val="20"/>
                <w:lang w:eastAsia="en-GB"/>
              </w:rPr>
              <w:t>bridge</w:t>
            </w:r>
          </w:p>
        </w:tc>
        <w:tc>
          <w:tcPr>
            <w:tcW w:w="636" w:type="pct"/>
            <w:shd w:val="clear" w:color="auto" w:fill="F2F2F2" w:themeFill="background1" w:themeFillShade="F2"/>
            <w:vAlign w:val="center"/>
            <w:hideMark/>
          </w:tcPr>
          <w:p w14:paraId="4EC6E403" w14:textId="77777777" w:rsidR="00682123" w:rsidRPr="00587717" w:rsidRDefault="00682123" w:rsidP="00587717">
            <w:pPr>
              <w:jc w:val="right"/>
              <w:textAlignment w:val="auto"/>
              <w:rPr>
                <w:rFonts w:ascii="Calibri" w:eastAsia="Times New Roman" w:hAnsi="Calibri" w:cs="Calibri"/>
                <w:bCs w:val="0"/>
                <w:sz w:val="20"/>
                <w:szCs w:val="20"/>
                <w:lang w:eastAsia="en-GB"/>
              </w:rPr>
            </w:pPr>
            <w:r w:rsidRPr="00587717">
              <w:rPr>
                <w:rFonts w:ascii="Calibri" w:eastAsia="Times New Roman" w:hAnsi="Calibri" w:cs="Calibri"/>
                <w:bCs w:val="0"/>
                <w:sz w:val="20"/>
                <w:szCs w:val="20"/>
                <w:lang w:eastAsia="en-GB"/>
              </w:rPr>
              <w:t>ECDC</w:t>
            </w:r>
          </w:p>
        </w:tc>
        <w:tc>
          <w:tcPr>
            <w:tcW w:w="601" w:type="pct"/>
            <w:shd w:val="clear" w:color="auto" w:fill="F2F2F2" w:themeFill="background1" w:themeFillShade="F2"/>
            <w:vAlign w:val="center"/>
            <w:hideMark/>
          </w:tcPr>
          <w:p w14:paraId="3F2638D5" w14:textId="77777777" w:rsidR="00682123" w:rsidRPr="00587717" w:rsidRDefault="00682123" w:rsidP="00587717">
            <w:pPr>
              <w:jc w:val="right"/>
              <w:textAlignment w:val="auto"/>
              <w:rPr>
                <w:rFonts w:ascii="Calibri" w:eastAsia="Times New Roman" w:hAnsi="Calibri" w:cs="Calibri"/>
                <w:bCs w:val="0"/>
                <w:sz w:val="20"/>
                <w:szCs w:val="20"/>
                <w:lang w:eastAsia="en-GB"/>
              </w:rPr>
            </w:pPr>
            <w:r w:rsidRPr="00587717">
              <w:rPr>
                <w:rFonts w:ascii="Calibri" w:eastAsia="Times New Roman" w:hAnsi="Calibri" w:cs="Calibri"/>
                <w:bCs w:val="0"/>
                <w:sz w:val="20"/>
                <w:szCs w:val="20"/>
                <w:lang w:eastAsia="en-GB"/>
              </w:rPr>
              <w:t>FDC</w:t>
            </w:r>
          </w:p>
        </w:tc>
        <w:tc>
          <w:tcPr>
            <w:tcW w:w="618" w:type="pct"/>
            <w:shd w:val="clear" w:color="auto" w:fill="F2F2F2" w:themeFill="background1" w:themeFillShade="F2"/>
            <w:vAlign w:val="center"/>
            <w:hideMark/>
          </w:tcPr>
          <w:p w14:paraId="385F12E1" w14:textId="77777777" w:rsidR="00682123" w:rsidRPr="00587717" w:rsidRDefault="00682123" w:rsidP="00587717">
            <w:pPr>
              <w:jc w:val="right"/>
              <w:textAlignment w:val="auto"/>
              <w:rPr>
                <w:rFonts w:ascii="Calibri" w:eastAsia="Times New Roman" w:hAnsi="Calibri" w:cs="Calibri"/>
                <w:bCs w:val="0"/>
                <w:sz w:val="20"/>
                <w:szCs w:val="20"/>
                <w:lang w:eastAsia="en-GB"/>
              </w:rPr>
            </w:pPr>
            <w:r w:rsidRPr="00587717">
              <w:rPr>
                <w:rFonts w:ascii="Calibri" w:eastAsia="Times New Roman" w:hAnsi="Calibri" w:cs="Calibri"/>
                <w:bCs w:val="0"/>
                <w:sz w:val="20"/>
                <w:szCs w:val="20"/>
                <w:lang w:eastAsia="en-GB"/>
              </w:rPr>
              <w:t>HDC</w:t>
            </w:r>
          </w:p>
        </w:tc>
        <w:tc>
          <w:tcPr>
            <w:tcW w:w="636" w:type="pct"/>
            <w:shd w:val="clear" w:color="auto" w:fill="F2F2F2" w:themeFill="background1" w:themeFillShade="F2"/>
            <w:vAlign w:val="center"/>
            <w:hideMark/>
          </w:tcPr>
          <w:p w14:paraId="326410DD" w14:textId="77777777" w:rsidR="00682123" w:rsidRPr="00587717" w:rsidRDefault="00682123" w:rsidP="00587717">
            <w:pPr>
              <w:jc w:val="right"/>
              <w:textAlignment w:val="auto"/>
              <w:rPr>
                <w:rFonts w:ascii="Calibri" w:eastAsia="Times New Roman" w:hAnsi="Calibri" w:cs="Calibri"/>
                <w:bCs w:val="0"/>
                <w:sz w:val="20"/>
                <w:szCs w:val="20"/>
                <w:lang w:eastAsia="en-GB"/>
              </w:rPr>
            </w:pPr>
            <w:r w:rsidRPr="00587717">
              <w:rPr>
                <w:rFonts w:ascii="Calibri" w:eastAsia="Times New Roman" w:hAnsi="Calibri" w:cs="Calibri"/>
                <w:bCs w:val="0"/>
                <w:sz w:val="20"/>
                <w:szCs w:val="20"/>
                <w:lang w:eastAsia="en-GB"/>
              </w:rPr>
              <w:t>SCDC</w:t>
            </w:r>
          </w:p>
        </w:tc>
        <w:tc>
          <w:tcPr>
            <w:tcW w:w="635" w:type="pct"/>
            <w:shd w:val="clear" w:color="auto" w:fill="F2F2F2" w:themeFill="background1" w:themeFillShade="F2"/>
            <w:vAlign w:val="center"/>
            <w:hideMark/>
          </w:tcPr>
          <w:p w14:paraId="43E7C0EE" w14:textId="77777777" w:rsidR="00682123" w:rsidRPr="00587717" w:rsidRDefault="00682123" w:rsidP="00587717">
            <w:pPr>
              <w:jc w:val="right"/>
              <w:textAlignment w:val="auto"/>
              <w:rPr>
                <w:rFonts w:ascii="Calibri" w:eastAsia="Times New Roman" w:hAnsi="Calibri" w:cs="Calibri"/>
                <w:bCs w:val="0"/>
                <w:sz w:val="20"/>
                <w:szCs w:val="20"/>
                <w:lang w:eastAsia="en-GB"/>
              </w:rPr>
            </w:pPr>
            <w:r w:rsidRPr="00587717">
              <w:rPr>
                <w:rFonts w:ascii="Calibri" w:eastAsia="Times New Roman" w:hAnsi="Calibri" w:cs="Calibri"/>
                <w:bCs w:val="0"/>
                <w:sz w:val="20"/>
                <w:szCs w:val="20"/>
                <w:lang w:eastAsia="en-GB"/>
              </w:rPr>
              <w:t>PCC</w:t>
            </w:r>
          </w:p>
        </w:tc>
      </w:tr>
      <w:tr w:rsidR="00682123" w:rsidRPr="00682123" w14:paraId="5AB515FA" w14:textId="77777777" w:rsidTr="00587717">
        <w:trPr>
          <w:trHeight w:val="20"/>
        </w:trPr>
        <w:tc>
          <w:tcPr>
            <w:tcW w:w="1312" w:type="pct"/>
            <w:hideMark/>
          </w:tcPr>
          <w:p w14:paraId="5B08987E" w14:textId="77777777" w:rsidR="00682123" w:rsidRPr="00587717" w:rsidRDefault="00682123" w:rsidP="00682123">
            <w:pPr>
              <w:textAlignment w:val="auto"/>
              <w:rPr>
                <w:rFonts w:ascii="Calibri" w:eastAsia="Times New Roman" w:hAnsi="Calibri" w:cs="Calibri"/>
                <w:bCs w:val="0"/>
                <w:color w:val="000000"/>
                <w:sz w:val="20"/>
                <w:szCs w:val="20"/>
                <w:lang w:eastAsia="en-GB"/>
              </w:rPr>
            </w:pPr>
            <w:bookmarkStart w:id="18" w:name="RANGE!A2"/>
            <w:r w:rsidRPr="00587717">
              <w:rPr>
                <w:rFonts w:ascii="Calibri" w:eastAsia="Times New Roman" w:hAnsi="Calibri" w:cs="Calibri"/>
                <w:bCs w:val="0"/>
                <w:color w:val="000000"/>
                <w:sz w:val="20"/>
                <w:szCs w:val="20"/>
                <w:lang w:eastAsia="en-GB"/>
              </w:rPr>
              <w:t>Number of single people in emergency accommodation in response to C-19[i]  </w:t>
            </w:r>
            <w:bookmarkEnd w:id="18"/>
          </w:p>
        </w:tc>
        <w:tc>
          <w:tcPr>
            <w:tcW w:w="562" w:type="pct"/>
            <w:vAlign w:val="center"/>
            <w:hideMark/>
          </w:tcPr>
          <w:p w14:paraId="73CF10C2"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103</w:t>
            </w:r>
          </w:p>
        </w:tc>
        <w:tc>
          <w:tcPr>
            <w:tcW w:w="636" w:type="pct"/>
            <w:vAlign w:val="center"/>
            <w:hideMark/>
          </w:tcPr>
          <w:p w14:paraId="69C2CD66"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vAlign w:val="center"/>
            <w:hideMark/>
          </w:tcPr>
          <w:p w14:paraId="714EA3A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39</w:t>
            </w:r>
          </w:p>
        </w:tc>
        <w:tc>
          <w:tcPr>
            <w:tcW w:w="618" w:type="pct"/>
            <w:vAlign w:val="center"/>
            <w:hideMark/>
          </w:tcPr>
          <w:p w14:paraId="70EA6469"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25</w:t>
            </w:r>
          </w:p>
        </w:tc>
        <w:tc>
          <w:tcPr>
            <w:tcW w:w="636" w:type="pct"/>
            <w:vAlign w:val="center"/>
            <w:hideMark/>
          </w:tcPr>
          <w:p w14:paraId="6B1B094D"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w:t>
            </w:r>
          </w:p>
        </w:tc>
        <w:tc>
          <w:tcPr>
            <w:tcW w:w="635" w:type="pct"/>
            <w:vAlign w:val="center"/>
            <w:hideMark/>
          </w:tcPr>
          <w:p w14:paraId="0740C43D"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99</w:t>
            </w:r>
          </w:p>
        </w:tc>
      </w:tr>
      <w:tr w:rsidR="00682123" w:rsidRPr="00682123" w14:paraId="6EDDC104" w14:textId="77777777" w:rsidTr="00587717">
        <w:trPr>
          <w:trHeight w:val="20"/>
        </w:trPr>
        <w:tc>
          <w:tcPr>
            <w:tcW w:w="1312" w:type="pct"/>
            <w:hideMark/>
          </w:tcPr>
          <w:p w14:paraId="7018EC09" w14:textId="6BAB3CDD" w:rsidR="00682123" w:rsidRPr="00587717" w:rsidRDefault="00682123" w:rsidP="00587717">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Please provide the number of single people currently in Temporary Accommodation (TA) in response to the C-19</w:t>
            </w:r>
          </w:p>
        </w:tc>
        <w:tc>
          <w:tcPr>
            <w:tcW w:w="562" w:type="pct"/>
            <w:vAlign w:val="center"/>
            <w:hideMark/>
          </w:tcPr>
          <w:p w14:paraId="07241BC5"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7</w:t>
            </w:r>
          </w:p>
        </w:tc>
        <w:tc>
          <w:tcPr>
            <w:tcW w:w="636" w:type="pct"/>
            <w:vAlign w:val="center"/>
            <w:hideMark/>
          </w:tcPr>
          <w:p w14:paraId="0F4A09D8"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4</w:t>
            </w:r>
          </w:p>
        </w:tc>
        <w:tc>
          <w:tcPr>
            <w:tcW w:w="601" w:type="pct"/>
            <w:vAlign w:val="center"/>
            <w:hideMark/>
          </w:tcPr>
          <w:p w14:paraId="26685C91"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10</w:t>
            </w:r>
          </w:p>
        </w:tc>
        <w:tc>
          <w:tcPr>
            <w:tcW w:w="618" w:type="pct"/>
            <w:vAlign w:val="center"/>
            <w:hideMark/>
          </w:tcPr>
          <w:p w14:paraId="0CB3E9E4"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w:t>
            </w:r>
          </w:p>
        </w:tc>
        <w:tc>
          <w:tcPr>
            <w:tcW w:w="636" w:type="pct"/>
            <w:vAlign w:val="center"/>
            <w:hideMark/>
          </w:tcPr>
          <w:p w14:paraId="6D2080A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w:t>
            </w:r>
          </w:p>
        </w:tc>
        <w:tc>
          <w:tcPr>
            <w:tcW w:w="635" w:type="pct"/>
            <w:vAlign w:val="center"/>
            <w:hideMark/>
          </w:tcPr>
          <w:p w14:paraId="12F57D8A"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4</w:t>
            </w:r>
          </w:p>
        </w:tc>
      </w:tr>
      <w:tr w:rsidR="00587717" w:rsidRPr="00682123" w14:paraId="739048FF" w14:textId="77777777" w:rsidTr="00B26D90">
        <w:trPr>
          <w:trHeight w:val="20"/>
        </w:trPr>
        <w:tc>
          <w:tcPr>
            <w:tcW w:w="5000" w:type="pct"/>
            <w:gridSpan w:val="7"/>
            <w:shd w:val="clear" w:color="auto" w:fill="F2F2F2" w:themeFill="background1" w:themeFillShade="F2"/>
            <w:vAlign w:val="center"/>
            <w:hideMark/>
          </w:tcPr>
          <w:p w14:paraId="1417E3F1" w14:textId="6E6F605A" w:rsidR="00587717" w:rsidRPr="00587717" w:rsidRDefault="00587717" w:rsidP="00587717">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Of the people in accommodation how many do you estimate will need the following types of accommodation and support to move on</w:t>
            </w:r>
            <w:r w:rsidRPr="00587717">
              <w:rPr>
                <w:rFonts w:ascii="Calibri" w:eastAsia="Times New Roman" w:hAnsi="Calibri" w:cs="Calibri"/>
                <w:bCs w:val="0"/>
                <w:color w:val="000000"/>
                <w:sz w:val="20"/>
                <w:szCs w:val="20"/>
                <w:vertAlign w:val="superscript"/>
                <w:lang w:eastAsia="en-GB"/>
              </w:rPr>
              <w:t>[1]</w:t>
            </w:r>
            <w:r w:rsidRPr="00587717">
              <w:rPr>
                <w:rFonts w:ascii="Calibri" w:eastAsia="Times New Roman" w:hAnsi="Calibri" w:cs="Calibri"/>
                <w:bCs w:val="0"/>
                <w:color w:val="000000"/>
                <w:sz w:val="20"/>
                <w:szCs w:val="20"/>
                <w:lang w:eastAsia="en-GB"/>
              </w:rPr>
              <w:t xml:space="preserve"> </w:t>
            </w:r>
            <w:r w:rsidRPr="00587717">
              <w:rPr>
                <w:rFonts w:ascii="Calibri" w:eastAsia="Times New Roman" w:hAnsi="Calibri" w:cs="Calibri"/>
                <w:bCs w:val="0"/>
                <w:color w:val="000000"/>
                <w:sz w:val="20"/>
                <w:szCs w:val="20"/>
                <w:vertAlign w:val="superscript"/>
                <w:lang w:eastAsia="en-GB"/>
              </w:rPr>
              <w:t>[2]</w:t>
            </w:r>
          </w:p>
        </w:tc>
      </w:tr>
      <w:tr w:rsidR="00682123" w:rsidRPr="00682123" w14:paraId="245DBC71" w14:textId="77777777" w:rsidTr="00587717">
        <w:trPr>
          <w:trHeight w:val="20"/>
        </w:trPr>
        <w:tc>
          <w:tcPr>
            <w:tcW w:w="1312" w:type="pct"/>
            <w:hideMark/>
          </w:tcPr>
          <w:p w14:paraId="014D648A"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Housing First/Supported Housing with intensive support</w:t>
            </w:r>
          </w:p>
        </w:tc>
        <w:tc>
          <w:tcPr>
            <w:tcW w:w="562" w:type="pct"/>
            <w:vAlign w:val="center"/>
            <w:hideMark/>
          </w:tcPr>
          <w:p w14:paraId="1116A607" w14:textId="77777777" w:rsidR="00682123" w:rsidRPr="00587717" w:rsidRDefault="00682123" w:rsidP="00587717">
            <w:pPr>
              <w:ind w:firstLineChars="300" w:firstLine="600"/>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32</w:t>
            </w:r>
          </w:p>
        </w:tc>
        <w:tc>
          <w:tcPr>
            <w:tcW w:w="636" w:type="pct"/>
            <w:vAlign w:val="center"/>
            <w:hideMark/>
          </w:tcPr>
          <w:p w14:paraId="2CEC0E3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noWrap/>
            <w:vAlign w:val="center"/>
            <w:hideMark/>
          </w:tcPr>
          <w:p w14:paraId="76EB5299"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bookmarkStart w:id="19" w:name="RANGE!D5"/>
            <w:r w:rsidRPr="00587717">
              <w:rPr>
                <w:rFonts w:ascii="Calibri" w:eastAsia="Times New Roman" w:hAnsi="Calibri" w:cs="Calibri"/>
                <w:bCs w:val="0"/>
                <w:color w:val="000000"/>
                <w:sz w:val="20"/>
                <w:szCs w:val="20"/>
                <w:lang w:eastAsia="en-GB"/>
              </w:rPr>
              <w:t>7</w:t>
            </w:r>
            <w:bookmarkEnd w:id="19"/>
          </w:p>
        </w:tc>
        <w:tc>
          <w:tcPr>
            <w:tcW w:w="618" w:type="pct"/>
            <w:vAlign w:val="center"/>
            <w:hideMark/>
          </w:tcPr>
          <w:p w14:paraId="3CCCB99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5</w:t>
            </w:r>
          </w:p>
        </w:tc>
        <w:tc>
          <w:tcPr>
            <w:tcW w:w="636" w:type="pct"/>
            <w:vAlign w:val="center"/>
            <w:hideMark/>
          </w:tcPr>
          <w:p w14:paraId="14F9D890"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w:t>
            </w:r>
          </w:p>
        </w:tc>
        <w:tc>
          <w:tcPr>
            <w:tcW w:w="635" w:type="pct"/>
            <w:vAlign w:val="center"/>
            <w:hideMark/>
          </w:tcPr>
          <w:p w14:paraId="4FF5D0F2"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8</w:t>
            </w:r>
          </w:p>
        </w:tc>
      </w:tr>
      <w:tr w:rsidR="00682123" w:rsidRPr="00682123" w14:paraId="45C8D32D" w14:textId="77777777" w:rsidTr="00587717">
        <w:trPr>
          <w:trHeight w:val="20"/>
        </w:trPr>
        <w:tc>
          <w:tcPr>
            <w:tcW w:w="1312" w:type="pct"/>
            <w:hideMark/>
          </w:tcPr>
          <w:p w14:paraId="3B12FD70"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Supported housing or housing led with floating support</w:t>
            </w:r>
          </w:p>
        </w:tc>
        <w:tc>
          <w:tcPr>
            <w:tcW w:w="562" w:type="pct"/>
            <w:vAlign w:val="center"/>
            <w:hideMark/>
          </w:tcPr>
          <w:p w14:paraId="629188FA" w14:textId="77777777" w:rsidR="00682123" w:rsidRPr="00587717" w:rsidRDefault="00682123" w:rsidP="00587717">
            <w:pPr>
              <w:ind w:firstLineChars="300" w:firstLine="600"/>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49</w:t>
            </w:r>
          </w:p>
        </w:tc>
        <w:tc>
          <w:tcPr>
            <w:tcW w:w="636" w:type="pct"/>
            <w:vAlign w:val="center"/>
            <w:hideMark/>
          </w:tcPr>
          <w:p w14:paraId="0440D01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vAlign w:val="center"/>
            <w:hideMark/>
          </w:tcPr>
          <w:p w14:paraId="457CB496"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6</w:t>
            </w:r>
          </w:p>
        </w:tc>
        <w:tc>
          <w:tcPr>
            <w:tcW w:w="618" w:type="pct"/>
            <w:vAlign w:val="center"/>
            <w:hideMark/>
          </w:tcPr>
          <w:p w14:paraId="5C28C657"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8</w:t>
            </w:r>
          </w:p>
        </w:tc>
        <w:tc>
          <w:tcPr>
            <w:tcW w:w="636" w:type="pct"/>
            <w:vAlign w:val="center"/>
            <w:hideMark/>
          </w:tcPr>
          <w:p w14:paraId="234DEE5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w:t>
            </w:r>
          </w:p>
        </w:tc>
        <w:tc>
          <w:tcPr>
            <w:tcW w:w="635" w:type="pct"/>
            <w:vAlign w:val="center"/>
            <w:hideMark/>
          </w:tcPr>
          <w:p w14:paraId="7FBE622A"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28</w:t>
            </w:r>
          </w:p>
        </w:tc>
      </w:tr>
      <w:tr w:rsidR="00682123" w:rsidRPr="00682123" w14:paraId="758949F6" w14:textId="77777777" w:rsidTr="00587717">
        <w:trPr>
          <w:trHeight w:val="20"/>
        </w:trPr>
        <w:tc>
          <w:tcPr>
            <w:tcW w:w="1312" w:type="pct"/>
            <w:hideMark/>
          </w:tcPr>
          <w:p w14:paraId="445A512B"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PRS/social housing tenancy with start-up floating support</w:t>
            </w:r>
          </w:p>
        </w:tc>
        <w:tc>
          <w:tcPr>
            <w:tcW w:w="562" w:type="pct"/>
            <w:vAlign w:val="center"/>
            <w:hideMark/>
          </w:tcPr>
          <w:p w14:paraId="57E8C712" w14:textId="77777777" w:rsidR="00682123" w:rsidRPr="00587717" w:rsidRDefault="00682123" w:rsidP="00587717">
            <w:pPr>
              <w:ind w:firstLineChars="300" w:firstLine="600"/>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20</w:t>
            </w:r>
          </w:p>
        </w:tc>
        <w:tc>
          <w:tcPr>
            <w:tcW w:w="636" w:type="pct"/>
            <w:vAlign w:val="center"/>
            <w:hideMark/>
          </w:tcPr>
          <w:p w14:paraId="1829DF53"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4</w:t>
            </w:r>
          </w:p>
        </w:tc>
        <w:tc>
          <w:tcPr>
            <w:tcW w:w="601" w:type="pct"/>
            <w:vAlign w:val="center"/>
            <w:hideMark/>
          </w:tcPr>
          <w:p w14:paraId="19692834"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36</w:t>
            </w:r>
          </w:p>
        </w:tc>
        <w:tc>
          <w:tcPr>
            <w:tcW w:w="618" w:type="pct"/>
            <w:vAlign w:val="center"/>
            <w:hideMark/>
          </w:tcPr>
          <w:p w14:paraId="72381D71"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12</w:t>
            </w:r>
          </w:p>
        </w:tc>
        <w:tc>
          <w:tcPr>
            <w:tcW w:w="636" w:type="pct"/>
            <w:vAlign w:val="center"/>
            <w:hideMark/>
          </w:tcPr>
          <w:p w14:paraId="6DCE6DFC"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w:t>
            </w:r>
          </w:p>
        </w:tc>
        <w:tc>
          <w:tcPr>
            <w:tcW w:w="635" w:type="pct"/>
            <w:vAlign w:val="center"/>
            <w:hideMark/>
          </w:tcPr>
          <w:p w14:paraId="235E5901"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35</w:t>
            </w:r>
          </w:p>
        </w:tc>
      </w:tr>
      <w:tr w:rsidR="00682123" w:rsidRPr="00682123" w14:paraId="5DF29474" w14:textId="77777777" w:rsidTr="00587717">
        <w:trPr>
          <w:trHeight w:val="20"/>
        </w:trPr>
        <w:tc>
          <w:tcPr>
            <w:tcW w:w="1312" w:type="pct"/>
            <w:hideMark/>
          </w:tcPr>
          <w:p w14:paraId="2EE750F6"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Assistance to reconnect to family and friends/return home</w:t>
            </w:r>
          </w:p>
        </w:tc>
        <w:tc>
          <w:tcPr>
            <w:tcW w:w="562" w:type="pct"/>
            <w:vAlign w:val="center"/>
            <w:hideMark/>
          </w:tcPr>
          <w:p w14:paraId="7B19CB19" w14:textId="77777777" w:rsidR="00682123" w:rsidRPr="00587717" w:rsidRDefault="00682123" w:rsidP="00587717">
            <w:pPr>
              <w:ind w:firstLineChars="300" w:firstLine="600"/>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9</w:t>
            </w:r>
          </w:p>
        </w:tc>
        <w:tc>
          <w:tcPr>
            <w:tcW w:w="636" w:type="pct"/>
            <w:vAlign w:val="center"/>
            <w:hideMark/>
          </w:tcPr>
          <w:p w14:paraId="27918734"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vAlign w:val="center"/>
            <w:hideMark/>
          </w:tcPr>
          <w:p w14:paraId="14FC98C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18" w:type="pct"/>
            <w:vAlign w:val="center"/>
            <w:hideMark/>
          </w:tcPr>
          <w:p w14:paraId="397ED22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w:t>
            </w:r>
          </w:p>
        </w:tc>
        <w:tc>
          <w:tcPr>
            <w:tcW w:w="636" w:type="pct"/>
            <w:vAlign w:val="center"/>
            <w:hideMark/>
          </w:tcPr>
          <w:p w14:paraId="51520328"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5" w:type="pct"/>
            <w:vAlign w:val="center"/>
            <w:hideMark/>
          </w:tcPr>
          <w:p w14:paraId="524FE435"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28</w:t>
            </w:r>
          </w:p>
        </w:tc>
      </w:tr>
      <w:tr w:rsidR="00587717" w:rsidRPr="00682123" w14:paraId="6DAD9B39" w14:textId="77777777" w:rsidTr="00B26D90">
        <w:trPr>
          <w:trHeight w:val="20"/>
        </w:trPr>
        <w:tc>
          <w:tcPr>
            <w:tcW w:w="5000" w:type="pct"/>
            <w:gridSpan w:val="7"/>
            <w:shd w:val="clear" w:color="auto" w:fill="F2F2F2" w:themeFill="background1" w:themeFillShade="F2"/>
            <w:vAlign w:val="center"/>
            <w:hideMark/>
          </w:tcPr>
          <w:p w14:paraId="2F3DB74C" w14:textId="48B8A343" w:rsidR="00587717" w:rsidRPr="00587717" w:rsidRDefault="00587717" w:rsidP="00587717">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Of the people in accommodation how many do you estimate: </w:t>
            </w:r>
          </w:p>
        </w:tc>
      </w:tr>
      <w:tr w:rsidR="00682123" w:rsidRPr="00682123" w14:paraId="6B61B798" w14:textId="77777777" w:rsidTr="00587717">
        <w:trPr>
          <w:trHeight w:val="20"/>
        </w:trPr>
        <w:tc>
          <w:tcPr>
            <w:tcW w:w="1312" w:type="pct"/>
            <w:hideMark/>
          </w:tcPr>
          <w:p w14:paraId="3828D7E3"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Are EEA nationals with no access to public funds</w:t>
            </w:r>
          </w:p>
        </w:tc>
        <w:tc>
          <w:tcPr>
            <w:tcW w:w="562" w:type="pct"/>
            <w:vAlign w:val="center"/>
            <w:hideMark/>
          </w:tcPr>
          <w:p w14:paraId="11EEF4D0" w14:textId="77777777" w:rsidR="00682123" w:rsidRPr="00587717" w:rsidRDefault="00682123" w:rsidP="00587717">
            <w:pPr>
              <w:ind w:firstLineChars="200" w:firstLine="400"/>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16</w:t>
            </w:r>
          </w:p>
        </w:tc>
        <w:tc>
          <w:tcPr>
            <w:tcW w:w="636" w:type="pct"/>
            <w:vAlign w:val="center"/>
            <w:hideMark/>
          </w:tcPr>
          <w:p w14:paraId="17327EC5" w14:textId="77777777" w:rsidR="00682123" w:rsidRPr="00587717" w:rsidRDefault="00682123" w:rsidP="00587717">
            <w:pPr>
              <w:ind w:firstLineChars="200" w:firstLine="400"/>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noWrap/>
            <w:vAlign w:val="center"/>
            <w:hideMark/>
          </w:tcPr>
          <w:p w14:paraId="07360FA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bookmarkStart w:id="20" w:name="RANGE!D10"/>
            <w:r w:rsidRPr="00587717">
              <w:rPr>
                <w:rFonts w:ascii="Calibri" w:eastAsia="Times New Roman" w:hAnsi="Calibri" w:cs="Calibri"/>
                <w:bCs w:val="0"/>
                <w:color w:val="000000"/>
                <w:sz w:val="20"/>
                <w:szCs w:val="20"/>
                <w:lang w:eastAsia="en-GB"/>
              </w:rPr>
              <w:t>20</w:t>
            </w:r>
            <w:bookmarkEnd w:id="20"/>
          </w:p>
        </w:tc>
        <w:tc>
          <w:tcPr>
            <w:tcW w:w="618" w:type="pct"/>
            <w:vAlign w:val="center"/>
            <w:hideMark/>
          </w:tcPr>
          <w:p w14:paraId="40043DF5"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5</w:t>
            </w:r>
          </w:p>
        </w:tc>
        <w:tc>
          <w:tcPr>
            <w:tcW w:w="636" w:type="pct"/>
            <w:vAlign w:val="center"/>
            <w:hideMark/>
          </w:tcPr>
          <w:p w14:paraId="7DC9BF3C"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5" w:type="pct"/>
            <w:vAlign w:val="center"/>
            <w:hideMark/>
          </w:tcPr>
          <w:p w14:paraId="3FBA5BD4"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27</w:t>
            </w:r>
          </w:p>
        </w:tc>
      </w:tr>
      <w:tr w:rsidR="00682123" w:rsidRPr="00682123" w14:paraId="39C5E513" w14:textId="77777777" w:rsidTr="00587717">
        <w:trPr>
          <w:trHeight w:val="20"/>
        </w:trPr>
        <w:tc>
          <w:tcPr>
            <w:tcW w:w="1312" w:type="pct"/>
            <w:hideMark/>
          </w:tcPr>
          <w:p w14:paraId="1ECD2B6C"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Other Non UK Nationals with no recourse to public funds due to immigration status?</w:t>
            </w:r>
          </w:p>
        </w:tc>
        <w:tc>
          <w:tcPr>
            <w:tcW w:w="562" w:type="pct"/>
            <w:vAlign w:val="center"/>
            <w:hideMark/>
          </w:tcPr>
          <w:p w14:paraId="4007829C" w14:textId="77777777" w:rsidR="00682123" w:rsidRPr="00587717" w:rsidRDefault="00682123" w:rsidP="00587717">
            <w:pPr>
              <w:ind w:firstLineChars="200" w:firstLine="400"/>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4</w:t>
            </w:r>
          </w:p>
        </w:tc>
        <w:tc>
          <w:tcPr>
            <w:tcW w:w="636" w:type="pct"/>
            <w:vAlign w:val="center"/>
            <w:hideMark/>
          </w:tcPr>
          <w:p w14:paraId="7B2A733C"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vAlign w:val="center"/>
            <w:hideMark/>
          </w:tcPr>
          <w:p w14:paraId="2693B976"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18" w:type="pct"/>
            <w:vAlign w:val="center"/>
            <w:hideMark/>
          </w:tcPr>
          <w:p w14:paraId="0C3EB6AB"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6" w:type="pct"/>
            <w:vAlign w:val="center"/>
            <w:hideMark/>
          </w:tcPr>
          <w:p w14:paraId="5CF26695"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5" w:type="pct"/>
            <w:vAlign w:val="center"/>
            <w:hideMark/>
          </w:tcPr>
          <w:p w14:paraId="5A563F43"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w:t>
            </w:r>
          </w:p>
        </w:tc>
      </w:tr>
      <w:tr w:rsidR="00682123" w:rsidRPr="00682123" w14:paraId="5B8D4B86" w14:textId="77777777" w:rsidTr="00587717">
        <w:trPr>
          <w:trHeight w:val="20"/>
        </w:trPr>
        <w:tc>
          <w:tcPr>
            <w:tcW w:w="1312" w:type="pct"/>
            <w:hideMark/>
          </w:tcPr>
          <w:p w14:paraId="77F1EDC7" w14:textId="77777777" w:rsidR="00682123" w:rsidRPr="00587717" w:rsidRDefault="00682123" w:rsidP="00682123">
            <w:pPr>
              <w:textAlignment w:val="auto"/>
              <w:rPr>
                <w:rFonts w:ascii="Calibri" w:eastAsia="Times New Roman" w:hAnsi="Calibri" w:cs="Calibri"/>
                <w:bCs w:val="0"/>
                <w:color w:val="000000"/>
                <w:sz w:val="20"/>
                <w:szCs w:val="20"/>
                <w:lang w:eastAsia="en-GB"/>
              </w:rPr>
            </w:pPr>
            <w:bookmarkStart w:id="21" w:name="RANGE!A12"/>
            <w:r w:rsidRPr="00587717">
              <w:rPr>
                <w:rFonts w:ascii="Calibri" w:eastAsia="Times New Roman" w:hAnsi="Calibri" w:cs="Calibri"/>
                <w:bCs w:val="0"/>
                <w:color w:val="000000"/>
                <w:sz w:val="20"/>
                <w:szCs w:val="20"/>
                <w:lang w:eastAsia="en-GB"/>
              </w:rPr>
              <w:t>Of the people accommodated how many will require self-contained accom?[4]</w:t>
            </w:r>
            <w:bookmarkEnd w:id="21"/>
          </w:p>
        </w:tc>
        <w:tc>
          <w:tcPr>
            <w:tcW w:w="562" w:type="pct"/>
            <w:vAlign w:val="center"/>
            <w:hideMark/>
          </w:tcPr>
          <w:p w14:paraId="173BF05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12</w:t>
            </w:r>
          </w:p>
        </w:tc>
        <w:tc>
          <w:tcPr>
            <w:tcW w:w="636" w:type="pct"/>
            <w:vAlign w:val="center"/>
            <w:hideMark/>
          </w:tcPr>
          <w:p w14:paraId="71811066"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vAlign w:val="center"/>
            <w:hideMark/>
          </w:tcPr>
          <w:p w14:paraId="7F5F197A"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w:t>
            </w:r>
          </w:p>
        </w:tc>
        <w:tc>
          <w:tcPr>
            <w:tcW w:w="618" w:type="pct"/>
            <w:vAlign w:val="center"/>
            <w:hideMark/>
          </w:tcPr>
          <w:p w14:paraId="7E616A42"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7</w:t>
            </w:r>
          </w:p>
        </w:tc>
        <w:tc>
          <w:tcPr>
            <w:tcW w:w="636" w:type="pct"/>
            <w:vAlign w:val="center"/>
            <w:hideMark/>
          </w:tcPr>
          <w:p w14:paraId="7A365970"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5" w:type="pct"/>
            <w:vAlign w:val="center"/>
            <w:hideMark/>
          </w:tcPr>
          <w:p w14:paraId="12121A72"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23</w:t>
            </w:r>
          </w:p>
        </w:tc>
      </w:tr>
      <w:tr w:rsidR="00587717" w:rsidRPr="00682123" w14:paraId="3C5980C2" w14:textId="77777777" w:rsidTr="00B26D90">
        <w:trPr>
          <w:trHeight w:val="20"/>
        </w:trPr>
        <w:tc>
          <w:tcPr>
            <w:tcW w:w="5000" w:type="pct"/>
            <w:gridSpan w:val="7"/>
            <w:shd w:val="clear" w:color="auto" w:fill="F2F2F2" w:themeFill="background1" w:themeFillShade="F2"/>
            <w:vAlign w:val="center"/>
            <w:hideMark/>
          </w:tcPr>
          <w:p w14:paraId="7B63BD13" w14:textId="3446A9E8" w:rsidR="00587717" w:rsidRPr="00587717" w:rsidRDefault="00587717" w:rsidP="00587717">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 xml:space="preserve">Short/medium-term accommodation units </w:t>
            </w:r>
          </w:p>
        </w:tc>
      </w:tr>
      <w:tr w:rsidR="00682123" w:rsidRPr="00682123" w14:paraId="7D06E3F7" w14:textId="77777777" w:rsidTr="00587717">
        <w:trPr>
          <w:trHeight w:val="20"/>
        </w:trPr>
        <w:tc>
          <w:tcPr>
            <w:tcW w:w="1312" w:type="pct"/>
            <w:hideMark/>
          </w:tcPr>
          <w:p w14:paraId="50AD59E2"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Units you have or in development, and when expected to be available</w:t>
            </w:r>
          </w:p>
        </w:tc>
        <w:tc>
          <w:tcPr>
            <w:tcW w:w="562" w:type="pct"/>
            <w:noWrap/>
            <w:vAlign w:val="center"/>
            <w:hideMark/>
          </w:tcPr>
          <w:p w14:paraId="255E10EA"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6" w:type="pct"/>
            <w:vAlign w:val="center"/>
            <w:hideMark/>
          </w:tcPr>
          <w:p w14:paraId="24BBA45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w:t>
            </w:r>
          </w:p>
        </w:tc>
        <w:tc>
          <w:tcPr>
            <w:tcW w:w="601" w:type="pct"/>
            <w:vAlign w:val="center"/>
            <w:hideMark/>
          </w:tcPr>
          <w:p w14:paraId="4D9D8F4D"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10</w:t>
            </w:r>
          </w:p>
        </w:tc>
        <w:tc>
          <w:tcPr>
            <w:tcW w:w="618" w:type="pct"/>
            <w:vAlign w:val="center"/>
            <w:hideMark/>
          </w:tcPr>
          <w:p w14:paraId="308F5F0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39</w:t>
            </w:r>
          </w:p>
        </w:tc>
        <w:tc>
          <w:tcPr>
            <w:tcW w:w="636" w:type="pct"/>
            <w:noWrap/>
            <w:vAlign w:val="center"/>
            <w:hideMark/>
          </w:tcPr>
          <w:p w14:paraId="073E6D03"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w:t>
            </w:r>
          </w:p>
        </w:tc>
        <w:tc>
          <w:tcPr>
            <w:tcW w:w="635" w:type="pct"/>
            <w:vAlign w:val="center"/>
            <w:hideMark/>
          </w:tcPr>
          <w:p w14:paraId="00E8C62A"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50</w:t>
            </w:r>
          </w:p>
        </w:tc>
      </w:tr>
      <w:tr w:rsidR="00682123" w:rsidRPr="00682123" w14:paraId="483CB016" w14:textId="77777777" w:rsidTr="00587717">
        <w:trPr>
          <w:trHeight w:val="20"/>
        </w:trPr>
        <w:tc>
          <w:tcPr>
            <w:tcW w:w="1312" w:type="pct"/>
            <w:hideMark/>
          </w:tcPr>
          <w:p w14:paraId="0C64691B"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Please set out your proposals for delivering additional short/medium term accommodation units</w:t>
            </w:r>
          </w:p>
        </w:tc>
        <w:tc>
          <w:tcPr>
            <w:tcW w:w="562" w:type="pct"/>
            <w:vAlign w:val="center"/>
            <w:hideMark/>
          </w:tcPr>
          <w:p w14:paraId="0320DEB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n/a</w:t>
            </w:r>
          </w:p>
        </w:tc>
        <w:tc>
          <w:tcPr>
            <w:tcW w:w="636" w:type="pct"/>
            <w:vAlign w:val="center"/>
            <w:hideMark/>
          </w:tcPr>
          <w:p w14:paraId="1F0DDFC4"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01" w:type="pct"/>
            <w:vAlign w:val="center"/>
            <w:hideMark/>
          </w:tcPr>
          <w:p w14:paraId="724E1348"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w:t>
            </w:r>
          </w:p>
        </w:tc>
        <w:tc>
          <w:tcPr>
            <w:tcW w:w="618" w:type="pct"/>
            <w:vAlign w:val="center"/>
            <w:hideMark/>
          </w:tcPr>
          <w:p w14:paraId="3846A106"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21</w:t>
            </w:r>
          </w:p>
        </w:tc>
        <w:tc>
          <w:tcPr>
            <w:tcW w:w="636" w:type="pct"/>
            <w:vAlign w:val="center"/>
            <w:hideMark/>
          </w:tcPr>
          <w:p w14:paraId="089C445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35" w:type="pct"/>
            <w:vAlign w:val="center"/>
            <w:hideMark/>
          </w:tcPr>
          <w:p w14:paraId="6DF76DD0"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30</w:t>
            </w:r>
          </w:p>
        </w:tc>
      </w:tr>
      <w:tr w:rsidR="00587717" w:rsidRPr="00682123" w14:paraId="4D53D069" w14:textId="77777777" w:rsidTr="00B26D90">
        <w:trPr>
          <w:trHeight w:val="20"/>
        </w:trPr>
        <w:tc>
          <w:tcPr>
            <w:tcW w:w="5000" w:type="pct"/>
            <w:gridSpan w:val="7"/>
            <w:shd w:val="clear" w:color="auto" w:fill="F2F2F2" w:themeFill="background1" w:themeFillShade="F2"/>
            <w:vAlign w:val="center"/>
            <w:hideMark/>
          </w:tcPr>
          <w:p w14:paraId="5BD31EDC" w14:textId="5BF3A54F" w:rsidR="00587717" w:rsidRPr="00587717" w:rsidRDefault="00587717" w:rsidP="00587717">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 xml:space="preserve">Move-on accommodation </w:t>
            </w:r>
          </w:p>
        </w:tc>
      </w:tr>
      <w:tr w:rsidR="00682123" w:rsidRPr="00682123" w14:paraId="088D08EB" w14:textId="77777777" w:rsidTr="00587717">
        <w:trPr>
          <w:trHeight w:val="20"/>
        </w:trPr>
        <w:tc>
          <w:tcPr>
            <w:tcW w:w="1312" w:type="pct"/>
            <w:hideMark/>
          </w:tcPr>
          <w:p w14:paraId="236F3AF7"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Units you have or in development and when expected to be available</w:t>
            </w:r>
          </w:p>
        </w:tc>
        <w:tc>
          <w:tcPr>
            <w:tcW w:w="562" w:type="pct"/>
            <w:noWrap/>
            <w:vAlign w:val="center"/>
            <w:hideMark/>
          </w:tcPr>
          <w:p w14:paraId="7D35E201"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60</w:t>
            </w:r>
          </w:p>
        </w:tc>
        <w:tc>
          <w:tcPr>
            <w:tcW w:w="636" w:type="pct"/>
            <w:vAlign w:val="center"/>
            <w:hideMark/>
          </w:tcPr>
          <w:p w14:paraId="172C3D1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w:t>
            </w:r>
          </w:p>
        </w:tc>
        <w:tc>
          <w:tcPr>
            <w:tcW w:w="601" w:type="pct"/>
            <w:vAlign w:val="center"/>
            <w:hideMark/>
          </w:tcPr>
          <w:p w14:paraId="17319260"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18" w:type="pct"/>
            <w:noWrap/>
            <w:vAlign w:val="center"/>
            <w:hideMark/>
          </w:tcPr>
          <w:p w14:paraId="63C9249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36" w:type="pct"/>
            <w:noWrap/>
            <w:vAlign w:val="center"/>
            <w:hideMark/>
          </w:tcPr>
          <w:p w14:paraId="368EC6F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35" w:type="pct"/>
            <w:vAlign w:val="center"/>
            <w:hideMark/>
          </w:tcPr>
          <w:p w14:paraId="1E74F94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53</w:t>
            </w:r>
          </w:p>
        </w:tc>
      </w:tr>
      <w:tr w:rsidR="00682123" w:rsidRPr="00682123" w14:paraId="4ED9C963" w14:textId="77777777" w:rsidTr="00587717">
        <w:trPr>
          <w:trHeight w:val="20"/>
        </w:trPr>
        <w:tc>
          <w:tcPr>
            <w:tcW w:w="1312" w:type="pct"/>
            <w:hideMark/>
          </w:tcPr>
          <w:p w14:paraId="259BE236"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Please set out your proposals for delivering additional move on accommodation units</w:t>
            </w:r>
          </w:p>
        </w:tc>
        <w:tc>
          <w:tcPr>
            <w:tcW w:w="562" w:type="pct"/>
            <w:vAlign w:val="center"/>
            <w:hideMark/>
          </w:tcPr>
          <w:p w14:paraId="6841E5FD"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36" w:type="pct"/>
            <w:vAlign w:val="center"/>
            <w:hideMark/>
          </w:tcPr>
          <w:p w14:paraId="432119D7"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01" w:type="pct"/>
            <w:vAlign w:val="center"/>
            <w:hideMark/>
          </w:tcPr>
          <w:p w14:paraId="67E91B67"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bookmarkStart w:id="22" w:name="RANGE!D19"/>
            <w:bookmarkEnd w:id="22"/>
          </w:p>
        </w:tc>
        <w:tc>
          <w:tcPr>
            <w:tcW w:w="618" w:type="pct"/>
            <w:vAlign w:val="center"/>
            <w:hideMark/>
          </w:tcPr>
          <w:p w14:paraId="74CD3780"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36" w:type="pct"/>
            <w:vAlign w:val="center"/>
            <w:hideMark/>
          </w:tcPr>
          <w:p w14:paraId="7FD717B7"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35" w:type="pct"/>
            <w:vAlign w:val="center"/>
            <w:hideMark/>
          </w:tcPr>
          <w:p w14:paraId="79B5CF2C"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15</w:t>
            </w:r>
          </w:p>
        </w:tc>
      </w:tr>
      <w:tr w:rsidR="00587717" w:rsidRPr="00682123" w14:paraId="41F0A7AF" w14:textId="77777777" w:rsidTr="00B26D90">
        <w:trPr>
          <w:trHeight w:val="20"/>
        </w:trPr>
        <w:tc>
          <w:tcPr>
            <w:tcW w:w="5000" w:type="pct"/>
            <w:gridSpan w:val="7"/>
            <w:shd w:val="clear" w:color="auto" w:fill="F2F2F2" w:themeFill="background1" w:themeFillShade="F2"/>
            <w:vAlign w:val="center"/>
            <w:hideMark/>
          </w:tcPr>
          <w:p w14:paraId="411E4959" w14:textId="4C4056F6" w:rsidR="00587717" w:rsidRPr="00587717" w:rsidRDefault="00587717" w:rsidP="00587717">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Other accommodation options</w:t>
            </w:r>
          </w:p>
        </w:tc>
      </w:tr>
      <w:tr w:rsidR="00682123" w:rsidRPr="00682123" w14:paraId="2FFD7DAD" w14:textId="77777777" w:rsidTr="00587717">
        <w:trPr>
          <w:trHeight w:val="20"/>
        </w:trPr>
        <w:tc>
          <w:tcPr>
            <w:tcW w:w="1312" w:type="pct"/>
            <w:hideMark/>
          </w:tcPr>
          <w:p w14:paraId="485DC1EF"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How many do you estimate will be reconnected to friends/family or other support networks</w:t>
            </w:r>
          </w:p>
        </w:tc>
        <w:tc>
          <w:tcPr>
            <w:tcW w:w="562" w:type="pct"/>
            <w:vAlign w:val="center"/>
            <w:hideMark/>
          </w:tcPr>
          <w:p w14:paraId="4FE5D41A"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3</w:t>
            </w:r>
          </w:p>
        </w:tc>
        <w:tc>
          <w:tcPr>
            <w:tcW w:w="636" w:type="pct"/>
            <w:vAlign w:val="center"/>
            <w:hideMark/>
          </w:tcPr>
          <w:p w14:paraId="3F06C0F6"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01" w:type="pct"/>
            <w:vAlign w:val="center"/>
            <w:hideMark/>
          </w:tcPr>
          <w:p w14:paraId="01257D34"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18" w:type="pct"/>
            <w:vAlign w:val="center"/>
            <w:hideMark/>
          </w:tcPr>
          <w:p w14:paraId="1640F395"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6" w:type="pct"/>
            <w:vAlign w:val="center"/>
            <w:hideMark/>
          </w:tcPr>
          <w:p w14:paraId="54CD5DBE"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5" w:type="pct"/>
            <w:vAlign w:val="center"/>
            <w:hideMark/>
          </w:tcPr>
          <w:p w14:paraId="6592135B"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28</w:t>
            </w:r>
          </w:p>
        </w:tc>
      </w:tr>
      <w:tr w:rsidR="00682123" w:rsidRPr="00682123" w14:paraId="3A7E5266" w14:textId="77777777" w:rsidTr="00587717">
        <w:trPr>
          <w:trHeight w:val="20"/>
        </w:trPr>
        <w:tc>
          <w:tcPr>
            <w:tcW w:w="1312" w:type="pct"/>
            <w:hideMark/>
          </w:tcPr>
          <w:p w14:paraId="2ACB13BD" w14:textId="77777777" w:rsidR="00682123" w:rsidRPr="00587717" w:rsidRDefault="00682123" w:rsidP="00682123">
            <w:pPr>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How many do you estimate will be reconnected to friends/family or other support networks outside the UK, through international reconnection?</w:t>
            </w:r>
          </w:p>
        </w:tc>
        <w:tc>
          <w:tcPr>
            <w:tcW w:w="562" w:type="pct"/>
            <w:vAlign w:val="center"/>
            <w:hideMark/>
          </w:tcPr>
          <w:p w14:paraId="4BC114D9"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6</w:t>
            </w:r>
          </w:p>
        </w:tc>
        <w:tc>
          <w:tcPr>
            <w:tcW w:w="636" w:type="pct"/>
            <w:vAlign w:val="center"/>
            <w:hideMark/>
          </w:tcPr>
          <w:p w14:paraId="4949A4D8"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c>
          <w:tcPr>
            <w:tcW w:w="601" w:type="pct"/>
            <w:vAlign w:val="center"/>
            <w:hideMark/>
          </w:tcPr>
          <w:p w14:paraId="2945CE68"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18" w:type="pct"/>
            <w:vAlign w:val="center"/>
            <w:hideMark/>
          </w:tcPr>
          <w:p w14:paraId="760C40BF"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1</w:t>
            </w:r>
          </w:p>
        </w:tc>
        <w:tc>
          <w:tcPr>
            <w:tcW w:w="636" w:type="pct"/>
            <w:vAlign w:val="center"/>
            <w:hideMark/>
          </w:tcPr>
          <w:p w14:paraId="4F1CDED7"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r w:rsidRPr="00587717">
              <w:rPr>
                <w:rFonts w:ascii="Calibri" w:eastAsia="Times New Roman" w:hAnsi="Calibri" w:cs="Calibri"/>
                <w:bCs w:val="0"/>
                <w:color w:val="000000"/>
                <w:sz w:val="20"/>
                <w:szCs w:val="20"/>
                <w:lang w:eastAsia="en-GB"/>
              </w:rPr>
              <w:t>0</w:t>
            </w:r>
          </w:p>
        </w:tc>
        <w:tc>
          <w:tcPr>
            <w:tcW w:w="635" w:type="pct"/>
            <w:noWrap/>
            <w:vAlign w:val="center"/>
            <w:hideMark/>
          </w:tcPr>
          <w:p w14:paraId="219DB6E6" w14:textId="77777777" w:rsidR="00682123" w:rsidRPr="00587717" w:rsidRDefault="00682123" w:rsidP="00587717">
            <w:pPr>
              <w:jc w:val="right"/>
              <w:textAlignment w:val="auto"/>
              <w:rPr>
                <w:rFonts w:ascii="Calibri" w:eastAsia="Times New Roman" w:hAnsi="Calibri" w:cs="Calibri"/>
                <w:bCs w:val="0"/>
                <w:color w:val="000000"/>
                <w:sz w:val="20"/>
                <w:szCs w:val="20"/>
                <w:lang w:eastAsia="en-GB"/>
              </w:rPr>
            </w:pPr>
          </w:p>
        </w:tc>
      </w:tr>
    </w:tbl>
    <w:p w14:paraId="1D342C30" w14:textId="77777777" w:rsidR="00682123" w:rsidRDefault="00682123" w:rsidP="00682123">
      <w:pPr>
        <w:rPr>
          <w:b/>
          <w:u w:val="single"/>
        </w:rPr>
      </w:pPr>
    </w:p>
    <w:p w14:paraId="243F2731" w14:textId="77777777" w:rsidR="0006207F" w:rsidRDefault="0006207F" w:rsidP="00682123">
      <w:pPr>
        <w:rPr>
          <w:b/>
          <w:u w:val="single"/>
        </w:rPr>
      </w:pPr>
    </w:p>
    <w:p w14:paraId="25CF5347" w14:textId="77777777" w:rsidR="0006207F" w:rsidRDefault="0006207F" w:rsidP="00682123">
      <w:pPr>
        <w:rPr>
          <w:b/>
          <w:u w:val="single"/>
        </w:rPr>
      </w:pPr>
    </w:p>
    <w:p w14:paraId="3B6FF2A7" w14:textId="77777777" w:rsidR="0006207F" w:rsidRDefault="0006207F" w:rsidP="0006207F">
      <w:pPr>
        <w:rPr>
          <w:rFonts w:ascii="Calibri" w:eastAsia="Times New Roman" w:hAnsi="Calibri" w:cs="Calibri"/>
          <w:bCs w:val="0"/>
          <w:color w:val="000000"/>
          <w:lang w:eastAsia="en-GB"/>
        </w:rPr>
        <w:sectPr w:rsidR="0006207F" w:rsidSect="00214607">
          <w:footerReference w:type="default" r:id="rId14"/>
          <w:pgSz w:w="11906" w:h="16838"/>
          <w:pgMar w:top="720" w:right="720" w:bottom="720" w:left="720" w:header="708" w:footer="708" w:gutter="0"/>
          <w:cols w:space="708"/>
          <w:docGrid w:linePitch="360"/>
        </w:sectPr>
      </w:pPr>
    </w:p>
    <w:p w14:paraId="05468106" w14:textId="6815E276" w:rsidR="0006207F" w:rsidRDefault="0006207F" w:rsidP="00B85110">
      <w:pPr>
        <w:pStyle w:val="tablenumbered"/>
        <w:rPr>
          <w:lang w:eastAsia="en-GB"/>
        </w:rPr>
      </w:pPr>
      <w:bookmarkStart w:id="23" w:name="_Ref45185363"/>
      <w:r>
        <w:rPr>
          <w:lang w:eastAsia="en-GB"/>
        </w:rPr>
        <w:lastRenderedPageBreak/>
        <w:t xml:space="preserve">TOTAL </w:t>
      </w:r>
      <w:r w:rsidRPr="0006207F">
        <w:rPr>
          <w:lang w:eastAsia="en-GB"/>
        </w:rPr>
        <w:t>PLACED IN TEMP</w:t>
      </w:r>
      <w:r w:rsidR="00B26D90">
        <w:rPr>
          <w:lang w:eastAsia="en-GB"/>
        </w:rPr>
        <w:t xml:space="preserve"> (MAIC stats)</w:t>
      </w:r>
      <w:bookmarkEnd w:id="23"/>
    </w:p>
    <w:p w14:paraId="5E5A0950" w14:textId="77777777" w:rsidR="0006207F" w:rsidRDefault="0006207F" w:rsidP="0006207F">
      <w:pPr>
        <w:rPr>
          <w:b/>
          <w:u w:val="single"/>
        </w:rPr>
      </w:pPr>
    </w:p>
    <w:tbl>
      <w:tblPr>
        <w:tblStyle w:val="TableGrid"/>
        <w:tblW w:w="15614" w:type="dxa"/>
        <w:tblLook w:val="04A0" w:firstRow="1" w:lastRow="0" w:firstColumn="1" w:lastColumn="0" w:noHBand="0" w:noVBand="1"/>
      </w:tblPr>
      <w:tblGrid>
        <w:gridCol w:w="525"/>
        <w:gridCol w:w="635"/>
        <w:gridCol w:w="451"/>
        <w:gridCol w:w="451"/>
        <w:gridCol w:w="451"/>
        <w:gridCol w:w="451"/>
        <w:gridCol w:w="451"/>
        <w:gridCol w:w="451"/>
        <w:gridCol w:w="451"/>
        <w:gridCol w:w="451"/>
        <w:gridCol w:w="451"/>
        <w:gridCol w:w="451"/>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tblGrid>
      <w:tr w:rsidR="00B26D90" w:rsidRPr="0006207F" w14:paraId="0DC46F98" w14:textId="77777777" w:rsidTr="00B26D90">
        <w:trPr>
          <w:trHeight w:val="1708"/>
        </w:trPr>
        <w:tc>
          <w:tcPr>
            <w:tcW w:w="534" w:type="dxa"/>
            <w:shd w:val="clear" w:color="auto" w:fill="F2F2F2" w:themeFill="background1" w:themeFillShade="F2"/>
            <w:noWrap/>
            <w:textDirection w:val="tbRl"/>
            <w:hideMark/>
          </w:tcPr>
          <w:p w14:paraId="28363EE5" w14:textId="7BD63722"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p>
        </w:tc>
        <w:tc>
          <w:tcPr>
            <w:tcW w:w="647" w:type="dxa"/>
            <w:shd w:val="clear" w:color="auto" w:fill="F2F2F2" w:themeFill="background1" w:themeFillShade="F2"/>
            <w:noWrap/>
            <w:textDirection w:val="tbRl"/>
            <w:hideMark/>
          </w:tcPr>
          <w:p w14:paraId="4417959B"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01/04/2020</w:t>
            </w:r>
          </w:p>
        </w:tc>
        <w:tc>
          <w:tcPr>
            <w:tcW w:w="449" w:type="dxa"/>
            <w:shd w:val="clear" w:color="auto" w:fill="F2F2F2" w:themeFill="background1" w:themeFillShade="F2"/>
            <w:noWrap/>
            <w:textDirection w:val="tbRl"/>
            <w:hideMark/>
          </w:tcPr>
          <w:p w14:paraId="57D340E9"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04/04/2020</w:t>
            </w:r>
          </w:p>
        </w:tc>
        <w:tc>
          <w:tcPr>
            <w:tcW w:w="449" w:type="dxa"/>
            <w:shd w:val="clear" w:color="auto" w:fill="F2F2F2" w:themeFill="background1" w:themeFillShade="F2"/>
            <w:noWrap/>
            <w:textDirection w:val="tbRl"/>
            <w:hideMark/>
          </w:tcPr>
          <w:p w14:paraId="5E6E102C"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06/04/2020</w:t>
            </w:r>
          </w:p>
        </w:tc>
        <w:tc>
          <w:tcPr>
            <w:tcW w:w="449" w:type="dxa"/>
            <w:shd w:val="clear" w:color="auto" w:fill="F2F2F2" w:themeFill="background1" w:themeFillShade="F2"/>
            <w:noWrap/>
            <w:textDirection w:val="tbRl"/>
            <w:hideMark/>
          </w:tcPr>
          <w:p w14:paraId="3F6F468B"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07/04/2020</w:t>
            </w:r>
          </w:p>
        </w:tc>
        <w:tc>
          <w:tcPr>
            <w:tcW w:w="449" w:type="dxa"/>
            <w:shd w:val="clear" w:color="auto" w:fill="F2F2F2" w:themeFill="background1" w:themeFillShade="F2"/>
            <w:noWrap/>
            <w:textDirection w:val="tbRl"/>
            <w:hideMark/>
          </w:tcPr>
          <w:p w14:paraId="2AF2252E"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09/04/2020</w:t>
            </w:r>
          </w:p>
        </w:tc>
        <w:tc>
          <w:tcPr>
            <w:tcW w:w="449" w:type="dxa"/>
            <w:shd w:val="clear" w:color="auto" w:fill="F2F2F2" w:themeFill="background1" w:themeFillShade="F2"/>
            <w:noWrap/>
            <w:textDirection w:val="tbRl"/>
            <w:hideMark/>
          </w:tcPr>
          <w:p w14:paraId="268911A8"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12/04/2020</w:t>
            </w:r>
          </w:p>
        </w:tc>
        <w:tc>
          <w:tcPr>
            <w:tcW w:w="449" w:type="dxa"/>
            <w:shd w:val="clear" w:color="auto" w:fill="F2F2F2" w:themeFill="background1" w:themeFillShade="F2"/>
            <w:noWrap/>
            <w:textDirection w:val="tbRl"/>
            <w:hideMark/>
          </w:tcPr>
          <w:p w14:paraId="7377197E"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14/04/2020</w:t>
            </w:r>
          </w:p>
        </w:tc>
        <w:tc>
          <w:tcPr>
            <w:tcW w:w="449" w:type="dxa"/>
            <w:shd w:val="clear" w:color="auto" w:fill="F2F2F2" w:themeFill="background1" w:themeFillShade="F2"/>
            <w:noWrap/>
            <w:textDirection w:val="tbRl"/>
            <w:hideMark/>
          </w:tcPr>
          <w:p w14:paraId="3B19F135"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15/04/2020</w:t>
            </w:r>
          </w:p>
        </w:tc>
        <w:tc>
          <w:tcPr>
            <w:tcW w:w="449" w:type="dxa"/>
            <w:shd w:val="clear" w:color="auto" w:fill="F2F2F2" w:themeFill="background1" w:themeFillShade="F2"/>
            <w:noWrap/>
            <w:textDirection w:val="tbRl"/>
            <w:hideMark/>
          </w:tcPr>
          <w:p w14:paraId="6D475073"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16/04/2020</w:t>
            </w:r>
          </w:p>
        </w:tc>
        <w:tc>
          <w:tcPr>
            <w:tcW w:w="449" w:type="dxa"/>
            <w:shd w:val="clear" w:color="auto" w:fill="F2F2F2" w:themeFill="background1" w:themeFillShade="F2"/>
            <w:noWrap/>
            <w:textDirection w:val="tbRl"/>
            <w:hideMark/>
          </w:tcPr>
          <w:p w14:paraId="63E62F94"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17/04/2020</w:t>
            </w:r>
          </w:p>
        </w:tc>
        <w:tc>
          <w:tcPr>
            <w:tcW w:w="449" w:type="dxa"/>
            <w:shd w:val="clear" w:color="auto" w:fill="F2F2F2" w:themeFill="background1" w:themeFillShade="F2"/>
            <w:noWrap/>
            <w:textDirection w:val="tbRl"/>
            <w:hideMark/>
          </w:tcPr>
          <w:p w14:paraId="10BC3EE0"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20/04/2020</w:t>
            </w:r>
          </w:p>
        </w:tc>
        <w:tc>
          <w:tcPr>
            <w:tcW w:w="451" w:type="dxa"/>
            <w:shd w:val="clear" w:color="auto" w:fill="F2F2F2" w:themeFill="background1" w:themeFillShade="F2"/>
            <w:noWrap/>
            <w:textDirection w:val="tbRl"/>
            <w:hideMark/>
          </w:tcPr>
          <w:p w14:paraId="20C4BF64"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22/04/2020</w:t>
            </w:r>
          </w:p>
        </w:tc>
        <w:tc>
          <w:tcPr>
            <w:tcW w:w="452" w:type="dxa"/>
            <w:shd w:val="clear" w:color="auto" w:fill="F2F2F2" w:themeFill="background1" w:themeFillShade="F2"/>
            <w:noWrap/>
            <w:textDirection w:val="tbRl"/>
            <w:hideMark/>
          </w:tcPr>
          <w:p w14:paraId="36EF12A8"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23/04/2020</w:t>
            </w:r>
          </w:p>
        </w:tc>
        <w:tc>
          <w:tcPr>
            <w:tcW w:w="452" w:type="dxa"/>
            <w:shd w:val="clear" w:color="auto" w:fill="F2F2F2" w:themeFill="background1" w:themeFillShade="F2"/>
            <w:noWrap/>
            <w:textDirection w:val="tbRl"/>
            <w:hideMark/>
          </w:tcPr>
          <w:p w14:paraId="0CAB7AC5"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27/04/2020</w:t>
            </w:r>
          </w:p>
        </w:tc>
        <w:tc>
          <w:tcPr>
            <w:tcW w:w="452" w:type="dxa"/>
            <w:shd w:val="clear" w:color="auto" w:fill="F2F2F2" w:themeFill="background1" w:themeFillShade="F2"/>
            <w:noWrap/>
            <w:textDirection w:val="tbRl"/>
            <w:hideMark/>
          </w:tcPr>
          <w:p w14:paraId="299192D6"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29/04/2020</w:t>
            </w:r>
          </w:p>
        </w:tc>
        <w:tc>
          <w:tcPr>
            <w:tcW w:w="452" w:type="dxa"/>
            <w:shd w:val="clear" w:color="auto" w:fill="F2F2F2" w:themeFill="background1" w:themeFillShade="F2"/>
            <w:noWrap/>
            <w:textDirection w:val="tbRl"/>
            <w:hideMark/>
          </w:tcPr>
          <w:p w14:paraId="50BAE938"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04/05/2020</w:t>
            </w:r>
          </w:p>
        </w:tc>
        <w:tc>
          <w:tcPr>
            <w:tcW w:w="452" w:type="dxa"/>
            <w:shd w:val="clear" w:color="auto" w:fill="F2F2F2" w:themeFill="background1" w:themeFillShade="F2"/>
            <w:noWrap/>
            <w:textDirection w:val="tbRl"/>
            <w:hideMark/>
          </w:tcPr>
          <w:p w14:paraId="2D91DC24"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05/05/2020</w:t>
            </w:r>
          </w:p>
        </w:tc>
        <w:tc>
          <w:tcPr>
            <w:tcW w:w="452" w:type="dxa"/>
            <w:shd w:val="clear" w:color="auto" w:fill="F2F2F2" w:themeFill="background1" w:themeFillShade="F2"/>
            <w:noWrap/>
            <w:textDirection w:val="tbRl"/>
            <w:hideMark/>
          </w:tcPr>
          <w:p w14:paraId="4FB71FE7"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06/05/2020</w:t>
            </w:r>
          </w:p>
        </w:tc>
        <w:tc>
          <w:tcPr>
            <w:tcW w:w="452" w:type="dxa"/>
            <w:shd w:val="clear" w:color="auto" w:fill="F2F2F2" w:themeFill="background1" w:themeFillShade="F2"/>
            <w:noWrap/>
            <w:textDirection w:val="tbRl"/>
            <w:hideMark/>
          </w:tcPr>
          <w:p w14:paraId="3F4FBE0E"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11/05/2020</w:t>
            </w:r>
          </w:p>
        </w:tc>
        <w:tc>
          <w:tcPr>
            <w:tcW w:w="452" w:type="dxa"/>
            <w:shd w:val="clear" w:color="auto" w:fill="F2F2F2" w:themeFill="background1" w:themeFillShade="F2"/>
            <w:noWrap/>
            <w:textDirection w:val="tbRl"/>
            <w:hideMark/>
          </w:tcPr>
          <w:p w14:paraId="713AF075"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12/05/2020</w:t>
            </w:r>
          </w:p>
        </w:tc>
        <w:tc>
          <w:tcPr>
            <w:tcW w:w="452" w:type="dxa"/>
            <w:shd w:val="clear" w:color="auto" w:fill="F2F2F2" w:themeFill="background1" w:themeFillShade="F2"/>
            <w:noWrap/>
            <w:textDirection w:val="tbRl"/>
            <w:hideMark/>
          </w:tcPr>
          <w:p w14:paraId="7D279C61"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13/05/2020</w:t>
            </w:r>
          </w:p>
        </w:tc>
        <w:tc>
          <w:tcPr>
            <w:tcW w:w="452" w:type="dxa"/>
            <w:shd w:val="clear" w:color="auto" w:fill="F2F2F2" w:themeFill="background1" w:themeFillShade="F2"/>
            <w:noWrap/>
            <w:textDirection w:val="tbRl"/>
            <w:hideMark/>
          </w:tcPr>
          <w:p w14:paraId="73A73A62"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14/05/2020</w:t>
            </w:r>
          </w:p>
        </w:tc>
        <w:tc>
          <w:tcPr>
            <w:tcW w:w="452" w:type="dxa"/>
            <w:shd w:val="clear" w:color="auto" w:fill="F2F2F2" w:themeFill="background1" w:themeFillShade="F2"/>
            <w:noWrap/>
            <w:textDirection w:val="tbRl"/>
            <w:hideMark/>
          </w:tcPr>
          <w:p w14:paraId="7177B942"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19/05/2020</w:t>
            </w:r>
          </w:p>
        </w:tc>
        <w:tc>
          <w:tcPr>
            <w:tcW w:w="452" w:type="dxa"/>
            <w:shd w:val="clear" w:color="auto" w:fill="F2F2F2" w:themeFill="background1" w:themeFillShade="F2"/>
            <w:noWrap/>
            <w:textDirection w:val="tbRl"/>
            <w:hideMark/>
          </w:tcPr>
          <w:p w14:paraId="190B1C54"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20/05/2020</w:t>
            </w:r>
          </w:p>
        </w:tc>
        <w:tc>
          <w:tcPr>
            <w:tcW w:w="452" w:type="dxa"/>
            <w:shd w:val="clear" w:color="auto" w:fill="F2F2F2" w:themeFill="background1" w:themeFillShade="F2"/>
            <w:noWrap/>
            <w:textDirection w:val="tbRl"/>
            <w:hideMark/>
          </w:tcPr>
          <w:p w14:paraId="5A4A8606"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02/06/2020</w:t>
            </w:r>
          </w:p>
        </w:tc>
        <w:tc>
          <w:tcPr>
            <w:tcW w:w="452" w:type="dxa"/>
            <w:shd w:val="clear" w:color="auto" w:fill="F2F2F2" w:themeFill="background1" w:themeFillShade="F2"/>
            <w:noWrap/>
            <w:textDirection w:val="tbRl"/>
            <w:hideMark/>
          </w:tcPr>
          <w:p w14:paraId="78048744"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03/06/2020</w:t>
            </w:r>
          </w:p>
        </w:tc>
        <w:tc>
          <w:tcPr>
            <w:tcW w:w="452" w:type="dxa"/>
            <w:shd w:val="clear" w:color="auto" w:fill="F2F2F2" w:themeFill="background1" w:themeFillShade="F2"/>
            <w:noWrap/>
            <w:textDirection w:val="tbRl"/>
            <w:hideMark/>
          </w:tcPr>
          <w:p w14:paraId="60C63BE7"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04/06/2020</w:t>
            </w:r>
          </w:p>
        </w:tc>
        <w:tc>
          <w:tcPr>
            <w:tcW w:w="452" w:type="dxa"/>
            <w:shd w:val="clear" w:color="auto" w:fill="F2F2F2" w:themeFill="background1" w:themeFillShade="F2"/>
            <w:noWrap/>
            <w:textDirection w:val="tbRl"/>
            <w:hideMark/>
          </w:tcPr>
          <w:p w14:paraId="2FF50508"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10/06/2020</w:t>
            </w:r>
          </w:p>
        </w:tc>
        <w:tc>
          <w:tcPr>
            <w:tcW w:w="452" w:type="dxa"/>
            <w:shd w:val="clear" w:color="auto" w:fill="F2F2F2" w:themeFill="background1" w:themeFillShade="F2"/>
            <w:noWrap/>
            <w:textDirection w:val="tbRl"/>
            <w:hideMark/>
          </w:tcPr>
          <w:p w14:paraId="65CEBDE6"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17/06/2020</w:t>
            </w:r>
          </w:p>
        </w:tc>
        <w:tc>
          <w:tcPr>
            <w:tcW w:w="452" w:type="dxa"/>
            <w:shd w:val="clear" w:color="auto" w:fill="F2F2F2" w:themeFill="background1" w:themeFillShade="F2"/>
            <w:noWrap/>
            <w:textDirection w:val="tbRl"/>
            <w:hideMark/>
          </w:tcPr>
          <w:p w14:paraId="47581106"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22/06/2020</w:t>
            </w:r>
          </w:p>
        </w:tc>
        <w:tc>
          <w:tcPr>
            <w:tcW w:w="452" w:type="dxa"/>
            <w:shd w:val="clear" w:color="auto" w:fill="F2F2F2" w:themeFill="background1" w:themeFillShade="F2"/>
            <w:noWrap/>
            <w:textDirection w:val="tbRl"/>
            <w:hideMark/>
          </w:tcPr>
          <w:p w14:paraId="1891DF4F"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23/06/2020</w:t>
            </w:r>
          </w:p>
        </w:tc>
        <w:tc>
          <w:tcPr>
            <w:tcW w:w="452" w:type="dxa"/>
            <w:shd w:val="clear" w:color="auto" w:fill="F2F2F2" w:themeFill="background1" w:themeFillShade="F2"/>
            <w:noWrap/>
            <w:textDirection w:val="tbRl"/>
            <w:hideMark/>
          </w:tcPr>
          <w:p w14:paraId="2F30A228"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01/07/2020</w:t>
            </w:r>
          </w:p>
        </w:tc>
        <w:tc>
          <w:tcPr>
            <w:tcW w:w="452" w:type="dxa"/>
            <w:shd w:val="clear" w:color="auto" w:fill="F2F2F2" w:themeFill="background1" w:themeFillShade="F2"/>
            <w:noWrap/>
            <w:textDirection w:val="tbRl"/>
            <w:hideMark/>
          </w:tcPr>
          <w:p w14:paraId="77C9A4CE" w14:textId="77777777" w:rsidR="0006207F" w:rsidRPr="0006207F" w:rsidRDefault="0006207F" w:rsidP="0006207F">
            <w:pPr>
              <w:ind w:left="113" w:right="113"/>
              <w:jc w:val="center"/>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06/07/2020</w:t>
            </w:r>
          </w:p>
        </w:tc>
      </w:tr>
      <w:tr w:rsidR="0006207F" w:rsidRPr="0006207F" w14:paraId="07D6DBF2" w14:textId="77777777" w:rsidTr="0006207F">
        <w:trPr>
          <w:cantSplit/>
          <w:trHeight w:val="850"/>
        </w:trPr>
        <w:tc>
          <w:tcPr>
            <w:tcW w:w="534" w:type="dxa"/>
            <w:noWrap/>
            <w:textDirection w:val="tbRl"/>
            <w:hideMark/>
          </w:tcPr>
          <w:p w14:paraId="43F9DE54" w14:textId="1AD66475"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ECDC </w:t>
            </w:r>
          </w:p>
        </w:tc>
        <w:tc>
          <w:tcPr>
            <w:tcW w:w="647" w:type="dxa"/>
            <w:noWrap/>
            <w:textDirection w:val="tbRl"/>
            <w:vAlign w:val="center"/>
            <w:hideMark/>
          </w:tcPr>
          <w:p w14:paraId="63D31AA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p>
        </w:tc>
        <w:tc>
          <w:tcPr>
            <w:tcW w:w="449" w:type="dxa"/>
            <w:noWrap/>
            <w:textDirection w:val="tbRl"/>
            <w:vAlign w:val="center"/>
            <w:hideMark/>
          </w:tcPr>
          <w:p w14:paraId="34B14B5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10A4DD1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1FC29EF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0858200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37D160E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767FEFE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2524987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07FAC63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3A92AE1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w:t>
            </w:r>
          </w:p>
        </w:tc>
        <w:tc>
          <w:tcPr>
            <w:tcW w:w="449" w:type="dxa"/>
            <w:noWrap/>
            <w:textDirection w:val="tbRl"/>
            <w:vAlign w:val="center"/>
            <w:hideMark/>
          </w:tcPr>
          <w:p w14:paraId="282D126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w:t>
            </w:r>
          </w:p>
        </w:tc>
        <w:tc>
          <w:tcPr>
            <w:tcW w:w="451" w:type="dxa"/>
            <w:noWrap/>
            <w:textDirection w:val="tbRl"/>
            <w:vAlign w:val="center"/>
            <w:hideMark/>
          </w:tcPr>
          <w:p w14:paraId="6427CAC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w:t>
            </w:r>
          </w:p>
        </w:tc>
        <w:tc>
          <w:tcPr>
            <w:tcW w:w="452" w:type="dxa"/>
            <w:noWrap/>
            <w:textDirection w:val="tbRl"/>
            <w:vAlign w:val="center"/>
            <w:hideMark/>
          </w:tcPr>
          <w:p w14:paraId="659B8B4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w:t>
            </w:r>
          </w:p>
        </w:tc>
        <w:tc>
          <w:tcPr>
            <w:tcW w:w="452" w:type="dxa"/>
            <w:noWrap/>
            <w:textDirection w:val="tbRl"/>
            <w:vAlign w:val="center"/>
            <w:hideMark/>
          </w:tcPr>
          <w:p w14:paraId="1B3A680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2AB684F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371844E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391778A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547D783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6C7A8B8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3446E1C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1E506A2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0E064D3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22CCFD0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2D143C1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C52989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07B5EA2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68E56EB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44D5C01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573823F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1FC908E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E688DD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0C175DB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772BD5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r>
      <w:tr w:rsidR="0006207F" w:rsidRPr="0006207F" w14:paraId="7739DC8B" w14:textId="77777777" w:rsidTr="0006207F">
        <w:trPr>
          <w:cantSplit/>
          <w:trHeight w:val="850"/>
        </w:trPr>
        <w:tc>
          <w:tcPr>
            <w:tcW w:w="534" w:type="dxa"/>
            <w:noWrap/>
            <w:textDirection w:val="tbRl"/>
            <w:hideMark/>
          </w:tcPr>
          <w:p w14:paraId="58C099DF" w14:textId="0DC3048B"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SCDC</w:t>
            </w:r>
          </w:p>
        </w:tc>
        <w:tc>
          <w:tcPr>
            <w:tcW w:w="647" w:type="dxa"/>
            <w:noWrap/>
            <w:textDirection w:val="tbRl"/>
            <w:vAlign w:val="center"/>
            <w:hideMark/>
          </w:tcPr>
          <w:p w14:paraId="6FDBDA5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p>
        </w:tc>
        <w:tc>
          <w:tcPr>
            <w:tcW w:w="449" w:type="dxa"/>
            <w:noWrap/>
            <w:textDirection w:val="tbRl"/>
            <w:vAlign w:val="center"/>
            <w:hideMark/>
          </w:tcPr>
          <w:p w14:paraId="605570F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48DB705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2571DE2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1C642D2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4A24E05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03C086F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0C074FA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0F87BF4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65C1685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49" w:type="dxa"/>
            <w:noWrap/>
            <w:textDirection w:val="tbRl"/>
            <w:vAlign w:val="center"/>
            <w:hideMark/>
          </w:tcPr>
          <w:p w14:paraId="47CDE81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1" w:type="dxa"/>
            <w:noWrap/>
            <w:textDirection w:val="tbRl"/>
            <w:vAlign w:val="center"/>
            <w:hideMark/>
          </w:tcPr>
          <w:p w14:paraId="414DA38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5A88595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3BD79DB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59CA6A2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4556E02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30E2731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A6700C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5C963CB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0AA52C8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DA8FE6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5735397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2FEB82E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909692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913CE7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07E4883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654A8FD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787D914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043B775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85ED62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694B0FF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w:t>
            </w:r>
          </w:p>
        </w:tc>
        <w:tc>
          <w:tcPr>
            <w:tcW w:w="452" w:type="dxa"/>
            <w:noWrap/>
            <w:textDirection w:val="tbRl"/>
            <w:vAlign w:val="center"/>
            <w:hideMark/>
          </w:tcPr>
          <w:p w14:paraId="7FB0DA4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c>
          <w:tcPr>
            <w:tcW w:w="452" w:type="dxa"/>
            <w:noWrap/>
            <w:textDirection w:val="tbRl"/>
            <w:vAlign w:val="center"/>
            <w:hideMark/>
          </w:tcPr>
          <w:p w14:paraId="3EB3150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w:t>
            </w:r>
          </w:p>
        </w:tc>
      </w:tr>
      <w:tr w:rsidR="0006207F" w:rsidRPr="0006207F" w14:paraId="286EBCB5" w14:textId="77777777" w:rsidTr="0006207F">
        <w:trPr>
          <w:cantSplit/>
          <w:trHeight w:val="850"/>
        </w:trPr>
        <w:tc>
          <w:tcPr>
            <w:tcW w:w="534" w:type="dxa"/>
            <w:noWrap/>
            <w:textDirection w:val="tbRl"/>
            <w:hideMark/>
          </w:tcPr>
          <w:p w14:paraId="01CEB324" w14:textId="35D5419C"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HDC</w:t>
            </w:r>
          </w:p>
        </w:tc>
        <w:tc>
          <w:tcPr>
            <w:tcW w:w="647" w:type="dxa"/>
            <w:noWrap/>
            <w:textDirection w:val="tbRl"/>
            <w:vAlign w:val="center"/>
            <w:hideMark/>
          </w:tcPr>
          <w:p w14:paraId="71BB1C1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p>
        </w:tc>
        <w:tc>
          <w:tcPr>
            <w:tcW w:w="449" w:type="dxa"/>
            <w:noWrap/>
            <w:textDirection w:val="tbRl"/>
            <w:vAlign w:val="center"/>
            <w:hideMark/>
          </w:tcPr>
          <w:p w14:paraId="32322236" w14:textId="1EEB03AF"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t>0</w:t>
            </w:r>
          </w:p>
        </w:tc>
        <w:tc>
          <w:tcPr>
            <w:tcW w:w="449" w:type="dxa"/>
            <w:noWrap/>
            <w:textDirection w:val="tbRl"/>
            <w:vAlign w:val="center"/>
            <w:hideMark/>
          </w:tcPr>
          <w:p w14:paraId="4857395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28</w:t>
            </w:r>
          </w:p>
        </w:tc>
        <w:tc>
          <w:tcPr>
            <w:tcW w:w="449" w:type="dxa"/>
            <w:noWrap/>
            <w:textDirection w:val="tbRl"/>
            <w:vAlign w:val="center"/>
            <w:hideMark/>
          </w:tcPr>
          <w:p w14:paraId="553EF87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14</w:t>
            </w:r>
          </w:p>
        </w:tc>
        <w:tc>
          <w:tcPr>
            <w:tcW w:w="449" w:type="dxa"/>
            <w:noWrap/>
            <w:textDirection w:val="tbRl"/>
            <w:vAlign w:val="center"/>
            <w:hideMark/>
          </w:tcPr>
          <w:p w14:paraId="6BCF133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14</w:t>
            </w:r>
          </w:p>
        </w:tc>
        <w:tc>
          <w:tcPr>
            <w:tcW w:w="449" w:type="dxa"/>
            <w:noWrap/>
            <w:textDirection w:val="tbRl"/>
            <w:vAlign w:val="center"/>
            <w:hideMark/>
          </w:tcPr>
          <w:p w14:paraId="02204BD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14</w:t>
            </w:r>
          </w:p>
        </w:tc>
        <w:tc>
          <w:tcPr>
            <w:tcW w:w="449" w:type="dxa"/>
            <w:noWrap/>
            <w:textDirection w:val="tbRl"/>
            <w:vAlign w:val="center"/>
            <w:hideMark/>
          </w:tcPr>
          <w:p w14:paraId="2C0964E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w:t>
            </w:r>
          </w:p>
        </w:tc>
        <w:tc>
          <w:tcPr>
            <w:tcW w:w="449" w:type="dxa"/>
            <w:noWrap/>
            <w:textDirection w:val="tbRl"/>
            <w:vAlign w:val="center"/>
            <w:hideMark/>
          </w:tcPr>
          <w:p w14:paraId="7F717CF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w:t>
            </w:r>
          </w:p>
        </w:tc>
        <w:tc>
          <w:tcPr>
            <w:tcW w:w="449" w:type="dxa"/>
            <w:noWrap/>
            <w:textDirection w:val="tbRl"/>
            <w:vAlign w:val="center"/>
            <w:hideMark/>
          </w:tcPr>
          <w:p w14:paraId="3FD3E84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w:t>
            </w:r>
          </w:p>
        </w:tc>
        <w:tc>
          <w:tcPr>
            <w:tcW w:w="449" w:type="dxa"/>
            <w:noWrap/>
            <w:textDirection w:val="tbRl"/>
            <w:vAlign w:val="center"/>
            <w:hideMark/>
          </w:tcPr>
          <w:p w14:paraId="3F8379E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w:t>
            </w:r>
          </w:p>
        </w:tc>
        <w:tc>
          <w:tcPr>
            <w:tcW w:w="449" w:type="dxa"/>
            <w:noWrap/>
            <w:textDirection w:val="tbRl"/>
            <w:vAlign w:val="center"/>
            <w:hideMark/>
          </w:tcPr>
          <w:p w14:paraId="31E8B25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26</w:t>
            </w:r>
          </w:p>
        </w:tc>
        <w:tc>
          <w:tcPr>
            <w:tcW w:w="451" w:type="dxa"/>
            <w:noWrap/>
            <w:textDirection w:val="tbRl"/>
            <w:vAlign w:val="center"/>
            <w:hideMark/>
          </w:tcPr>
          <w:p w14:paraId="470F880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26</w:t>
            </w:r>
          </w:p>
        </w:tc>
        <w:tc>
          <w:tcPr>
            <w:tcW w:w="452" w:type="dxa"/>
            <w:noWrap/>
            <w:textDirection w:val="tbRl"/>
            <w:vAlign w:val="center"/>
            <w:hideMark/>
          </w:tcPr>
          <w:p w14:paraId="39E16F9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26</w:t>
            </w:r>
          </w:p>
        </w:tc>
        <w:tc>
          <w:tcPr>
            <w:tcW w:w="452" w:type="dxa"/>
            <w:noWrap/>
            <w:textDirection w:val="tbRl"/>
            <w:vAlign w:val="center"/>
            <w:hideMark/>
          </w:tcPr>
          <w:p w14:paraId="1883F7C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w:t>
            </w:r>
          </w:p>
        </w:tc>
        <w:tc>
          <w:tcPr>
            <w:tcW w:w="452" w:type="dxa"/>
            <w:noWrap/>
            <w:textDirection w:val="tbRl"/>
            <w:vAlign w:val="center"/>
            <w:hideMark/>
          </w:tcPr>
          <w:p w14:paraId="19C4B4E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22</w:t>
            </w:r>
          </w:p>
        </w:tc>
        <w:tc>
          <w:tcPr>
            <w:tcW w:w="452" w:type="dxa"/>
            <w:noWrap/>
            <w:textDirection w:val="tbRl"/>
            <w:vAlign w:val="center"/>
            <w:hideMark/>
          </w:tcPr>
          <w:p w14:paraId="2A5BE8B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25</w:t>
            </w:r>
          </w:p>
        </w:tc>
        <w:tc>
          <w:tcPr>
            <w:tcW w:w="452" w:type="dxa"/>
            <w:noWrap/>
            <w:textDirection w:val="tbRl"/>
            <w:vAlign w:val="center"/>
            <w:hideMark/>
          </w:tcPr>
          <w:p w14:paraId="22FA96A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25</w:t>
            </w:r>
          </w:p>
        </w:tc>
        <w:tc>
          <w:tcPr>
            <w:tcW w:w="452" w:type="dxa"/>
            <w:noWrap/>
            <w:textDirection w:val="tbRl"/>
            <w:vAlign w:val="center"/>
            <w:hideMark/>
          </w:tcPr>
          <w:p w14:paraId="02737CE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25</w:t>
            </w:r>
          </w:p>
        </w:tc>
        <w:tc>
          <w:tcPr>
            <w:tcW w:w="452" w:type="dxa"/>
            <w:noWrap/>
            <w:textDirection w:val="tbRl"/>
            <w:vAlign w:val="center"/>
            <w:hideMark/>
          </w:tcPr>
          <w:p w14:paraId="238AC49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27</w:t>
            </w:r>
          </w:p>
        </w:tc>
        <w:tc>
          <w:tcPr>
            <w:tcW w:w="452" w:type="dxa"/>
            <w:noWrap/>
            <w:textDirection w:val="tbRl"/>
            <w:vAlign w:val="center"/>
            <w:hideMark/>
          </w:tcPr>
          <w:p w14:paraId="1DA5A51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26</w:t>
            </w:r>
          </w:p>
        </w:tc>
        <w:tc>
          <w:tcPr>
            <w:tcW w:w="452" w:type="dxa"/>
            <w:noWrap/>
            <w:textDirection w:val="tbRl"/>
            <w:vAlign w:val="center"/>
            <w:hideMark/>
          </w:tcPr>
          <w:p w14:paraId="76BA221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26</w:t>
            </w:r>
          </w:p>
        </w:tc>
        <w:tc>
          <w:tcPr>
            <w:tcW w:w="452" w:type="dxa"/>
            <w:noWrap/>
            <w:textDirection w:val="tbRl"/>
            <w:vAlign w:val="center"/>
            <w:hideMark/>
          </w:tcPr>
          <w:p w14:paraId="5DBBA16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26</w:t>
            </w:r>
          </w:p>
        </w:tc>
        <w:tc>
          <w:tcPr>
            <w:tcW w:w="452" w:type="dxa"/>
            <w:noWrap/>
            <w:textDirection w:val="tbRl"/>
            <w:vAlign w:val="center"/>
            <w:hideMark/>
          </w:tcPr>
          <w:p w14:paraId="022CCC3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25</w:t>
            </w:r>
          </w:p>
        </w:tc>
        <w:tc>
          <w:tcPr>
            <w:tcW w:w="452" w:type="dxa"/>
            <w:noWrap/>
            <w:textDirection w:val="tbRl"/>
            <w:vAlign w:val="center"/>
            <w:hideMark/>
          </w:tcPr>
          <w:p w14:paraId="0BA2DF8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23</w:t>
            </w:r>
          </w:p>
        </w:tc>
        <w:tc>
          <w:tcPr>
            <w:tcW w:w="452" w:type="dxa"/>
            <w:noWrap/>
            <w:textDirection w:val="tbRl"/>
            <w:vAlign w:val="center"/>
            <w:hideMark/>
          </w:tcPr>
          <w:p w14:paraId="0266027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23</w:t>
            </w:r>
          </w:p>
        </w:tc>
        <w:tc>
          <w:tcPr>
            <w:tcW w:w="452" w:type="dxa"/>
            <w:noWrap/>
            <w:textDirection w:val="tbRl"/>
            <w:vAlign w:val="center"/>
            <w:hideMark/>
          </w:tcPr>
          <w:p w14:paraId="1E7906C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24</w:t>
            </w:r>
          </w:p>
        </w:tc>
        <w:tc>
          <w:tcPr>
            <w:tcW w:w="452" w:type="dxa"/>
            <w:noWrap/>
            <w:textDirection w:val="tbRl"/>
            <w:vAlign w:val="center"/>
            <w:hideMark/>
          </w:tcPr>
          <w:p w14:paraId="2404F6E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24</w:t>
            </w:r>
          </w:p>
        </w:tc>
        <w:tc>
          <w:tcPr>
            <w:tcW w:w="452" w:type="dxa"/>
            <w:noWrap/>
            <w:textDirection w:val="tbRl"/>
            <w:vAlign w:val="center"/>
            <w:hideMark/>
          </w:tcPr>
          <w:p w14:paraId="6D80EF3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24</w:t>
            </w:r>
          </w:p>
        </w:tc>
        <w:tc>
          <w:tcPr>
            <w:tcW w:w="452" w:type="dxa"/>
            <w:noWrap/>
            <w:textDirection w:val="tbRl"/>
            <w:vAlign w:val="center"/>
            <w:hideMark/>
          </w:tcPr>
          <w:p w14:paraId="0666992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23</w:t>
            </w:r>
          </w:p>
        </w:tc>
        <w:tc>
          <w:tcPr>
            <w:tcW w:w="452" w:type="dxa"/>
            <w:noWrap/>
            <w:textDirection w:val="tbRl"/>
            <w:vAlign w:val="center"/>
            <w:hideMark/>
          </w:tcPr>
          <w:p w14:paraId="290F3F0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23</w:t>
            </w:r>
          </w:p>
        </w:tc>
        <w:tc>
          <w:tcPr>
            <w:tcW w:w="452" w:type="dxa"/>
            <w:noWrap/>
            <w:textDirection w:val="tbRl"/>
            <w:vAlign w:val="center"/>
            <w:hideMark/>
          </w:tcPr>
          <w:p w14:paraId="48F17D5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23</w:t>
            </w:r>
          </w:p>
        </w:tc>
        <w:tc>
          <w:tcPr>
            <w:tcW w:w="452" w:type="dxa"/>
            <w:noWrap/>
            <w:textDirection w:val="tbRl"/>
            <w:vAlign w:val="center"/>
            <w:hideMark/>
          </w:tcPr>
          <w:p w14:paraId="7361E98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26</w:t>
            </w:r>
          </w:p>
        </w:tc>
        <w:tc>
          <w:tcPr>
            <w:tcW w:w="452" w:type="dxa"/>
            <w:noWrap/>
            <w:textDirection w:val="tbRl"/>
            <w:vAlign w:val="center"/>
            <w:hideMark/>
          </w:tcPr>
          <w:p w14:paraId="0E492DC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27</w:t>
            </w:r>
          </w:p>
        </w:tc>
      </w:tr>
      <w:tr w:rsidR="0006207F" w:rsidRPr="0006207F" w14:paraId="35C2B09E" w14:textId="77777777" w:rsidTr="0006207F">
        <w:trPr>
          <w:cantSplit/>
          <w:trHeight w:val="850"/>
        </w:trPr>
        <w:tc>
          <w:tcPr>
            <w:tcW w:w="534" w:type="dxa"/>
            <w:noWrap/>
            <w:textDirection w:val="tbRl"/>
            <w:hideMark/>
          </w:tcPr>
          <w:p w14:paraId="3B4A3E2D" w14:textId="0CE247CD"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FDC</w:t>
            </w:r>
          </w:p>
        </w:tc>
        <w:tc>
          <w:tcPr>
            <w:tcW w:w="647" w:type="dxa"/>
            <w:noWrap/>
            <w:textDirection w:val="tbRl"/>
            <w:vAlign w:val="center"/>
            <w:hideMark/>
          </w:tcPr>
          <w:p w14:paraId="2A4016B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p>
        </w:tc>
        <w:tc>
          <w:tcPr>
            <w:tcW w:w="449" w:type="dxa"/>
            <w:noWrap/>
            <w:textDirection w:val="tbRl"/>
            <w:vAlign w:val="center"/>
            <w:hideMark/>
          </w:tcPr>
          <w:p w14:paraId="77B3760A" w14:textId="38F920AC"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t>0</w:t>
            </w:r>
          </w:p>
        </w:tc>
        <w:tc>
          <w:tcPr>
            <w:tcW w:w="449" w:type="dxa"/>
            <w:noWrap/>
            <w:textDirection w:val="tbRl"/>
            <w:vAlign w:val="center"/>
            <w:hideMark/>
          </w:tcPr>
          <w:p w14:paraId="3AC4537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37</w:t>
            </w:r>
          </w:p>
        </w:tc>
        <w:tc>
          <w:tcPr>
            <w:tcW w:w="449" w:type="dxa"/>
            <w:noWrap/>
            <w:textDirection w:val="tbRl"/>
            <w:vAlign w:val="center"/>
            <w:hideMark/>
          </w:tcPr>
          <w:p w14:paraId="18C3FE5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37</w:t>
            </w:r>
          </w:p>
        </w:tc>
        <w:tc>
          <w:tcPr>
            <w:tcW w:w="449" w:type="dxa"/>
            <w:noWrap/>
            <w:textDirection w:val="tbRl"/>
            <w:vAlign w:val="center"/>
            <w:hideMark/>
          </w:tcPr>
          <w:p w14:paraId="320102D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37</w:t>
            </w:r>
          </w:p>
        </w:tc>
        <w:tc>
          <w:tcPr>
            <w:tcW w:w="449" w:type="dxa"/>
            <w:noWrap/>
            <w:textDirection w:val="tbRl"/>
            <w:vAlign w:val="center"/>
            <w:hideMark/>
          </w:tcPr>
          <w:p w14:paraId="6BD76EB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37</w:t>
            </w:r>
          </w:p>
        </w:tc>
        <w:tc>
          <w:tcPr>
            <w:tcW w:w="449" w:type="dxa"/>
            <w:noWrap/>
            <w:textDirection w:val="tbRl"/>
            <w:vAlign w:val="center"/>
            <w:hideMark/>
          </w:tcPr>
          <w:p w14:paraId="42BE3BB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37</w:t>
            </w:r>
          </w:p>
        </w:tc>
        <w:tc>
          <w:tcPr>
            <w:tcW w:w="449" w:type="dxa"/>
            <w:noWrap/>
            <w:textDirection w:val="tbRl"/>
            <w:vAlign w:val="center"/>
            <w:hideMark/>
          </w:tcPr>
          <w:p w14:paraId="1704C26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37</w:t>
            </w:r>
          </w:p>
        </w:tc>
        <w:tc>
          <w:tcPr>
            <w:tcW w:w="449" w:type="dxa"/>
            <w:noWrap/>
            <w:textDirection w:val="tbRl"/>
            <w:vAlign w:val="center"/>
            <w:hideMark/>
          </w:tcPr>
          <w:p w14:paraId="2CA2BFB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37</w:t>
            </w:r>
          </w:p>
        </w:tc>
        <w:tc>
          <w:tcPr>
            <w:tcW w:w="449" w:type="dxa"/>
            <w:noWrap/>
            <w:textDirection w:val="tbRl"/>
            <w:vAlign w:val="center"/>
            <w:hideMark/>
          </w:tcPr>
          <w:p w14:paraId="7AA272B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48</w:t>
            </w:r>
          </w:p>
        </w:tc>
        <w:tc>
          <w:tcPr>
            <w:tcW w:w="449" w:type="dxa"/>
            <w:noWrap/>
            <w:textDirection w:val="tbRl"/>
            <w:vAlign w:val="center"/>
            <w:hideMark/>
          </w:tcPr>
          <w:p w14:paraId="451824D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48</w:t>
            </w:r>
          </w:p>
        </w:tc>
        <w:tc>
          <w:tcPr>
            <w:tcW w:w="451" w:type="dxa"/>
            <w:noWrap/>
            <w:textDirection w:val="tbRl"/>
            <w:vAlign w:val="center"/>
            <w:hideMark/>
          </w:tcPr>
          <w:p w14:paraId="4A49E25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48</w:t>
            </w:r>
          </w:p>
        </w:tc>
        <w:tc>
          <w:tcPr>
            <w:tcW w:w="452" w:type="dxa"/>
            <w:noWrap/>
            <w:textDirection w:val="tbRl"/>
            <w:vAlign w:val="center"/>
            <w:hideMark/>
          </w:tcPr>
          <w:p w14:paraId="0F7DBB3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48</w:t>
            </w:r>
          </w:p>
        </w:tc>
        <w:tc>
          <w:tcPr>
            <w:tcW w:w="452" w:type="dxa"/>
            <w:noWrap/>
            <w:textDirection w:val="tbRl"/>
            <w:vAlign w:val="center"/>
            <w:hideMark/>
          </w:tcPr>
          <w:p w14:paraId="6584E88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48</w:t>
            </w:r>
          </w:p>
        </w:tc>
        <w:tc>
          <w:tcPr>
            <w:tcW w:w="452" w:type="dxa"/>
            <w:noWrap/>
            <w:textDirection w:val="tbRl"/>
            <w:vAlign w:val="center"/>
            <w:hideMark/>
          </w:tcPr>
          <w:p w14:paraId="36D8726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53</w:t>
            </w:r>
          </w:p>
        </w:tc>
        <w:tc>
          <w:tcPr>
            <w:tcW w:w="452" w:type="dxa"/>
            <w:noWrap/>
            <w:textDirection w:val="tbRl"/>
            <w:vAlign w:val="center"/>
            <w:hideMark/>
          </w:tcPr>
          <w:p w14:paraId="28AAD07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53</w:t>
            </w:r>
          </w:p>
        </w:tc>
        <w:tc>
          <w:tcPr>
            <w:tcW w:w="452" w:type="dxa"/>
            <w:noWrap/>
            <w:textDirection w:val="tbRl"/>
            <w:vAlign w:val="center"/>
            <w:hideMark/>
          </w:tcPr>
          <w:p w14:paraId="3C0B106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53</w:t>
            </w:r>
          </w:p>
        </w:tc>
        <w:tc>
          <w:tcPr>
            <w:tcW w:w="452" w:type="dxa"/>
            <w:noWrap/>
            <w:textDirection w:val="tbRl"/>
            <w:vAlign w:val="center"/>
            <w:hideMark/>
          </w:tcPr>
          <w:p w14:paraId="0F82519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52</w:t>
            </w:r>
          </w:p>
        </w:tc>
        <w:tc>
          <w:tcPr>
            <w:tcW w:w="452" w:type="dxa"/>
            <w:noWrap/>
            <w:textDirection w:val="tbRl"/>
            <w:vAlign w:val="center"/>
            <w:hideMark/>
          </w:tcPr>
          <w:p w14:paraId="157FAF9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52</w:t>
            </w:r>
          </w:p>
        </w:tc>
        <w:tc>
          <w:tcPr>
            <w:tcW w:w="452" w:type="dxa"/>
            <w:noWrap/>
            <w:textDirection w:val="tbRl"/>
            <w:vAlign w:val="center"/>
            <w:hideMark/>
          </w:tcPr>
          <w:p w14:paraId="5E8123F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52</w:t>
            </w:r>
          </w:p>
        </w:tc>
        <w:tc>
          <w:tcPr>
            <w:tcW w:w="452" w:type="dxa"/>
            <w:noWrap/>
            <w:textDirection w:val="tbRl"/>
            <w:vAlign w:val="center"/>
            <w:hideMark/>
          </w:tcPr>
          <w:p w14:paraId="1B4E170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52</w:t>
            </w:r>
          </w:p>
        </w:tc>
        <w:tc>
          <w:tcPr>
            <w:tcW w:w="452" w:type="dxa"/>
            <w:noWrap/>
            <w:textDirection w:val="tbRl"/>
            <w:vAlign w:val="center"/>
            <w:hideMark/>
          </w:tcPr>
          <w:p w14:paraId="1DD5F58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52</w:t>
            </w:r>
          </w:p>
        </w:tc>
        <w:tc>
          <w:tcPr>
            <w:tcW w:w="452" w:type="dxa"/>
            <w:noWrap/>
            <w:textDirection w:val="tbRl"/>
            <w:vAlign w:val="center"/>
            <w:hideMark/>
          </w:tcPr>
          <w:p w14:paraId="343A212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52</w:t>
            </w:r>
          </w:p>
        </w:tc>
        <w:tc>
          <w:tcPr>
            <w:tcW w:w="452" w:type="dxa"/>
            <w:noWrap/>
            <w:textDirection w:val="tbRl"/>
            <w:vAlign w:val="center"/>
            <w:hideMark/>
          </w:tcPr>
          <w:p w14:paraId="3516A37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51</w:t>
            </w:r>
          </w:p>
        </w:tc>
        <w:tc>
          <w:tcPr>
            <w:tcW w:w="452" w:type="dxa"/>
            <w:noWrap/>
            <w:textDirection w:val="tbRl"/>
            <w:vAlign w:val="center"/>
            <w:hideMark/>
          </w:tcPr>
          <w:p w14:paraId="408A055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51</w:t>
            </w:r>
          </w:p>
        </w:tc>
        <w:tc>
          <w:tcPr>
            <w:tcW w:w="452" w:type="dxa"/>
            <w:noWrap/>
            <w:textDirection w:val="tbRl"/>
            <w:vAlign w:val="center"/>
            <w:hideMark/>
          </w:tcPr>
          <w:p w14:paraId="09FABC4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50</w:t>
            </w:r>
          </w:p>
        </w:tc>
        <w:tc>
          <w:tcPr>
            <w:tcW w:w="452" w:type="dxa"/>
            <w:noWrap/>
            <w:textDirection w:val="tbRl"/>
            <w:vAlign w:val="center"/>
            <w:hideMark/>
          </w:tcPr>
          <w:p w14:paraId="7315F76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50</w:t>
            </w:r>
          </w:p>
        </w:tc>
        <w:tc>
          <w:tcPr>
            <w:tcW w:w="452" w:type="dxa"/>
            <w:noWrap/>
            <w:textDirection w:val="tbRl"/>
            <w:vAlign w:val="center"/>
            <w:hideMark/>
          </w:tcPr>
          <w:p w14:paraId="2CC16E8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50</w:t>
            </w:r>
          </w:p>
        </w:tc>
        <w:tc>
          <w:tcPr>
            <w:tcW w:w="452" w:type="dxa"/>
            <w:noWrap/>
            <w:textDirection w:val="tbRl"/>
            <w:vAlign w:val="center"/>
            <w:hideMark/>
          </w:tcPr>
          <w:p w14:paraId="13B9325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49</w:t>
            </w:r>
          </w:p>
        </w:tc>
        <w:tc>
          <w:tcPr>
            <w:tcW w:w="452" w:type="dxa"/>
            <w:noWrap/>
            <w:textDirection w:val="tbRl"/>
            <w:vAlign w:val="center"/>
            <w:hideMark/>
          </w:tcPr>
          <w:p w14:paraId="42CD078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49</w:t>
            </w:r>
          </w:p>
        </w:tc>
        <w:tc>
          <w:tcPr>
            <w:tcW w:w="452" w:type="dxa"/>
            <w:noWrap/>
            <w:textDirection w:val="tbRl"/>
            <w:vAlign w:val="center"/>
            <w:hideMark/>
          </w:tcPr>
          <w:p w14:paraId="4EA68A4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49</w:t>
            </w:r>
          </w:p>
        </w:tc>
        <w:tc>
          <w:tcPr>
            <w:tcW w:w="452" w:type="dxa"/>
            <w:noWrap/>
            <w:textDirection w:val="tbRl"/>
            <w:vAlign w:val="center"/>
            <w:hideMark/>
          </w:tcPr>
          <w:p w14:paraId="6614980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39</w:t>
            </w:r>
          </w:p>
        </w:tc>
        <w:tc>
          <w:tcPr>
            <w:tcW w:w="452" w:type="dxa"/>
            <w:noWrap/>
            <w:textDirection w:val="tbRl"/>
            <w:vAlign w:val="center"/>
            <w:hideMark/>
          </w:tcPr>
          <w:p w14:paraId="3F18CEC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39</w:t>
            </w:r>
          </w:p>
        </w:tc>
      </w:tr>
      <w:tr w:rsidR="0006207F" w:rsidRPr="0006207F" w14:paraId="3DFE9E5B" w14:textId="77777777" w:rsidTr="0006207F">
        <w:trPr>
          <w:cantSplit/>
          <w:trHeight w:val="850"/>
        </w:trPr>
        <w:tc>
          <w:tcPr>
            <w:tcW w:w="534" w:type="dxa"/>
            <w:noWrap/>
            <w:textDirection w:val="tbRl"/>
            <w:hideMark/>
          </w:tcPr>
          <w:p w14:paraId="08FE79F0" w14:textId="77777777"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P'boro</w:t>
            </w:r>
          </w:p>
        </w:tc>
        <w:tc>
          <w:tcPr>
            <w:tcW w:w="647" w:type="dxa"/>
            <w:noWrap/>
            <w:textDirection w:val="tbRl"/>
            <w:vAlign w:val="center"/>
            <w:hideMark/>
          </w:tcPr>
          <w:p w14:paraId="2598AC2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p>
        </w:tc>
        <w:tc>
          <w:tcPr>
            <w:tcW w:w="449" w:type="dxa"/>
            <w:noWrap/>
            <w:textDirection w:val="tbRl"/>
            <w:vAlign w:val="center"/>
            <w:hideMark/>
          </w:tcPr>
          <w:p w14:paraId="6D1218D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67</w:t>
            </w:r>
          </w:p>
        </w:tc>
        <w:tc>
          <w:tcPr>
            <w:tcW w:w="449" w:type="dxa"/>
            <w:noWrap/>
            <w:textDirection w:val="tbRl"/>
            <w:vAlign w:val="center"/>
            <w:hideMark/>
          </w:tcPr>
          <w:p w14:paraId="6A4F7F1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67</w:t>
            </w:r>
          </w:p>
        </w:tc>
        <w:tc>
          <w:tcPr>
            <w:tcW w:w="449" w:type="dxa"/>
            <w:noWrap/>
            <w:textDirection w:val="tbRl"/>
            <w:vAlign w:val="center"/>
            <w:hideMark/>
          </w:tcPr>
          <w:p w14:paraId="06CB7BC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67</w:t>
            </w:r>
          </w:p>
        </w:tc>
        <w:tc>
          <w:tcPr>
            <w:tcW w:w="449" w:type="dxa"/>
            <w:noWrap/>
            <w:textDirection w:val="tbRl"/>
            <w:vAlign w:val="center"/>
            <w:hideMark/>
          </w:tcPr>
          <w:p w14:paraId="47588D1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67</w:t>
            </w:r>
          </w:p>
        </w:tc>
        <w:tc>
          <w:tcPr>
            <w:tcW w:w="449" w:type="dxa"/>
            <w:noWrap/>
            <w:textDirection w:val="tbRl"/>
            <w:vAlign w:val="center"/>
            <w:hideMark/>
          </w:tcPr>
          <w:p w14:paraId="2B2A42C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76</w:t>
            </w:r>
          </w:p>
        </w:tc>
        <w:tc>
          <w:tcPr>
            <w:tcW w:w="449" w:type="dxa"/>
            <w:noWrap/>
            <w:textDirection w:val="tbRl"/>
            <w:vAlign w:val="center"/>
            <w:hideMark/>
          </w:tcPr>
          <w:p w14:paraId="0F5019A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76</w:t>
            </w:r>
          </w:p>
        </w:tc>
        <w:tc>
          <w:tcPr>
            <w:tcW w:w="449" w:type="dxa"/>
            <w:noWrap/>
            <w:textDirection w:val="tbRl"/>
            <w:vAlign w:val="center"/>
            <w:hideMark/>
          </w:tcPr>
          <w:p w14:paraId="0EF48A8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76</w:t>
            </w:r>
          </w:p>
        </w:tc>
        <w:tc>
          <w:tcPr>
            <w:tcW w:w="449" w:type="dxa"/>
            <w:noWrap/>
            <w:textDirection w:val="tbRl"/>
            <w:vAlign w:val="center"/>
            <w:hideMark/>
          </w:tcPr>
          <w:p w14:paraId="5672869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76</w:t>
            </w:r>
          </w:p>
        </w:tc>
        <w:tc>
          <w:tcPr>
            <w:tcW w:w="449" w:type="dxa"/>
            <w:noWrap/>
            <w:textDirection w:val="tbRl"/>
            <w:vAlign w:val="center"/>
            <w:hideMark/>
          </w:tcPr>
          <w:p w14:paraId="02A19E1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76</w:t>
            </w:r>
          </w:p>
        </w:tc>
        <w:tc>
          <w:tcPr>
            <w:tcW w:w="449" w:type="dxa"/>
            <w:noWrap/>
            <w:textDirection w:val="tbRl"/>
            <w:vAlign w:val="center"/>
            <w:hideMark/>
          </w:tcPr>
          <w:p w14:paraId="0D3A359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76</w:t>
            </w:r>
          </w:p>
        </w:tc>
        <w:tc>
          <w:tcPr>
            <w:tcW w:w="451" w:type="dxa"/>
            <w:noWrap/>
            <w:textDirection w:val="tbRl"/>
            <w:vAlign w:val="center"/>
            <w:hideMark/>
          </w:tcPr>
          <w:p w14:paraId="0D26B0E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147</w:t>
            </w:r>
          </w:p>
        </w:tc>
        <w:tc>
          <w:tcPr>
            <w:tcW w:w="452" w:type="dxa"/>
            <w:noWrap/>
            <w:textDirection w:val="tbRl"/>
            <w:vAlign w:val="center"/>
            <w:hideMark/>
          </w:tcPr>
          <w:p w14:paraId="205D96F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147</w:t>
            </w:r>
          </w:p>
        </w:tc>
        <w:tc>
          <w:tcPr>
            <w:tcW w:w="452" w:type="dxa"/>
            <w:noWrap/>
            <w:textDirection w:val="tbRl"/>
            <w:vAlign w:val="center"/>
            <w:hideMark/>
          </w:tcPr>
          <w:p w14:paraId="4174E1B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97</w:t>
            </w:r>
          </w:p>
        </w:tc>
        <w:tc>
          <w:tcPr>
            <w:tcW w:w="452" w:type="dxa"/>
            <w:noWrap/>
            <w:textDirection w:val="tbRl"/>
            <w:vAlign w:val="center"/>
            <w:hideMark/>
          </w:tcPr>
          <w:p w14:paraId="3C03081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129</w:t>
            </w:r>
          </w:p>
        </w:tc>
        <w:tc>
          <w:tcPr>
            <w:tcW w:w="452" w:type="dxa"/>
            <w:noWrap/>
            <w:textDirection w:val="tbRl"/>
            <w:vAlign w:val="center"/>
            <w:hideMark/>
          </w:tcPr>
          <w:p w14:paraId="5B5A041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129</w:t>
            </w:r>
          </w:p>
        </w:tc>
        <w:tc>
          <w:tcPr>
            <w:tcW w:w="452" w:type="dxa"/>
            <w:noWrap/>
            <w:textDirection w:val="tbRl"/>
            <w:vAlign w:val="center"/>
            <w:hideMark/>
          </w:tcPr>
          <w:p w14:paraId="275BC6D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129</w:t>
            </w:r>
          </w:p>
        </w:tc>
        <w:tc>
          <w:tcPr>
            <w:tcW w:w="452" w:type="dxa"/>
            <w:noWrap/>
            <w:textDirection w:val="tbRl"/>
            <w:vAlign w:val="center"/>
            <w:hideMark/>
          </w:tcPr>
          <w:p w14:paraId="06E8E45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129</w:t>
            </w:r>
          </w:p>
        </w:tc>
        <w:tc>
          <w:tcPr>
            <w:tcW w:w="452" w:type="dxa"/>
            <w:noWrap/>
            <w:textDirection w:val="tbRl"/>
            <w:vAlign w:val="center"/>
            <w:hideMark/>
          </w:tcPr>
          <w:p w14:paraId="2F8C2E6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129</w:t>
            </w:r>
          </w:p>
        </w:tc>
        <w:tc>
          <w:tcPr>
            <w:tcW w:w="452" w:type="dxa"/>
            <w:noWrap/>
            <w:textDirection w:val="tbRl"/>
            <w:vAlign w:val="center"/>
            <w:hideMark/>
          </w:tcPr>
          <w:p w14:paraId="2FDCEEA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110</w:t>
            </w:r>
          </w:p>
        </w:tc>
        <w:tc>
          <w:tcPr>
            <w:tcW w:w="452" w:type="dxa"/>
            <w:noWrap/>
            <w:textDirection w:val="tbRl"/>
            <w:vAlign w:val="center"/>
            <w:hideMark/>
          </w:tcPr>
          <w:p w14:paraId="49BB355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110</w:t>
            </w:r>
          </w:p>
        </w:tc>
        <w:tc>
          <w:tcPr>
            <w:tcW w:w="452" w:type="dxa"/>
            <w:noWrap/>
            <w:textDirection w:val="tbRl"/>
            <w:vAlign w:val="center"/>
            <w:hideMark/>
          </w:tcPr>
          <w:p w14:paraId="2DFADDF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110</w:t>
            </w:r>
          </w:p>
        </w:tc>
        <w:tc>
          <w:tcPr>
            <w:tcW w:w="452" w:type="dxa"/>
            <w:noWrap/>
            <w:textDirection w:val="tbRl"/>
            <w:vAlign w:val="center"/>
            <w:hideMark/>
          </w:tcPr>
          <w:p w14:paraId="0C223AE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110</w:t>
            </w:r>
          </w:p>
        </w:tc>
        <w:tc>
          <w:tcPr>
            <w:tcW w:w="452" w:type="dxa"/>
            <w:noWrap/>
            <w:textDirection w:val="tbRl"/>
            <w:vAlign w:val="center"/>
            <w:hideMark/>
          </w:tcPr>
          <w:p w14:paraId="18397DA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110</w:t>
            </w:r>
          </w:p>
        </w:tc>
        <w:tc>
          <w:tcPr>
            <w:tcW w:w="452" w:type="dxa"/>
            <w:noWrap/>
            <w:textDirection w:val="tbRl"/>
            <w:vAlign w:val="center"/>
            <w:hideMark/>
          </w:tcPr>
          <w:p w14:paraId="7096B7E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110</w:t>
            </w:r>
          </w:p>
        </w:tc>
        <w:tc>
          <w:tcPr>
            <w:tcW w:w="452" w:type="dxa"/>
            <w:noWrap/>
            <w:textDirection w:val="tbRl"/>
            <w:vAlign w:val="center"/>
            <w:hideMark/>
          </w:tcPr>
          <w:p w14:paraId="6118F36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107</w:t>
            </w:r>
          </w:p>
        </w:tc>
        <w:tc>
          <w:tcPr>
            <w:tcW w:w="452" w:type="dxa"/>
            <w:noWrap/>
            <w:textDirection w:val="tbRl"/>
            <w:vAlign w:val="center"/>
            <w:hideMark/>
          </w:tcPr>
          <w:p w14:paraId="153E86F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107</w:t>
            </w:r>
          </w:p>
        </w:tc>
        <w:tc>
          <w:tcPr>
            <w:tcW w:w="452" w:type="dxa"/>
            <w:noWrap/>
            <w:textDirection w:val="tbRl"/>
            <w:vAlign w:val="center"/>
            <w:hideMark/>
          </w:tcPr>
          <w:p w14:paraId="1ACC95B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99</w:t>
            </w:r>
          </w:p>
        </w:tc>
        <w:tc>
          <w:tcPr>
            <w:tcW w:w="452" w:type="dxa"/>
            <w:noWrap/>
            <w:textDirection w:val="tbRl"/>
            <w:vAlign w:val="center"/>
            <w:hideMark/>
          </w:tcPr>
          <w:p w14:paraId="3597404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99</w:t>
            </w:r>
          </w:p>
        </w:tc>
        <w:tc>
          <w:tcPr>
            <w:tcW w:w="452" w:type="dxa"/>
            <w:noWrap/>
            <w:textDirection w:val="tbRl"/>
            <w:vAlign w:val="center"/>
            <w:hideMark/>
          </w:tcPr>
          <w:p w14:paraId="0688C3C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71</w:t>
            </w:r>
          </w:p>
        </w:tc>
        <w:tc>
          <w:tcPr>
            <w:tcW w:w="452" w:type="dxa"/>
            <w:noWrap/>
            <w:textDirection w:val="tbRl"/>
            <w:vAlign w:val="center"/>
            <w:hideMark/>
          </w:tcPr>
          <w:p w14:paraId="47CA50D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71</w:t>
            </w:r>
          </w:p>
        </w:tc>
        <w:tc>
          <w:tcPr>
            <w:tcW w:w="452" w:type="dxa"/>
            <w:noWrap/>
            <w:textDirection w:val="tbRl"/>
            <w:vAlign w:val="center"/>
            <w:hideMark/>
          </w:tcPr>
          <w:p w14:paraId="378B91B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71</w:t>
            </w:r>
          </w:p>
        </w:tc>
        <w:tc>
          <w:tcPr>
            <w:tcW w:w="452" w:type="dxa"/>
            <w:noWrap/>
            <w:textDirection w:val="tbRl"/>
            <w:vAlign w:val="center"/>
            <w:hideMark/>
          </w:tcPr>
          <w:p w14:paraId="0061AB8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50</w:t>
            </w:r>
          </w:p>
        </w:tc>
      </w:tr>
      <w:tr w:rsidR="0006207F" w:rsidRPr="0006207F" w14:paraId="618C7E0E" w14:textId="77777777" w:rsidTr="0006207F">
        <w:trPr>
          <w:cantSplit/>
          <w:trHeight w:val="850"/>
        </w:trPr>
        <w:tc>
          <w:tcPr>
            <w:tcW w:w="534" w:type="dxa"/>
            <w:noWrap/>
            <w:textDirection w:val="tbRl"/>
            <w:hideMark/>
          </w:tcPr>
          <w:p w14:paraId="6C0DDF00" w14:textId="1084BE9B"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CCC</w:t>
            </w:r>
          </w:p>
        </w:tc>
        <w:tc>
          <w:tcPr>
            <w:tcW w:w="647" w:type="dxa"/>
            <w:noWrap/>
            <w:textDirection w:val="tbRl"/>
            <w:vAlign w:val="center"/>
            <w:hideMark/>
          </w:tcPr>
          <w:p w14:paraId="6B30F85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56</w:t>
            </w:r>
          </w:p>
        </w:tc>
        <w:tc>
          <w:tcPr>
            <w:tcW w:w="449" w:type="dxa"/>
            <w:noWrap/>
            <w:textDirection w:val="tbRl"/>
            <w:vAlign w:val="center"/>
            <w:hideMark/>
          </w:tcPr>
          <w:p w14:paraId="50B3E65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61</w:t>
            </w:r>
          </w:p>
        </w:tc>
        <w:tc>
          <w:tcPr>
            <w:tcW w:w="449" w:type="dxa"/>
            <w:noWrap/>
            <w:textDirection w:val="tbRl"/>
            <w:vAlign w:val="center"/>
            <w:hideMark/>
          </w:tcPr>
          <w:p w14:paraId="20977AA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61</w:t>
            </w:r>
          </w:p>
        </w:tc>
        <w:tc>
          <w:tcPr>
            <w:tcW w:w="449" w:type="dxa"/>
            <w:noWrap/>
            <w:textDirection w:val="tbRl"/>
            <w:vAlign w:val="center"/>
            <w:hideMark/>
          </w:tcPr>
          <w:p w14:paraId="6E485E1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61</w:t>
            </w:r>
          </w:p>
        </w:tc>
        <w:tc>
          <w:tcPr>
            <w:tcW w:w="449" w:type="dxa"/>
            <w:noWrap/>
            <w:textDirection w:val="tbRl"/>
            <w:vAlign w:val="center"/>
            <w:hideMark/>
          </w:tcPr>
          <w:p w14:paraId="694E458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49" w:type="dxa"/>
            <w:noWrap/>
            <w:textDirection w:val="tbRl"/>
            <w:vAlign w:val="center"/>
            <w:hideMark/>
          </w:tcPr>
          <w:p w14:paraId="7ACE86F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49" w:type="dxa"/>
            <w:noWrap/>
            <w:textDirection w:val="tbRl"/>
            <w:vAlign w:val="center"/>
            <w:hideMark/>
          </w:tcPr>
          <w:p w14:paraId="601D792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49" w:type="dxa"/>
            <w:noWrap/>
            <w:textDirection w:val="tbRl"/>
            <w:vAlign w:val="center"/>
            <w:hideMark/>
          </w:tcPr>
          <w:p w14:paraId="65BE379E"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49" w:type="dxa"/>
            <w:noWrap/>
            <w:textDirection w:val="tbRl"/>
            <w:vAlign w:val="center"/>
            <w:hideMark/>
          </w:tcPr>
          <w:p w14:paraId="4D688FC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49" w:type="dxa"/>
            <w:noWrap/>
            <w:textDirection w:val="tbRl"/>
            <w:vAlign w:val="center"/>
            <w:hideMark/>
          </w:tcPr>
          <w:p w14:paraId="3F61786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49" w:type="dxa"/>
            <w:noWrap/>
            <w:textDirection w:val="tbRl"/>
            <w:vAlign w:val="center"/>
            <w:hideMark/>
          </w:tcPr>
          <w:p w14:paraId="1955B5F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51" w:type="dxa"/>
            <w:noWrap/>
            <w:textDirection w:val="tbRl"/>
            <w:vAlign w:val="center"/>
            <w:hideMark/>
          </w:tcPr>
          <w:p w14:paraId="0833237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89</w:t>
            </w:r>
          </w:p>
        </w:tc>
        <w:tc>
          <w:tcPr>
            <w:tcW w:w="452" w:type="dxa"/>
            <w:noWrap/>
            <w:textDirection w:val="tbRl"/>
            <w:vAlign w:val="center"/>
            <w:hideMark/>
          </w:tcPr>
          <w:p w14:paraId="2CE5734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104</w:t>
            </w:r>
          </w:p>
        </w:tc>
        <w:tc>
          <w:tcPr>
            <w:tcW w:w="452" w:type="dxa"/>
            <w:noWrap/>
            <w:textDirection w:val="tbRl"/>
            <w:vAlign w:val="center"/>
            <w:hideMark/>
          </w:tcPr>
          <w:p w14:paraId="7984A18A"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122</w:t>
            </w:r>
          </w:p>
        </w:tc>
        <w:tc>
          <w:tcPr>
            <w:tcW w:w="452" w:type="dxa"/>
            <w:noWrap/>
            <w:textDirection w:val="tbRl"/>
            <w:vAlign w:val="center"/>
            <w:hideMark/>
          </w:tcPr>
          <w:p w14:paraId="70362C2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109</w:t>
            </w:r>
          </w:p>
        </w:tc>
        <w:tc>
          <w:tcPr>
            <w:tcW w:w="452" w:type="dxa"/>
            <w:noWrap/>
            <w:textDirection w:val="tbRl"/>
            <w:vAlign w:val="center"/>
            <w:hideMark/>
          </w:tcPr>
          <w:p w14:paraId="6948F27D"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112</w:t>
            </w:r>
          </w:p>
        </w:tc>
        <w:tc>
          <w:tcPr>
            <w:tcW w:w="452" w:type="dxa"/>
            <w:noWrap/>
            <w:textDirection w:val="tbRl"/>
            <w:vAlign w:val="center"/>
            <w:hideMark/>
          </w:tcPr>
          <w:p w14:paraId="2E8B9E45"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112</w:t>
            </w:r>
          </w:p>
        </w:tc>
        <w:tc>
          <w:tcPr>
            <w:tcW w:w="452" w:type="dxa"/>
            <w:noWrap/>
            <w:textDirection w:val="tbRl"/>
            <w:vAlign w:val="center"/>
            <w:hideMark/>
          </w:tcPr>
          <w:p w14:paraId="3D439662"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112</w:t>
            </w:r>
          </w:p>
        </w:tc>
        <w:tc>
          <w:tcPr>
            <w:tcW w:w="452" w:type="dxa"/>
            <w:noWrap/>
            <w:textDirection w:val="tbRl"/>
            <w:vAlign w:val="center"/>
            <w:hideMark/>
          </w:tcPr>
          <w:p w14:paraId="64ECF4D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112</w:t>
            </w:r>
          </w:p>
        </w:tc>
        <w:tc>
          <w:tcPr>
            <w:tcW w:w="452" w:type="dxa"/>
            <w:noWrap/>
            <w:textDirection w:val="tbRl"/>
            <w:vAlign w:val="center"/>
            <w:hideMark/>
          </w:tcPr>
          <w:p w14:paraId="717A6BCB"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112</w:t>
            </w:r>
          </w:p>
        </w:tc>
        <w:tc>
          <w:tcPr>
            <w:tcW w:w="452" w:type="dxa"/>
            <w:noWrap/>
            <w:textDirection w:val="tbRl"/>
            <w:vAlign w:val="center"/>
            <w:hideMark/>
          </w:tcPr>
          <w:p w14:paraId="00863CB7"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112</w:t>
            </w:r>
          </w:p>
        </w:tc>
        <w:tc>
          <w:tcPr>
            <w:tcW w:w="452" w:type="dxa"/>
            <w:noWrap/>
            <w:textDirection w:val="tbRl"/>
            <w:vAlign w:val="center"/>
            <w:hideMark/>
          </w:tcPr>
          <w:p w14:paraId="38D3F699"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135</w:t>
            </w:r>
          </w:p>
        </w:tc>
        <w:tc>
          <w:tcPr>
            <w:tcW w:w="452" w:type="dxa"/>
            <w:noWrap/>
            <w:textDirection w:val="tbRl"/>
            <w:vAlign w:val="center"/>
            <w:hideMark/>
          </w:tcPr>
          <w:p w14:paraId="36A81550"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135</w:t>
            </w:r>
          </w:p>
        </w:tc>
        <w:tc>
          <w:tcPr>
            <w:tcW w:w="452" w:type="dxa"/>
            <w:noWrap/>
            <w:textDirection w:val="tbRl"/>
            <w:vAlign w:val="center"/>
            <w:hideMark/>
          </w:tcPr>
          <w:p w14:paraId="6946792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135</w:t>
            </w:r>
          </w:p>
        </w:tc>
        <w:tc>
          <w:tcPr>
            <w:tcW w:w="452" w:type="dxa"/>
            <w:noWrap/>
            <w:textDirection w:val="tbRl"/>
            <w:vAlign w:val="center"/>
            <w:hideMark/>
          </w:tcPr>
          <w:p w14:paraId="4FA38864"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135</w:t>
            </w:r>
          </w:p>
        </w:tc>
        <w:tc>
          <w:tcPr>
            <w:tcW w:w="452" w:type="dxa"/>
            <w:noWrap/>
            <w:textDirection w:val="tbRl"/>
            <w:vAlign w:val="center"/>
            <w:hideMark/>
          </w:tcPr>
          <w:p w14:paraId="4FB44463"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135</w:t>
            </w:r>
          </w:p>
        </w:tc>
        <w:tc>
          <w:tcPr>
            <w:tcW w:w="452" w:type="dxa"/>
            <w:noWrap/>
            <w:textDirection w:val="tbRl"/>
            <w:vAlign w:val="center"/>
            <w:hideMark/>
          </w:tcPr>
          <w:p w14:paraId="51B05E8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119</w:t>
            </w:r>
          </w:p>
        </w:tc>
        <w:tc>
          <w:tcPr>
            <w:tcW w:w="452" w:type="dxa"/>
            <w:noWrap/>
            <w:textDirection w:val="tbRl"/>
            <w:vAlign w:val="center"/>
            <w:hideMark/>
          </w:tcPr>
          <w:p w14:paraId="7628708F"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119</w:t>
            </w:r>
          </w:p>
        </w:tc>
        <w:tc>
          <w:tcPr>
            <w:tcW w:w="452" w:type="dxa"/>
            <w:noWrap/>
            <w:textDirection w:val="tbRl"/>
            <w:vAlign w:val="center"/>
            <w:hideMark/>
          </w:tcPr>
          <w:p w14:paraId="08730B46"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114</w:t>
            </w:r>
          </w:p>
        </w:tc>
        <w:tc>
          <w:tcPr>
            <w:tcW w:w="452" w:type="dxa"/>
            <w:noWrap/>
            <w:textDirection w:val="tbRl"/>
            <w:vAlign w:val="center"/>
            <w:hideMark/>
          </w:tcPr>
          <w:p w14:paraId="4084308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114</w:t>
            </w:r>
          </w:p>
        </w:tc>
        <w:tc>
          <w:tcPr>
            <w:tcW w:w="452" w:type="dxa"/>
            <w:noWrap/>
            <w:textDirection w:val="tbRl"/>
            <w:vAlign w:val="center"/>
            <w:hideMark/>
          </w:tcPr>
          <w:p w14:paraId="2A45A7EC"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109</w:t>
            </w:r>
          </w:p>
        </w:tc>
        <w:tc>
          <w:tcPr>
            <w:tcW w:w="452" w:type="dxa"/>
            <w:noWrap/>
            <w:textDirection w:val="tbRl"/>
            <w:vAlign w:val="center"/>
            <w:hideMark/>
          </w:tcPr>
          <w:p w14:paraId="4D47C128"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109</w:t>
            </w:r>
          </w:p>
        </w:tc>
        <w:tc>
          <w:tcPr>
            <w:tcW w:w="452" w:type="dxa"/>
            <w:noWrap/>
            <w:textDirection w:val="tbRl"/>
            <w:vAlign w:val="center"/>
            <w:hideMark/>
          </w:tcPr>
          <w:p w14:paraId="54C9ECC1" w14:textId="77777777"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sidRPr="0006207F">
              <w:rPr>
                <w:rFonts w:ascii="Arial Narrow" w:eastAsia="Times New Roman" w:hAnsi="Arial Narrow" w:cs="Calibri"/>
                <w:bCs w:val="0"/>
                <w:color w:val="000000"/>
                <w:sz w:val="20"/>
                <w:szCs w:val="20"/>
                <w:lang w:eastAsia="en-GB"/>
              </w:rPr>
              <w:t>109</w:t>
            </w:r>
          </w:p>
        </w:tc>
      </w:tr>
      <w:tr w:rsidR="0006207F" w:rsidRPr="0006207F" w14:paraId="0577CAF8" w14:textId="77777777" w:rsidTr="0006207F">
        <w:trPr>
          <w:cantSplit/>
          <w:trHeight w:val="1134"/>
        </w:trPr>
        <w:tc>
          <w:tcPr>
            <w:tcW w:w="534" w:type="dxa"/>
            <w:noWrap/>
            <w:textDirection w:val="tbRl"/>
          </w:tcPr>
          <w:p w14:paraId="4C973DB2" w14:textId="114C174E" w:rsidR="0006207F" w:rsidRPr="0006207F" w:rsidRDefault="0006207F" w:rsidP="0006207F">
            <w:pPr>
              <w:ind w:left="113" w:right="113"/>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t xml:space="preserve">Total </w:t>
            </w:r>
          </w:p>
        </w:tc>
        <w:tc>
          <w:tcPr>
            <w:tcW w:w="647" w:type="dxa"/>
            <w:noWrap/>
            <w:textDirection w:val="tbRl"/>
            <w:vAlign w:val="center"/>
          </w:tcPr>
          <w:p w14:paraId="6126BD5D" w14:textId="3F6E21C9"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56</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263B819D" w14:textId="133B63F2"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134</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53E81BEE" w14:textId="6875F009"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199</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0A8466A3" w14:textId="0F868128"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185</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14622148" w14:textId="3615A6FC"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213</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13A38520" w14:textId="77B3E803"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222</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0336D86C" w14:textId="4BD8AC75"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230</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6A1958C2" w14:textId="525CD799"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230</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696F0D27" w14:textId="4EC7F348"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230</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6458799E" w14:textId="67CCDDCE"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241</w:t>
            </w:r>
            <w:r>
              <w:rPr>
                <w:rFonts w:ascii="Arial Narrow" w:eastAsia="Times New Roman" w:hAnsi="Arial Narrow" w:cs="Calibri"/>
                <w:bCs w:val="0"/>
                <w:color w:val="000000"/>
                <w:sz w:val="20"/>
                <w:szCs w:val="20"/>
                <w:lang w:eastAsia="en-GB"/>
              </w:rPr>
              <w:fldChar w:fldCharType="end"/>
            </w:r>
          </w:p>
        </w:tc>
        <w:tc>
          <w:tcPr>
            <w:tcW w:w="449" w:type="dxa"/>
            <w:noWrap/>
            <w:textDirection w:val="tbRl"/>
            <w:vAlign w:val="center"/>
          </w:tcPr>
          <w:p w14:paraId="313E842E" w14:textId="39662112"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246</w:t>
            </w:r>
            <w:r>
              <w:rPr>
                <w:rFonts w:ascii="Arial Narrow" w:eastAsia="Times New Roman" w:hAnsi="Arial Narrow" w:cs="Calibri"/>
                <w:bCs w:val="0"/>
                <w:color w:val="000000"/>
                <w:sz w:val="20"/>
                <w:szCs w:val="20"/>
                <w:lang w:eastAsia="en-GB"/>
              </w:rPr>
              <w:fldChar w:fldCharType="end"/>
            </w:r>
          </w:p>
        </w:tc>
        <w:tc>
          <w:tcPr>
            <w:tcW w:w="451" w:type="dxa"/>
            <w:noWrap/>
            <w:textDirection w:val="tbRl"/>
            <w:vAlign w:val="center"/>
          </w:tcPr>
          <w:p w14:paraId="4661B420" w14:textId="1E0F8556"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317</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2D47FA2E" w14:textId="547AE6E5"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332</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3D558649" w14:textId="09F8B0F1"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297</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150D749D" w14:textId="24A8C78C"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322</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403F798F" w14:textId="79FC0FF6"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329</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5E274A93" w14:textId="55FD42DB"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329</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2464CB43" w14:textId="6FFABA60"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328</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49D6855B" w14:textId="00CCE785"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330</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45C6E0DB" w14:textId="4FDA8958"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310</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79AD0181" w14:textId="0DD3DF5F"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310</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7D1FAACB" w14:textId="142CFBC2"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333</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42E83464" w14:textId="1CC2F674"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332</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612EC9E6" w14:textId="7E7583B9"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329</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5B047A22" w14:textId="7D4B4A43"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328</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55CE54AC" w14:textId="4C6CE87F"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325</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67934105" w14:textId="0920293B"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309</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1732444C" w14:textId="31DA6EC9"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301</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7E72C52A" w14:textId="23D8F142"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295</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1402C6E2" w14:textId="54AC3B74"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267</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499491DC" w14:textId="6E71C01B"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262</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63AC82E1" w14:textId="1CE3CC63"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254</w:t>
            </w:r>
            <w:r>
              <w:rPr>
                <w:rFonts w:ascii="Arial Narrow" w:eastAsia="Times New Roman" w:hAnsi="Arial Narrow" w:cs="Calibri"/>
                <w:bCs w:val="0"/>
                <w:color w:val="000000"/>
                <w:sz w:val="20"/>
                <w:szCs w:val="20"/>
                <w:lang w:eastAsia="en-GB"/>
              </w:rPr>
              <w:fldChar w:fldCharType="end"/>
            </w:r>
          </w:p>
        </w:tc>
        <w:tc>
          <w:tcPr>
            <w:tcW w:w="452" w:type="dxa"/>
            <w:noWrap/>
            <w:textDirection w:val="tbRl"/>
            <w:vAlign w:val="center"/>
          </w:tcPr>
          <w:p w14:paraId="6C25E965" w14:textId="6A24C01D" w:rsidR="0006207F" w:rsidRPr="0006207F" w:rsidRDefault="0006207F" w:rsidP="0006207F">
            <w:pPr>
              <w:ind w:left="113" w:right="113"/>
              <w:jc w:val="right"/>
              <w:textAlignment w:val="auto"/>
              <w:rPr>
                <w:rFonts w:ascii="Arial Narrow" w:eastAsia="Times New Roman" w:hAnsi="Arial Narrow" w:cs="Calibri"/>
                <w:bCs w:val="0"/>
                <w:color w:val="000000"/>
                <w:sz w:val="20"/>
                <w:szCs w:val="20"/>
                <w:lang w:eastAsia="en-GB"/>
              </w:rPr>
            </w:pPr>
            <w:r>
              <w:rPr>
                <w:rFonts w:ascii="Arial Narrow" w:eastAsia="Times New Roman" w:hAnsi="Arial Narrow" w:cs="Calibri"/>
                <w:bCs w:val="0"/>
                <w:color w:val="000000"/>
                <w:sz w:val="20"/>
                <w:szCs w:val="20"/>
                <w:lang w:eastAsia="en-GB"/>
              </w:rPr>
              <w:fldChar w:fldCharType="begin"/>
            </w:r>
            <w:r>
              <w:rPr>
                <w:rFonts w:ascii="Arial Narrow" w:eastAsia="Times New Roman" w:hAnsi="Arial Narrow" w:cs="Calibri"/>
                <w:bCs w:val="0"/>
                <w:color w:val="000000"/>
                <w:sz w:val="20"/>
                <w:szCs w:val="20"/>
                <w:lang w:eastAsia="en-GB"/>
              </w:rPr>
              <w:instrText xml:space="preserve"> =SUM(ABOVE) </w:instrText>
            </w:r>
            <w:r>
              <w:rPr>
                <w:rFonts w:ascii="Arial Narrow" w:eastAsia="Times New Roman" w:hAnsi="Arial Narrow" w:cs="Calibri"/>
                <w:bCs w:val="0"/>
                <w:color w:val="000000"/>
                <w:sz w:val="20"/>
                <w:szCs w:val="20"/>
                <w:lang w:eastAsia="en-GB"/>
              </w:rPr>
              <w:fldChar w:fldCharType="separate"/>
            </w:r>
            <w:r>
              <w:rPr>
                <w:rFonts w:ascii="Arial Narrow" w:eastAsia="Times New Roman" w:hAnsi="Arial Narrow" w:cs="Calibri"/>
                <w:bCs w:val="0"/>
                <w:noProof/>
                <w:color w:val="000000"/>
                <w:sz w:val="20"/>
                <w:szCs w:val="20"/>
                <w:lang w:eastAsia="en-GB"/>
              </w:rPr>
              <w:t>234</w:t>
            </w:r>
            <w:r>
              <w:rPr>
                <w:rFonts w:ascii="Arial Narrow" w:eastAsia="Times New Roman" w:hAnsi="Arial Narrow" w:cs="Calibri"/>
                <w:bCs w:val="0"/>
                <w:color w:val="000000"/>
                <w:sz w:val="20"/>
                <w:szCs w:val="20"/>
                <w:lang w:eastAsia="en-GB"/>
              </w:rPr>
              <w:fldChar w:fldCharType="end"/>
            </w:r>
          </w:p>
        </w:tc>
      </w:tr>
    </w:tbl>
    <w:p w14:paraId="02830176" w14:textId="76DBC376" w:rsidR="0006207F" w:rsidRPr="00682123" w:rsidRDefault="0006207F" w:rsidP="00682123">
      <w:pPr>
        <w:rPr>
          <w:b/>
          <w:u w:val="single"/>
        </w:rPr>
      </w:pPr>
    </w:p>
    <w:sectPr w:rsidR="0006207F" w:rsidRPr="00682123" w:rsidSect="0006207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DB44" w14:textId="77777777" w:rsidR="009B2696" w:rsidRDefault="009B2696" w:rsidP="00682123">
      <w:r>
        <w:separator/>
      </w:r>
    </w:p>
  </w:endnote>
  <w:endnote w:type="continuationSeparator" w:id="0">
    <w:p w14:paraId="1A1C2AD7" w14:textId="77777777" w:rsidR="009B2696" w:rsidRDefault="009B2696" w:rsidP="006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7550B" w14:textId="6C928790" w:rsidR="009B2696" w:rsidRPr="00AA2857" w:rsidRDefault="009B2696">
    <w:pPr>
      <w:pStyle w:val="Footer"/>
      <w:jc w:val="right"/>
      <w:rPr>
        <w:color w:val="4472C4" w:themeColor="accent1"/>
        <w:sz w:val="18"/>
        <w:szCs w:val="18"/>
      </w:rPr>
    </w:pPr>
    <w:r w:rsidRPr="00AA2857">
      <w:rPr>
        <w:color w:val="4472C4" w:themeColor="accent1"/>
        <w:sz w:val="18"/>
        <w:szCs w:val="18"/>
      </w:rPr>
      <w:t xml:space="preserve">Page </w:t>
    </w:r>
    <w:sdt>
      <w:sdtPr>
        <w:rPr>
          <w:color w:val="4472C4" w:themeColor="accent1"/>
          <w:sz w:val="18"/>
          <w:szCs w:val="18"/>
        </w:rPr>
        <w:id w:val="746379524"/>
        <w:docPartObj>
          <w:docPartGallery w:val="Page Numbers (Bottom of Page)"/>
          <w:docPartUnique/>
        </w:docPartObj>
      </w:sdtPr>
      <w:sdtEndPr>
        <w:rPr>
          <w:noProof/>
        </w:rPr>
      </w:sdtEndPr>
      <w:sdtContent>
        <w:r w:rsidRPr="00AA2857">
          <w:rPr>
            <w:color w:val="4472C4" w:themeColor="accent1"/>
            <w:sz w:val="18"/>
            <w:szCs w:val="18"/>
          </w:rPr>
          <w:fldChar w:fldCharType="begin"/>
        </w:r>
        <w:r w:rsidRPr="00AA2857">
          <w:rPr>
            <w:color w:val="4472C4" w:themeColor="accent1"/>
            <w:sz w:val="18"/>
            <w:szCs w:val="18"/>
          </w:rPr>
          <w:instrText xml:space="preserve"> PAGE   \* MERGEFORMAT </w:instrText>
        </w:r>
        <w:r w:rsidRPr="00AA2857">
          <w:rPr>
            <w:color w:val="4472C4" w:themeColor="accent1"/>
            <w:sz w:val="18"/>
            <w:szCs w:val="18"/>
          </w:rPr>
          <w:fldChar w:fldCharType="separate"/>
        </w:r>
        <w:r w:rsidR="0025570F">
          <w:rPr>
            <w:noProof/>
            <w:color w:val="4472C4" w:themeColor="accent1"/>
            <w:sz w:val="18"/>
            <w:szCs w:val="18"/>
          </w:rPr>
          <w:t>1</w:t>
        </w:r>
        <w:r w:rsidRPr="00AA2857">
          <w:rPr>
            <w:noProof/>
            <w:color w:val="4472C4" w:themeColor="accent1"/>
            <w:sz w:val="18"/>
            <w:szCs w:val="18"/>
          </w:rPr>
          <w:fldChar w:fldCharType="end"/>
        </w:r>
      </w:sdtContent>
    </w:sdt>
  </w:p>
  <w:p w14:paraId="2550EB1E" w14:textId="77777777" w:rsidR="009B2696" w:rsidRDefault="009B2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1365" w14:textId="77777777" w:rsidR="009B2696" w:rsidRDefault="009B2696" w:rsidP="00682123">
      <w:r>
        <w:separator/>
      </w:r>
    </w:p>
  </w:footnote>
  <w:footnote w:type="continuationSeparator" w:id="0">
    <w:p w14:paraId="5FD5BA53" w14:textId="77777777" w:rsidR="009B2696" w:rsidRDefault="009B2696" w:rsidP="00682123">
      <w:r>
        <w:continuationSeparator/>
      </w:r>
    </w:p>
  </w:footnote>
  <w:footnote w:id="1">
    <w:p w14:paraId="29EA0AD5" w14:textId="477F7B19" w:rsidR="009B2696" w:rsidRDefault="009B2696" w:rsidP="00682123">
      <w:r>
        <w:rPr>
          <w:rStyle w:val="FootnoteReference"/>
        </w:rPr>
        <w:footnoteRef/>
      </w:r>
      <w:r>
        <w:t xml:space="preserve"> </w:t>
      </w:r>
      <w:r w:rsidRPr="00F96B47">
        <w:rPr>
          <w:sz w:val="18"/>
          <w:szCs w:val="18"/>
        </w:rPr>
        <w:t>Added after phone call: 10 being helped by Clarion. Private rented offers coming RS slowly hoping to accommodate 23 ambers + 3 greens. 7 reds hoping to access Housing First. Leaves 6 possibly modular homes or Living Plus?</w:t>
      </w:r>
    </w:p>
  </w:footnote>
  <w:footnote w:id="2">
    <w:p w14:paraId="14267CB2" w14:textId="77777777" w:rsidR="009B2696" w:rsidRPr="007E72E4" w:rsidRDefault="009B2696" w:rsidP="007E72E4">
      <w:r>
        <w:rPr>
          <w:rStyle w:val="FootnoteReference"/>
        </w:rPr>
        <w:footnoteRef/>
      </w:r>
      <w:r>
        <w:t xml:space="preserve"> </w:t>
      </w:r>
      <w:r w:rsidRPr="00F96B47">
        <w:rPr>
          <w:sz w:val="18"/>
          <w:szCs w:val="18"/>
        </w:rPr>
        <w:t>FDC</w:t>
      </w:r>
      <w:r w:rsidRPr="00F96B47">
        <w:rPr>
          <w:b/>
          <w:sz w:val="18"/>
          <w:szCs w:val="18"/>
        </w:rPr>
        <w:t xml:space="preserve"> </w:t>
      </w:r>
      <w:r w:rsidRPr="00F96B47">
        <w:rPr>
          <w:sz w:val="18"/>
          <w:szCs w:val="18"/>
        </w:rPr>
        <w:t>provided figures in a different breakdown:</w:t>
      </w:r>
      <w:r w:rsidRPr="00F96B47">
        <w:rPr>
          <w:b/>
          <w:sz w:val="18"/>
          <w:szCs w:val="18"/>
        </w:rPr>
        <w:t xml:space="preserve"> </w:t>
      </w:r>
      <w:r w:rsidRPr="00F96B47">
        <w:rPr>
          <w:sz w:val="18"/>
          <w:szCs w:val="18"/>
        </w:rPr>
        <w:t>13 – Red cohort (no recourse, issues, support needs); 23- Amber cohort (not quite ready, support needs, but eligible); 13- Green cohort (eligible and ready to move on).</w:t>
      </w:r>
    </w:p>
  </w:footnote>
  <w:footnote w:id="3">
    <w:p w14:paraId="37642575" w14:textId="00A254AA" w:rsidR="009B2696" w:rsidRDefault="009B2696" w:rsidP="007E72E4">
      <w:r>
        <w:rPr>
          <w:rStyle w:val="FootnoteReference"/>
        </w:rPr>
        <w:footnoteRef/>
      </w:r>
      <w:r>
        <w:t xml:space="preserve"> </w:t>
      </w:r>
      <w:r w:rsidRPr="00F96B47">
        <w:rPr>
          <w:sz w:val="18"/>
          <w:szCs w:val="18"/>
        </w:rPr>
        <w:t>Fenland: 3 NRPF and 17 NRPF currently although their application for settled status is due to be submitted/ has been submitted and waiting a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2A5B"/>
    <w:multiLevelType w:val="hybridMultilevel"/>
    <w:tmpl w:val="4338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84E73"/>
    <w:multiLevelType w:val="hybridMultilevel"/>
    <w:tmpl w:val="FD845082"/>
    <w:lvl w:ilvl="0" w:tplc="0622C5BA">
      <w:start w:val="1"/>
      <w:numFmt w:val="decimal"/>
      <w:pStyle w:val="tablenumbered"/>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F8282C"/>
    <w:multiLevelType w:val="hybridMultilevel"/>
    <w:tmpl w:val="C9DC7966"/>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7BE56D6"/>
    <w:multiLevelType w:val="hybridMultilevel"/>
    <w:tmpl w:val="22E61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FC32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BEB17F7"/>
    <w:multiLevelType w:val="hybridMultilevel"/>
    <w:tmpl w:val="544E9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C1D53"/>
    <w:multiLevelType w:val="hybridMultilevel"/>
    <w:tmpl w:val="755E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E7692"/>
    <w:multiLevelType w:val="hybridMultilevel"/>
    <w:tmpl w:val="0142BA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48F52DF"/>
    <w:multiLevelType w:val="hybridMultilevel"/>
    <w:tmpl w:val="F314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951448"/>
    <w:multiLevelType w:val="hybridMultilevel"/>
    <w:tmpl w:val="61E04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671DBF"/>
    <w:multiLevelType w:val="hybridMultilevel"/>
    <w:tmpl w:val="31B07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41BED"/>
    <w:multiLevelType w:val="hybridMultilevel"/>
    <w:tmpl w:val="0ACC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7A381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EBD3BEC"/>
    <w:multiLevelType w:val="hybridMultilevel"/>
    <w:tmpl w:val="010ED7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F02715"/>
    <w:multiLevelType w:val="hybridMultilevel"/>
    <w:tmpl w:val="13AE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912D3C"/>
    <w:multiLevelType w:val="hybridMultilevel"/>
    <w:tmpl w:val="0200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09087D"/>
    <w:multiLevelType w:val="hybridMultilevel"/>
    <w:tmpl w:val="90B0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C26F98"/>
    <w:multiLevelType w:val="hybridMultilevel"/>
    <w:tmpl w:val="C5BC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0"/>
  </w:num>
  <w:num w:numId="5">
    <w:abstractNumId w:val="16"/>
  </w:num>
  <w:num w:numId="6">
    <w:abstractNumId w:val="5"/>
  </w:num>
  <w:num w:numId="7">
    <w:abstractNumId w:val="3"/>
  </w:num>
  <w:num w:numId="8">
    <w:abstractNumId w:val="2"/>
  </w:num>
  <w:num w:numId="9">
    <w:abstractNumId w:val="13"/>
  </w:num>
  <w:num w:numId="10">
    <w:abstractNumId w:val="7"/>
  </w:num>
  <w:num w:numId="11">
    <w:abstractNumId w:val="11"/>
  </w:num>
  <w:num w:numId="12">
    <w:abstractNumId w:val="8"/>
  </w:num>
  <w:num w:numId="13">
    <w:abstractNumId w:val="9"/>
  </w:num>
  <w:num w:numId="14">
    <w:abstractNumId w:val="17"/>
  </w:num>
  <w:num w:numId="15">
    <w:abstractNumId w:val="1"/>
  </w:num>
  <w:num w:numId="16">
    <w:abstractNumId w:val="10"/>
  </w:num>
  <w:num w:numId="17">
    <w:abstractNumId w:val="12"/>
  </w:num>
  <w:num w:numId="18">
    <w:abstractNumId w:val="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Beck">
    <w15:presenceInfo w15:providerId="AD" w15:userId="S::JO.BECK@communities.gov.uk::eaa126b5-a7c3-41a9-b8e6-5c5698085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75"/>
    <w:rsid w:val="000006A8"/>
    <w:rsid w:val="000115FF"/>
    <w:rsid w:val="000225A0"/>
    <w:rsid w:val="00024C97"/>
    <w:rsid w:val="00032F3C"/>
    <w:rsid w:val="000431D1"/>
    <w:rsid w:val="00051338"/>
    <w:rsid w:val="000516B5"/>
    <w:rsid w:val="000550DA"/>
    <w:rsid w:val="0006207F"/>
    <w:rsid w:val="000874FF"/>
    <w:rsid w:val="000965BE"/>
    <w:rsid w:val="00096D3E"/>
    <w:rsid w:val="000A05FA"/>
    <w:rsid w:val="000B11A6"/>
    <w:rsid w:val="000B34A2"/>
    <w:rsid w:val="000C2D7D"/>
    <w:rsid w:val="000C56C9"/>
    <w:rsid w:val="000D549D"/>
    <w:rsid w:val="000DBE3B"/>
    <w:rsid w:val="000E1877"/>
    <w:rsid w:val="000E2AA7"/>
    <w:rsid w:val="001002D3"/>
    <w:rsid w:val="001023FB"/>
    <w:rsid w:val="00107FC9"/>
    <w:rsid w:val="0011403D"/>
    <w:rsid w:val="00114548"/>
    <w:rsid w:val="001226A0"/>
    <w:rsid w:val="001231A3"/>
    <w:rsid w:val="00141551"/>
    <w:rsid w:val="001432CF"/>
    <w:rsid w:val="001443B7"/>
    <w:rsid w:val="00151B37"/>
    <w:rsid w:val="00160F73"/>
    <w:rsid w:val="00161A64"/>
    <w:rsid w:val="00161B02"/>
    <w:rsid w:val="0016259E"/>
    <w:rsid w:val="00177C57"/>
    <w:rsid w:val="00186922"/>
    <w:rsid w:val="00192BFC"/>
    <w:rsid w:val="001A17EF"/>
    <w:rsid w:val="001B197D"/>
    <w:rsid w:val="001C0DDD"/>
    <w:rsid w:val="001D2A1C"/>
    <w:rsid w:val="001D4C9F"/>
    <w:rsid w:val="001D55D5"/>
    <w:rsid w:val="001E029A"/>
    <w:rsid w:val="001E1D18"/>
    <w:rsid w:val="001F43DA"/>
    <w:rsid w:val="002070CF"/>
    <w:rsid w:val="002129B6"/>
    <w:rsid w:val="00214607"/>
    <w:rsid w:val="0022360A"/>
    <w:rsid w:val="0024665D"/>
    <w:rsid w:val="00247709"/>
    <w:rsid w:val="00247EAB"/>
    <w:rsid w:val="0025570F"/>
    <w:rsid w:val="00260ADE"/>
    <w:rsid w:val="00260C4E"/>
    <w:rsid w:val="00261EFB"/>
    <w:rsid w:val="00267FF2"/>
    <w:rsid w:val="0027076F"/>
    <w:rsid w:val="00281D7B"/>
    <w:rsid w:val="00284551"/>
    <w:rsid w:val="002A4E58"/>
    <w:rsid w:val="002A57A5"/>
    <w:rsid w:val="002A60B5"/>
    <w:rsid w:val="002A648E"/>
    <w:rsid w:val="002B7C3F"/>
    <w:rsid w:val="002C186F"/>
    <w:rsid w:val="002C3653"/>
    <w:rsid w:val="002E4B71"/>
    <w:rsid w:val="002E7D39"/>
    <w:rsid w:val="002F6081"/>
    <w:rsid w:val="00305881"/>
    <w:rsid w:val="00311E59"/>
    <w:rsid w:val="00327330"/>
    <w:rsid w:val="00330B57"/>
    <w:rsid w:val="00335767"/>
    <w:rsid w:val="00337E4B"/>
    <w:rsid w:val="00341028"/>
    <w:rsid w:val="00351EDE"/>
    <w:rsid w:val="00354DEE"/>
    <w:rsid w:val="00357514"/>
    <w:rsid w:val="00357DBC"/>
    <w:rsid w:val="003615EE"/>
    <w:rsid w:val="00365522"/>
    <w:rsid w:val="00365697"/>
    <w:rsid w:val="00367CDF"/>
    <w:rsid w:val="00374315"/>
    <w:rsid w:val="003800B0"/>
    <w:rsid w:val="003A3EAD"/>
    <w:rsid w:val="003A5229"/>
    <w:rsid w:val="003D1026"/>
    <w:rsid w:val="003D4D03"/>
    <w:rsid w:val="003E0E7F"/>
    <w:rsid w:val="003E3099"/>
    <w:rsid w:val="003F7164"/>
    <w:rsid w:val="0040719B"/>
    <w:rsid w:val="0042337E"/>
    <w:rsid w:val="00432F2D"/>
    <w:rsid w:val="0043525E"/>
    <w:rsid w:val="00435567"/>
    <w:rsid w:val="00440DCF"/>
    <w:rsid w:val="00444E7C"/>
    <w:rsid w:val="0045753C"/>
    <w:rsid w:val="0046140A"/>
    <w:rsid w:val="00477367"/>
    <w:rsid w:val="00481AB8"/>
    <w:rsid w:val="0048225D"/>
    <w:rsid w:val="004959CA"/>
    <w:rsid w:val="004A2EDE"/>
    <w:rsid w:val="004A38F7"/>
    <w:rsid w:val="004A5CB0"/>
    <w:rsid w:val="004B019D"/>
    <w:rsid w:val="004C032C"/>
    <w:rsid w:val="004C0C03"/>
    <w:rsid w:val="004D3539"/>
    <w:rsid w:val="004D4471"/>
    <w:rsid w:val="004D54EA"/>
    <w:rsid w:val="004E0187"/>
    <w:rsid w:val="004F1BEE"/>
    <w:rsid w:val="004F5AA0"/>
    <w:rsid w:val="004F5F91"/>
    <w:rsid w:val="00534E04"/>
    <w:rsid w:val="005513C5"/>
    <w:rsid w:val="00560BE7"/>
    <w:rsid w:val="00561358"/>
    <w:rsid w:val="0057062B"/>
    <w:rsid w:val="00575380"/>
    <w:rsid w:val="00585B8C"/>
    <w:rsid w:val="00587717"/>
    <w:rsid w:val="005975D7"/>
    <w:rsid w:val="005A1405"/>
    <w:rsid w:val="005A3044"/>
    <w:rsid w:val="005C3FA0"/>
    <w:rsid w:val="005C726E"/>
    <w:rsid w:val="005F3FD0"/>
    <w:rsid w:val="005F7631"/>
    <w:rsid w:val="005F78B4"/>
    <w:rsid w:val="0060108F"/>
    <w:rsid w:val="00603A8E"/>
    <w:rsid w:val="006052F9"/>
    <w:rsid w:val="006128DD"/>
    <w:rsid w:val="006263E4"/>
    <w:rsid w:val="006272D9"/>
    <w:rsid w:val="00657437"/>
    <w:rsid w:val="006612BB"/>
    <w:rsid w:val="00664217"/>
    <w:rsid w:val="006679EF"/>
    <w:rsid w:val="00682123"/>
    <w:rsid w:val="00693121"/>
    <w:rsid w:val="006A7AEB"/>
    <w:rsid w:val="006B16A5"/>
    <w:rsid w:val="006B3BD5"/>
    <w:rsid w:val="006B61AF"/>
    <w:rsid w:val="006C1DC5"/>
    <w:rsid w:val="006D0A2C"/>
    <w:rsid w:val="006E1AB8"/>
    <w:rsid w:val="00702EB9"/>
    <w:rsid w:val="007066F9"/>
    <w:rsid w:val="00715A52"/>
    <w:rsid w:val="00715D9E"/>
    <w:rsid w:val="00726818"/>
    <w:rsid w:val="007274FD"/>
    <w:rsid w:val="00730561"/>
    <w:rsid w:val="0073644A"/>
    <w:rsid w:val="00750C79"/>
    <w:rsid w:val="0075625E"/>
    <w:rsid w:val="00765F50"/>
    <w:rsid w:val="007674B3"/>
    <w:rsid w:val="0077128D"/>
    <w:rsid w:val="0077573B"/>
    <w:rsid w:val="00781E64"/>
    <w:rsid w:val="00782D0E"/>
    <w:rsid w:val="007843E8"/>
    <w:rsid w:val="007906BE"/>
    <w:rsid w:val="007B006E"/>
    <w:rsid w:val="007B0574"/>
    <w:rsid w:val="007C0E17"/>
    <w:rsid w:val="007C31EB"/>
    <w:rsid w:val="007C621F"/>
    <w:rsid w:val="007D79D5"/>
    <w:rsid w:val="007E0F33"/>
    <w:rsid w:val="007E3780"/>
    <w:rsid w:val="007E42E0"/>
    <w:rsid w:val="007E70A6"/>
    <w:rsid w:val="007E72E4"/>
    <w:rsid w:val="007F050E"/>
    <w:rsid w:val="007F6790"/>
    <w:rsid w:val="008064DD"/>
    <w:rsid w:val="00806896"/>
    <w:rsid w:val="008109B8"/>
    <w:rsid w:val="00810EA5"/>
    <w:rsid w:val="00812D33"/>
    <w:rsid w:val="00814AB2"/>
    <w:rsid w:val="00816DCA"/>
    <w:rsid w:val="00826239"/>
    <w:rsid w:val="00830C68"/>
    <w:rsid w:val="00831CBF"/>
    <w:rsid w:val="008343CE"/>
    <w:rsid w:val="00840742"/>
    <w:rsid w:val="00845462"/>
    <w:rsid w:val="00847C4F"/>
    <w:rsid w:val="00854BA5"/>
    <w:rsid w:val="00857529"/>
    <w:rsid w:val="0086146F"/>
    <w:rsid w:val="00864B48"/>
    <w:rsid w:val="0086647A"/>
    <w:rsid w:val="00866948"/>
    <w:rsid w:val="008669A7"/>
    <w:rsid w:val="00890BA8"/>
    <w:rsid w:val="00897264"/>
    <w:rsid w:val="008A2229"/>
    <w:rsid w:val="008A61C0"/>
    <w:rsid w:val="008A6CEA"/>
    <w:rsid w:val="008D0DCF"/>
    <w:rsid w:val="008D27BD"/>
    <w:rsid w:val="008D36AD"/>
    <w:rsid w:val="008E58B5"/>
    <w:rsid w:val="008E5DFF"/>
    <w:rsid w:val="008F2BB1"/>
    <w:rsid w:val="0090019B"/>
    <w:rsid w:val="0091193F"/>
    <w:rsid w:val="00912D23"/>
    <w:rsid w:val="00940499"/>
    <w:rsid w:val="00945879"/>
    <w:rsid w:val="00947656"/>
    <w:rsid w:val="00950962"/>
    <w:rsid w:val="00956F81"/>
    <w:rsid w:val="0099332E"/>
    <w:rsid w:val="009A5753"/>
    <w:rsid w:val="009A64CD"/>
    <w:rsid w:val="009B2696"/>
    <w:rsid w:val="009C56F3"/>
    <w:rsid w:val="009D347E"/>
    <w:rsid w:val="009D3F8B"/>
    <w:rsid w:val="009D3FE5"/>
    <w:rsid w:val="009E6D1F"/>
    <w:rsid w:val="009F3CE0"/>
    <w:rsid w:val="009F7B23"/>
    <w:rsid w:val="00A03D63"/>
    <w:rsid w:val="00A07535"/>
    <w:rsid w:val="00A14B9F"/>
    <w:rsid w:val="00A21A37"/>
    <w:rsid w:val="00A23678"/>
    <w:rsid w:val="00A30C42"/>
    <w:rsid w:val="00A31B21"/>
    <w:rsid w:val="00A33E2A"/>
    <w:rsid w:val="00A46187"/>
    <w:rsid w:val="00A52DE2"/>
    <w:rsid w:val="00A6176C"/>
    <w:rsid w:val="00A65401"/>
    <w:rsid w:val="00A74AF2"/>
    <w:rsid w:val="00A828EB"/>
    <w:rsid w:val="00A82E4F"/>
    <w:rsid w:val="00A851D5"/>
    <w:rsid w:val="00A87917"/>
    <w:rsid w:val="00A9109D"/>
    <w:rsid w:val="00A91711"/>
    <w:rsid w:val="00AA2857"/>
    <w:rsid w:val="00AA6959"/>
    <w:rsid w:val="00AC4C59"/>
    <w:rsid w:val="00AD73A0"/>
    <w:rsid w:val="00B10D10"/>
    <w:rsid w:val="00B11119"/>
    <w:rsid w:val="00B17A16"/>
    <w:rsid w:val="00B20C8C"/>
    <w:rsid w:val="00B26D90"/>
    <w:rsid w:val="00B27A53"/>
    <w:rsid w:val="00B35F21"/>
    <w:rsid w:val="00B51250"/>
    <w:rsid w:val="00B555C4"/>
    <w:rsid w:val="00B65C75"/>
    <w:rsid w:val="00B749EB"/>
    <w:rsid w:val="00B76869"/>
    <w:rsid w:val="00B85110"/>
    <w:rsid w:val="00BA00E2"/>
    <w:rsid w:val="00BA5629"/>
    <w:rsid w:val="00BC243D"/>
    <w:rsid w:val="00BD08E7"/>
    <w:rsid w:val="00BD0E9F"/>
    <w:rsid w:val="00BD68BC"/>
    <w:rsid w:val="00BF26F9"/>
    <w:rsid w:val="00BF61FA"/>
    <w:rsid w:val="00C026D2"/>
    <w:rsid w:val="00C10EAC"/>
    <w:rsid w:val="00C16BC7"/>
    <w:rsid w:val="00C321E4"/>
    <w:rsid w:val="00C44B57"/>
    <w:rsid w:val="00C47DEF"/>
    <w:rsid w:val="00C600FF"/>
    <w:rsid w:val="00C718A7"/>
    <w:rsid w:val="00C85905"/>
    <w:rsid w:val="00C85EF1"/>
    <w:rsid w:val="00C96A9D"/>
    <w:rsid w:val="00CBA33C"/>
    <w:rsid w:val="00CC31F2"/>
    <w:rsid w:val="00CD6722"/>
    <w:rsid w:val="00CF2B76"/>
    <w:rsid w:val="00D23D8F"/>
    <w:rsid w:val="00D26518"/>
    <w:rsid w:val="00D33FEC"/>
    <w:rsid w:val="00D41694"/>
    <w:rsid w:val="00D50520"/>
    <w:rsid w:val="00D54CCB"/>
    <w:rsid w:val="00D56D52"/>
    <w:rsid w:val="00D82C4C"/>
    <w:rsid w:val="00DA2264"/>
    <w:rsid w:val="00DB0124"/>
    <w:rsid w:val="00DB677A"/>
    <w:rsid w:val="00DC1646"/>
    <w:rsid w:val="00DE089D"/>
    <w:rsid w:val="00DE1C0B"/>
    <w:rsid w:val="00DE3F1D"/>
    <w:rsid w:val="00DF5673"/>
    <w:rsid w:val="00E05F65"/>
    <w:rsid w:val="00E1509C"/>
    <w:rsid w:val="00E2071C"/>
    <w:rsid w:val="00E23400"/>
    <w:rsid w:val="00E27265"/>
    <w:rsid w:val="00E329D3"/>
    <w:rsid w:val="00E3498B"/>
    <w:rsid w:val="00E372EB"/>
    <w:rsid w:val="00E429E7"/>
    <w:rsid w:val="00E44BD6"/>
    <w:rsid w:val="00E56D41"/>
    <w:rsid w:val="00E83399"/>
    <w:rsid w:val="00E84D98"/>
    <w:rsid w:val="00E870C7"/>
    <w:rsid w:val="00E950F8"/>
    <w:rsid w:val="00EB35E0"/>
    <w:rsid w:val="00EB4B15"/>
    <w:rsid w:val="00EC5175"/>
    <w:rsid w:val="00EE71DD"/>
    <w:rsid w:val="00F00E14"/>
    <w:rsid w:val="00F16000"/>
    <w:rsid w:val="00F3211A"/>
    <w:rsid w:val="00F322F5"/>
    <w:rsid w:val="00F43FC6"/>
    <w:rsid w:val="00F66920"/>
    <w:rsid w:val="00F7527A"/>
    <w:rsid w:val="00F8461F"/>
    <w:rsid w:val="00F918EA"/>
    <w:rsid w:val="00F96B47"/>
    <w:rsid w:val="00FA0D20"/>
    <w:rsid w:val="00FA106D"/>
    <w:rsid w:val="00FB12F5"/>
    <w:rsid w:val="00FC1164"/>
    <w:rsid w:val="00FC1E45"/>
    <w:rsid w:val="00FC5234"/>
    <w:rsid w:val="00FD20F9"/>
    <w:rsid w:val="00FE5497"/>
    <w:rsid w:val="00FF37E5"/>
    <w:rsid w:val="00FF5489"/>
    <w:rsid w:val="01742C0A"/>
    <w:rsid w:val="04F0D297"/>
    <w:rsid w:val="056481B8"/>
    <w:rsid w:val="06482FB7"/>
    <w:rsid w:val="06A8A76F"/>
    <w:rsid w:val="07208001"/>
    <w:rsid w:val="07475105"/>
    <w:rsid w:val="07F48B5D"/>
    <w:rsid w:val="098B4A90"/>
    <w:rsid w:val="0D058147"/>
    <w:rsid w:val="0F416B15"/>
    <w:rsid w:val="0F7A7DCA"/>
    <w:rsid w:val="1096DB28"/>
    <w:rsid w:val="18BE3901"/>
    <w:rsid w:val="1973200A"/>
    <w:rsid w:val="1986002D"/>
    <w:rsid w:val="19989621"/>
    <w:rsid w:val="1A2B4B70"/>
    <w:rsid w:val="1CE37B4A"/>
    <w:rsid w:val="2047B071"/>
    <w:rsid w:val="21772B58"/>
    <w:rsid w:val="26977B3C"/>
    <w:rsid w:val="26FA2656"/>
    <w:rsid w:val="2702D9D0"/>
    <w:rsid w:val="2A32775C"/>
    <w:rsid w:val="2B2A75A6"/>
    <w:rsid w:val="2D3C0ECA"/>
    <w:rsid w:val="301B919F"/>
    <w:rsid w:val="304464A7"/>
    <w:rsid w:val="3382ACAB"/>
    <w:rsid w:val="352A25FB"/>
    <w:rsid w:val="352EE57C"/>
    <w:rsid w:val="380C8205"/>
    <w:rsid w:val="39557CA1"/>
    <w:rsid w:val="3A335232"/>
    <w:rsid w:val="3B2E0F49"/>
    <w:rsid w:val="41B8CB1B"/>
    <w:rsid w:val="4438A49E"/>
    <w:rsid w:val="443D4028"/>
    <w:rsid w:val="45838583"/>
    <w:rsid w:val="47EE8E0B"/>
    <w:rsid w:val="49B3BC83"/>
    <w:rsid w:val="49D2415C"/>
    <w:rsid w:val="4B437189"/>
    <w:rsid w:val="4D1FC48C"/>
    <w:rsid w:val="4DB6523E"/>
    <w:rsid w:val="50ED718D"/>
    <w:rsid w:val="51A84259"/>
    <w:rsid w:val="52783995"/>
    <w:rsid w:val="5347808B"/>
    <w:rsid w:val="54B7E124"/>
    <w:rsid w:val="562915AD"/>
    <w:rsid w:val="59744E7F"/>
    <w:rsid w:val="59CEAA26"/>
    <w:rsid w:val="5A45DEC6"/>
    <w:rsid w:val="5CE89B1D"/>
    <w:rsid w:val="5D549EDE"/>
    <w:rsid w:val="5EC58222"/>
    <w:rsid w:val="5FEBCB26"/>
    <w:rsid w:val="63EAC498"/>
    <w:rsid w:val="662B68EA"/>
    <w:rsid w:val="6738612B"/>
    <w:rsid w:val="6A3C0D48"/>
    <w:rsid w:val="6BEBBAC3"/>
    <w:rsid w:val="6C77611B"/>
    <w:rsid w:val="6FE63AF0"/>
    <w:rsid w:val="777D6A44"/>
    <w:rsid w:val="78EC8DAC"/>
    <w:rsid w:val="7C6113B4"/>
    <w:rsid w:val="7E386DA1"/>
    <w:rsid w:val="7F52F0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23"/>
    <w:pPr>
      <w:spacing w:after="0" w:line="240" w:lineRule="auto"/>
      <w:textAlignment w:val="baseline"/>
    </w:pPr>
    <w:rPr>
      <w:rFonts w:asciiTheme="majorHAnsi" w:hAnsiTheme="majorHAnsi" w:cstheme="majorHAnsi"/>
      <w:bCs/>
    </w:rPr>
  </w:style>
  <w:style w:type="paragraph" w:styleId="Heading1">
    <w:name w:val="heading 1"/>
    <w:basedOn w:val="Normal"/>
    <w:next w:val="Normal"/>
    <w:link w:val="Heading1Char"/>
    <w:uiPriority w:val="9"/>
    <w:qFormat/>
    <w:rsid w:val="00214607"/>
    <w:pPr>
      <w:keepNext/>
      <w:keepLines/>
      <w:spacing w:before="480"/>
      <w:outlineLvl w:val="0"/>
    </w:pPr>
    <w:rPr>
      <w:rFonts w:eastAsiaTheme="majorEastAsia" w:cstheme="majorBidi"/>
      <w:b/>
      <w:bCs w:val="0"/>
      <w:color w:val="2F5496" w:themeColor="accent1" w:themeShade="BF"/>
      <w:sz w:val="28"/>
      <w:szCs w:val="28"/>
    </w:rPr>
  </w:style>
  <w:style w:type="paragraph" w:styleId="Heading2">
    <w:name w:val="heading 2"/>
    <w:basedOn w:val="Normal"/>
    <w:next w:val="Normal"/>
    <w:link w:val="Heading2Char"/>
    <w:uiPriority w:val="9"/>
    <w:unhideWhenUsed/>
    <w:qFormat/>
    <w:rsid w:val="006A7AEB"/>
    <w:pPr>
      <w:keepNext/>
      <w:keepLines/>
      <w:pBdr>
        <w:bottom w:val="single" w:sz="4" w:space="1" w:color="4472C4" w:themeColor="accent1"/>
      </w:pBdr>
      <w:spacing w:before="200"/>
      <w:outlineLvl w:val="1"/>
    </w:pPr>
    <w:rPr>
      <w:rFonts w:eastAsiaTheme="majorEastAsia" w:cstheme="majorBidi"/>
      <w:b/>
      <w:bCs w:val="0"/>
      <w:color w:val="4472C4" w:themeColor="accent1"/>
      <w:sz w:val="26"/>
      <w:szCs w:val="26"/>
    </w:rPr>
  </w:style>
  <w:style w:type="paragraph" w:styleId="Heading3">
    <w:name w:val="heading 3"/>
    <w:basedOn w:val="Normal"/>
    <w:next w:val="Normal"/>
    <w:link w:val="Heading3Char"/>
    <w:uiPriority w:val="9"/>
    <w:unhideWhenUsed/>
    <w:qFormat/>
    <w:rsid w:val="00682123"/>
    <w:pPr>
      <w:keepNext/>
      <w:keepLines/>
      <w:spacing w:before="200"/>
      <w:outlineLvl w:val="2"/>
    </w:pPr>
    <w:rPr>
      <w:rFonts w:eastAsiaTheme="majorEastAsia" w:cstheme="majorBidi"/>
      <w:b/>
      <w:bCs w:val="0"/>
      <w:color w:val="4472C4" w:themeColor="accent1"/>
    </w:rPr>
  </w:style>
  <w:style w:type="paragraph" w:styleId="Heading4">
    <w:name w:val="heading 4"/>
    <w:basedOn w:val="Normal"/>
    <w:next w:val="Normal"/>
    <w:link w:val="Heading4Char"/>
    <w:uiPriority w:val="9"/>
    <w:unhideWhenUsed/>
    <w:qFormat/>
    <w:rsid w:val="00EE71DD"/>
    <w:pPr>
      <w:keepNext/>
      <w:keepLines/>
      <w:spacing w:before="120"/>
      <w:outlineLvl w:val="3"/>
    </w:pPr>
    <w:rPr>
      <w:rFonts w:eastAsiaTheme="majorEastAsia" w:cstheme="majorBidi"/>
      <w:b/>
      <w:bCs w:val="0"/>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5C75"/>
    <w:rPr>
      <w:sz w:val="16"/>
      <w:szCs w:val="16"/>
    </w:rPr>
  </w:style>
  <w:style w:type="paragraph" w:styleId="CommentText">
    <w:name w:val="annotation text"/>
    <w:basedOn w:val="Normal"/>
    <w:link w:val="CommentTextChar"/>
    <w:uiPriority w:val="99"/>
    <w:semiHidden/>
    <w:unhideWhenUsed/>
    <w:rsid w:val="00B65C75"/>
    <w:rPr>
      <w:rFonts w:ascii="Calibri" w:hAnsi="Calibri" w:cs="Calibri"/>
      <w:sz w:val="20"/>
      <w:szCs w:val="20"/>
    </w:rPr>
  </w:style>
  <w:style w:type="character" w:customStyle="1" w:styleId="CommentTextChar">
    <w:name w:val="Comment Text Char"/>
    <w:basedOn w:val="DefaultParagraphFont"/>
    <w:link w:val="CommentText"/>
    <w:uiPriority w:val="99"/>
    <w:semiHidden/>
    <w:rsid w:val="00B65C75"/>
    <w:rPr>
      <w:rFonts w:ascii="Calibri" w:hAnsi="Calibri" w:cs="Calibri"/>
      <w:sz w:val="20"/>
      <w:szCs w:val="20"/>
    </w:rPr>
  </w:style>
  <w:style w:type="paragraph" w:styleId="BalloonText">
    <w:name w:val="Balloon Text"/>
    <w:basedOn w:val="Normal"/>
    <w:link w:val="BalloonTextChar"/>
    <w:uiPriority w:val="99"/>
    <w:semiHidden/>
    <w:unhideWhenUsed/>
    <w:rsid w:val="00B65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75"/>
    <w:rPr>
      <w:rFonts w:ascii="Segoe UI" w:hAnsi="Segoe UI" w:cs="Segoe UI"/>
      <w:sz w:val="18"/>
      <w:szCs w:val="18"/>
    </w:rPr>
  </w:style>
  <w:style w:type="paragraph" w:styleId="ListParagraph">
    <w:name w:val="List Paragraph"/>
    <w:basedOn w:val="Normal"/>
    <w:link w:val="ListParagraphChar"/>
    <w:uiPriority w:val="34"/>
    <w:qFormat/>
    <w:rsid w:val="000006A8"/>
    <w:pPr>
      <w:ind w:left="720"/>
      <w:contextualSpacing/>
    </w:pPr>
  </w:style>
  <w:style w:type="paragraph" w:styleId="CommentSubject">
    <w:name w:val="annotation subject"/>
    <w:basedOn w:val="CommentText"/>
    <w:next w:val="CommentText"/>
    <w:link w:val="CommentSubjectChar"/>
    <w:uiPriority w:val="99"/>
    <w:semiHidden/>
    <w:unhideWhenUsed/>
    <w:rsid w:val="00281D7B"/>
    <w:pPr>
      <w:spacing w:after="160"/>
    </w:pPr>
    <w:rPr>
      <w:rFonts w:asciiTheme="minorHAnsi" w:hAnsiTheme="minorHAnsi" w:cstheme="minorBidi"/>
      <w:b/>
      <w:bCs w:val="0"/>
    </w:rPr>
  </w:style>
  <w:style w:type="character" w:customStyle="1" w:styleId="CommentSubjectChar">
    <w:name w:val="Comment Subject Char"/>
    <w:basedOn w:val="CommentTextChar"/>
    <w:link w:val="CommentSubject"/>
    <w:uiPriority w:val="99"/>
    <w:semiHidden/>
    <w:rsid w:val="00281D7B"/>
    <w:rPr>
      <w:rFonts w:ascii="Calibri" w:hAnsi="Calibri" w:cs="Calibri"/>
      <w:b/>
      <w:bCs/>
      <w:sz w:val="20"/>
      <w:szCs w:val="20"/>
    </w:rPr>
  </w:style>
  <w:style w:type="character" w:styleId="Hyperlink">
    <w:name w:val="Hyperlink"/>
    <w:basedOn w:val="DefaultParagraphFont"/>
    <w:uiPriority w:val="99"/>
    <w:unhideWhenUsed/>
    <w:rsid w:val="00950962"/>
    <w:rPr>
      <w:color w:val="0563C1"/>
      <w:u w:val="single"/>
    </w:rPr>
  </w:style>
  <w:style w:type="character" w:styleId="FollowedHyperlink">
    <w:name w:val="FollowedHyperlink"/>
    <w:basedOn w:val="DefaultParagraphFont"/>
    <w:uiPriority w:val="99"/>
    <w:semiHidden/>
    <w:unhideWhenUsed/>
    <w:rsid w:val="007B0574"/>
    <w:rPr>
      <w:color w:val="954F72" w:themeColor="followedHyperlink"/>
      <w:u w:val="single"/>
    </w:rPr>
  </w:style>
  <w:style w:type="character" w:customStyle="1" w:styleId="UnresolvedMention">
    <w:name w:val="Unresolved Mention"/>
    <w:basedOn w:val="DefaultParagraphFont"/>
    <w:uiPriority w:val="99"/>
    <w:semiHidden/>
    <w:unhideWhenUsed/>
    <w:rsid w:val="007B0574"/>
    <w:rPr>
      <w:color w:val="605E5C"/>
      <w:shd w:val="clear" w:color="auto" w:fill="E1DFDD"/>
    </w:rPr>
  </w:style>
  <w:style w:type="paragraph" w:styleId="EndnoteText">
    <w:name w:val="endnote text"/>
    <w:basedOn w:val="Normal"/>
    <w:link w:val="EndnoteTextChar"/>
    <w:uiPriority w:val="99"/>
    <w:unhideWhenUsed/>
    <w:rsid w:val="004D54EA"/>
    <w:rPr>
      <w:sz w:val="20"/>
      <w:szCs w:val="20"/>
    </w:rPr>
  </w:style>
  <w:style w:type="character" w:customStyle="1" w:styleId="EndnoteTextChar">
    <w:name w:val="Endnote Text Char"/>
    <w:basedOn w:val="DefaultParagraphFont"/>
    <w:link w:val="EndnoteText"/>
    <w:uiPriority w:val="99"/>
    <w:rsid w:val="004D54EA"/>
    <w:rPr>
      <w:sz w:val="20"/>
      <w:szCs w:val="20"/>
    </w:rPr>
  </w:style>
  <w:style w:type="character" w:styleId="EndnoteReference">
    <w:name w:val="endnote reference"/>
    <w:basedOn w:val="DefaultParagraphFont"/>
    <w:uiPriority w:val="99"/>
    <w:semiHidden/>
    <w:unhideWhenUsed/>
    <w:rsid w:val="004D54EA"/>
    <w:rPr>
      <w:vertAlign w:val="superscript"/>
    </w:rPr>
  </w:style>
  <w:style w:type="paragraph" w:styleId="FootnoteText">
    <w:name w:val="footnote text"/>
    <w:basedOn w:val="Normal"/>
    <w:link w:val="FootnoteTextChar"/>
    <w:uiPriority w:val="99"/>
    <w:unhideWhenUsed/>
    <w:rsid w:val="00247709"/>
    <w:rPr>
      <w:sz w:val="20"/>
      <w:szCs w:val="20"/>
    </w:rPr>
  </w:style>
  <w:style w:type="character" w:customStyle="1" w:styleId="FootnoteTextChar">
    <w:name w:val="Footnote Text Char"/>
    <w:basedOn w:val="DefaultParagraphFont"/>
    <w:link w:val="FootnoteText"/>
    <w:uiPriority w:val="99"/>
    <w:rsid w:val="00247709"/>
    <w:rPr>
      <w:sz w:val="20"/>
      <w:szCs w:val="20"/>
    </w:rPr>
  </w:style>
  <w:style w:type="character" w:styleId="FootnoteReference">
    <w:name w:val="footnote reference"/>
    <w:basedOn w:val="DefaultParagraphFont"/>
    <w:uiPriority w:val="99"/>
    <w:semiHidden/>
    <w:unhideWhenUsed/>
    <w:rsid w:val="00247709"/>
    <w:rPr>
      <w:vertAlign w:val="superscript"/>
    </w:rPr>
  </w:style>
  <w:style w:type="table" w:styleId="LightList">
    <w:name w:val="Light List"/>
    <w:basedOn w:val="TableNormal"/>
    <w:uiPriority w:val="61"/>
    <w:rsid w:val="001C0D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B5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6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A7AEB"/>
    <w:rPr>
      <w:rFonts w:asciiTheme="majorHAnsi" w:eastAsiaTheme="majorEastAsia" w:hAnsiTheme="majorHAnsi" w:cstheme="majorBidi"/>
      <w:b/>
      <w:color w:val="4472C4" w:themeColor="accent1"/>
      <w:sz w:val="26"/>
      <w:szCs w:val="26"/>
    </w:rPr>
  </w:style>
  <w:style w:type="character" w:customStyle="1" w:styleId="Heading3Char">
    <w:name w:val="Heading 3 Char"/>
    <w:basedOn w:val="DefaultParagraphFont"/>
    <w:link w:val="Heading3"/>
    <w:uiPriority w:val="9"/>
    <w:rsid w:val="0068212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E71DD"/>
    <w:rPr>
      <w:rFonts w:asciiTheme="majorHAnsi" w:eastAsiaTheme="majorEastAsia" w:hAnsiTheme="majorHAnsi" w:cstheme="majorBidi"/>
      <w:b/>
      <w:i/>
      <w:iCs/>
      <w:color w:val="4472C4" w:themeColor="accent1"/>
    </w:rPr>
  </w:style>
  <w:style w:type="paragraph" w:styleId="Header">
    <w:name w:val="header"/>
    <w:basedOn w:val="Normal"/>
    <w:link w:val="HeaderChar"/>
    <w:uiPriority w:val="99"/>
    <w:unhideWhenUsed/>
    <w:rsid w:val="00AA2857"/>
    <w:pPr>
      <w:tabs>
        <w:tab w:val="center" w:pos="4513"/>
        <w:tab w:val="right" w:pos="9026"/>
      </w:tabs>
    </w:pPr>
  </w:style>
  <w:style w:type="character" w:customStyle="1" w:styleId="HeaderChar">
    <w:name w:val="Header Char"/>
    <w:basedOn w:val="DefaultParagraphFont"/>
    <w:link w:val="Header"/>
    <w:uiPriority w:val="99"/>
    <w:rsid w:val="00AA2857"/>
    <w:rPr>
      <w:rFonts w:asciiTheme="majorHAnsi" w:hAnsiTheme="majorHAnsi" w:cstheme="majorHAnsi"/>
      <w:bCs/>
    </w:rPr>
  </w:style>
  <w:style w:type="paragraph" w:styleId="Footer">
    <w:name w:val="footer"/>
    <w:basedOn w:val="Normal"/>
    <w:link w:val="FooterChar"/>
    <w:uiPriority w:val="99"/>
    <w:unhideWhenUsed/>
    <w:rsid w:val="00AA2857"/>
    <w:pPr>
      <w:tabs>
        <w:tab w:val="center" w:pos="4513"/>
        <w:tab w:val="right" w:pos="9026"/>
      </w:tabs>
    </w:pPr>
  </w:style>
  <w:style w:type="character" w:customStyle="1" w:styleId="FooterChar">
    <w:name w:val="Footer Char"/>
    <w:basedOn w:val="DefaultParagraphFont"/>
    <w:link w:val="Footer"/>
    <w:uiPriority w:val="99"/>
    <w:rsid w:val="00AA2857"/>
    <w:rPr>
      <w:rFonts w:asciiTheme="majorHAnsi" w:hAnsiTheme="majorHAnsi" w:cstheme="majorHAnsi"/>
      <w:bCs/>
    </w:rPr>
  </w:style>
  <w:style w:type="paragraph" w:customStyle="1" w:styleId="tablenumbered">
    <w:name w:val="table numbered"/>
    <w:basedOn w:val="ListParagraph"/>
    <w:link w:val="tablenumberedChar"/>
    <w:qFormat/>
    <w:rsid w:val="00B85110"/>
    <w:pPr>
      <w:numPr>
        <w:numId w:val="15"/>
      </w:numPr>
      <w:spacing w:before="120"/>
      <w:ind w:hanging="720"/>
    </w:pPr>
    <w:rPr>
      <w:sz w:val="20"/>
      <w:szCs w:val="20"/>
    </w:rPr>
  </w:style>
  <w:style w:type="paragraph" w:styleId="TOCHeading">
    <w:name w:val="TOC Heading"/>
    <w:basedOn w:val="Heading1"/>
    <w:next w:val="Normal"/>
    <w:uiPriority w:val="39"/>
    <w:semiHidden/>
    <w:unhideWhenUsed/>
    <w:qFormat/>
    <w:rsid w:val="002A648E"/>
    <w:pPr>
      <w:spacing w:line="276" w:lineRule="auto"/>
      <w:textAlignment w:val="auto"/>
      <w:outlineLvl w:val="9"/>
    </w:pPr>
    <w:rPr>
      <w:bCs/>
      <w:lang w:val="en-US" w:eastAsia="ja-JP"/>
    </w:rPr>
  </w:style>
  <w:style w:type="character" w:customStyle="1" w:styleId="ListParagraphChar">
    <w:name w:val="List Paragraph Char"/>
    <w:basedOn w:val="DefaultParagraphFont"/>
    <w:link w:val="ListParagraph"/>
    <w:uiPriority w:val="34"/>
    <w:rsid w:val="002A648E"/>
    <w:rPr>
      <w:rFonts w:asciiTheme="majorHAnsi" w:hAnsiTheme="majorHAnsi" w:cstheme="majorHAnsi"/>
      <w:bCs/>
    </w:rPr>
  </w:style>
  <w:style w:type="character" w:customStyle="1" w:styleId="tablenumberedChar">
    <w:name w:val="table numbered Char"/>
    <w:basedOn w:val="ListParagraphChar"/>
    <w:link w:val="tablenumbered"/>
    <w:rsid w:val="00B85110"/>
    <w:rPr>
      <w:rFonts w:asciiTheme="majorHAnsi" w:hAnsiTheme="majorHAnsi" w:cstheme="majorHAnsi"/>
      <w:bCs/>
      <w:sz w:val="20"/>
      <w:szCs w:val="20"/>
    </w:rPr>
  </w:style>
  <w:style w:type="paragraph" w:styleId="TOC1">
    <w:name w:val="toc 1"/>
    <w:basedOn w:val="Normal"/>
    <w:next w:val="Normal"/>
    <w:autoRedefine/>
    <w:uiPriority w:val="39"/>
    <w:unhideWhenUsed/>
    <w:rsid w:val="002A648E"/>
    <w:pPr>
      <w:spacing w:after="100"/>
    </w:pPr>
  </w:style>
  <w:style w:type="paragraph" w:styleId="TOC2">
    <w:name w:val="toc 2"/>
    <w:basedOn w:val="Normal"/>
    <w:next w:val="Normal"/>
    <w:autoRedefine/>
    <w:uiPriority w:val="39"/>
    <w:unhideWhenUsed/>
    <w:rsid w:val="002A648E"/>
    <w:pPr>
      <w:spacing w:after="100"/>
      <w:ind w:left="220"/>
    </w:pPr>
  </w:style>
  <w:style w:type="paragraph" w:styleId="TOC3">
    <w:name w:val="toc 3"/>
    <w:basedOn w:val="Normal"/>
    <w:next w:val="Normal"/>
    <w:autoRedefine/>
    <w:uiPriority w:val="39"/>
    <w:unhideWhenUsed/>
    <w:rsid w:val="002A648E"/>
    <w:pPr>
      <w:spacing w:after="100"/>
      <w:ind w:left="440"/>
    </w:pPr>
  </w:style>
  <w:style w:type="table" w:styleId="LightList-Accent1">
    <w:name w:val="Light List Accent 1"/>
    <w:basedOn w:val="TableNormal"/>
    <w:uiPriority w:val="61"/>
    <w:rsid w:val="002A64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23"/>
    <w:pPr>
      <w:spacing w:after="0" w:line="240" w:lineRule="auto"/>
      <w:textAlignment w:val="baseline"/>
    </w:pPr>
    <w:rPr>
      <w:rFonts w:asciiTheme="majorHAnsi" w:hAnsiTheme="majorHAnsi" w:cstheme="majorHAnsi"/>
      <w:bCs/>
    </w:rPr>
  </w:style>
  <w:style w:type="paragraph" w:styleId="Heading1">
    <w:name w:val="heading 1"/>
    <w:basedOn w:val="Normal"/>
    <w:next w:val="Normal"/>
    <w:link w:val="Heading1Char"/>
    <w:uiPriority w:val="9"/>
    <w:qFormat/>
    <w:rsid w:val="00214607"/>
    <w:pPr>
      <w:keepNext/>
      <w:keepLines/>
      <w:spacing w:before="480"/>
      <w:outlineLvl w:val="0"/>
    </w:pPr>
    <w:rPr>
      <w:rFonts w:eastAsiaTheme="majorEastAsia" w:cstheme="majorBidi"/>
      <w:b/>
      <w:bCs w:val="0"/>
      <w:color w:val="2F5496" w:themeColor="accent1" w:themeShade="BF"/>
      <w:sz w:val="28"/>
      <w:szCs w:val="28"/>
    </w:rPr>
  </w:style>
  <w:style w:type="paragraph" w:styleId="Heading2">
    <w:name w:val="heading 2"/>
    <w:basedOn w:val="Normal"/>
    <w:next w:val="Normal"/>
    <w:link w:val="Heading2Char"/>
    <w:uiPriority w:val="9"/>
    <w:unhideWhenUsed/>
    <w:qFormat/>
    <w:rsid w:val="006A7AEB"/>
    <w:pPr>
      <w:keepNext/>
      <w:keepLines/>
      <w:pBdr>
        <w:bottom w:val="single" w:sz="4" w:space="1" w:color="4472C4" w:themeColor="accent1"/>
      </w:pBdr>
      <w:spacing w:before="200"/>
      <w:outlineLvl w:val="1"/>
    </w:pPr>
    <w:rPr>
      <w:rFonts w:eastAsiaTheme="majorEastAsia" w:cstheme="majorBidi"/>
      <w:b/>
      <w:bCs w:val="0"/>
      <w:color w:val="4472C4" w:themeColor="accent1"/>
      <w:sz w:val="26"/>
      <w:szCs w:val="26"/>
    </w:rPr>
  </w:style>
  <w:style w:type="paragraph" w:styleId="Heading3">
    <w:name w:val="heading 3"/>
    <w:basedOn w:val="Normal"/>
    <w:next w:val="Normal"/>
    <w:link w:val="Heading3Char"/>
    <w:uiPriority w:val="9"/>
    <w:unhideWhenUsed/>
    <w:qFormat/>
    <w:rsid w:val="00682123"/>
    <w:pPr>
      <w:keepNext/>
      <w:keepLines/>
      <w:spacing w:before="200"/>
      <w:outlineLvl w:val="2"/>
    </w:pPr>
    <w:rPr>
      <w:rFonts w:eastAsiaTheme="majorEastAsia" w:cstheme="majorBidi"/>
      <w:b/>
      <w:bCs w:val="0"/>
      <w:color w:val="4472C4" w:themeColor="accent1"/>
    </w:rPr>
  </w:style>
  <w:style w:type="paragraph" w:styleId="Heading4">
    <w:name w:val="heading 4"/>
    <w:basedOn w:val="Normal"/>
    <w:next w:val="Normal"/>
    <w:link w:val="Heading4Char"/>
    <w:uiPriority w:val="9"/>
    <w:unhideWhenUsed/>
    <w:qFormat/>
    <w:rsid w:val="00EE71DD"/>
    <w:pPr>
      <w:keepNext/>
      <w:keepLines/>
      <w:spacing w:before="120"/>
      <w:outlineLvl w:val="3"/>
    </w:pPr>
    <w:rPr>
      <w:rFonts w:eastAsiaTheme="majorEastAsia" w:cstheme="majorBidi"/>
      <w:b/>
      <w:bCs w:val="0"/>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5C75"/>
    <w:rPr>
      <w:sz w:val="16"/>
      <w:szCs w:val="16"/>
    </w:rPr>
  </w:style>
  <w:style w:type="paragraph" w:styleId="CommentText">
    <w:name w:val="annotation text"/>
    <w:basedOn w:val="Normal"/>
    <w:link w:val="CommentTextChar"/>
    <w:uiPriority w:val="99"/>
    <w:semiHidden/>
    <w:unhideWhenUsed/>
    <w:rsid w:val="00B65C75"/>
    <w:rPr>
      <w:rFonts w:ascii="Calibri" w:hAnsi="Calibri" w:cs="Calibri"/>
      <w:sz w:val="20"/>
      <w:szCs w:val="20"/>
    </w:rPr>
  </w:style>
  <w:style w:type="character" w:customStyle="1" w:styleId="CommentTextChar">
    <w:name w:val="Comment Text Char"/>
    <w:basedOn w:val="DefaultParagraphFont"/>
    <w:link w:val="CommentText"/>
    <w:uiPriority w:val="99"/>
    <w:semiHidden/>
    <w:rsid w:val="00B65C75"/>
    <w:rPr>
      <w:rFonts w:ascii="Calibri" w:hAnsi="Calibri" w:cs="Calibri"/>
      <w:sz w:val="20"/>
      <w:szCs w:val="20"/>
    </w:rPr>
  </w:style>
  <w:style w:type="paragraph" w:styleId="BalloonText">
    <w:name w:val="Balloon Text"/>
    <w:basedOn w:val="Normal"/>
    <w:link w:val="BalloonTextChar"/>
    <w:uiPriority w:val="99"/>
    <w:semiHidden/>
    <w:unhideWhenUsed/>
    <w:rsid w:val="00B65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C75"/>
    <w:rPr>
      <w:rFonts w:ascii="Segoe UI" w:hAnsi="Segoe UI" w:cs="Segoe UI"/>
      <w:sz w:val="18"/>
      <w:szCs w:val="18"/>
    </w:rPr>
  </w:style>
  <w:style w:type="paragraph" w:styleId="ListParagraph">
    <w:name w:val="List Paragraph"/>
    <w:basedOn w:val="Normal"/>
    <w:link w:val="ListParagraphChar"/>
    <w:uiPriority w:val="34"/>
    <w:qFormat/>
    <w:rsid w:val="000006A8"/>
    <w:pPr>
      <w:ind w:left="720"/>
      <w:contextualSpacing/>
    </w:pPr>
  </w:style>
  <w:style w:type="paragraph" w:styleId="CommentSubject">
    <w:name w:val="annotation subject"/>
    <w:basedOn w:val="CommentText"/>
    <w:next w:val="CommentText"/>
    <w:link w:val="CommentSubjectChar"/>
    <w:uiPriority w:val="99"/>
    <w:semiHidden/>
    <w:unhideWhenUsed/>
    <w:rsid w:val="00281D7B"/>
    <w:pPr>
      <w:spacing w:after="160"/>
    </w:pPr>
    <w:rPr>
      <w:rFonts w:asciiTheme="minorHAnsi" w:hAnsiTheme="minorHAnsi" w:cstheme="minorBidi"/>
      <w:b/>
      <w:bCs w:val="0"/>
    </w:rPr>
  </w:style>
  <w:style w:type="character" w:customStyle="1" w:styleId="CommentSubjectChar">
    <w:name w:val="Comment Subject Char"/>
    <w:basedOn w:val="CommentTextChar"/>
    <w:link w:val="CommentSubject"/>
    <w:uiPriority w:val="99"/>
    <w:semiHidden/>
    <w:rsid w:val="00281D7B"/>
    <w:rPr>
      <w:rFonts w:ascii="Calibri" w:hAnsi="Calibri" w:cs="Calibri"/>
      <w:b/>
      <w:bCs/>
      <w:sz w:val="20"/>
      <w:szCs w:val="20"/>
    </w:rPr>
  </w:style>
  <w:style w:type="character" w:styleId="Hyperlink">
    <w:name w:val="Hyperlink"/>
    <w:basedOn w:val="DefaultParagraphFont"/>
    <w:uiPriority w:val="99"/>
    <w:unhideWhenUsed/>
    <w:rsid w:val="00950962"/>
    <w:rPr>
      <w:color w:val="0563C1"/>
      <w:u w:val="single"/>
    </w:rPr>
  </w:style>
  <w:style w:type="character" w:styleId="FollowedHyperlink">
    <w:name w:val="FollowedHyperlink"/>
    <w:basedOn w:val="DefaultParagraphFont"/>
    <w:uiPriority w:val="99"/>
    <w:semiHidden/>
    <w:unhideWhenUsed/>
    <w:rsid w:val="007B0574"/>
    <w:rPr>
      <w:color w:val="954F72" w:themeColor="followedHyperlink"/>
      <w:u w:val="single"/>
    </w:rPr>
  </w:style>
  <w:style w:type="character" w:customStyle="1" w:styleId="UnresolvedMention">
    <w:name w:val="Unresolved Mention"/>
    <w:basedOn w:val="DefaultParagraphFont"/>
    <w:uiPriority w:val="99"/>
    <w:semiHidden/>
    <w:unhideWhenUsed/>
    <w:rsid w:val="007B0574"/>
    <w:rPr>
      <w:color w:val="605E5C"/>
      <w:shd w:val="clear" w:color="auto" w:fill="E1DFDD"/>
    </w:rPr>
  </w:style>
  <w:style w:type="paragraph" w:styleId="EndnoteText">
    <w:name w:val="endnote text"/>
    <w:basedOn w:val="Normal"/>
    <w:link w:val="EndnoteTextChar"/>
    <w:uiPriority w:val="99"/>
    <w:unhideWhenUsed/>
    <w:rsid w:val="004D54EA"/>
    <w:rPr>
      <w:sz w:val="20"/>
      <w:szCs w:val="20"/>
    </w:rPr>
  </w:style>
  <w:style w:type="character" w:customStyle="1" w:styleId="EndnoteTextChar">
    <w:name w:val="Endnote Text Char"/>
    <w:basedOn w:val="DefaultParagraphFont"/>
    <w:link w:val="EndnoteText"/>
    <w:uiPriority w:val="99"/>
    <w:rsid w:val="004D54EA"/>
    <w:rPr>
      <w:sz w:val="20"/>
      <w:szCs w:val="20"/>
    </w:rPr>
  </w:style>
  <w:style w:type="character" w:styleId="EndnoteReference">
    <w:name w:val="endnote reference"/>
    <w:basedOn w:val="DefaultParagraphFont"/>
    <w:uiPriority w:val="99"/>
    <w:semiHidden/>
    <w:unhideWhenUsed/>
    <w:rsid w:val="004D54EA"/>
    <w:rPr>
      <w:vertAlign w:val="superscript"/>
    </w:rPr>
  </w:style>
  <w:style w:type="paragraph" w:styleId="FootnoteText">
    <w:name w:val="footnote text"/>
    <w:basedOn w:val="Normal"/>
    <w:link w:val="FootnoteTextChar"/>
    <w:uiPriority w:val="99"/>
    <w:unhideWhenUsed/>
    <w:rsid w:val="00247709"/>
    <w:rPr>
      <w:sz w:val="20"/>
      <w:szCs w:val="20"/>
    </w:rPr>
  </w:style>
  <w:style w:type="character" w:customStyle="1" w:styleId="FootnoteTextChar">
    <w:name w:val="Footnote Text Char"/>
    <w:basedOn w:val="DefaultParagraphFont"/>
    <w:link w:val="FootnoteText"/>
    <w:uiPriority w:val="99"/>
    <w:rsid w:val="00247709"/>
    <w:rPr>
      <w:sz w:val="20"/>
      <w:szCs w:val="20"/>
    </w:rPr>
  </w:style>
  <w:style w:type="character" w:styleId="FootnoteReference">
    <w:name w:val="footnote reference"/>
    <w:basedOn w:val="DefaultParagraphFont"/>
    <w:uiPriority w:val="99"/>
    <w:semiHidden/>
    <w:unhideWhenUsed/>
    <w:rsid w:val="00247709"/>
    <w:rPr>
      <w:vertAlign w:val="superscript"/>
    </w:rPr>
  </w:style>
  <w:style w:type="table" w:styleId="LightList">
    <w:name w:val="Light List"/>
    <w:basedOn w:val="TableNormal"/>
    <w:uiPriority w:val="61"/>
    <w:rsid w:val="001C0D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B55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6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A7AEB"/>
    <w:rPr>
      <w:rFonts w:asciiTheme="majorHAnsi" w:eastAsiaTheme="majorEastAsia" w:hAnsiTheme="majorHAnsi" w:cstheme="majorBidi"/>
      <w:b/>
      <w:color w:val="4472C4" w:themeColor="accent1"/>
      <w:sz w:val="26"/>
      <w:szCs w:val="26"/>
    </w:rPr>
  </w:style>
  <w:style w:type="character" w:customStyle="1" w:styleId="Heading3Char">
    <w:name w:val="Heading 3 Char"/>
    <w:basedOn w:val="DefaultParagraphFont"/>
    <w:link w:val="Heading3"/>
    <w:uiPriority w:val="9"/>
    <w:rsid w:val="0068212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E71DD"/>
    <w:rPr>
      <w:rFonts w:asciiTheme="majorHAnsi" w:eastAsiaTheme="majorEastAsia" w:hAnsiTheme="majorHAnsi" w:cstheme="majorBidi"/>
      <w:b/>
      <w:i/>
      <w:iCs/>
      <w:color w:val="4472C4" w:themeColor="accent1"/>
    </w:rPr>
  </w:style>
  <w:style w:type="paragraph" w:styleId="Header">
    <w:name w:val="header"/>
    <w:basedOn w:val="Normal"/>
    <w:link w:val="HeaderChar"/>
    <w:uiPriority w:val="99"/>
    <w:unhideWhenUsed/>
    <w:rsid w:val="00AA2857"/>
    <w:pPr>
      <w:tabs>
        <w:tab w:val="center" w:pos="4513"/>
        <w:tab w:val="right" w:pos="9026"/>
      </w:tabs>
    </w:pPr>
  </w:style>
  <w:style w:type="character" w:customStyle="1" w:styleId="HeaderChar">
    <w:name w:val="Header Char"/>
    <w:basedOn w:val="DefaultParagraphFont"/>
    <w:link w:val="Header"/>
    <w:uiPriority w:val="99"/>
    <w:rsid w:val="00AA2857"/>
    <w:rPr>
      <w:rFonts w:asciiTheme="majorHAnsi" w:hAnsiTheme="majorHAnsi" w:cstheme="majorHAnsi"/>
      <w:bCs/>
    </w:rPr>
  </w:style>
  <w:style w:type="paragraph" w:styleId="Footer">
    <w:name w:val="footer"/>
    <w:basedOn w:val="Normal"/>
    <w:link w:val="FooterChar"/>
    <w:uiPriority w:val="99"/>
    <w:unhideWhenUsed/>
    <w:rsid w:val="00AA2857"/>
    <w:pPr>
      <w:tabs>
        <w:tab w:val="center" w:pos="4513"/>
        <w:tab w:val="right" w:pos="9026"/>
      </w:tabs>
    </w:pPr>
  </w:style>
  <w:style w:type="character" w:customStyle="1" w:styleId="FooterChar">
    <w:name w:val="Footer Char"/>
    <w:basedOn w:val="DefaultParagraphFont"/>
    <w:link w:val="Footer"/>
    <w:uiPriority w:val="99"/>
    <w:rsid w:val="00AA2857"/>
    <w:rPr>
      <w:rFonts w:asciiTheme="majorHAnsi" w:hAnsiTheme="majorHAnsi" w:cstheme="majorHAnsi"/>
      <w:bCs/>
    </w:rPr>
  </w:style>
  <w:style w:type="paragraph" w:customStyle="1" w:styleId="tablenumbered">
    <w:name w:val="table numbered"/>
    <w:basedOn w:val="ListParagraph"/>
    <w:link w:val="tablenumberedChar"/>
    <w:qFormat/>
    <w:rsid w:val="00B85110"/>
    <w:pPr>
      <w:numPr>
        <w:numId w:val="15"/>
      </w:numPr>
      <w:spacing w:before="120"/>
      <w:ind w:hanging="720"/>
    </w:pPr>
    <w:rPr>
      <w:sz w:val="20"/>
      <w:szCs w:val="20"/>
    </w:rPr>
  </w:style>
  <w:style w:type="paragraph" w:styleId="TOCHeading">
    <w:name w:val="TOC Heading"/>
    <w:basedOn w:val="Heading1"/>
    <w:next w:val="Normal"/>
    <w:uiPriority w:val="39"/>
    <w:semiHidden/>
    <w:unhideWhenUsed/>
    <w:qFormat/>
    <w:rsid w:val="002A648E"/>
    <w:pPr>
      <w:spacing w:line="276" w:lineRule="auto"/>
      <w:textAlignment w:val="auto"/>
      <w:outlineLvl w:val="9"/>
    </w:pPr>
    <w:rPr>
      <w:bCs/>
      <w:lang w:val="en-US" w:eastAsia="ja-JP"/>
    </w:rPr>
  </w:style>
  <w:style w:type="character" w:customStyle="1" w:styleId="ListParagraphChar">
    <w:name w:val="List Paragraph Char"/>
    <w:basedOn w:val="DefaultParagraphFont"/>
    <w:link w:val="ListParagraph"/>
    <w:uiPriority w:val="34"/>
    <w:rsid w:val="002A648E"/>
    <w:rPr>
      <w:rFonts w:asciiTheme="majorHAnsi" w:hAnsiTheme="majorHAnsi" w:cstheme="majorHAnsi"/>
      <w:bCs/>
    </w:rPr>
  </w:style>
  <w:style w:type="character" w:customStyle="1" w:styleId="tablenumberedChar">
    <w:name w:val="table numbered Char"/>
    <w:basedOn w:val="ListParagraphChar"/>
    <w:link w:val="tablenumbered"/>
    <w:rsid w:val="00B85110"/>
    <w:rPr>
      <w:rFonts w:asciiTheme="majorHAnsi" w:hAnsiTheme="majorHAnsi" w:cstheme="majorHAnsi"/>
      <w:bCs/>
      <w:sz w:val="20"/>
      <w:szCs w:val="20"/>
    </w:rPr>
  </w:style>
  <w:style w:type="paragraph" w:styleId="TOC1">
    <w:name w:val="toc 1"/>
    <w:basedOn w:val="Normal"/>
    <w:next w:val="Normal"/>
    <w:autoRedefine/>
    <w:uiPriority w:val="39"/>
    <w:unhideWhenUsed/>
    <w:rsid w:val="002A648E"/>
    <w:pPr>
      <w:spacing w:after="100"/>
    </w:pPr>
  </w:style>
  <w:style w:type="paragraph" w:styleId="TOC2">
    <w:name w:val="toc 2"/>
    <w:basedOn w:val="Normal"/>
    <w:next w:val="Normal"/>
    <w:autoRedefine/>
    <w:uiPriority w:val="39"/>
    <w:unhideWhenUsed/>
    <w:rsid w:val="002A648E"/>
    <w:pPr>
      <w:spacing w:after="100"/>
      <w:ind w:left="220"/>
    </w:pPr>
  </w:style>
  <w:style w:type="paragraph" w:styleId="TOC3">
    <w:name w:val="toc 3"/>
    <w:basedOn w:val="Normal"/>
    <w:next w:val="Normal"/>
    <w:autoRedefine/>
    <w:uiPriority w:val="39"/>
    <w:unhideWhenUsed/>
    <w:rsid w:val="002A648E"/>
    <w:pPr>
      <w:spacing w:after="100"/>
      <w:ind w:left="440"/>
    </w:pPr>
  </w:style>
  <w:style w:type="table" w:styleId="LightList-Accent1">
    <w:name w:val="Light List Accent 1"/>
    <w:basedOn w:val="TableNormal"/>
    <w:uiPriority w:val="61"/>
    <w:rsid w:val="002A648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5562">
      <w:bodyDiv w:val="1"/>
      <w:marLeft w:val="0"/>
      <w:marRight w:val="0"/>
      <w:marTop w:val="0"/>
      <w:marBottom w:val="0"/>
      <w:divBdr>
        <w:top w:val="none" w:sz="0" w:space="0" w:color="auto"/>
        <w:left w:val="none" w:sz="0" w:space="0" w:color="auto"/>
        <w:bottom w:val="none" w:sz="0" w:space="0" w:color="auto"/>
        <w:right w:val="none" w:sz="0" w:space="0" w:color="auto"/>
      </w:divBdr>
    </w:div>
    <w:div w:id="915554940">
      <w:bodyDiv w:val="1"/>
      <w:marLeft w:val="0"/>
      <w:marRight w:val="0"/>
      <w:marTop w:val="0"/>
      <w:marBottom w:val="0"/>
      <w:divBdr>
        <w:top w:val="none" w:sz="0" w:space="0" w:color="auto"/>
        <w:left w:val="none" w:sz="0" w:space="0" w:color="auto"/>
        <w:bottom w:val="none" w:sz="0" w:space="0" w:color="auto"/>
        <w:right w:val="none" w:sz="0" w:space="0" w:color="auto"/>
      </w:divBdr>
    </w:div>
    <w:div w:id="916210198">
      <w:bodyDiv w:val="1"/>
      <w:marLeft w:val="0"/>
      <w:marRight w:val="0"/>
      <w:marTop w:val="0"/>
      <w:marBottom w:val="0"/>
      <w:divBdr>
        <w:top w:val="none" w:sz="0" w:space="0" w:color="auto"/>
        <w:left w:val="none" w:sz="0" w:space="0" w:color="auto"/>
        <w:bottom w:val="none" w:sz="0" w:space="0" w:color="auto"/>
        <w:right w:val="none" w:sz="0" w:space="0" w:color="auto"/>
      </w:divBdr>
    </w:div>
    <w:div w:id="1196386399">
      <w:bodyDiv w:val="1"/>
      <w:marLeft w:val="0"/>
      <w:marRight w:val="0"/>
      <w:marTop w:val="0"/>
      <w:marBottom w:val="0"/>
      <w:divBdr>
        <w:top w:val="none" w:sz="0" w:space="0" w:color="auto"/>
        <w:left w:val="none" w:sz="0" w:space="0" w:color="auto"/>
        <w:bottom w:val="none" w:sz="0" w:space="0" w:color="auto"/>
        <w:right w:val="none" w:sz="0" w:space="0" w:color="auto"/>
      </w:divBdr>
    </w:div>
    <w:div w:id="1339769803">
      <w:bodyDiv w:val="1"/>
      <w:marLeft w:val="0"/>
      <w:marRight w:val="0"/>
      <w:marTop w:val="0"/>
      <w:marBottom w:val="0"/>
      <w:divBdr>
        <w:top w:val="none" w:sz="0" w:space="0" w:color="auto"/>
        <w:left w:val="none" w:sz="0" w:space="0" w:color="auto"/>
        <w:bottom w:val="none" w:sz="0" w:space="0" w:color="auto"/>
        <w:right w:val="none" w:sz="0" w:space="0" w:color="auto"/>
      </w:divBdr>
    </w:div>
    <w:div w:id="1383217452">
      <w:bodyDiv w:val="1"/>
      <w:marLeft w:val="0"/>
      <w:marRight w:val="0"/>
      <w:marTop w:val="0"/>
      <w:marBottom w:val="0"/>
      <w:divBdr>
        <w:top w:val="none" w:sz="0" w:space="0" w:color="auto"/>
        <w:left w:val="none" w:sz="0" w:space="0" w:color="auto"/>
        <w:bottom w:val="none" w:sz="0" w:space="0" w:color="auto"/>
        <w:right w:val="none" w:sz="0" w:space="0" w:color="auto"/>
      </w:divBdr>
    </w:div>
    <w:div w:id="1999768235">
      <w:bodyDiv w:val="1"/>
      <w:marLeft w:val="0"/>
      <w:marRight w:val="0"/>
      <w:marTop w:val="0"/>
      <w:marBottom w:val="0"/>
      <w:divBdr>
        <w:top w:val="none" w:sz="0" w:space="0" w:color="auto"/>
        <w:left w:val="none" w:sz="0" w:space="0" w:color="auto"/>
        <w:bottom w:val="none" w:sz="0" w:space="0" w:color="auto"/>
        <w:right w:val="none" w:sz="0" w:space="0" w:color="auto"/>
      </w:divBdr>
      <w:divsChild>
        <w:div w:id="118575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83403788E944EA0D18D6403D9204A" ma:contentTypeVersion="12" ma:contentTypeDescription="Create a new document." ma:contentTypeScope="" ma:versionID="747498e69c82395c8fd3149ca7d18a80">
  <xsd:schema xmlns:xsd="http://www.w3.org/2001/XMLSchema" xmlns:xs="http://www.w3.org/2001/XMLSchema" xmlns:p="http://schemas.microsoft.com/office/2006/metadata/properties" xmlns:ns3="c9de4c1e-37b4-47f7-aaca-b43e20396426" xmlns:ns4="d1f0ea27-08ee-456f-a341-c0885448e198" targetNamespace="http://schemas.microsoft.com/office/2006/metadata/properties" ma:root="true" ma:fieldsID="80e71357072ca6598c059ab6f600373e" ns3:_="" ns4:_="">
    <xsd:import namespace="c9de4c1e-37b4-47f7-aaca-b43e20396426"/>
    <xsd:import namespace="d1f0ea27-08ee-456f-a341-c0885448e1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e4c1e-37b4-47f7-aaca-b43e2039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0ea27-08ee-456f-a341-c0885448e1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9741-7190-496A-9DA9-90F08F23334D}">
  <ds:schemaRef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c9de4c1e-37b4-47f7-aaca-b43e20396426"/>
    <ds:schemaRef ds:uri="d1f0ea27-08ee-456f-a341-c0885448e19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4980FA-514A-4C56-BC9D-27E406254F31}">
  <ds:schemaRefs>
    <ds:schemaRef ds:uri="http://schemas.microsoft.com/sharepoint/v3/contenttype/forms"/>
  </ds:schemaRefs>
</ds:datastoreItem>
</file>

<file path=customXml/itemProps3.xml><?xml version="1.0" encoding="utf-8"?>
<ds:datastoreItem xmlns:ds="http://schemas.openxmlformats.org/officeDocument/2006/customXml" ds:itemID="{118D4FAD-764A-4930-BF46-55EC39EDB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e4c1e-37b4-47f7-aaca-b43e20396426"/>
    <ds:schemaRef ds:uri="d1f0ea27-08ee-456f-a341-c0885448e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D6E70-0353-4552-9BFA-2E9DB73E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6426</Words>
  <Characters>36633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42974</CharactersWithSpaces>
  <SharedDoc>false</SharedDoc>
  <HLinks>
    <vt:vector size="6" baseType="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Preest</dc:creator>
  <cp:lastModifiedBy>SUE BEECROFT</cp:lastModifiedBy>
  <cp:revision>2</cp:revision>
  <dcterms:created xsi:type="dcterms:W3CDTF">2020-07-13T13:39:00Z</dcterms:created>
  <dcterms:modified xsi:type="dcterms:W3CDTF">2020-07-13T13:39:00Z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0x010100D8983403788E944EA0D18D6403D9204A</vt:lpwstr>
  </property>
</Properties>
</file>