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632"/>
        <w:gridCol w:w="3166"/>
      </w:tblGrid>
      <w:tr w:rsidR="0099702D" w14:paraId="582BCDE2" w14:textId="77777777" w:rsidTr="00F679C7">
        <w:tc>
          <w:tcPr>
            <w:tcW w:w="4447" w:type="dxa"/>
          </w:tcPr>
          <w:p w14:paraId="582BCDE0" w14:textId="6285567D" w:rsidR="00A07751" w:rsidRPr="00A07751" w:rsidRDefault="1E2C63B1" w:rsidP="009447B7">
            <w:pPr>
              <w:pStyle w:val="ListParagraph"/>
              <w:ind w:left="0"/>
              <w:rPr>
                <w:rFonts w:ascii="Arial" w:hAnsi="Arial" w:cs="Arial"/>
                <w:b/>
                <w:bCs/>
                <w:sz w:val="24"/>
                <w:szCs w:val="24"/>
              </w:rPr>
            </w:pPr>
            <w:bookmarkStart w:id="0" w:name="_GoBack"/>
            <w:bookmarkEnd w:id="0"/>
            <w:r w:rsidRPr="1E2C63B1">
              <w:rPr>
                <w:rFonts w:ascii="Arial" w:hAnsi="Arial" w:cs="Arial"/>
                <w:b/>
                <w:bCs/>
                <w:sz w:val="24"/>
                <w:szCs w:val="24"/>
              </w:rPr>
              <w:t xml:space="preserve">CAMBRIDGESHIRE AND PETERBOROUGH COMBINED AUTHORITY </w:t>
            </w:r>
            <w:r w:rsidR="009447B7">
              <w:rPr>
                <w:rFonts w:ascii="Arial" w:hAnsi="Arial" w:cs="Arial"/>
                <w:b/>
                <w:bCs/>
                <w:sz w:val="24"/>
                <w:szCs w:val="24"/>
              </w:rPr>
              <w:t>BOARD</w:t>
            </w:r>
          </w:p>
        </w:tc>
        <w:tc>
          <w:tcPr>
            <w:tcW w:w="4461" w:type="dxa"/>
          </w:tcPr>
          <w:p w14:paraId="582BCDE1" w14:textId="6D5BC18E" w:rsidR="00A07751" w:rsidRPr="00677C5C" w:rsidRDefault="003133F0" w:rsidP="1E2C63B1">
            <w:pPr>
              <w:pStyle w:val="ListParagraph"/>
              <w:ind w:left="0"/>
              <w:rPr>
                <w:rFonts w:ascii="Arial" w:hAnsi="Arial" w:cs="Arial"/>
                <w:b/>
                <w:bCs/>
                <w:sz w:val="24"/>
                <w:szCs w:val="24"/>
              </w:rPr>
            </w:pPr>
            <w:r>
              <w:rPr>
                <w:rFonts w:ascii="Arial" w:hAnsi="Arial" w:cs="Arial"/>
                <w:b/>
                <w:bCs/>
                <w:sz w:val="24"/>
                <w:szCs w:val="24"/>
              </w:rPr>
              <w:t>AGENDA ITEM No:  3.2</w:t>
            </w:r>
          </w:p>
        </w:tc>
      </w:tr>
      <w:tr w:rsidR="0099702D" w14:paraId="582BCDE6" w14:textId="77777777" w:rsidTr="00F679C7">
        <w:tc>
          <w:tcPr>
            <w:tcW w:w="4447" w:type="dxa"/>
          </w:tcPr>
          <w:p w14:paraId="582BCDE3" w14:textId="4B56F30B" w:rsidR="00A07751" w:rsidRPr="00677C5C" w:rsidRDefault="00630DF4" w:rsidP="12F18D32">
            <w:pPr>
              <w:pStyle w:val="ListParagraph"/>
              <w:ind w:left="0"/>
              <w:rPr>
                <w:rFonts w:ascii="Arial" w:hAnsi="Arial" w:cs="Arial"/>
                <w:b/>
                <w:bCs/>
                <w:sz w:val="24"/>
                <w:szCs w:val="24"/>
              </w:rPr>
            </w:pPr>
            <w:r>
              <w:rPr>
                <w:rFonts w:ascii="Arial" w:hAnsi="Arial" w:cs="Arial"/>
                <w:b/>
                <w:bCs/>
                <w:sz w:val="24"/>
                <w:szCs w:val="24"/>
              </w:rPr>
              <w:t>29 JANUARY 2020</w:t>
            </w:r>
          </w:p>
        </w:tc>
        <w:tc>
          <w:tcPr>
            <w:tcW w:w="4461" w:type="dxa"/>
          </w:tcPr>
          <w:p w14:paraId="582BCDE4" w14:textId="77777777" w:rsidR="00A07751" w:rsidRDefault="1E2C63B1" w:rsidP="1E2C63B1">
            <w:pPr>
              <w:pStyle w:val="ListParagraph"/>
              <w:ind w:left="0"/>
              <w:rPr>
                <w:rFonts w:ascii="Arial" w:hAnsi="Arial" w:cs="Arial"/>
                <w:b/>
                <w:bCs/>
                <w:sz w:val="24"/>
                <w:szCs w:val="24"/>
              </w:rPr>
            </w:pPr>
            <w:r w:rsidRPr="1E2C63B1">
              <w:rPr>
                <w:rFonts w:ascii="Arial" w:hAnsi="Arial" w:cs="Arial"/>
                <w:b/>
                <w:bCs/>
                <w:sz w:val="24"/>
                <w:szCs w:val="24"/>
              </w:rPr>
              <w:t>PUBLIC REPORT</w:t>
            </w:r>
          </w:p>
          <w:p w14:paraId="582BCDE5" w14:textId="61B6D9DD" w:rsidR="00DA3302" w:rsidRPr="00677C5C" w:rsidRDefault="00DA3302" w:rsidP="7D34FA6E">
            <w:pPr>
              <w:pStyle w:val="ListParagraph"/>
              <w:ind w:left="0"/>
              <w:rPr>
                <w:rFonts w:ascii="Arial" w:hAnsi="Arial" w:cs="Arial"/>
                <w:b/>
                <w:bCs/>
                <w:sz w:val="24"/>
                <w:szCs w:val="24"/>
              </w:rPr>
            </w:pPr>
          </w:p>
        </w:tc>
      </w:tr>
    </w:tbl>
    <w:p w14:paraId="582BCDE7" w14:textId="77777777" w:rsidR="00A07751" w:rsidRDefault="00A07751" w:rsidP="00677C5C">
      <w:pPr>
        <w:pStyle w:val="ListParagraph"/>
        <w:spacing w:after="0"/>
        <w:ind w:left="851"/>
        <w:rPr>
          <w:rFonts w:ascii="Arial" w:hAnsi="Arial" w:cs="Arial"/>
          <w:sz w:val="24"/>
          <w:szCs w:val="24"/>
        </w:rPr>
      </w:pPr>
    </w:p>
    <w:p w14:paraId="582BCDE9" w14:textId="1166CB42" w:rsidR="00536308" w:rsidRDefault="003133F0" w:rsidP="12F18D32">
      <w:pPr>
        <w:pStyle w:val="ListParagraph"/>
        <w:spacing w:after="0" w:line="240" w:lineRule="auto"/>
        <w:ind w:left="0"/>
        <w:rPr>
          <w:rFonts w:ascii="Arial" w:hAnsi="Arial" w:cs="Arial"/>
          <w:b/>
          <w:bCs/>
          <w:sz w:val="24"/>
          <w:szCs w:val="24"/>
        </w:rPr>
      </w:pPr>
      <w:r>
        <w:rPr>
          <w:rFonts w:ascii="Arial" w:hAnsi="Arial" w:cs="Arial"/>
          <w:b/>
          <w:bCs/>
          <w:sz w:val="24"/>
          <w:szCs w:val="24"/>
        </w:rPr>
        <w:t>£100k HOMES BUSINESS CASE</w:t>
      </w:r>
    </w:p>
    <w:p w14:paraId="1828D153" w14:textId="3762597B" w:rsidR="12F18D32" w:rsidRDefault="12F18D32" w:rsidP="12F18D32">
      <w:pPr>
        <w:pStyle w:val="ListParagraph"/>
        <w:spacing w:after="0" w:line="240" w:lineRule="auto"/>
        <w:ind w:left="0"/>
        <w:rPr>
          <w:rFonts w:ascii="Arial" w:hAnsi="Arial" w:cs="Arial"/>
          <w:b/>
          <w:bCs/>
          <w:sz w:val="24"/>
          <w:szCs w:val="24"/>
        </w:rPr>
      </w:pPr>
    </w:p>
    <w:p w14:paraId="582BCDEA" w14:textId="77777777" w:rsidR="00536308" w:rsidRDefault="1E2C63B1" w:rsidP="1E2C63B1">
      <w:pPr>
        <w:pStyle w:val="ListParagraph"/>
        <w:numPr>
          <w:ilvl w:val="0"/>
          <w:numId w:val="1"/>
        </w:numPr>
        <w:tabs>
          <w:tab w:val="num" w:pos="-2552"/>
        </w:tabs>
        <w:spacing w:after="0" w:line="240" w:lineRule="auto"/>
        <w:ind w:left="567" w:hanging="567"/>
        <w:rPr>
          <w:rFonts w:ascii="Arial" w:hAnsi="Arial" w:cs="Arial"/>
          <w:b/>
          <w:bCs/>
          <w:sz w:val="24"/>
          <w:szCs w:val="24"/>
        </w:rPr>
      </w:pPr>
      <w:r w:rsidRPr="1E2C63B1">
        <w:rPr>
          <w:rFonts w:ascii="Arial" w:hAnsi="Arial" w:cs="Arial"/>
          <w:b/>
          <w:bCs/>
          <w:sz w:val="24"/>
          <w:szCs w:val="24"/>
        </w:rPr>
        <w:t>PURPOSE</w:t>
      </w:r>
    </w:p>
    <w:p w14:paraId="736FAA44" w14:textId="77777777" w:rsidR="009E3F17" w:rsidRPr="00A8781C" w:rsidRDefault="009E3F17" w:rsidP="009E3F17">
      <w:pPr>
        <w:pStyle w:val="NoSpacing"/>
        <w:rPr>
          <w:rFonts w:ascii="Arial" w:hAnsi="Arial" w:cs="Arial"/>
        </w:rPr>
      </w:pPr>
    </w:p>
    <w:p w14:paraId="560DFCCF" w14:textId="151D4CCE" w:rsidR="00630DF4" w:rsidRPr="004350EC" w:rsidRDefault="003133F0" w:rsidP="004350EC">
      <w:pPr>
        <w:numPr>
          <w:ilvl w:val="1"/>
          <w:numId w:val="1"/>
        </w:numPr>
        <w:spacing w:line="240" w:lineRule="auto"/>
        <w:ind w:left="567" w:hanging="567"/>
        <w:rPr>
          <w:rFonts w:ascii="Arial" w:hAnsi="Arial" w:cs="Arial"/>
          <w:sz w:val="24"/>
          <w:szCs w:val="24"/>
        </w:rPr>
      </w:pPr>
      <w:r>
        <w:rPr>
          <w:rFonts w:ascii="Arial" w:hAnsi="Arial" w:cs="Arial"/>
          <w:sz w:val="24"/>
          <w:szCs w:val="24"/>
        </w:rPr>
        <w:t>T</w:t>
      </w:r>
      <w:r w:rsidR="00630DF4">
        <w:rPr>
          <w:rFonts w:ascii="Arial" w:hAnsi="Arial" w:cs="Arial"/>
          <w:sz w:val="24"/>
          <w:szCs w:val="24"/>
        </w:rPr>
        <w:t xml:space="preserve">o </w:t>
      </w:r>
      <w:r w:rsidR="004350EC">
        <w:rPr>
          <w:rFonts w:ascii="Arial" w:hAnsi="Arial" w:cs="Arial"/>
          <w:sz w:val="24"/>
          <w:szCs w:val="24"/>
        </w:rPr>
        <w:t>consider and approve</w:t>
      </w:r>
      <w:r w:rsidR="00630DF4">
        <w:rPr>
          <w:rFonts w:ascii="Arial" w:hAnsi="Arial" w:cs="Arial"/>
          <w:sz w:val="24"/>
          <w:szCs w:val="24"/>
        </w:rPr>
        <w:t xml:space="preserve"> the £100k Homes Business Case. </w:t>
      </w:r>
    </w:p>
    <w:tbl>
      <w:tblPr>
        <w:tblStyle w:val="TableGrid"/>
        <w:tblW w:w="0" w:type="auto"/>
        <w:tblInd w:w="108" w:type="dxa"/>
        <w:tblLook w:val="04A0" w:firstRow="1" w:lastRow="0" w:firstColumn="1" w:lastColumn="0" w:noHBand="0" w:noVBand="1"/>
      </w:tblPr>
      <w:tblGrid>
        <w:gridCol w:w="4111"/>
        <w:gridCol w:w="1559"/>
        <w:gridCol w:w="3464"/>
      </w:tblGrid>
      <w:tr w:rsidR="0099702D" w14:paraId="582BCDF4" w14:textId="77777777" w:rsidTr="12F18D32">
        <w:tc>
          <w:tcPr>
            <w:tcW w:w="9134" w:type="dxa"/>
            <w:gridSpan w:val="3"/>
          </w:tcPr>
          <w:p w14:paraId="582BCDF1" w14:textId="77777777" w:rsidR="0099702D" w:rsidRDefault="0099702D" w:rsidP="0099702D">
            <w:pPr>
              <w:pStyle w:val="ListParagraph"/>
              <w:ind w:left="0"/>
              <w:contextualSpacing w:val="0"/>
              <w:rPr>
                <w:rFonts w:ascii="Arial" w:hAnsi="Arial" w:cs="Arial"/>
                <w:sz w:val="24"/>
                <w:szCs w:val="24"/>
              </w:rPr>
            </w:pPr>
          </w:p>
          <w:p w14:paraId="582BCDF2" w14:textId="77777777" w:rsidR="0099702D" w:rsidRPr="002D1F10" w:rsidRDefault="1E2C63B1" w:rsidP="1E2C63B1">
            <w:pPr>
              <w:pStyle w:val="ListParagraph"/>
              <w:ind w:left="0"/>
              <w:contextualSpacing w:val="0"/>
              <w:jc w:val="center"/>
              <w:rPr>
                <w:rFonts w:ascii="Arial" w:hAnsi="Arial" w:cs="Arial"/>
                <w:b/>
                <w:bCs/>
                <w:sz w:val="24"/>
                <w:szCs w:val="24"/>
                <w:u w:val="single"/>
              </w:rPr>
            </w:pPr>
            <w:r w:rsidRPr="1E2C63B1">
              <w:rPr>
                <w:rFonts w:ascii="Arial" w:hAnsi="Arial" w:cs="Arial"/>
                <w:b/>
                <w:bCs/>
                <w:sz w:val="24"/>
                <w:szCs w:val="24"/>
                <w:u w:val="single"/>
              </w:rPr>
              <w:t>DECISION REQUIRED</w:t>
            </w:r>
          </w:p>
          <w:p w14:paraId="582BCDF3" w14:textId="77777777" w:rsidR="0099702D" w:rsidRDefault="0099702D" w:rsidP="0099702D">
            <w:pPr>
              <w:pStyle w:val="ListParagraph"/>
              <w:ind w:left="0"/>
              <w:contextualSpacing w:val="0"/>
              <w:rPr>
                <w:rFonts w:ascii="Arial" w:hAnsi="Arial" w:cs="Arial"/>
                <w:sz w:val="24"/>
                <w:szCs w:val="24"/>
              </w:rPr>
            </w:pPr>
          </w:p>
        </w:tc>
      </w:tr>
      <w:tr w:rsidR="00DA3302" w:rsidRPr="0099702D" w14:paraId="582BCDF7" w14:textId="77777777" w:rsidTr="12F18D32">
        <w:tc>
          <w:tcPr>
            <w:tcW w:w="4111" w:type="dxa"/>
            <w:tcBorders>
              <w:bottom w:val="single" w:sz="4" w:space="0" w:color="auto"/>
              <w:right w:val="nil"/>
            </w:tcBorders>
          </w:tcPr>
          <w:p w14:paraId="582BCDF5" w14:textId="77777777" w:rsidR="00DA3302" w:rsidRPr="0099702D" w:rsidRDefault="00DA3302" w:rsidP="1E2C63B1">
            <w:pPr>
              <w:pStyle w:val="ListParagraph"/>
              <w:tabs>
                <w:tab w:val="left" w:pos="3693"/>
              </w:tabs>
              <w:ind w:left="0"/>
              <w:contextualSpacing w:val="0"/>
              <w:rPr>
                <w:rFonts w:ascii="Arial" w:hAnsi="Arial" w:cs="Arial"/>
                <w:b/>
                <w:bCs/>
                <w:sz w:val="24"/>
                <w:szCs w:val="24"/>
              </w:rPr>
            </w:pPr>
            <w:r w:rsidRPr="1E2C63B1">
              <w:rPr>
                <w:rFonts w:ascii="Arial" w:hAnsi="Arial" w:cs="Arial"/>
                <w:b/>
                <w:bCs/>
                <w:sz w:val="24"/>
                <w:szCs w:val="24"/>
              </w:rPr>
              <w:t xml:space="preserve">Lead Member: </w:t>
            </w:r>
            <w:r w:rsidRPr="0099702D">
              <w:rPr>
                <w:rFonts w:ascii="Arial" w:hAnsi="Arial" w:cs="Arial"/>
                <w:b/>
                <w:sz w:val="24"/>
                <w:szCs w:val="24"/>
              </w:rPr>
              <w:tab/>
            </w:r>
          </w:p>
        </w:tc>
        <w:tc>
          <w:tcPr>
            <w:tcW w:w="5023" w:type="dxa"/>
            <w:gridSpan w:val="2"/>
            <w:tcBorders>
              <w:left w:val="nil"/>
            </w:tcBorders>
          </w:tcPr>
          <w:p w14:paraId="582BCDF6" w14:textId="41B6A342" w:rsidR="00DA3302" w:rsidRPr="0099702D" w:rsidRDefault="00DA3302" w:rsidP="12F18D32">
            <w:pPr>
              <w:pStyle w:val="ListParagraph"/>
              <w:tabs>
                <w:tab w:val="left" w:pos="3693"/>
              </w:tabs>
              <w:ind w:left="0"/>
              <w:contextualSpacing w:val="0"/>
              <w:rPr>
                <w:rFonts w:ascii="Arial" w:hAnsi="Arial" w:cs="Arial"/>
                <w:b/>
                <w:bCs/>
                <w:sz w:val="24"/>
                <w:szCs w:val="24"/>
              </w:rPr>
            </w:pPr>
          </w:p>
        </w:tc>
      </w:tr>
      <w:tr w:rsidR="00DA3302" w:rsidRPr="0099702D" w14:paraId="582BCDFA" w14:textId="77777777" w:rsidTr="12F18D32">
        <w:tc>
          <w:tcPr>
            <w:tcW w:w="4111" w:type="dxa"/>
            <w:tcBorders>
              <w:bottom w:val="single" w:sz="4" w:space="0" w:color="auto"/>
              <w:right w:val="nil"/>
            </w:tcBorders>
          </w:tcPr>
          <w:p w14:paraId="582BCDF8" w14:textId="77777777" w:rsidR="00DA3302" w:rsidRPr="0099702D" w:rsidRDefault="1E2C63B1" w:rsidP="1E2C63B1">
            <w:pPr>
              <w:pStyle w:val="ListParagraph"/>
              <w:tabs>
                <w:tab w:val="left" w:pos="3693"/>
              </w:tabs>
              <w:ind w:left="0"/>
              <w:contextualSpacing w:val="0"/>
              <w:rPr>
                <w:rFonts w:ascii="Arial" w:hAnsi="Arial" w:cs="Arial"/>
                <w:b/>
                <w:bCs/>
                <w:sz w:val="24"/>
                <w:szCs w:val="24"/>
              </w:rPr>
            </w:pPr>
            <w:r w:rsidRPr="1E2C63B1">
              <w:rPr>
                <w:rFonts w:ascii="Arial" w:hAnsi="Arial" w:cs="Arial"/>
                <w:b/>
                <w:bCs/>
                <w:sz w:val="24"/>
                <w:szCs w:val="24"/>
              </w:rPr>
              <w:t>Lead Officer:</w:t>
            </w:r>
          </w:p>
        </w:tc>
        <w:tc>
          <w:tcPr>
            <w:tcW w:w="5023" w:type="dxa"/>
            <w:gridSpan w:val="2"/>
            <w:tcBorders>
              <w:left w:val="nil"/>
            </w:tcBorders>
          </w:tcPr>
          <w:p w14:paraId="582BCDF9" w14:textId="127F13BE" w:rsidR="00DA3302" w:rsidRPr="0099702D" w:rsidRDefault="001F6C33" w:rsidP="12F18D32">
            <w:pPr>
              <w:pStyle w:val="ListParagraph"/>
              <w:tabs>
                <w:tab w:val="left" w:pos="3693"/>
              </w:tabs>
              <w:ind w:left="0"/>
              <w:contextualSpacing w:val="0"/>
              <w:rPr>
                <w:rFonts w:ascii="Arial" w:hAnsi="Arial" w:cs="Arial"/>
                <w:b/>
                <w:bCs/>
                <w:sz w:val="24"/>
                <w:szCs w:val="24"/>
              </w:rPr>
            </w:pPr>
            <w:r>
              <w:rPr>
                <w:rFonts w:ascii="Arial" w:hAnsi="Arial" w:cs="Arial"/>
                <w:b/>
                <w:bCs/>
                <w:sz w:val="24"/>
                <w:szCs w:val="24"/>
              </w:rPr>
              <w:t>Roger Thompson, Director of Housing</w:t>
            </w:r>
          </w:p>
        </w:tc>
      </w:tr>
      <w:tr w:rsidR="00DA3302" w:rsidRPr="0099702D" w14:paraId="582BCDFD" w14:textId="77777777" w:rsidTr="12F18D32">
        <w:tc>
          <w:tcPr>
            <w:tcW w:w="4111" w:type="dxa"/>
            <w:tcBorders>
              <w:right w:val="nil"/>
            </w:tcBorders>
          </w:tcPr>
          <w:p w14:paraId="582BCDFB" w14:textId="57FF3286" w:rsidR="00DA3302" w:rsidRPr="0099702D" w:rsidRDefault="1E2C63B1" w:rsidP="1E2C63B1">
            <w:pPr>
              <w:pStyle w:val="ListParagraph"/>
              <w:tabs>
                <w:tab w:val="left" w:pos="3693"/>
              </w:tabs>
              <w:ind w:left="0"/>
              <w:contextualSpacing w:val="0"/>
              <w:rPr>
                <w:rFonts w:ascii="Arial" w:hAnsi="Arial" w:cs="Arial"/>
                <w:b/>
                <w:bCs/>
                <w:sz w:val="24"/>
                <w:szCs w:val="24"/>
              </w:rPr>
            </w:pPr>
            <w:r w:rsidRPr="1E2C63B1">
              <w:rPr>
                <w:rFonts w:ascii="Arial" w:hAnsi="Arial" w:cs="Arial"/>
                <w:b/>
                <w:bCs/>
                <w:sz w:val="24"/>
                <w:szCs w:val="24"/>
              </w:rPr>
              <w:t>Forward Plan Ref:  Insert ref no on FP</w:t>
            </w:r>
          </w:p>
        </w:tc>
        <w:tc>
          <w:tcPr>
            <w:tcW w:w="5023" w:type="dxa"/>
            <w:gridSpan w:val="2"/>
            <w:tcBorders>
              <w:left w:val="nil"/>
            </w:tcBorders>
          </w:tcPr>
          <w:p w14:paraId="582BCDFC" w14:textId="16A1F425" w:rsidR="00DA3302" w:rsidRPr="0099702D" w:rsidRDefault="1E2C63B1" w:rsidP="1E2C63B1">
            <w:pPr>
              <w:pStyle w:val="ListParagraph"/>
              <w:tabs>
                <w:tab w:val="left" w:pos="3693"/>
              </w:tabs>
              <w:ind w:left="0"/>
              <w:contextualSpacing w:val="0"/>
              <w:rPr>
                <w:rFonts w:ascii="Arial" w:hAnsi="Arial" w:cs="Arial"/>
                <w:b/>
                <w:bCs/>
                <w:sz w:val="24"/>
                <w:szCs w:val="24"/>
              </w:rPr>
            </w:pPr>
            <w:r w:rsidRPr="1E2C63B1">
              <w:rPr>
                <w:rFonts w:ascii="Arial" w:hAnsi="Arial" w:cs="Arial"/>
                <w:b/>
                <w:bCs/>
                <w:sz w:val="24"/>
                <w:szCs w:val="24"/>
              </w:rPr>
              <w:t xml:space="preserve">Key Decision: </w:t>
            </w:r>
            <w:r w:rsidR="00761FCA">
              <w:rPr>
                <w:rFonts w:ascii="Arial" w:hAnsi="Arial" w:cs="Arial"/>
                <w:b/>
                <w:bCs/>
                <w:sz w:val="24"/>
                <w:szCs w:val="24"/>
              </w:rPr>
              <w:t>No</w:t>
            </w:r>
          </w:p>
        </w:tc>
      </w:tr>
      <w:tr w:rsidR="002D1F10" w14:paraId="582BCE12" w14:textId="77777777" w:rsidTr="12F18D32">
        <w:tc>
          <w:tcPr>
            <w:tcW w:w="5670" w:type="dxa"/>
            <w:gridSpan w:val="2"/>
          </w:tcPr>
          <w:p w14:paraId="582BCDFE" w14:textId="77777777" w:rsidR="002D1F10" w:rsidRPr="00A122B1" w:rsidRDefault="002D1F10" w:rsidP="00A122B1">
            <w:pPr>
              <w:rPr>
                <w:rFonts w:ascii="Arial" w:hAnsi="Arial" w:cs="Arial"/>
                <w:sz w:val="24"/>
                <w:szCs w:val="24"/>
              </w:rPr>
            </w:pPr>
          </w:p>
          <w:p w14:paraId="582BCDFF" w14:textId="3282453E" w:rsidR="00BE5450" w:rsidRPr="00A122B1" w:rsidRDefault="00BE5450" w:rsidP="00A122B1">
            <w:pPr>
              <w:rPr>
                <w:rFonts w:ascii="Arial" w:hAnsi="Arial" w:cs="Arial"/>
                <w:sz w:val="24"/>
                <w:szCs w:val="24"/>
              </w:rPr>
            </w:pPr>
          </w:p>
          <w:p w14:paraId="4826EEB0" w14:textId="77777777" w:rsidR="00A122B1" w:rsidRPr="00A122B1" w:rsidRDefault="00A122B1" w:rsidP="00A122B1">
            <w:pPr>
              <w:rPr>
                <w:rFonts w:ascii="Arial" w:hAnsi="Arial" w:cs="Arial"/>
                <w:sz w:val="24"/>
                <w:szCs w:val="24"/>
              </w:rPr>
            </w:pPr>
            <w:r w:rsidRPr="00A122B1">
              <w:rPr>
                <w:rFonts w:ascii="Arial" w:hAnsi="Arial" w:cs="Arial"/>
                <w:sz w:val="24"/>
                <w:szCs w:val="24"/>
              </w:rPr>
              <w:t>The Combined Authority Board is recommended to:</w:t>
            </w:r>
          </w:p>
          <w:p w14:paraId="189FC3DC" w14:textId="77777777" w:rsidR="00A122B1" w:rsidRPr="00A122B1" w:rsidRDefault="00A122B1" w:rsidP="00A122B1">
            <w:pPr>
              <w:rPr>
                <w:rFonts w:ascii="Arial" w:hAnsi="Arial" w:cs="Arial"/>
                <w:sz w:val="24"/>
                <w:szCs w:val="24"/>
              </w:rPr>
            </w:pPr>
          </w:p>
          <w:p w14:paraId="4429944E" w14:textId="6F84F51D" w:rsidR="00A122B1" w:rsidRPr="001F673A" w:rsidRDefault="00630DF4" w:rsidP="00A122B1">
            <w:pPr>
              <w:pStyle w:val="ListParagraph"/>
              <w:numPr>
                <w:ilvl w:val="0"/>
                <w:numId w:val="2"/>
              </w:numPr>
              <w:ind w:left="601" w:hanging="601"/>
              <w:rPr>
                <w:rFonts w:ascii="Arial" w:hAnsi="Arial" w:cs="Arial"/>
                <w:sz w:val="24"/>
                <w:szCs w:val="24"/>
              </w:rPr>
            </w:pPr>
            <w:r>
              <w:rPr>
                <w:rFonts w:ascii="Arial" w:hAnsi="Arial" w:cs="Arial"/>
                <w:sz w:val="24"/>
                <w:szCs w:val="24"/>
              </w:rPr>
              <w:t xml:space="preserve">Approve the Business </w:t>
            </w:r>
            <w:r w:rsidR="008A1C23">
              <w:rPr>
                <w:rFonts w:ascii="Arial" w:hAnsi="Arial" w:cs="Arial"/>
                <w:sz w:val="24"/>
                <w:szCs w:val="24"/>
              </w:rPr>
              <w:t>Case</w:t>
            </w:r>
            <w:r>
              <w:rPr>
                <w:rFonts w:ascii="Arial" w:hAnsi="Arial" w:cs="Arial"/>
                <w:sz w:val="24"/>
                <w:szCs w:val="24"/>
              </w:rPr>
              <w:t xml:space="preserve"> detailed in Appendix 1</w:t>
            </w:r>
            <w:r w:rsidR="00A122B1" w:rsidRPr="001F673A">
              <w:rPr>
                <w:rFonts w:ascii="Arial" w:hAnsi="Arial" w:cs="Arial"/>
                <w:sz w:val="24"/>
                <w:szCs w:val="24"/>
              </w:rPr>
              <w:t xml:space="preserve">; </w:t>
            </w:r>
            <w:r>
              <w:rPr>
                <w:rFonts w:ascii="Arial" w:hAnsi="Arial" w:cs="Arial"/>
                <w:sz w:val="24"/>
                <w:szCs w:val="24"/>
              </w:rPr>
              <w:t xml:space="preserve">and </w:t>
            </w:r>
          </w:p>
          <w:p w14:paraId="0A2B55D2" w14:textId="77777777" w:rsidR="00A122B1" w:rsidRPr="00A122B1" w:rsidRDefault="00A122B1" w:rsidP="00A122B1">
            <w:pPr>
              <w:rPr>
                <w:rFonts w:ascii="Arial" w:hAnsi="Arial" w:cs="Arial"/>
                <w:sz w:val="24"/>
                <w:szCs w:val="24"/>
              </w:rPr>
            </w:pPr>
          </w:p>
          <w:p w14:paraId="3B8818D4" w14:textId="7436E756" w:rsidR="00A122B1" w:rsidRDefault="00630DF4" w:rsidP="00A122B1">
            <w:pPr>
              <w:pStyle w:val="ListParagraph"/>
              <w:numPr>
                <w:ilvl w:val="0"/>
                <w:numId w:val="2"/>
              </w:numPr>
              <w:ind w:left="601" w:hanging="601"/>
              <w:rPr>
                <w:rFonts w:ascii="Arial" w:hAnsi="Arial" w:cs="Arial"/>
                <w:sz w:val="24"/>
                <w:szCs w:val="24"/>
              </w:rPr>
            </w:pPr>
            <w:r>
              <w:rPr>
                <w:rFonts w:ascii="Arial" w:hAnsi="Arial" w:cs="Arial"/>
                <w:sz w:val="24"/>
                <w:szCs w:val="24"/>
              </w:rPr>
              <w:t>Authorise the Monitoring Officer to amend the terms of reference of the Housing &amp; Communities Committee to include the responsibility for adopting the £100k Homes Allocations Policy.</w:t>
            </w:r>
          </w:p>
          <w:p w14:paraId="582BCE08" w14:textId="77777777" w:rsidR="002D1F10" w:rsidRPr="00630DF4" w:rsidRDefault="002D1F10" w:rsidP="00630DF4">
            <w:pPr>
              <w:rPr>
                <w:rFonts w:ascii="Arial" w:hAnsi="Arial" w:cs="Arial"/>
                <w:sz w:val="24"/>
                <w:szCs w:val="24"/>
              </w:rPr>
            </w:pPr>
          </w:p>
        </w:tc>
        <w:tc>
          <w:tcPr>
            <w:tcW w:w="3464" w:type="dxa"/>
          </w:tcPr>
          <w:p w14:paraId="582BCE09" w14:textId="77777777" w:rsidR="002D1F10" w:rsidRPr="002D1F10" w:rsidRDefault="1E2C63B1" w:rsidP="1E2C63B1">
            <w:pPr>
              <w:pStyle w:val="ListParagraph"/>
              <w:ind w:left="0"/>
              <w:contextualSpacing w:val="0"/>
              <w:rPr>
                <w:rFonts w:ascii="Arial" w:hAnsi="Arial" w:cs="Arial"/>
                <w:b/>
                <w:bCs/>
                <w:sz w:val="24"/>
                <w:szCs w:val="24"/>
              </w:rPr>
            </w:pPr>
            <w:r w:rsidRPr="1E2C63B1">
              <w:rPr>
                <w:rFonts w:ascii="Arial" w:hAnsi="Arial" w:cs="Arial"/>
                <w:b/>
                <w:bCs/>
                <w:sz w:val="24"/>
                <w:szCs w:val="24"/>
              </w:rPr>
              <w:t>Voting arrangements</w:t>
            </w:r>
          </w:p>
          <w:p w14:paraId="582BCE0A" w14:textId="77777777" w:rsidR="002D1F10" w:rsidRDefault="002D1F10" w:rsidP="0099702D">
            <w:pPr>
              <w:pStyle w:val="ListParagraph"/>
              <w:ind w:left="0"/>
              <w:contextualSpacing w:val="0"/>
              <w:rPr>
                <w:rFonts w:ascii="Arial" w:hAnsi="Arial" w:cs="Arial"/>
                <w:sz w:val="24"/>
                <w:szCs w:val="24"/>
              </w:rPr>
            </w:pPr>
          </w:p>
          <w:p w14:paraId="582BCE0D" w14:textId="40689DC2" w:rsidR="002D1F10" w:rsidRDefault="1E2C63B1" w:rsidP="1E2C63B1">
            <w:pPr>
              <w:pStyle w:val="ListParagraph"/>
              <w:ind w:left="0"/>
              <w:contextualSpacing w:val="0"/>
              <w:rPr>
                <w:rFonts w:ascii="Arial" w:hAnsi="Arial" w:cs="Arial"/>
                <w:sz w:val="24"/>
                <w:szCs w:val="24"/>
              </w:rPr>
            </w:pPr>
            <w:r w:rsidRPr="1E2C63B1">
              <w:rPr>
                <w:rFonts w:ascii="Arial" w:hAnsi="Arial" w:cs="Arial"/>
                <w:sz w:val="24"/>
                <w:szCs w:val="24"/>
              </w:rPr>
              <w:t xml:space="preserve">Simple majority of all Members </w:t>
            </w:r>
          </w:p>
          <w:p w14:paraId="582BCE11" w14:textId="66D19223" w:rsidR="002D1F10" w:rsidRDefault="002D1F10" w:rsidP="1E2C63B1">
            <w:pPr>
              <w:pStyle w:val="ListParagraph"/>
              <w:ind w:left="0"/>
              <w:contextualSpacing w:val="0"/>
              <w:rPr>
                <w:rFonts w:ascii="Arial" w:hAnsi="Arial" w:cs="Arial"/>
                <w:sz w:val="24"/>
                <w:szCs w:val="24"/>
              </w:rPr>
            </w:pPr>
          </w:p>
        </w:tc>
      </w:tr>
    </w:tbl>
    <w:p w14:paraId="582BCE13" w14:textId="29C2AB8D" w:rsidR="00D60800" w:rsidRDefault="00D60800" w:rsidP="0099702D">
      <w:pPr>
        <w:pStyle w:val="ListParagraph"/>
        <w:spacing w:after="0" w:line="240" w:lineRule="auto"/>
        <w:ind w:left="567"/>
        <w:contextualSpacing w:val="0"/>
        <w:rPr>
          <w:rFonts w:ascii="Arial" w:hAnsi="Arial" w:cs="Arial"/>
          <w:sz w:val="24"/>
          <w:szCs w:val="24"/>
        </w:rPr>
      </w:pPr>
    </w:p>
    <w:p w14:paraId="2C3C03BC" w14:textId="77777777" w:rsidR="00630DF4" w:rsidRDefault="00630DF4" w:rsidP="0099702D">
      <w:pPr>
        <w:pStyle w:val="ListParagraph"/>
        <w:spacing w:after="0" w:line="240" w:lineRule="auto"/>
        <w:ind w:left="567"/>
        <w:contextualSpacing w:val="0"/>
        <w:rPr>
          <w:rFonts w:ascii="Arial" w:hAnsi="Arial" w:cs="Arial"/>
          <w:sz w:val="24"/>
          <w:szCs w:val="24"/>
        </w:rPr>
      </w:pPr>
    </w:p>
    <w:p w14:paraId="676402CA" w14:textId="77777777" w:rsidR="007A344E" w:rsidRDefault="007A344E" w:rsidP="0099702D">
      <w:pPr>
        <w:pStyle w:val="ListParagraph"/>
        <w:spacing w:after="0" w:line="240" w:lineRule="auto"/>
        <w:ind w:left="567"/>
        <w:contextualSpacing w:val="0"/>
        <w:rPr>
          <w:rFonts w:ascii="Arial" w:hAnsi="Arial" w:cs="Arial"/>
          <w:sz w:val="24"/>
          <w:szCs w:val="24"/>
        </w:rPr>
      </w:pPr>
    </w:p>
    <w:p w14:paraId="582BCE16" w14:textId="543B9005" w:rsidR="00536308" w:rsidRPr="00F330B5" w:rsidRDefault="12F18D32" w:rsidP="1E2C63B1">
      <w:pPr>
        <w:pStyle w:val="ListParagraph"/>
        <w:numPr>
          <w:ilvl w:val="0"/>
          <w:numId w:val="1"/>
        </w:numPr>
        <w:tabs>
          <w:tab w:val="num" w:pos="-2552"/>
        </w:tabs>
        <w:spacing w:after="0" w:line="240" w:lineRule="auto"/>
        <w:ind w:left="567" w:hanging="567"/>
        <w:rPr>
          <w:rFonts w:ascii="Arial" w:hAnsi="Arial" w:cs="Arial"/>
          <w:b/>
          <w:bCs/>
          <w:sz w:val="24"/>
          <w:szCs w:val="24"/>
        </w:rPr>
      </w:pPr>
      <w:r w:rsidRPr="00F330B5">
        <w:rPr>
          <w:rFonts w:ascii="Arial" w:hAnsi="Arial" w:cs="Arial"/>
          <w:b/>
          <w:bCs/>
          <w:sz w:val="24"/>
          <w:szCs w:val="24"/>
        </w:rPr>
        <w:t>BACKGROUND</w:t>
      </w:r>
    </w:p>
    <w:p w14:paraId="0C10E17E" w14:textId="620AF2B4" w:rsidR="00630DF4" w:rsidRPr="00F330B5" w:rsidRDefault="00630DF4" w:rsidP="00630DF4">
      <w:pPr>
        <w:tabs>
          <w:tab w:val="num" w:pos="-2552"/>
        </w:tabs>
        <w:spacing w:after="0" w:line="240" w:lineRule="auto"/>
        <w:rPr>
          <w:rFonts w:ascii="Arial" w:hAnsi="Arial" w:cs="Arial"/>
          <w:b/>
          <w:bCs/>
          <w:sz w:val="24"/>
          <w:szCs w:val="24"/>
        </w:rPr>
      </w:pPr>
    </w:p>
    <w:p w14:paraId="01DDD9F5" w14:textId="354688F5" w:rsidR="00630DF4" w:rsidRPr="00F330B5" w:rsidRDefault="00630DF4" w:rsidP="00630DF4">
      <w:pPr>
        <w:pStyle w:val="NoSpacing"/>
        <w:ind w:left="720" w:hanging="720"/>
        <w:rPr>
          <w:rFonts w:ascii="Arial" w:hAnsi="Arial" w:cs="Arial"/>
          <w:sz w:val="24"/>
          <w:szCs w:val="24"/>
        </w:rPr>
      </w:pPr>
      <w:r w:rsidRPr="00F330B5">
        <w:rPr>
          <w:rFonts w:ascii="Arial" w:hAnsi="Arial" w:cs="Arial"/>
          <w:sz w:val="24"/>
          <w:szCs w:val="24"/>
        </w:rPr>
        <w:t>2.1</w:t>
      </w:r>
      <w:r w:rsidRPr="00F330B5">
        <w:rPr>
          <w:rFonts w:ascii="Arial" w:hAnsi="Arial" w:cs="Arial"/>
          <w:sz w:val="24"/>
          <w:szCs w:val="24"/>
        </w:rPr>
        <w:tab/>
        <w:t>The Cambridgeshire and Peterborough Independent Economic Review (CPIER) has a chapter dedicated to the subject of housing. It reaches several conclusions:</w:t>
      </w:r>
    </w:p>
    <w:p w14:paraId="36FF4CC8" w14:textId="77777777" w:rsidR="00630DF4" w:rsidRPr="00F330B5" w:rsidRDefault="00630DF4" w:rsidP="00630DF4">
      <w:pPr>
        <w:pStyle w:val="NoSpacing"/>
        <w:ind w:left="720"/>
        <w:rPr>
          <w:rFonts w:ascii="Arial" w:hAnsi="Arial" w:cs="Arial"/>
          <w:sz w:val="24"/>
          <w:szCs w:val="24"/>
        </w:rPr>
      </w:pPr>
    </w:p>
    <w:p w14:paraId="7B315C66" w14:textId="20183A01" w:rsidR="00630DF4" w:rsidRDefault="00630DF4" w:rsidP="00630DF4">
      <w:pPr>
        <w:pStyle w:val="NoSpacing"/>
        <w:numPr>
          <w:ilvl w:val="0"/>
          <w:numId w:val="25"/>
        </w:numPr>
        <w:rPr>
          <w:rFonts w:ascii="Arial" w:hAnsi="Arial" w:cs="Arial"/>
          <w:sz w:val="24"/>
          <w:szCs w:val="24"/>
        </w:rPr>
      </w:pPr>
      <w:r w:rsidRPr="00F330B5">
        <w:rPr>
          <w:rFonts w:ascii="Arial" w:hAnsi="Arial" w:cs="Arial"/>
          <w:sz w:val="24"/>
          <w:szCs w:val="24"/>
        </w:rPr>
        <w:t xml:space="preserve">Not enough housing is being built at present. The CPIER notes that “It is not that supply has been unusually low, indeed the housing stock has increased by over 4% in this time [2012-2016]. But demand has been exceptionally high, causing the extreme affordability pressures in some parts of the area which we see today”. The review looks at recent delivery against Objectively Assessed Need- showing that it has fallen short by almost 1,000 houses over the years 2012/13 to 2016/17. </w:t>
      </w:r>
    </w:p>
    <w:p w14:paraId="5C75F08F" w14:textId="77777777" w:rsidR="003133F0" w:rsidRPr="00F330B5" w:rsidRDefault="003133F0" w:rsidP="003133F0">
      <w:pPr>
        <w:pStyle w:val="NoSpacing"/>
        <w:ind w:left="1080"/>
        <w:rPr>
          <w:rFonts w:ascii="Arial" w:hAnsi="Arial" w:cs="Arial"/>
          <w:sz w:val="24"/>
          <w:szCs w:val="24"/>
        </w:rPr>
      </w:pPr>
    </w:p>
    <w:p w14:paraId="2FB2B602" w14:textId="339A80A2" w:rsidR="00630DF4" w:rsidRDefault="00630DF4" w:rsidP="00630DF4">
      <w:pPr>
        <w:pStyle w:val="NoSpacing"/>
        <w:numPr>
          <w:ilvl w:val="0"/>
          <w:numId w:val="25"/>
        </w:numPr>
        <w:rPr>
          <w:rFonts w:ascii="Arial" w:hAnsi="Arial" w:cs="Arial"/>
          <w:sz w:val="24"/>
          <w:szCs w:val="24"/>
        </w:rPr>
      </w:pPr>
      <w:r w:rsidRPr="00F330B5">
        <w:rPr>
          <w:rFonts w:ascii="Arial" w:hAnsi="Arial" w:cs="Arial"/>
          <w:sz w:val="24"/>
          <w:szCs w:val="24"/>
        </w:rPr>
        <w:t xml:space="preserve">Targets need to be revised upwards. Based on a summary review of the figures, the review concludes that it is likely that between 6,000 to 8,000 dwellings need to be built per year to manage the pressure on housing caused by employment growth. </w:t>
      </w:r>
    </w:p>
    <w:p w14:paraId="494582CB" w14:textId="3E725A79" w:rsidR="003133F0" w:rsidRPr="00F330B5" w:rsidRDefault="003133F0" w:rsidP="003133F0">
      <w:pPr>
        <w:pStyle w:val="NoSpacing"/>
        <w:rPr>
          <w:rFonts w:ascii="Arial" w:hAnsi="Arial" w:cs="Arial"/>
          <w:sz w:val="24"/>
          <w:szCs w:val="24"/>
        </w:rPr>
      </w:pPr>
    </w:p>
    <w:p w14:paraId="75FD356D" w14:textId="77777777" w:rsidR="00630DF4" w:rsidRPr="00F330B5" w:rsidRDefault="00630DF4" w:rsidP="00630DF4">
      <w:pPr>
        <w:pStyle w:val="NoSpacing"/>
        <w:numPr>
          <w:ilvl w:val="0"/>
          <w:numId w:val="25"/>
        </w:numPr>
        <w:rPr>
          <w:rFonts w:ascii="Arial" w:hAnsi="Arial" w:cs="Arial"/>
          <w:sz w:val="24"/>
          <w:szCs w:val="24"/>
        </w:rPr>
      </w:pPr>
      <w:r w:rsidRPr="00F330B5">
        <w:rPr>
          <w:rFonts w:ascii="Arial" w:hAnsi="Arial" w:cs="Arial"/>
          <w:sz w:val="24"/>
          <w:szCs w:val="24"/>
        </w:rPr>
        <w:t xml:space="preserve">Lack of affordability is causing multiple problems. The review notes: “Local people are displaced from the area if they cannot afford the cost of accommodation. People’s quality of life deteriorates as too much of their income is swallowed up on rent or mortgage payments.” In future, it may also impose too much of a cost on business, causing a slowdown in growth in Cambridgeshire. </w:t>
      </w:r>
    </w:p>
    <w:p w14:paraId="0DF79A7A" w14:textId="77777777" w:rsidR="00630DF4" w:rsidRPr="00F330B5" w:rsidRDefault="00630DF4" w:rsidP="00630DF4">
      <w:pPr>
        <w:pStyle w:val="NoSpacing"/>
        <w:rPr>
          <w:rFonts w:ascii="Arial" w:hAnsi="Arial" w:cs="Arial"/>
          <w:sz w:val="24"/>
          <w:szCs w:val="24"/>
        </w:rPr>
      </w:pPr>
    </w:p>
    <w:p w14:paraId="6EEDE1CE" w14:textId="77777777" w:rsidR="00630DF4" w:rsidRPr="00F330B5" w:rsidRDefault="00630DF4" w:rsidP="00630DF4">
      <w:pPr>
        <w:pStyle w:val="NoSpacing"/>
        <w:ind w:left="720" w:hanging="720"/>
        <w:rPr>
          <w:rFonts w:ascii="Arial" w:hAnsi="Arial" w:cs="Arial"/>
          <w:sz w:val="24"/>
          <w:szCs w:val="24"/>
        </w:rPr>
      </w:pPr>
      <w:r w:rsidRPr="00F330B5">
        <w:rPr>
          <w:rFonts w:ascii="Arial" w:hAnsi="Arial" w:cs="Arial"/>
          <w:sz w:val="24"/>
          <w:szCs w:val="24"/>
        </w:rPr>
        <w:t>2.2</w:t>
      </w:r>
      <w:r w:rsidRPr="00F330B5">
        <w:rPr>
          <w:rFonts w:ascii="Arial" w:hAnsi="Arial" w:cs="Arial"/>
          <w:sz w:val="24"/>
          <w:szCs w:val="24"/>
        </w:rPr>
        <w:tab/>
        <w:t xml:space="preserve">The Housing Strategy (2018) recognises that there is a need to delivery genuinely affordable housing across the Combined Authority area. It further recognises that there is a gap in the market that provides for those who do not qualify for traditional affordable housing and open market housing is out of reach. </w:t>
      </w:r>
    </w:p>
    <w:p w14:paraId="36FC9179" w14:textId="77777777" w:rsidR="00630DF4" w:rsidRPr="00F330B5" w:rsidRDefault="00630DF4" w:rsidP="00630DF4">
      <w:pPr>
        <w:pStyle w:val="NoSpacing"/>
        <w:rPr>
          <w:rFonts w:ascii="Arial" w:hAnsi="Arial" w:cs="Arial"/>
          <w:sz w:val="24"/>
          <w:szCs w:val="24"/>
        </w:rPr>
      </w:pPr>
    </w:p>
    <w:p w14:paraId="1265AFB1" w14:textId="6E00F252" w:rsidR="00630DF4" w:rsidRPr="00F330B5" w:rsidRDefault="00630DF4" w:rsidP="00630DF4">
      <w:pPr>
        <w:pStyle w:val="NoSpacing"/>
        <w:ind w:left="720" w:hanging="720"/>
        <w:rPr>
          <w:rFonts w:ascii="Arial" w:hAnsi="Arial" w:cs="Arial"/>
          <w:sz w:val="24"/>
          <w:szCs w:val="24"/>
        </w:rPr>
      </w:pPr>
      <w:r w:rsidRPr="00F330B5">
        <w:rPr>
          <w:rFonts w:ascii="Arial" w:hAnsi="Arial" w:cs="Arial"/>
          <w:sz w:val="24"/>
          <w:szCs w:val="24"/>
        </w:rPr>
        <w:t>2.3</w:t>
      </w:r>
      <w:r w:rsidRPr="00F330B5">
        <w:rPr>
          <w:rFonts w:ascii="Arial" w:hAnsi="Arial" w:cs="Arial"/>
          <w:sz w:val="24"/>
          <w:szCs w:val="24"/>
        </w:rPr>
        <w:tab/>
        <w:t xml:space="preserve">£100k Homes is referenced as a mechanism that could enable the Combined Authority to make a contribution to meet the current demand. It is recommended within the strategy to explore and deliver the £100k Homes project. </w:t>
      </w:r>
    </w:p>
    <w:p w14:paraId="355D3365" w14:textId="53896A0E" w:rsidR="00630DF4" w:rsidRPr="00F330B5" w:rsidRDefault="00630DF4" w:rsidP="00630DF4">
      <w:pPr>
        <w:pStyle w:val="NoSpacing"/>
        <w:ind w:left="720" w:hanging="720"/>
        <w:rPr>
          <w:rFonts w:ascii="Arial" w:hAnsi="Arial" w:cs="Arial"/>
          <w:sz w:val="24"/>
          <w:szCs w:val="24"/>
        </w:rPr>
      </w:pPr>
    </w:p>
    <w:p w14:paraId="2AB49B38" w14:textId="4FB779AB" w:rsidR="00F330B5" w:rsidRPr="00F330B5" w:rsidRDefault="00630DF4" w:rsidP="00F330B5">
      <w:pPr>
        <w:pStyle w:val="NoSpacing"/>
        <w:ind w:left="720" w:hanging="720"/>
        <w:rPr>
          <w:rFonts w:ascii="Arial" w:hAnsi="Arial" w:cs="Arial"/>
          <w:sz w:val="24"/>
          <w:szCs w:val="24"/>
        </w:rPr>
      </w:pPr>
      <w:r w:rsidRPr="00F330B5">
        <w:rPr>
          <w:rFonts w:ascii="Arial" w:hAnsi="Arial" w:cs="Arial"/>
          <w:sz w:val="24"/>
          <w:szCs w:val="24"/>
        </w:rPr>
        <w:t>2.4</w:t>
      </w:r>
      <w:r w:rsidRPr="00F330B5">
        <w:rPr>
          <w:rFonts w:ascii="Arial" w:hAnsi="Arial" w:cs="Arial"/>
          <w:sz w:val="24"/>
          <w:szCs w:val="24"/>
        </w:rPr>
        <w:tab/>
        <w:t xml:space="preserve">On 25 September 2019 (Agenda Item 2.1 and 2.2) the Combined Authority Board approved the inclusion of the £100k Home project in the 2019/20 Business Plan and further allocated a budget to deliver the project. </w:t>
      </w:r>
    </w:p>
    <w:p w14:paraId="4CC363DF" w14:textId="77777777" w:rsidR="00F330B5" w:rsidRPr="00F330B5" w:rsidRDefault="00F330B5" w:rsidP="00F330B5">
      <w:pPr>
        <w:pStyle w:val="NoSpacing"/>
        <w:ind w:left="720" w:hanging="720"/>
        <w:rPr>
          <w:rFonts w:ascii="Arial" w:hAnsi="Arial" w:cs="Arial"/>
          <w:sz w:val="24"/>
          <w:szCs w:val="24"/>
        </w:rPr>
      </w:pPr>
    </w:p>
    <w:p w14:paraId="350F7B2D" w14:textId="26BF6D33"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2.5</w:t>
      </w:r>
      <w:r w:rsidRPr="00F330B5">
        <w:rPr>
          <w:rFonts w:ascii="Arial" w:hAnsi="Arial" w:cs="Arial"/>
          <w:sz w:val="24"/>
          <w:szCs w:val="24"/>
        </w:rPr>
        <w:tab/>
        <w:t xml:space="preserve">The Combined Authority recognises the challenges that are faced by individuals that are struggling to enter the housing market. To some extent the existing market offer is catering for those in need and for those who are more established, through a range of different products; social rent, affordable rent, shared ownership, first time buyer schemes, discounted market sale and of course the open market. </w:t>
      </w:r>
    </w:p>
    <w:p w14:paraId="18CD0BE8" w14:textId="77777777" w:rsidR="003133F0" w:rsidRPr="00F330B5" w:rsidRDefault="003133F0" w:rsidP="003133F0">
      <w:pPr>
        <w:pStyle w:val="NoSpacing"/>
        <w:ind w:left="720" w:hanging="720"/>
        <w:rPr>
          <w:rFonts w:ascii="Arial" w:hAnsi="Arial" w:cs="Arial"/>
          <w:sz w:val="24"/>
          <w:szCs w:val="24"/>
        </w:rPr>
      </w:pPr>
    </w:p>
    <w:p w14:paraId="2DF52ADD" w14:textId="0D4E769C"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2.6</w:t>
      </w:r>
      <w:r w:rsidRPr="00F330B5">
        <w:rPr>
          <w:rFonts w:ascii="Arial" w:hAnsi="Arial" w:cs="Arial"/>
          <w:sz w:val="24"/>
          <w:szCs w:val="24"/>
        </w:rPr>
        <w:tab/>
        <w:t xml:space="preserve">There is a gap in the offer that is preventing individuals from entering the property market, particularly in an area where they have a strong local connection whether through family relationships or employment. </w:t>
      </w:r>
    </w:p>
    <w:p w14:paraId="16290269" w14:textId="77777777" w:rsidR="003133F0" w:rsidRPr="00F330B5" w:rsidRDefault="003133F0" w:rsidP="003133F0">
      <w:pPr>
        <w:pStyle w:val="NoSpacing"/>
        <w:ind w:left="720" w:hanging="720"/>
        <w:rPr>
          <w:rFonts w:ascii="Arial" w:hAnsi="Arial" w:cs="Arial"/>
          <w:sz w:val="24"/>
          <w:szCs w:val="24"/>
        </w:rPr>
      </w:pPr>
    </w:p>
    <w:p w14:paraId="317A3EFF" w14:textId="13D95003" w:rsidR="00F330B5" w:rsidRPr="00F330B5" w:rsidRDefault="00F330B5" w:rsidP="003133F0">
      <w:pPr>
        <w:pStyle w:val="NoSpacing"/>
        <w:ind w:left="720" w:hanging="720"/>
        <w:rPr>
          <w:rFonts w:ascii="Arial" w:hAnsi="Arial" w:cs="Arial"/>
          <w:sz w:val="24"/>
          <w:szCs w:val="24"/>
        </w:rPr>
      </w:pPr>
      <w:r w:rsidRPr="00F330B5">
        <w:rPr>
          <w:rFonts w:ascii="Arial" w:hAnsi="Arial" w:cs="Arial"/>
          <w:sz w:val="24"/>
          <w:szCs w:val="24"/>
        </w:rPr>
        <w:t>2.7</w:t>
      </w:r>
      <w:r w:rsidRPr="00F330B5">
        <w:rPr>
          <w:rFonts w:ascii="Arial" w:hAnsi="Arial" w:cs="Arial"/>
          <w:sz w:val="24"/>
          <w:szCs w:val="24"/>
        </w:rPr>
        <w:tab/>
        <w:t xml:space="preserve">The Combined Authority is now preparing to launch the £100k Home. The scheme is an affordable housing unit that falls within the definition of discounted market sale with a resale price covenant.  </w:t>
      </w:r>
    </w:p>
    <w:p w14:paraId="39CF86E4" w14:textId="6B29A257"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2.8</w:t>
      </w:r>
      <w:r w:rsidRPr="00F330B5">
        <w:rPr>
          <w:rFonts w:ascii="Arial" w:hAnsi="Arial" w:cs="Arial"/>
          <w:sz w:val="24"/>
          <w:szCs w:val="24"/>
        </w:rPr>
        <w:tab/>
        <w:t xml:space="preserve">The ambition is to have a £100k home delivered in every CPCA area; Cambridge, East Cambridgeshire, Fenland, Huntingdon, Peterborough and South Cambridgeshire. </w:t>
      </w:r>
    </w:p>
    <w:p w14:paraId="3745D8CB" w14:textId="77777777" w:rsidR="003133F0" w:rsidRPr="00F330B5" w:rsidRDefault="003133F0" w:rsidP="003133F0">
      <w:pPr>
        <w:pStyle w:val="NoSpacing"/>
        <w:ind w:left="720" w:hanging="720"/>
        <w:rPr>
          <w:rFonts w:ascii="Arial" w:hAnsi="Arial" w:cs="Arial"/>
          <w:sz w:val="24"/>
          <w:szCs w:val="24"/>
        </w:rPr>
      </w:pPr>
    </w:p>
    <w:p w14:paraId="6976B2E4" w14:textId="0D9AC0E3"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2.9</w:t>
      </w:r>
      <w:r w:rsidRPr="00F330B5">
        <w:rPr>
          <w:rFonts w:ascii="Arial" w:hAnsi="Arial" w:cs="Arial"/>
          <w:sz w:val="24"/>
          <w:szCs w:val="24"/>
        </w:rPr>
        <w:tab/>
        <w:t xml:space="preserve">In order to deliver this ambition, there is a need to tailor the mechanism to deliver the £100k Home. Each £100k Home scheme will have different requirements and as such a tailored approach will need to be taken. </w:t>
      </w:r>
    </w:p>
    <w:p w14:paraId="04E66F7A" w14:textId="77777777" w:rsidR="003133F0" w:rsidRPr="00F330B5" w:rsidRDefault="003133F0" w:rsidP="003133F0">
      <w:pPr>
        <w:pStyle w:val="NoSpacing"/>
        <w:ind w:left="720" w:hanging="720"/>
        <w:rPr>
          <w:rFonts w:ascii="Arial" w:hAnsi="Arial" w:cs="Arial"/>
          <w:sz w:val="24"/>
          <w:szCs w:val="24"/>
        </w:rPr>
      </w:pPr>
    </w:p>
    <w:p w14:paraId="09B9BB69" w14:textId="174F58D7"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lastRenderedPageBreak/>
        <w:t>2.10</w:t>
      </w:r>
      <w:r w:rsidRPr="00F330B5">
        <w:rPr>
          <w:rFonts w:ascii="Arial" w:hAnsi="Arial" w:cs="Arial"/>
          <w:sz w:val="24"/>
          <w:szCs w:val="24"/>
        </w:rPr>
        <w:tab/>
        <w:t xml:space="preserve">The aim is to make a 1-bed property available to individuals that meet the criteria set out in the allocations policy. If the individual meets the approved criteria, they will be eligible to purchase the property for £100k. This will be a 100% freehold purchase with a resale price covenant. </w:t>
      </w:r>
    </w:p>
    <w:p w14:paraId="5A0FE873" w14:textId="77777777" w:rsidR="003133F0" w:rsidRPr="00F330B5" w:rsidRDefault="003133F0" w:rsidP="003133F0">
      <w:pPr>
        <w:pStyle w:val="NoSpacing"/>
        <w:ind w:left="720" w:hanging="720"/>
        <w:rPr>
          <w:rFonts w:ascii="Arial" w:hAnsi="Arial" w:cs="Arial"/>
          <w:sz w:val="24"/>
          <w:szCs w:val="24"/>
        </w:rPr>
      </w:pPr>
    </w:p>
    <w:p w14:paraId="355751CF" w14:textId="2F557465"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2.11</w:t>
      </w:r>
      <w:r w:rsidRPr="00F330B5">
        <w:rPr>
          <w:rFonts w:ascii="Arial" w:hAnsi="Arial" w:cs="Arial"/>
          <w:sz w:val="24"/>
          <w:szCs w:val="24"/>
        </w:rPr>
        <w:tab/>
        <w:t xml:space="preserve">For illustrative purposes let us assume that £100k home has an open market value of £200k. This would mean that the purchaser is receiving a 50% discount on the open market value. </w:t>
      </w:r>
    </w:p>
    <w:p w14:paraId="7C5F20C0" w14:textId="77777777" w:rsidR="003133F0" w:rsidRPr="00F330B5" w:rsidRDefault="003133F0" w:rsidP="003133F0">
      <w:pPr>
        <w:pStyle w:val="NoSpacing"/>
        <w:ind w:left="720" w:hanging="720"/>
        <w:rPr>
          <w:rFonts w:ascii="Arial" w:hAnsi="Arial" w:cs="Arial"/>
          <w:sz w:val="24"/>
          <w:szCs w:val="24"/>
        </w:rPr>
      </w:pPr>
    </w:p>
    <w:p w14:paraId="71EA418C" w14:textId="687872B0"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2.12</w:t>
      </w:r>
      <w:r w:rsidRPr="00F330B5">
        <w:rPr>
          <w:rFonts w:ascii="Arial" w:hAnsi="Arial" w:cs="Arial"/>
          <w:sz w:val="24"/>
          <w:szCs w:val="24"/>
        </w:rPr>
        <w:tab/>
        <w:t xml:space="preserve">The Combined Authority will secure this dwelling as an affordable dwelling in perpetuity. In achieving a balance of securing the affordable property in perpetuity and maintaining marketability (which includes ensuring that a mortgage could be raised) of the property in future years the Combined Authority will secure a resale price covenant. </w:t>
      </w:r>
    </w:p>
    <w:p w14:paraId="6FD4BD66" w14:textId="77777777" w:rsidR="003133F0" w:rsidRPr="00F330B5" w:rsidRDefault="003133F0" w:rsidP="003133F0">
      <w:pPr>
        <w:pStyle w:val="NoSpacing"/>
        <w:ind w:left="720" w:hanging="720"/>
        <w:rPr>
          <w:rFonts w:ascii="Arial" w:hAnsi="Arial" w:cs="Arial"/>
          <w:sz w:val="24"/>
          <w:szCs w:val="24"/>
        </w:rPr>
      </w:pPr>
    </w:p>
    <w:p w14:paraId="42E17F69" w14:textId="4F72EEBC"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2.13</w:t>
      </w:r>
      <w:r w:rsidRPr="00F330B5">
        <w:rPr>
          <w:rFonts w:ascii="Arial" w:hAnsi="Arial" w:cs="Arial"/>
          <w:sz w:val="24"/>
          <w:szCs w:val="24"/>
        </w:rPr>
        <w:tab/>
        <w:t xml:space="preserve">When seeking to dispose of the property the seller will need to notify the Combined Authority of this intention. The seller will be able to sell the property at 50% below market value. If, for example, the property has a value of £240k at the time of disposal, the seller can sell the property for £120k. </w:t>
      </w:r>
    </w:p>
    <w:p w14:paraId="073D85BB" w14:textId="77777777" w:rsidR="003133F0" w:rsidRPr="00F330B5" w:rsidRDefault="003133F0" w:rsidP="003133F0">
      <w:pPr>
        <w:pStyle w:val="NoSpacing"/>
        <w:ind w:left="720" w:hanging="720"/>
        <w:rPr>
          <w:rFonts w:ascii="Arial" w:hAnsi="Arial" w:cs="Arial"/>
          <w:sz w:val="24"/>
          <w:szCs w:val="24"/>
        </w:rPr>
      </w:pPr>
    </w:p>
    <w:p w14:paraId="5FE1BA2E" w14:textId="423FAB96" w:rsidR="00F330B5" w:rsidRDefault="00F330B5" w:rsidP="003133F0">
      <w:pPr>
        <w:pStyle w:val="NoSpacing"/>
        <w:ind w:left="720" w:hanging="720"/>
        <w:rPr>
          <w:rFonts w:ascii="Arial" w:hAnsi="Arial" w:cs="Arial"/>
          <w:sz w:val="24"/>
          <w:szCs w:val="24"/>
        </w:rPr>
      </w:pPr>
      <w:r w:rsidRPr="00F330B5">
        <w:rPr>
          <w:rFonts w:ascii="Arial" w:hAnsi="Arial" w:cs="Arial"/>
          <w:sz w:val="24"/>
          <w:szCs w:val="24"/>
        </w:rPr>
        <w:t>2.14</w:t>
      </w:r>
      <w:r w:rsidRPr="00F330B5">
        <w:rPr>
          <w:rFonts w:ascii="Arial" w:hAnsi="Arial" w:cs="Arial"/>
          <w:sz w:val="24"/>
          <w:szCs w:val="24"/>
        </w:rPr>
        <w:tab/>
        <w:t>Based on the illustration above the resale price covenant can achieve the following:</w:t>
      </w:r>
    </w:p>
    <w:p w14:paraId="1FA65F2E" w14:textId="77777777" w:rsidR="003133F0" w:rsidRPr="00F330B5" w:rsidRDefault="003133F0" w:rsidP="003133F0">
      <w:pPr>
        <w:pStyle w:val="NoSpacing"/>
        <w:ind w:left="720" w:hanging="720"/>
        <w:rPr>
          <w:rFonts w:ascii="Arial" w:hAnsi="Arial" w:cs="Arial"/>
          <w:sz w:val="24"/>
          <w:szCs w:val="24"/>
        </w:rPr>
      </w:pPr>
    </w:p>
    <w:p w14:paraId="71B06B26"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Enables the qualifying individual to buy the freehold of the home for £100k</w:t>
      </w:r>
    </w:p>
    <w:p w14:paraId="180B74FD"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Secures a provision that the property must be the sole residence of the individual</w:t>
      </w:r>
    </w:p>
    <w:p w14:paraId="0A93BBD8"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Secures nomination rights for the beneficiary of the covenant</w:t>
      </w:r>
    </w:p>
    <w:p w14:paraId="609A0E35"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Secures the mechanism for the resale value of the property</w:t>
      </w:r>
    </w:p>
    <w:p w14:paraId="111FDEB3"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Provides restrictions for how and when the property can be disposed of</w:t>
      </w:r>
    </w:p>
    <w:p w14:paraId="0EAF2B88" w14:textId="77777777" w:rsidR="00F330B5" w:rsidRPr="00F330B5" w:rsidRDefault="00F330B5" w:rsidP="00F330B5">
      <w:pPr>
        <w:pStyle w:val="ListParagraph"/>
        <w:numPr>
          <w:ilvl w:val="0"/>
          <w:numId w:val="27"/>
        </w:numPr>
        <w:spacing w:after="160" w:line="259" w:lineRule="auto"/>
        <w:rPr>
          <w:rFonts w:ascii="Arial" w:hAnsi="Arial" w:cs="Arial"/>
          <w:sz w:val="24"/>
          <w:szCs w:val="24"/>
        </w:rPr>
      </w:pPr>
      <w:r w:rsidRPr="00F330B5">
        <w:rPr>
          <w:rFonts w:ascii="Arial" w:hAnsi="Arial" w:cs="Arial"/>
          <w:sz w:val="24"/>
          <w:szCs w:val="24"/>
        </w:rPr>
        <w:t>Provides the methodology for how the property will be valued on resale</w:t>
      </w:r>
    </w:p>
    <w:p w14:paraId="590DDFC5" w14:textId="771B1C06" w:rsidR="00630DF4" w:rsidRPr="00F330B5" w:rsidRDefault="00630DF4" w:rsidP="00630DF4">
      <w:pPr>
        <w:tabs>
          <w:tab w:val="num" w:pos="-2552"/>
        </w:tabs>
        <w:spacing w:after="0" w:line="240" w:lineRule="auto"/>
        <w:rPr>
          <w:rFonts w:ascii="Arial" w:hAnsi="Arial" w:cs="Arial"/>
          <w:sz w:val="24"/>
          <w:szCs w:val="24"/>
        </w:rPr>
      </w:pPr>
    </w:p>
    <w:p w14:paraId="660F1155" w14:textId="3DAFF9D7" w:rsidR="00630DF4" w:rsidRPr="00F330B5" w:rsidRDefault="00F330B5" w:rsidP="00F330B5">
      <w:pPr>
        <w:tabs>
          <w:tab w:val="num" w:pos="-2552"/>
        </w:tabs>
        <w:spacing w:after="0" w:line="240" w:lineRule="auto"/>
        <w:ind w:left="567" w:hanging="567"/>
        <w:rPr>
          <w:rFonts w:ascii="Arial" w:hAnsi="Arial" w:cs="Arial"/>
          <w:sz w:val="24"/>
          <w:szCs w:val="24"/>
        </w:rPr>
      </w:pPr>
      <w:r w:rsidRPr="00F330B5">
        <w:rPr>
          <w:rFonts w:ascii="Arial" w:hAnsi="Arial" w:cs="Arial"/>
          <w:sz w:val="24"/>
          <w:szCs w:val="24"/>
        </w:rPr>
        <w:t>2.15</w:t>
      </w:r>
      <w:r w:rsidR="00630DF4" w:rsidRPr="00F330B5">
        <w:rPr>
          <w:rFonts w:ascii="Arial" w:hAnsi="Arial" w:cs="Arial"/>
          <w:sz w:val="24"/>
          <w:szCs w:val="24"/>
        </w:rPr>
        <w:t xml:space="preserve"> </w:t>
      </w:r>
      <w:r w:rsidR="00630DF4" w:rsidRPr="00F330B5">
        <w:rPr>
          <w:rFonts w:ascii="Arial" w:hAnsi="Arial" w:cs="Arial"/>
          <w:sz w:val="24"/>
          <w:szCs w:val="24"/>
        </w:rPr>
        <w:tab/>
        <w:t>The Business Case is set out in Appendix 1 of this report. The Business Case addresses</w:t>
      </w:r>
      <w:r w:rsidRPr="00F330B5">
        <w:rPr>
          <w:rFonts w:ascii="Arial" w:hAnsi="Arial" w:cs="Arial"/>
          <w:sz w:val="24"/>
          <w:szCs w:val="24"/>
        </w:rPr>
        <w:t>:</w:t>
      </w:r>
    </w:p>
    <w:p w14:paraId="0F875475" w14:textId="3ADE1335" w:rsidR="00F330B5" w:rsidRPr="00F330B5" w:rsidRDefault="00F330B5" w:rsidP="00630DF4">
      <w:pPr>
        <w:tabs>
          <w:tab w:val="num" w:pos="-2552"/>
        </w:tabs>
        <w:spacing w:after="0" w:line="240" w:lineRule="auto"/>
        <w:rPr>
          <w:rFonts w:ascii="Arial" w:hAnsi="Arial" w:cs="Arial"/>
          <w:sz w:val="24"/>
          <w:szCs w:val="24"/>
        </w:rPr>
      </w:pPr>
      <w:r w:rsidRPr="00F330B5">
        <w:rPr>
          <w:rFonts w:ascii="Arial" w:hAnsi="Arial" w:cs="Arial"/>
          <w:sz w:val="24"/>
          <w:szCs w:val="24"/>
        </w:rPr>
        <w:tab/>
      </w:r>
    </w:p>
    <w:p w14:paraId="7493A008" w14:textId="42B37259" w:rsidR="00F330B5" w:rsidRPr="00F330B5" w:rsidRDefault="00F330B5" w:rsidP="00F330B5">
      <w:pPr>
        <w:pStyle w:val="ListParagraph"/>
        <w:numPr>
          <w:ilvl w:val="0"/>
          <w:numId w:val="26"/>
        </w:numPr>
        <w:tabs>
          <w:tab w:val="num" w:pos="-2552"/>
        </w:tabs>
        <w:spacing w:after="0" w:line="240" w:lineRule="auto"/>
        <w:rPr>
          <w:rFonts w:ascii="Arial" w:hAnsi="Arial" w:cs="Arial"/>
          <w:sz w:val="24"/>
          <w:szCs w:val="24"/>
        </w:rPr>
      </w:pPr>
      <w:r w:rsidRPr="00F330B5">
        <w:rPr>
          <w:rFonts w:ascii="Arial" w:hAnsi="Arial" w:cs="Arial"/>
          <w:sz w:val="24"/>
          <w:szCs w:val="24"/>
        </w:rPr>
        <w:t>The Strategic Case</w:t>
      </w:r>
    </w:p>
    <w:p w14:paraId="340543B6" w14:textId="38789E5A" w:rsidR="00F330B5" w:rsidRPr="00F330B5" w:rsidRDefault="00F330B5" w:rsidP="00F330B5">
      <w:pPr>
        <w:pStyle w:val="ListParagraph"/>
        <w:numPr>
          <w:ilvl w:val="0"/>
          <w:numId w:val="26"/>
        </w:numPr>
        <w:tabs>
          <w:tab w:val="num" w:pos="-2552"/>
        </w:tabs>
        <w:spacing w:after="0" w:line="240" w:lineRule="auto"/>
        <w:rPr>
          <w:rFonts w:ascii="Arial" w:hAnsi="Arial" w:cs="Arial"/>
          <w:sz w:val="24"/>
          <w:szCs w:val="24"/>
        </w:rPr>
      </w:pPr>
      <w:r w:rsidRPr="00F330B5">
        <w:rPr>
          <w:rFonts w:ascii="Arial" w:hAnsi="Arial" w:cs="Arial"/>
          <w:sz w:val="24"/>
          <w:szCs w:val="24"/>
        </w:rPr>
        <w:t>The Economic Case</w:t>
      </w:r>
    </w:p>
    <w:p w14:paraId="633A7F98" w14:textId="5E412706" w:rsidR="00F330B5" w:rsidRPr="00F330B5" w:rsidRDefault="00F330B5" w:rsidP="00F330B5">
      <w:pPr>
        <w:pStyle w:val="ListParagraph"/>
        <w:numPr>
          <w:ilvl w:val="0"/>
          <w:numId w:val="26"/>
        </w:numPr>
        <w:tabs>
          <w:tab w:val="num" w:pos="-2552"/>
        </w:tabs>
        <w:spacing w:after="0" w:line="240" w:lineRule="auto"/>
        <w:rPr>
          <w:rFonts w:ascii="Arial" w:hAnsi="Arial" w:cs="Arial"/>
          <w:sz w:val="24"/>
          <w:szCs w:val="24"/>
        </w:rPr>
      </w:pPr>
      <w:r w:rsidRPr="00F330B5">
        <w:rPr>
          <w:rFonts w:ascii="Arial" w:hAnsi="Arial" w:cs="Arial"/>
          <w:sz w:val="24"/>
          <w:szCs w:val="24"/>
        </w:rPr>
        <w:t>The Commercial Case</w:t>
      </w:r>
    </w:p>
    <w:p w14:paraId="0483027A" w14:textId="07228530" w:rsidR="00F330B5" w:rsidRPr="00F330B5" w:rsidRDefault="00F330B5" w:rsidP="00F330B5">
      <w:pPr>
        <w:pStyle w:val="ListParagraph"/>
        <w:numPr>
          <w:ilvl w:val="0"/>
          <w:numId w:val="26"/>
        </w:numPr>
        <w:tabs>
          <w:tab w:val="num" w:pos="-2552"/>
        </w:tabs>
        <w:spacing w:after="0" w:line="240" w:lineRule="auto"/>
        <w:rPr>
          <w:rFonts w:ascii="Arial" w:hAnsi="Arial" w:cs="Arial"/>
          <w:sz w:val="24"/>
          <w:szCs w:val="24"/>
        </w:rPr>
      </w:pPr>
      <w:r w:rsidRPr="00F330B5">
        <w:rPr>
          <w:rFonts w:ascii="Arial" w:hAnsi="Arial" w:cs="Arial"/>
          <w:sz w:val="24"/>
          <w:szCs w:val="24"/>
        </w:rPr>
        <w:t>The Financial Case</w:t>
      </w:r>
    </w:p>
    <w:p w14:paraId="6DCAB811" w14:textId="72DDB93A" w:rsidR="00F330B5" w:rsidRPr="00F330B5" w:rsidRDefault="00F330B5" w:rsidP="00F330B5">
      <w:pPr>
        <w:pStyle w:val="ListParagraph"/>
        <w:numPr>
          <w:ilvl w:val="0"/>
          <w:numId w:val="26"/>
        </w:numPr>
        <w:tabs>
          <w:tab w:val="num" w:pos="-2552"/>
        </w:tabs>
        <w:spacing w:after="0" w:line="240" w:lineRule="auto"/>
        <w:rPr>
          <w:rFonts w:ascii="Arial" w:hAnsi="Arial" w:cs="Arial"/>
          <w:sz w:val="24"/>
          <w:szCs w:val="24"/>
        </w:rPr>
      </w:pPr>
      <w:r w:rsidRPr="00F330B5">
        <w:rPr>
          <w:rFonts w:ascii="Arial" w:hAnsi="Arial" w:cs="Arial"/>
          <w:sz w:val="24"/>
          <w:szCs w:val="24"/>
        </w:rPr>
        <w:t>The Management Case</w:t>
      </w:r>
    </w:p>
    <w:p w14:paraId="582BCE1B" w14:textId="77777777" w:rsidR="00BE5450" w:rsidRPr="007B7EC0" w:rsidRDefault="00BE5450" w:rsidP="00EA32FB">
      <w:pPr>
        <w:pStyle w:val="ListParagraph"/>
        <w:tabs>
          <w:tab w:val="num" w:pos="1134"/>
        </w:tabs>
        <w:spacing w:after="0" w:line="240" w:lineRule="auto"/>
        <w:ind w:left="567"/>
        <w:rPr>
          <w:rFonts w:ascii="Arial" w:hAnsi="Arial" w:cs="Arial"/>
          <w:sz w:val="24"/>
          <w:szCs w:val="24"/>
        </w:rPr>
      </w:pPr>
    </w:p>
    <w:p w14:paraId="6D1D5466" w14:textId="43758E86" w:rsidR="00486906" w:rsidRPr="00A43FB3" w:rsidRDefault="00486906" w:rsidP="00A43FB3">
      <w:pPr>
        <w:pStyle w:val="ListParagraph"/>
        <w:numPr>
          <w:ilvl w:val="0"/>
          <w:numId w:val="1"/>
        </w:numPr>
        <w:tabs>
          <w:tab w:val="num" w:pos="-2552"/>
        </w:tabs>
        <w:spacing w:after="0" w:line="240" w:lineRule="auto"/>
        <w:ind w:left="567" w:hanging="567"/>
        <w:rPr>
          <w:rFonts w:ascii="Arial" w:hAnsi="Arial" w:cs="Arial"/>
          <w:b/>
          <w:bCs/>
          <w:sz w:val="24"/>
          <w:szCs w:val="24"/>
        </w:rPr>
      </w:pPr>
      <w:r w:rsidRPr="00A43FB3">
        <w:rPr>
          <w:rFonts w:ascii="Arial" w:hAnsi="Arial" w:cs="Arial"/>
          <w:b/>
          <w:bCs/>
          <w:sz w:val="24"/>
          <w:szCs w:val="24"/>
        </w:rPr>
        <w:t>FINANCIAL IMPLICATIONS</w:t>
      </w:r>
    </w:p>
    <w:p w14:paraId="193BB881" w14:textId="77777777" w:rsidR="00486906" w:rsidRPr="00A8781C" w:rsidRDefault="00486906" w:rsidP="00486906">
      <w:pPr>
        <w:pStyle w:val="NoSpacing"/>
        <w:rPr>
          <w:rFonts w:ascii="Arial" w:hAnsi="Arial" w:cs="Arial"/>
        </w:rPr>
      </w:pPr>
    </w:p>
    <w:p w14:paraId="202916E7" w14:textId="19A5CA8D" w:rsidR="00F330B5" w:rsidRDefault="00F330B5" w:rsidP="00F330B5">
      <w:pPr>
        <w:pStyle w:val="ListParagraph"/>
        <w:numPr>
          <w:ilvl w:val="1"/>
          <w:numId w:val="1"/>
        </w:numPr>
        <w:spacing w:line="240" w:lineRule="auto"/>
        <w:ind w:left="567" w:hanging="567"/>
        <w:rPr>
          <w:rFonts w:ascii="Arial" w:hAnsi="Arial" w:cs="Arial"/>
          <w:sz w:val="24"/>
          <w:szCs w:val="24"/>
        </w:rPr>
      </w:pPr>
      <w:r>
        <w:rPr>
          <w:rFonts w:ascii="Arial" w:hAnsi="Arial" w:cs="Arial"/>
          <w:sz w:val="24"/>
          <w:szCs w:val="24"/>
        </w:rPr>
        <w:t xml:space="preserve">£250,000 (which is to be utilised for the delivery of the Community Land Trust </w:t>
      </w:r>
      <w:r w:rsidR="008A1C23">
        <w:rPr>
          <w:rFonts w:ascii="Arial" w:hAnsi="Arial" w:cs="Arial"/>
          <w:sz w:val="24"/>
          <w:szCs w:val="24"/>
        </w:rPr>
        <w:t xml:space="preserve">and £100k Homes </w:t>
      </w:r>
      <w:r>
        <w:rPr>
          <w:rFonts w:ascii="Arial" w:hAnsi="Arial" w:cs="Arial"/>
          <w:sz w:val="24"/>
          <w:szCs w:val="24"/>
        </w:rPr>
        <w:t xml:space="preserve">project) has been allocated from the Non-Transport feasibility budget. This was approved by the Combined Authority Board on 25 September 2019 (Agenda Item 2.1). The expenditure identified within the Business Case is within this budget allocation. </w:t>
      </w:r>
    </w:p>
    <w:p w14:paraId="2968B894" w14:textId="77777777" w:rsidR="00F330B5" w:rsidRDefault="00F330B5" w:rsidP="00F330B5">
      <w:pPr>
        <w:pStyle w:val="ListParagraph"/>
        <w:spacing w:line="240" w:lineRule="auto"/>
        <w:ind w:left="567"/>
        <w:rPr>
          <w:rFonts w:ascii="Arial" w:hAnsi="Arial" w:cs="Arial"/>
          <w:sz w:val="24"/>
          <w:szCs w:val="24"/>
        </w:rPr>
      </w:pPr>
    </w:p>
    <w:p w14:paraId="58124EB8" w14:textId="0BE46889" w:rsidR="00486906" w:rsidRDefault="00F330B5" w:rsidP="00486906">
      <w:pPr>
        <w:pStyle w:val="ListParagraph"/>
        <w:numPr>
          <w:ilvl w:val="1"/>
          <w:numId w:val="1"/>
        </w:numPr>
        <w:spacing w:line="240" w:lineRule="auto"/>
        <w:ind w:left="567" w:hanging="567"/>
        <w:rPr>
          <w:rFonts w:ascii="Arial" w:hAnsi="Arial" w:cs="Arial"/>
          <w:sz w:val="24"/>
          <w:szCs w:val="24"/>
        </w:rPr>
      </w:pPr>
      <w:r>
        <w:rPr>
          <w:rFonts w:ascii="Arial" w:hAnsi="Arial" w:cs="Arial"/>
          <w:sz w:val="24"/>
          <w:szCs w:val="24"/>
        </w:rPr>
        <w:lastRenderedPageBreak/>
        <w:t xml:space="preserve">The business case identifies mechanism available for funding the tangible delivery of the project. As identified in the financial case each scheme will be subject to the relevant approvals of the Combined Authority Board and/or Housing &amp; Communities Committee. Such approvals will be subject to individual business plans as schemes arise. </w:t>
      </w:r>
    </w:p>
    <w:p w14:paraId="548B0ABD" w14:textId="77777777" w:rsidR="00F330B5" w:rsidRPr="00F330B5" w:rsidRDefault="00F330B5" w:rsidP="00F330B5">
      <w:pPr>
        <w:pStyle w:val="ListParagraph"/>
        <w:spacing w:line="240" w:lineRule="auto"/>
        <w:ind w:left="567"/>
        <w:rPr>
          <w:rFonts w:ascii="Arial" w:hAnsi="Arial" w:cs="Arial"/>
          <w:sz w:val="24"/>
          <w:szCs w:val="24"/>
        </w:rPr>
      </w:pPr>
    </w:p>
    <w:p w14:paraId="5162C66E" w14:textId="7527CCA0" w:rsidR="00486906" w:rsidRDefault="00486906" w:rsidP="00A43FB3">
      <w:pPr>
        <w:pStyle w:val="ListParagraph"/>
        <w:numPr>
          <w:ilvl w:val="0"/>
          <w:numId w:val="1"/>
        </w:numPr>
        <w:tabs>
          <w:tab w:val="num" w:pos="-2552"/>
        </w:tabs>
        <w:spacing w:after="0" w:line="240" w:lineRule="auto"/>
        <w:ind w:left="567" w:hanging="567"/>
        <w:rPr>
          <w:rFonts w:ascii="Arial" w:hAnsi="Arial" w:cs="Arial"/>
          <w:b/>
          <w:bCs/>
          <w:sz w:val="24"/>
          <w:szCs w:val="24"/>
        </w:rPr>
      </w:pPr>
      <w:r w:rsidRPr="00A43FB3">
        <w:rPr>
          <w:rFonts w:ascii="Arial" w:hAnsi="Arial" w:cs="Arial"/>
          <w:b/>
          <w:bCs/>
          <w:sz w:val="24"/>
          <w:szCs w:val="24"/>
        </w:rPr>
        <w:t>LEGAL IMPLICATIONS</w:t>
      </w:r>
    </w:p>
    <w:p w14:paraId="12E1F968" w14:textId="313CFA2B" w:rsidR="00F330B5" w:rsidRDefault="00F330B5" w:rsidP="00F330B5">
      <w:pPr>
        <w:tabs>
          <w:tab w:val="num" w:pos="-2552"/>
        </w:tabs>
        <w:spacing w:after="0" w:line="240" w:lineRule="auto"/>
        <w:rPr>
          <w:rFonts w:ascii="Arial" w:hAnsi="Arial" w:cs="Arial"/>
          <w:b/>
          <w:bCs/>
          <w:sz w:val="24"/>
          <w:szCs w:val="24"/>
        </w:rPr>
      </w:pPr>
    </w:p>
    <w:p w14:paraId="64586B28" w14:textId="708A651D" w:rsidR="00486906" w:rsidRPr="00F330B5" w:rsidRDefault="00F330B5" w:rsidP="00F330B5">
      <w:pPr>
        <w:tabs>
          <w:tab w:val="num" w:pos="-2552"/>
        </w:tabs>
        <w:spacing w:after="0" w:line="240" w:lineRule="auto"/>
        <w:ind w:left="567" w:hanging="567"/>
        <w:rPr>
          <w:rFonts w:ascii="Arial" w:hAnsi="Arial" w:cs="Arial"/>
          <w:sz w:val="24"/>
          <w:szCs w:val="24"/>
        </w:rPr>
      </w:pPr>
      <w:r w:rsidRPr="00F330B5">
        <w:rPr>
          <w:rFonts w:ascii="Arial" w:hAnsi="Arial" w:cs="Arial"/>
          <w:sz w:val="24"/>
          <w:szCs w:val="24"/>
        </w:rPr>
        <w:t>4.1</w:t>
      </w:r>
      <w:r w:rsidRPr="00F330B5">
        <w:rPr>
          <w:rFonts w:ascii="Arial" w:hAnsi="Arial" w:cs="Arial"/>
          <w:sz w:val="24"/>
          <w:szCs w:val="24"/>
        </w:rPr>
        <w:tab/>
        <w:t xml:space="preserve">The legal implications are discussed throughout the Business Case. External legal advice was sought from Capsticks in order to support the assumptions made in the Business Case. </w:t>
      </w:r>
    </w:p>
    <w:p w14:paraId="3839AD02" w14:textId="77777777" w:rsidR="003E574B" w:rsidRPr="00A8781C" w:rsidRDefault="003E574B" w:rsidP="00486906">
      <w:pPr>
        <w:pStyle w:val="NoSpacing"/>
        <w:rPr>
          <w:rFonts w:ascii="Arial" w:hAnsi="Arial" w:cs="Arial"/>
        </w:rPr>
      </w:pPr>
    </w:p>
    <w:p w14:paraId="2F13B905" w14:textId="2035CB9F" w:rsidR="00486906" w:rsidRPr="00182A93" w:rsidRDefault="00486906" w:rsidP="00182A93">
      <w:pPr>
        <w:pStyle w:val="ListParagraph"/>
        <w:numPr>
          <w:ilvl w:val="0"/>
          <w:numId w:val="1"/>
        </w:numPr>
        <w:tabs>
          <w:tab w:val="num" w:pos="-2552"/>
        </w:tabs>
        <w:spacing w:after="0" w:line="240" w:lineRule="auto"/>
        <w:ind w:left="567" w:hanging="567"/>
        <w:rPr>
          <w:rFonts w:ascii="Arial" w:hAnsi="Arial" w:cs="Arial"/>
          <w:b/>
          <w:bCs/>
          <w:sz w:val="24"/>
          <w:szCs w:val="24"/>
        </w:rPr>
      </w:pPr>
      <w:r w:rsidRPr="00182A93">
        <w:rPr>
          <w:rFonts w:ascii="Arial" w:hAnsi="Arial" w:cs="Arial"/>
          <w:b/>
          <w:bCs/>
          <w:sz w:val="24"/>
          <w:szCs w:val="24"/>
        </w:rPr>
        <w:t>GOVERNANCE AND CONTROL</w:t>
      </w:r>
    </w:p>
    <w:p w14:paraId="22ADC657" w14:textId="77777777" w:rsidR="00486906" w:rsidRPr="00A8781C" w:rsidRDefault="00486906" w:rsidP="00486906">
      <w:pPr>
        <w:pStyle w:val="NoSpacing"/>
        <w:rPr>
          <w:rFonts w:ascii="Arial" w:hAnsi="Arial" w:cs="Arial"/>
        </w:rPr>
      </w:pPr>
    </w:p>
    <w:p w14:paraId="08ADECEC" w14:textId="0816057B" w:rsidR="00486906" w:rsidRDefault="00F330B5" w:rsidP="00486906">
      <w:pPr>
        <w:pStyle w:val="ListParagraph"/>
        <w:numPr>
          <w:ilvl w:val="1"/>
          <w:numId w:val="1"/>
        </w:numPr>
        <w:spacing w:line="240" w:lineRule="auto"/>
        <w:ind w:left="567" w:hanging="567"/>
        <w:rPr>
          <w:rFonts w:ascii="Arial" w:hAnsi="Arial" w:cs="Arial"/>
          <w:sz w:val="24"/>
          <w:szCs w:val="24"/>
        </w:rPr>
      </w:pPr>
      <w:r>
        <w:rPr>
          <w:rFonts w:ascii="Arial" w:hAnsi="Arial" w:cs="Arial"/>
          <w:sz w:val="24"/>
          <w:szCs w:val="24"/>
        </w:rPr>
        <w:t xml:space="preserve">This is addressed throughout the Business Case. </w:t>
      </w:r>
    </w:p>
    <w:p w14:paraId="4FDCF867" w14:textId="77777777" w:rsidR="008A1C23" w:rsidRPr="008A1C23" w:rsidRDefault="008A1C23" w:rsidP="008A1C23">
      <w:pPr>
        <w:pStyle w:val="ListParagraph"/>
        <w:spacing w:line="240" w:lineRule="auto"/>
        <w:ind w:left="567"/>
        <w:rPr>
          <w:rFonts w:ascii="Arial" w:hAnsi="Arial" w:cs="Arial"/>
          <w:sz w:val="24"/>
          <w:szCs w:val="24"/>
        </w:rPr>
      </w:pPr>
    </w:p>
    <w:p w14:paraId="1366BE87" w14:textId="36F01219" w:rsidR="00486906" w:rsidRPr="00182A93" w:rsidRDefault="00486906" w:rsidP="00182A93">
      <w:pPr>
        <w:pStyle w:val="ListParagraph"/>
        <w:numPr>
          <w:ilvl w:val="0"/>
          <w:numId w:val="1"/>
        </w:numPr>
        <w:tabs>
          <w:tab w:val="num" w:pos="-2552"/>
        </w:tabs>
        <w:spacing w:after="0" w:line="240" w:lineRule="auto"/>
        <w:ind w:left="567" w:hanging="567"/>
        <w:rPr>
          <w:rFonts w:ascii="Arial" w:hAnsi="Arial" w:cs="Arial"/>
          <w:b/>
          <w:bCs/>
          <w:sz w:val="24"/>
          <w:szCs w:val="24"/>
        </w:rPr>
      </w:pPr>
      <w:r w:rsidRPr="00182A93">
        <w:rPr>
          <w:rFonts w:ascii="Arial" w:hAnsi="Arial" w:cs="Arial"/>
          <w:b/>
          <w:bCs/>
          <w:sz w:val="24"/>
          <w:szCs w:val="24"/>
        </w:rPr>
        <w:t xml:space="preserve">EQUALITIES AND HEALTH AND SAFETY IMPLICATIONS </w:t>
      </w:r>
    </w:p>
    <w:p w14:paraId="67A7FBA3" w14:textId="77777777" w:rsidR="00486906" w:rsidRPr="00A8781C" w:rsidRDefault="00486906" w:rsidP="00486906">
      <w:pPr>
        <w:pStyle w:val="NoSpacing"/>
        <w:rPr>
          <w:rFonts w:ascii="Arial" w:hAnsi="Arial" w:cs="Arial"/>
        </w:rPr>
      </w:pPr>
    </w:p>
    <w:p w14:paraId="326D77B4" w14:textId="74336874" w:rsidR="00486906" w:rsidRPr="00182A93" w:rsidRDefault="00486906" w:rsidP="00182A93">
      <w:pPr>
        <w:pStyle w:val="ListParagraph"/>
        <w:numPr>
          <w:ilvl w:val="1"/>
          <w:numId w:val="1"/>
        </w:numPr>
        <w:spacing w:line="240" w:lineRule="auto"/>
        <w:ind w:left="567" w:hanging="567"/>
        <w:rPr>
          <w:rFonts w:ascii="Arial" w:hAnsi="Arial" w:cs="Arial"/>
          <w:sz w:val="24"/>
          <w:szCs w:val="24"/>
        </w:rPr>
      </w:pPr>
      <w:r w:rsidRPr="00182A93">
        <w:rPr>
          <w:rFonts w:ascii="Arial" w:hAnsi="Arial" w:cs="Arial"/>
          <w:sz w:val="24"/>
          <w:szCs w:val="24"/>
        </w:rPr>
        <w:t xml:space="preserve">Any equalities or health and safety implications will be addressed as they arise in the </w:t>
      </w:r>
      <w:r w:rsidR="00F330B5">
        <w:rPr>
          <w:rFonts w:ascii="Arial" w:hAnsi="Arial" w:cs="Arial"/>
          <w:sz w:val="24"/>
          <w:szCs w:val="24"/>
        </w:rPr>
        <w:t>delivery phase of the project</w:t>
      </w:r>
      <w:r w:rsidRPr="00182A93">
        <w:rPr>
          <w:rFonts w:ascii="Arial" w:hAnsi="Arial" w:cs="Arial"/>
          <w:sz w:val="24"/>
          <w:szCs w:val="24"/>
        </w:rPr>
        <w:t>.</w:t>
      </w:r>
    </w:p>
    <w:p w14:paraId="2C9605EA" w14:textId="77777777" w:rsidR="00486906" w:rsidRDefault="00486906" w:rsidP="00486906">
      <w:pPr>
        <w:pStyle w:val="NoSpacing"/>
        <w:ind w:left="720" w:hanging="720"/>
        <w:rPr>
          <w:rFonts w:ascii="Arial" w:hAnsi="Arial" w:cs="Arial"/>
        </w:rPr>
      </w:pPr>
    </w:p>
    <w:p w14:paraId="126DAD77" w14:textId="23B0A6DA" w:rsidR="00486906" w:rsidRPr="00182A93" w:rsidRDefault="00486906" w:rsidP="00182A93">
      <w:pPr>
        <w:pStyle w:val="ListParagraph"/>
        <w:numPr>
          <w:ilvl w:val="0"/>
          <w:numId w:val="1"/>
        </w:numPr>
        <w:tabs>
          <w:tab w:val="num" w:pos="-2552"/>
        </w:tabs>
        <w:spacing w:after="0" w:line="240" w:lineRule="auto"/>
        <w:ind w:left="567" w:hanging="567"/>
        <w:rPr>
          <w:rFonts w:ascii="Arial" w:hAnsi="Arial" w:cs="Arial"/>
          <w:b/>
          <w:bCs/>
          <w:sz w:val="24"/>
          <w:szCs w:val="24"/>
        </w:rPr>
      </w:pPr>
      <w:r w:rsidRPr="00182A93">
        <w:rPr>
          <w:rFonts w:ascii="Arial" w:hAnsi="Arial" w:cs="Arial"/>
          <w:b/>
          <w:bCs/>
          <w:sz w:val="24"/>
          <w:szCs w:val="24"/>
        </w:rPr>
        <w:t>APPENDICES</w:t>
      </w:r>
    </w:p>
    <w:p w14:paraId="14A45E56" w14:textId="77777777" w:rsidR="00486906" w:rsidRDefault="00486906" w:rsidP="00486906">
      <w:pPr>
        <w:pStyle w:val="NoSpacing"/>
        <w:ind w:left="720" w:hanging="720"/>
        <w:rPr>
          <w:rFonts w:ascii="Arial" w:hAnsi="Arial" w:cs="Arial"/>
        </w:rPr>
      </w:pPr>
    </w:p>
    <w:p w14:paraId="582BCE40" w14:textId="5C66D24F" w:rsidR="009F2B74" w:rsidRPr="00E35ED3" w:rsidRDefault="00486906" w:rsidP="00F330B5">
      <w:pPr>
        <w:pStyle w:val="ListParagraph"/>
        <w:numPr>
          <w:ilvl w:val="1"/>
          <w:numId w:val="1"/>
        </w:numPr>
        <w:spacing w:line="240" w:lineRule="auto"/>
        <w:ind w:left="567" w:hanging="567"/>
        <w:rPr>
          <w:rFonts w:ascii="Arial" w:hAnsi="Arial" w:cs="Arial"/>
          <w:sz w:val="24"/>
          <w:szCs w:val="24"/>
        </w:rPr>
      </w:pPr>
      <w:r w:rsidRPr="007173E0">
        <w:rPr>
          <w:rFonts w:ascii="Arial" w:hAnsi="Arial" w:cs="Arial"/>
          <w:sz w:val="24"/>
          <w:szCs w:val="24"/>
        </w:rPr>
        <w:t xml:space="preserve">Appendix 1- </w:t>
      </w:r>
      <w:r w:rsidR="00F330B5">
        <w:rPr>
          <w:rFonts w:ascii="Arial" w:hAnsi="Arial" w:cs="Arial"/>
          <w:sz w:val="24"/>
          <w:szCs w:val="24"/>
        </w:rPr>
        <w:t>£100k Homes Business Case</w:t>
      </w:r>
      <w:r w:rsidR="007173E0" w:rsidRPr="00E35ED3">
        <w:rPr>
          <w:rFonts w:ascii="Arial" w:hAnsi="Arial" w:cs="Arial"/>
          <w:sz w:val="24"/>
          <w:szCs w:val="24"/>
        </w:rPr>
        <w:br/>
      </w:r>
    </w:p>
    <w:tbl>
      <w:tblPr>
        <w:tblStyle w:val="TableGrid"/>
        <w:tblW w:w="0" w:type="auto"/>
        <w:tblInd w:w="567" w:type="dxa"/>
        <w:tblLook w:val="04A0" w:firstRow="1" w:lastRow="0" w:firstColumn="1" w:lastColumn="0" w:noHBand="0" w:noVBand="1"/>
      </w:tblPr>
      <w:tblGrid>
        <w:gridCol w:w="3823"/>
        <w:gridCol w:w="4626"/>
      </w:tblGrid>
      <w:tr w:rsidR="009F2B74" w:rsidRPr="005C5869" w14:paraId="582BCE43" w14:textId="77777777" w:rsidTr="003133F0">
        <w:tc>
          <w:tcPr>
            <w:tcW w:w="3823" w:type="dxa"/>
          </w:tcPr>
          <w:p w14:paraId="582BCE41" w14:textId="77777777" w:rsidR="005C5869" w:rsidRPr="005C5869" w:rsidRDefault="1E2C63B1" w:rsidP="1E2C63B1">
            <w:pPr>
              <w:pStyle w:val="ListParagraph"/>
              <w:tabs>
                <w:tab w:val="num" w:pos="-2552"/>
              </w:tabs>
              <w:spacing w:before="240" w:line="276" w:lineRule="auto"/>
              <w:ind w:left="0"/>
              <w:rPr>
                <w:rFonts w:ascii="Arial" w:hAnsi="Arial" w:cs="Arial"/>
                <w:b/>
                <w:bCs/>
                <w:sz w:val="24"/>
                <w:szCs w:val="24"/>
                <w:u w:val="single"/>
              </w:rPr>
            </w:pPr>
            <w:r w:rsidRPr="1E2C63B1">
              <w:rPr>
                <w:rFonts w:ascii="Arial" w:hAnsi="Arial" w:cs="Arial"/>
                <w:b/>
                <w:bCs/>
                <w:sz w:val="24"/>
                <w:szCs w:val="24"/>
                <w:u w:val="single"/>
              </w:rPr>
              <w:t>Source Documents</w:t>
            </w:r>
          </w:p>
        </w:tc>
        <w:tc>
          <w:tcPr>
            <w:tcW w:w="4626" w:type="dxa"/>
          </w:tcPr>
          <w:p w14:paraId="582BCE42" w14:textId="77777777" w:rsidR="009F2B74" w:rsidRPr="005C5869" w:rsidRDefault="1E2C63B1" w:rsidP="1E2C63B1">
            <w:pPr>
              <w:pStyle w:val="ListParagraph"/>
              <w:tabs>
                <w:tab w:val="num" w:pos="-2552"/>
              </w:tabs>
              <w:spacing w:before="240" w:line="276" w:lineRule="auto"/>
              <w:ind w:left="0"/>
              <w:rPr>
                <w:rFonts w:ascii="Arial" w:hAnsi="Arial" w:cs="Arial"/>
                <w:b/>
                <w:bCs/>
                <w:sz w:val="24"/>
                <w:szCs w:val="24"/>
                <w:u w:val="single"/>
              </w:rPr>
            </w:pPr>
            <w:r w:rsidRPr="1E2C63B1">
              <w:rPr>
                <w:rFonts w:ascii="Arial" w:hAnsi="Arial" w:cs="Arial"/>
                <w:b/>
                <w:bCs/>
                <w:sz w:val="24"/>
                <w:szCs w:val="24"/>
                <w:u w:val="single"/>
              </w:rPr>
              <w:t>Location</w:t>
            </w:r>
          </w:p>
        </w:tc>
      </w:tr>
      <w:tr w:rsidR="009F2B74" w:rsidRPr="005F7906" w14:paraId="582BCE51" w14:textId="77777777" w:rsidTr="003133F0">
        <w:tc>
          <w:tcPr>
            <w:tcW w:w="3823" w:type="dxa"/>
          </w:tcPr>
          <w:p w14:paraId="38362A11" w14:textId="77777777" w:rsidR="005F7906" w:rsidRDefault="005F7906" w:rsidP="00DB13A0">
            <w:pPr>
              <w:pStyle w:val="BodyText3"/>
              <w:rPr>
                <w:rFonts w:cs="Arial"/>
                <w:sz w:val="24"/>
                <w:szCs w:val="24"/>
              </w:rPr>
            </w:pPr>
          </w:p>
          <w:p w14:paraId="367D3585" w14:textId="0D8B637F" w:rsidR="003133F0" w:rsidRDefault="003133F0" w:rsidP="00DB13A0">
            <w:pPr>
              <w:pStyle w:val="BodyText3"/>
              <w:rPr>
                <w:rFonts w:cs="Arial"/>
                <w:sz w:val="24"/>
                <w:szCs w:val="24"/>
              </w:rPr>
            </w:pPr>
            <w:r>
              <w:rPr>
                <w:rFonts w:cs="Arial"/>
                <w:sz w:val="24"/>
                <w:szCs w:val="24"/>
              </w:rPr>
              <w:t>Combined Authority Board reports and minutes  25 September 2019 (Item 2.1 refers)</w:t>
            </w:r>
          </w:p>
          <w:p w14:paraId="582BCE4A" w14:textId="18775ED1" w:rsidR="003133F0" w:rsidRPr="005F7906" w:rsidRDefault="003133F0" w:rsidP="00DB13A0">
            <w:pPr>
              <w:pStyle w:val="BodyText3"/>
              <w:rPr>
                <w:rFonts w:cs="Arial"/>
                <w:sz w:val="24"/>
                <w:szCs w:val="24"/>
              </w:rPr>
            </w:pPr>
          </w:p>
        </w:tc>
        <w:tc>
          <w:tcPr>
            <w:tcW w:w="4626" w:type="dxa"/>
          </w:tcPr>
          <w:p w14:paraId="116574B0" w14:textId="77777777" w:rsidR="005F7906" w:rsidRDefault="005F7906" w:rsidP="1E2C63B1">
            <w:pPr>
              <w:pStyle w:val="ListParagraph"/>
              <w:tabs>
                <w:tab w:val="num" w:pos="-2552"/>
              </w:tabs>
              <w:spacing w:before="240" w:line="276" w:lineRule="auto"/>
              <w:ind w:left="0"/>
              <w:contextualSpacing w:val="0"/>
              <w:rPr>
                <w:rFonts w:ascii="Arial" w:hAnsi="Arial" w:cs="Arial"/>
                <w:sz w:val="24"/>
                <w:szCs w:val="24"/>
              </w:rPr>
            </w:pPr>
          </w:p>
          <w:p w14:paraId="2B8B8AA8" w14:textId="5FB7B561" w:rsidR="003133F0" w:rsidRPr="003133F0" w:rsidRDefault="00410214" w:rsidP="003133F0">
            <w:pPr>
              <w:pStyle w:val="ListParagraph"/>
              <w:tabs>
                <w:tab w:val="num" w:pos="-2552"/>
              </w:tabs>
              <w:ind w:left="567"/>
              <w:rPr>
                <w:rFonts w:ascii="Arial" w:hAnsi="Arial" w:cs="Arial"/>
                <w:szCs w:val="24"/>
              </w:rPr>
            </w:pPr>
            <w:hyperlink r:id="rId12" w:history="1">
              <w:r w:rsidR="003133F0">
                <w:rPr>
                  <w:rStyle w:val="Hyperlink"/>
                  <w:rFonts w:ascii="Arial" w:hAnsi="Arial" w:cs="Arial"/>
                  <w:szCs w:val="24"/>
                </w:rPr>
                <w:t>CA Board 25 September 2019</w:t>
              </w:r>
            </w:hyperlink>
          </w:p>
          <w:p w14:paraId="582BCE50" w14:textId="3774A833" w:rsidR="003133F0" w:rsidRPr="005F7906" w:rsidRDefault="003133F0" w:rsidP="1E2C63B1">
            <w:pPr>
              <w:pStyle w:val="ListParagraph"/>
              <w:tabs>
                <w:tab w:val="num" w:pos="-2552"/>
              </w:tabs>
              <w:spacing w:before="240" w:line="276" w:lineRule="auto"/>
              <w:ind w:left="0"/>
              <w:contextualSpacing w:val="0"/>
              <w:rPr>
                <w:rFonts w:ascii="Arial" w:hAnsi="Arial" w:cs="Arial"/>
                <w:sz w:val="24"/>
                <w:szCs w:val="24"/>
              </w:rPr>
            </w:pPr>
          </w:p>
        </w:tc>
      </w:tr>
    </w:tbl>
    <w:p w14:paraId="582BCE52" w14:textId="113427BC" w:rsidR="009F2B74" w:rsidRDefault="009F2B74" w:rsidP="003133F0">
      <w:pPr>
        <w:pStyle w:val="ListParagraph"/>
        <w:tabs>
          <w:tab w:val="num" w:pos="-2552"/>
        </w:tabs>
        <w:spacing w:after="0" w:line="240" w:lineRule="auto"/>
        <w:ind w:left="567"/>
        <w:rPr>
          <w:rFonts w:ascii="Arial" w:hAnsi="Arial" w:cs="Arial"/>
          <w:sz w:val="24"/>
          <w:szCs w:val="24"/>
        </w:rPr>
      </w:pPr>
    </w:p>
    <w:sectPr w:rsidR="009F2B74" w:rsidSect="0099702D">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BCAA6" w14:textId="77777777" w:rsidR="00B53F9C" w:rsidRDefault="00B53F9C" w:rsidP="00A07751">
      <w:pPr>
        <w:spacing w:after="0" w:line="240" w:lineRule="auto"/>
      </w:pPr>
      <w:r>
        <w:separator/>
      </w:r>
    </w:p>
  </w:endnote>
  <w:endnote w:type="continuationSeparator" w:id="0">
    <w:p w14:paraId="3E021F4D" w14:textId="77777777" w:rsidR="00B53F9C" w:rsidRDefault="00B53F9C" w:rsidP="00A0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53689" w14:textId="77777777" w:rsidR="00B53F9C" w:rsidRDefault="00B53F9C" w:rsidP="00A07751">
      <w:pPr>
        <w:spacing w:after="0" w:line="240" w:lineRule="auto"/>
      </w:pPr>
      <w:r>
        <w:separator/>
      </w:r>
    </w:p>
  </w:footnote>
  <w:footnote w:type="continuationSeparator" w:id="0">
    <w:p w14:paraId="3570D8A8" w14:textId="77777777" w:rsidR="00B53F9C" w:rsidRDefault="00B53F9C" w:rsidP="00A0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CED3" w14:textId="77777777" w:rsidR="00A07751" w:rsidRDefault="00A07751" w:rsidP="00A0775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CED4" w14:textId="77777777" w:rsidR="0099702D" w:rsidRDefault="0099702D" w:rsidP="0099702D">
    <w:pPr>
      <w:pStyle w:val="Header"/>
      <w:tabs>
        <w:tab w:val="clear" w:pos="4513"/>
        <w:tab w:val="clear" w:pos="9026"/>
        <w:tab w:val="left" w:pos="7470"/>
      </w:tabs>
    </w:pPr>
    <w:r w:rsidRPr="0099702D">
      <w:rPr>
        <w:rFonts w:ascii="Calibri" w:eastAsia="Calibri" w:hAnsi="Calibri" w:cs="Times New Roman"/>
        <w:noProof/>
        <w:lang w:eastAsia="en-GB"/>
      </w:rPr>
      <w:drawing>
        <wp:anchor distT="0" distB="0" distL="114300" distR="114300" simplePos="0" relativeHeight="251659264" behindDoc="0" locked="0" layoutInCell="1" allowOverlap="1" wp14:anchorId="582BCED5" wp14:editId="582BCED6">
          <wp:simplePos x="0" y="0"/>
          <wp:positionH relativeFrom="column">
            <wp:posOffset>4362450</wp:posOffset>
          </wp:positionH>
          <wp:positionV relativeFrom="paragraph">
            <wp:posOffset>-192405</wp:posOffset>
          </wp:positionV>
          <wp:extent cx="1628775" cy="1628775"/>
          <wp:effectExtent l="0" t="0" r="9525" b="9525"/>
          <wp:wrapSquare wrapText="bothSides"/>
          <wp:docPr id="2" name="Picture 2" descr="C:\Users\Pippa\AppData\Local\Microsoft\Windows\INetCache\Content.Word\Signed off_Jpeg logo - Portrait.jpg"/>
          <wp:cNvGraphicFramePr/>
          <a:graphic xmlns:a="http://schemas.openxmlformats.org/drawingml/2006/main">
            <a:graphicData uri="http://schemas.openxmlformats.org/drawingml/2006/picture">
              <pic:pic xmlns:pic="http://schemas.openxmlformats.org/drawingml/2006/picture">
                <pic:nvPicPr>
                  <pic:cNvPr id="3" name="Picture 3" descr="C:\Users\Pippa\AppData\Local\Microsoft\Windows\INetCache\Content.Word\Signed off_Jpeg logo - Portrai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96DC26"/>
    <w:lvl w:ilvl="0">
      <w:numFmt w:val="bullet"/>
      <w:lvlText w:val="*"/>
      <w:lvlJc w:val="left"/>
      <w:pPr>
        <w:ind w:left="0" w:firstLine="0"/>
      </w:pPr>
    </w:lvl>
  </w:abstractNum>
  <w:abstractNum w:abstractNumId="1">
    <w:nsid w:val="004329D6"/>
    <w:multiLevelType w:val="hybridMultilevel"/>
    <w:tmpl w:val="512EB752"/>
    <w:lvl w:ilvl="0" w:tplc="19AAD154">
      <w:start w:val="1"/>
      <w:numFmt w:val="lowerLetter"/>
      <w:lvlText w:val="(%1)"/>
      <w:lvlJc w:val="left"/>
      <w:pPr>
        <w:tabs>
          <w:tab w:val="num" w:pos="720"/>
        </w:tabs>
        <w:ind w:left="720" w:hanging="360"/>
      </w:p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nsid w:val="1EAA0895"/>
    <w:multiLevelType w:val="hybridMultilevel"/>
    <w:tmpl w:val="C3D689E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nsid w:val="1F250F67"/>
    <w:multiLevelType w:val="hybridMultilevel"/>
    <w:tmpl w:val="2A30C860"/>
    <w:lvl w:ilvl="0" w:tplc="060C7DC4">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620AD"/>
    <w:multiLevelType w:val="hybridMultilevel"/>
    <w:tmpl w:val="A1E8D44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nsid w:val="20C4379C"/>
    <w:multiLevelType w:val="hybridMultilevel"/>
    <w:tmpl w:val="2842C37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6">
    <w:nsid w:val="24FC0C51"/>
    <w:multiLevelType w:val="hybridMultilevel"/>
    <w:tmpl w:val="F0904CC8"/>
    <w:name w:val="Reports2"/>
    <w:lvl w:ilvl="0" w:tplc="DD103256">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4C589F"/>
    <w:multiLevelType w:val="multilevel"/>
    <w:tmpl w:val="11203CBA"/>
    <w:lvl w:ilvl="0">
      <w:start w:val="1"/>
      <w:numFmt w:val="lowerLetter"/>
      <w:lvlText w:val="%1)"/>
      <w:lvlJc w:val="left"/>
      <w:pPr>
        <w:ind w:left="1080" w:hanging="360"/>
      </w:pPr>
      <w:rPr>
        <w:rFonts w:hint="default"/>
        <w:b w:val="0"/>
        <w:i w:val="0"/>
        <w:caps/>
        <w:sz w:val="24"/>
      </w:rPr>
    </w:lvl>
    <w:lvl w:ilvl="1">
      <w:start w:val="1"/>
      <w:numFmt w:val="decimal"/>
      <w:lvlText w:val="%1.%2."/>
      <w:lvlJc w:val="left"/>
      <w:pPr>
        <w:ind w:left="1512" w:hanging="432"/>
      </w:pPr>
      <w:rPr>
        <w:rFonts w:hint="default"/>
        <w:b w:val="0"/>
        <w:i w:val="0"/>
        <w:sz w:val="24"/>
      </w:rPr>
    </w:lvl>
    <w:lvl w:ilvl="2">
      <w:start w:val="1"/>
      <w:numFmt w:val="lowerLetter"/>
      <w:lvlText w:val="(%3)"/>
      <w:lvlJc w:val="left"/>
      <w:pPr>
        <w:ind w:left="1944" w:hanging="504"/>
      </w:pPr>
      <w:rPr>
        <w:rFonts w:hint="default"/>
        <w:b w:val="0"/>
        <w:i w:val="0"/>
        <w:spacing w:val="0"/>
        <w:kern w:val="0"/>
        <w:position w:val="0"/>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28306DE1"/>
    <w:multiLevelType w:val="hybridMultilevel"/>
    <w:tmpl w:val="4F607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A214BB"/>
    <w:multiLevelType w:val="multilevel"/>
    <w:tmpl w:val="E74E4E22"/>
    <w:name w:val="Reports3"/>
    <w:lvl w:ilvl="0">
      <w:start w:val="1"/>
      <w:numFmt w:val="decimal"/>
      <w:lvlText w:val="%1.0"/>
      <w:lvlJc w:val="left"/>
      <w:pPr>
        <w:ind w:left="360" w:hanging="360"/>
      </w:pPr>
      <w:rPr>
        <w:rFonts w:hint="default"/>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16167B"/>
    <w:multiLevelType w:val="hybridMultilevel"/>
    <w:tmpl w:val="E208DC62"/>
    <w:lvl w:ilvl="0" w:tplc="9ED82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93D02"/>
    <w:multiLevelType w:val="hybridMultilevel"/>
    <w:tmpl w:val="E7B48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E1302"/>
    <w:multiLevelType w:val="multilevel"/>
    <w:tmpl w:val="8B32741E"/>
    <w:styleLink w:val="Style1"/>
    <w:lvl w:ilvl="0">
      <w:start w:val="1"/>
      <w:numFmt w:val="decimal"/>
      <w:lvlText w:val="%1.0"/>
      <w:lvlJc w:val="left"/>
      <w:pPr>
        <w:tabs>
          <w:tab w:val="num" w:pos="567"/>
        </w:tabs>
        <w:ind w:left="567" w:hanging="567"/>
      </w:pPr>
      <w:rPr>
        <w:rFonts w:ascii="Arial" w:hAnsi="Arial" w:hint="default"/>
        <w:b/>
        <w:i w:val="0"/>
        <w:caps/>
        <w:sz w:val="24"/>
      </w:rPr>
    </w:lvl>
    <w:lvl w:ilvl="1">
      <w:start w:val="1"/>
      <w:numFmt w:val="decimal"/>
      <w:lvlText w:val="1.%1"/>
      <w:lvlJc w:val="left"/>
      <w:pPr>
        <w:tabs>
          <w:tab w:val="num" w:pos="1287"/>
        </w:tabs>
        <w:ind w:left="567" w:hanging="567"/>
      </w:pPr>
      <w:rPr>
        <w:rFonts w:ascii="Arial" w:hAnsi="Arial" w:hint="default"/>
        <w:b w:val="0"/>
        <w:i w:val="0"/>
        <w:sz w:val="24"/>
      </w:rPr>
    </w:lvl>
    <w:lvl w:ilvl="2">
      <w:start w:val="1"/>
      <w:numFmt w:val="lowerLetter"/>
      <w:lvlText w:val="(%3)"/>
      <w:lvlJc w:val="left"/>
      <w:pPr>
        <w:tabs>
          <w:tab w:val="num" w:pos="1134"/>
        </w:tabs>
        <w:ind w:left="567" w:firstLine="0"/>
      </w:pPr>
      <w:rPr>
        <w:rFonts w:ascii="Arial" w:hAnsi="Arial" w:hint="default"/>
        <w:b w:val="0"/>
        <w:i w:val="0"/>
        <w:spacing w:val="0"/>
        <w:kern w:val="0"/>
        <w:position w:val="0"/>
        <w:sz w:val="24"/>
      </w:rPr>
    </w:lvl>
    <w:lvl w:ilvl="3">
      <w:start w:val="1"/>
      <w:numFmt w:val="decimal"/>
      <w:lvlText w:val="%1.%2.%3.%4"/>
      <w:lvlJc w:val="left"/>
      <w:pPr>
        <w:tabs>
          <w:tab w:val="num" w:pos="2727"/>
        </w:tabs>
        <w:ind w:left="2727" w:hanging="567"/>
      </w:pPr>
      <w:rPr>
        <w:rFonts w:hint="default"/>
      </w:rPr>
    </w:lvl>
    <w:lvl w:ilvl="4">
      <w:start w:val="1"/>
      <w:numFmt w:val="decimal"/>
      <w:lvlText w:val="%1.%2.%3.%4.%5"/>
      <w:lvlJc w:val="left"/>
      <w:pPr>
        <w:tabs>
          <w:tab w:val="num" w:pos="3447"/>
        </w:tabs>
        <w:ind w:left="3447" w:hanging="567"/>
      </w:pPr>
      <w:rPr>
        <w:rFonts w:hint="default"/>
      </w:rPr>
    </w:lvl>
    <w:lvl w:ilvl="5">
      <w:start w:val="1"/>
      <w:numFmt w:val="decimal"/>
      <w:lvlText w:val="%1.%2.%3.%4.%5.%6"/>
      <w:lvlJc w:val="left"/>
      <w:pPr>
        <w:tabs>
          <w:tab w:val="num" w:pos="4167"/>
        </w:tabs>
        <w:ind w:left="4167" w:hanging="567"/>
      </w:pPr>
      <w:rPr>
        <w:rFonts w:hint="default"/>
      </w:rPr>
    </w:lvl>
    <w:lvl w:ilvl="6">
      <w:start w:val="1"/>
      <w:numFmt w:val="decimal"/>
      <w:lvlText w:val="%1.%2.%3.%4.%5.%6.%7"/>
      <w:lvlJc w:val="left"/>
      <w:pPr>
        <w:tabs>
          <w:tab w:val="num" w:pos="4887"/>
        </w:tabs>
        <w:ind w:left="4887" w:hanging="567"/>
      </w:pPr>
      <w:rPr>
        <w:rFonts w:hint="default"/>
      </w:rPr>
    </w:lvl>
    <w:lvl w:ilvl="7">
      <w:start w:val="1"/>
      <w:numFmt w:val="decimal"/>
      <w:lvlText w:val="%1.%2.%3.%4.%5.%6.%7.%8"/>
      <w:lvlJc w:val="left"/>
      <w:pPr>
        <w:tabs>
          <w:tab w:val="num" w:pos="5607"/>
        </w:tabs>
        <w:ind w:left="5607" w:hanging="567"/>
      </w:pPr>
      <w:rPr>
        <w:rFonts w:hint="default"/>
      </w:rPr>
    </w:lvl>
    <w:lvl w:ilvl="8">
      <w:start w:val="1"/>
      <w:numFmt w:val="decimal"/>
      <w:lvlText w:val="%1.%2.%3.%4.%5.%6.%7.%8.%9"/>
      <w:lvlJc w:val="left"/>
      <w:pPr>
        <w:tabs>
          <w:tab w:val="num" w:pos="6327"/>
        </w:tabs>
        <w:ind w:left="6327" w:hanging="567"/>
      </w:pPr>
      <w:rPr>
        <w:rFonts w:hint="default"/>
      </w:rPr>
    </w:lvl>
  </w:abstractNum>
  <w:abstractNum w:abstractNumId="13">
    <w:nsid w:val="40541A8A"/>
    <w:multiLevelType w:val="hybridMultilevel"/>
    <w:tmpl w:val="BBE27280"/>
    <w:lvl w:ilvl="0" w:tplc="C472CB60">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E80430"/>
    <w:multiLevelType w:val="hybridMultilevel"/>
    <w:tmpl w:val="CDC8099A"/>
    <w:lvl w:ilvl="0" w:tplc="D92626A4">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2477FE"/>
    <w:multiLevelType w:val="multilevel"/>
    <w:tmpl w:val="11203CBA"/>
    <w:lvl w:ilvl="0">
      <w:start w:val="1"/>
      <w:numFmt w:val="lowerLetter"/>
      <w:lvlText w:val="%1)"/>
      <w:lvlJc w:val="left"/>
      <w:pPr>
        <w:ind w:left="1080" w:hanging="360"/>
      </w:pPr>
      <w:rPr>
        <w:rFonts w:hint="default"/>
        <w:b w:val="0"/>
        <w:i w:val="0"/>
        <w:caps/>
        <w:sz w:val="24"/>
      </w:rPr>
    </w:lvl>
    <w:lvl w:ilvl="1">
      <w:start w:val="1"/>
      <w:numFmt w:val="decimal"/>
      <w:lvlText w:val="%1.%2."/>
      <w:lvlJc w:val="left"/>
      <w:pPr>
        <w:ind w:left="1512" w:hanging="432"/>
      </w:pPr>
      <w:rPr>
        <w:rFonts w:hint="default"/>
        <w:b w:val="0"/>
        <w:i w:val="0"/>
        <w:sz w:val="24"/>
      </w:rPr>
    </w:lvl>
    <w:lvl w:ilvl="2">
      <w:start w:val="1"/>
      <w:numFmt w:val="lowerLetter"/>
      <w:lvlText w:val="(%3)"/>
      <w:lvlJc w:val="left"/>
      <w:pPr>
        <w:ind w:left="1944" w:hanging="504"/>
      </w:pPr>
      <w:rPr>
        <w:rFonts w:hint="default"/>
        <w:b w:val="0"/>
        <w:i w:val="0"/>
        <w:spacing w:val="0"/>
        <w:kern w:val="0"/>
        <w:position w:val="0"/>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nsid w:val="526A0013"/>
    <w:multiLevelType w:val="hybridMultilevel"/>
    <w:tmpl w:val="9F921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55560A1F"/>
    <w:multiLevelType w:val="multilevel"/>
    <w:tmpl w:val="D4AA3EAA"/>
    <w:lvl w:ilvl="0">
      <w:start w:val="1"/>
      <w:numFmt w:val="decimal"/>
      <w:lvlText w:val="%1.0"/>
      <w:lvlJc w:val="left"/>
      <w:pPr>
        <w:ind w:left="360" w:hanging="360"/>
      </w:pPr>
      <w:rPr>
        <w:rFonts w:hint="default"/>
        <w:b/>
        <w:i w:val="0"/>
        <w:caps/>
        <w:sz w:val="24"/>
      </w:rPr>
    </w:lvl>
    <w:lvl w:ilvl="1">
      <w:start w:val="1"/>
      <w:numFmt w:val="decimal"/>
      <w:lvlText w:val="%1.%2."/>
      <w:lvlJc w:val="left"/>
      <w:pPr>
        <w:ind w:left="792" w:hanging="432"/>
      </w:pPr>
      <w:rPr>
        <w:b w:val="0"/>
        <w:i w:val="0"/>
        <w:sz w:val="24"/>
      </w:rPr>
    </w:lvl>
    <w:lvl w:ilvl="2">
      <w:start w:val="1"/>
      <w:numFmt w:val="lowerLetter"/>
      <w:lvlText w:val="(%3)"/>
      <w:lvlJc w:val="left"/>
      <w:pPr>
        <w:ind w:left="1224" w:hanging="504"/>
      </w:pPr>
      <w:rPr>
        <w:rFonts w:hint="default"/>
        <w:b w:val="0"/>
        <w:i w:val="0"/>
        <w:spacing w:val="0"/>
        <w:kern w:val="0"/>
        <w:position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4B4BD1"/>
    <w:multiLevelType w:val="multilevel"/>
    <w:tmpl w:val="8B32741E"/>
    <w:name w:val="Reports12"/>
    <w:numStyleLink w:val="Style1"/>
  </w:abstractNum>
  <w:abstractNum w:abstractNumId="19">
    <w:nsid w:val="6FE44F25"/>
    <w:multiLevelType w:val="hybridMultilevel"/>
    <w:tmpl w:val="F2D68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FA2175"/>
    <w:multiLevelType w:val="hybridMultilevel"/>
    <w:tmpl w:val="8BF83700"/>
    <w:lvl w:ilvl="0" w:tplc="DD103256">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150AC8"/>
    <w:multiLevelType w:val="hybridMultilevel"/>
    <w:tmpl w:val="844E0F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A4216AD"/>
    <w:multiLevelType w:val="hybridMultilevel"/>
    <w:tmpl w:val="31AAB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AC37EC"/>
    <w:multiLevelType w:val="multilevel"/>
    <w:tmpl w:val="A67C837E"/>
    <w:lvl w:ilvl="0">
      <w:start w:val="1"/>
      <w:numFmt w:val="decimal"/>
      <w:lvlText w:val="%1.0"/>
      <w:lvlJc w:val="left"/>
      <w:pPr>
        <w:tabs>
          <w:tab w:val="num" w:pos="567"/>
        </w:tabs>
        <w:ind w:left="567" w:hanging="567"/>
      </w:pPr>
      <w:rPr>
        <w:rFonts w:hint="default"/>
        <w:b/>
        <w:i w:val="0"/>
        <w:caps/>
        <w:sz w:val="24"/>
      </w:rPr>
    </w:lvl>
    <w:lvl w:ilvl="1">
      <w:start w:val="1"/>
      <w:numFmt w:val="lowerLetter"/>
      <w:lvlText w:val="(%2)"/>
      <w:lvlJc w:val="left"/>
      <w:pPr>
        <w:tabs>
          <w:tab w:val="num" w:pos="1287"/>
        </w:tabs>
        <w:ind w:left="567" w:hanging="567"/>
      </w:pPr>
      <w:rPr>
        <w:rFonts w:hint="default"/>
        <w:b w:val="0"/>
        <w:i w:val="0"/>
        <w:sz w:val="24"/>
      </w:rPr>
    </w:lvl>
    <w:lvl w:ilvl="2">
      <w:start w:val="1"/>
      <w:numFmt w:val="lowerLetter"/>
      <w:lvlText w:val="(%3)"/>
      <w:lvlJc w:val="left"/>
      <w:pPr>
        <w:tabs>
          <w:tab w:val="num" w:pos="1134"/>
        </w:tabs>
        <w:ind w:left="567" w:firstLine="0"/>
      </w:pPr>
      <w:rPr>
        <w:rFonts w:ascii="Arial" w:hAnsi="Arial" w:hint="default"/>
        <w:b w:val="0"/>
        <w:i w:val="0"/>
        <w:spacing w:val="0"/>
        <w:kern w:val="0"/>
        <w:position w:val="0"/>
        <w:sz w:val="24"/>
      </w:rPr>
    </w:lvl>
    <w:lvl w:ilvl="3">
      <w:start w:val="1"/>
      <w:numFmt w:val="decimal"/>
      <w:lvlText w:val="%1.%2.%3.%4"/>
      <w:lvlJc w:val="left"/>
      <w:pPr>
        <w:tabs>
          <w:tab w:val="num" w:pos="2727"/>
        </w:tabs>
        <w:ind w:left="2727" w:hanging="567"/>
      </w:pPr>
      <w:rPr>
        <w:rFonts w:hint="default"/>
      </w:rPr>
    </w:lvl>
    <w:lvl w:ilvl="4">
      <w:start w:val="1"/>
      <w:numFmt w:val="decimal"/>
      <w:lvlText w:val="%1.%2.%3.%4.%5"/>
      <w:lvlJc w:val="left"/>
      <w:pPr>
        <w:tabs>
          <w:tab w:val="num" w:pos="3447"/>
        </w:tabs>
        <w:ind w:left="3447" w:hanging="567"/>
      </w:pPr>
      <w:rPr>
        <w:rFonts w:hint="default"/>
      </w:rPr>
    </w:lvl>
    <w:lvl w:ilvl="5">
      <w:start w:val="1"/>
      <w:numFmt w:val="decimal"/>
      <w:lvlText w:val="%1.%2.%3.%4.%5.%6"/>
      <w:lvlJc w:val="left"/>
      <w:pPr>
        <w:tabs>
          <w:tab w:val="num" w:pos="4167"/>
        </w:tabs>
        <w:ind w:left="4167" w:hanging="567"/>
      </w:pPr>
      <w:rPr>
        <w:rFonts w:hint="default"/>
      </w:rPr>
    </w:lvl>
    <w:lvl w:ilvl="6">
      <w:start w:val="1"/>
      <w:numFmt w:val="decimal"/>
      <w:lvlText w:val="%1.%2.%3.%4.%5.%6.%7"/>
      <w:lvlJc w:val="left"/>
      <w:pPr>
        <w:tabs>
          <w:tab w:val="num" w:pos="4887"/>
        </w:tabs>
        <w:ind w:left="4887" w:hanging="567"/>
      </w:pPr>
      <w:rPr>
        <w:rFonts w:hint="default"/>
      </w:rPr>
    </w:lvl>
    <w:lvl w:ilvl="7">
      <w:start w:val="1"/>
      <w:numFmt w:val="decimal"/>
      <w:lvlText w:val="%1.%2.%3.%4.%5.%6.%7.%8"/>
      <w:lvlJc w:val="left"/>
      <w:pPr>
        <w:tabs>
          <w:tab w:val="num" w:pos="5607"/>
        </w:tabs>
        <w:ind w:left="5607" w:hanging="567"/>
      </w:pPr>
      <w:rPr>
        <w:rFonts w:hint="default"/>
      </w:rPr>
    </w:lvl>
    <w:lvl w:ilvl="8">
      <w:start w:val="1"/>
      <w:numFmt w:val="decimal"/>
      <w:lvlText w:val="%1.%2.%3.%4.%5.%6.%7.%8.%9"/>
      <w:lvlJc w:val="left"/>
      <w:pPr>
        <w:tabs>
          <w:tab w:val="num" w:pos="6327"/>
        </w:tabs>
        <w:ind w:left="6327" w:hanging="567"/>
      </w:pPr>
      <w:rPr>
        <w:rFonts w:hint="default"/>
      </w:rPr>
    </w:lvl>
  </w:abstractNum>
  <w:num w:numId="1">
    <w:abstractNumId w:val="17"/>
  </w:num>
  <w:num w:numId="2">
    <w:abstractNumId w:val="6"/>
  </w:num>
  <w:num w:numId="3">
    <w:abstractNumId w:val="9"/>
  </w:num>
  <w:num w:numId="4">
    <w:abstractNumId w:val="2"/>
  </w:num>
  <w:num w:numId="5">
    <w:abstractNumId w:val="4"/>
  </w:num>
  <w:num w:numId="6">
    <w:abstractNumId w:val="16"/>
  </w:num>
  <w:num w:numId="7">
    <w:abstractNumId w:val="21"/>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8"/>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3"/>
  </w:num>
  <w:num w:numId="14">
    <w:abstractNumId w:val="12"/>
  </w:num>
  <w:num w:numId="15">
    <w:abstractNumId w:val="18"/>
  </w:num>
  <w:num w:numId="16">
    <w:abstractNumId w:val="4"/>
  </w:num>
  <w:num w:numId="17">
    <w:abstractNumId w:val="5"/>
  </w:num>
  <w:num w:numId="18">
    <w:abstractNumId w:val="10"/>
  </w:num>
  <w:num w:numId="19">
    <w:abstractNumId w:val="20"/>
  </w:num>
  <w:num w:numId="20">
    <w:abstractNumId w:val="7"/>
  </w:num>
  <w:num w:numId="21">
    <w:abstractNumId w:val="13"/>
  </w:num>
  <w:num w:numId="22">
    <w:abstractNumId w:val="3"/>
  </w:num>
  <w:num w:numId="23">
    <w:abstractNumId w:val="15"/>
  </w:num>
  <w:num w:numId="24">
    <w:abstractNumId w:val="14"/>
  </w:num>
  <w:num w:numId="25">
    <w:abstractNumId w:val="11"/>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D8"/>
    <w:rsid w:val="0008064A"/>
    <w:rsid w:val="00080B42"/>
    <w:rsid w:val="000F169E"/>
    <w:rsid w:val="00112E4B"/>
    <w:rsid w:val="0011624A"/>
    <w:rsid w:val="0012550B"/>
    <w:rsid w:val="00182A93"/>
    <w:rsid w:val="00196AC9"/>
    <w:rsid w:val="001F6C33"/>
    <w:rsid w:val="0020410E"/>
    <w:rsid w:val="00251D20"/>
    <w:rsid w:val="00266A69"/>
    <w:rsid w:val="002D0E13"/>
    <w:rsid w:val="002D1F10"/>
    <w:rsid w:val="003133F0"/>
    <w:rsid w:val="00327D88"/>
    <w:rsid w:val="003302C1"/>
    <w:rsid w:val="00367D33"/>
    <w:rsid w:val="00380597"/>
    <w:rsid w:val="003E574B"/>
    <w:rsid w:val="003F3BCF"/>
    <w:rsid w:val="00410214"/>
    <w:rsid w:val="004217F9"/>
    <w:rsid w:val="004350EC"/>
    <w:rsid w:val="0044455E"/>
    <w:rsid w:val="004507C4"/>
    <w:rsid w:val="00462E98"/>
    <w:rsid w:val="00486906"/>
    <w:rsid w:val="004D7927"/>
    <w:rsid w:val="004E62B0"/>
    <w:rsid w:val="004F0701"/>
    <w:rsid w:val="00506111"/>
    <w:rsid w:val="00530317"/>
    <w:rsid w:val="00536308"/>
    <w:rsid w:val="0054144F"/>
    <w:rsid w:val="00550D30"/>
    <w:rsid w:val="00565130"/>
    <w:rsid w:val="005C5869"/>
    <w:rsid w:val="005F7906"/>
    <w:rsid w:val="00630DF4"/>
    <w:rsid w:val="00653F6B"/>
    <w:rsid w:val="00663933"/>
    <w:rsid w:val="00677C5C"/>
    <w:rsid w:val="0068337D"/>
    <w:rsid w:val="006B3C20"/>
    <w:rsid w:val="006F13A7"/>
    <w:rsid w:val="007104BF"/>
    <w:rsid w:val="007173E0"/>
    <w:rsid w:val="00761FCA"/>
    <w:rsid w:val="00782FBA"/>
    <w:rsid w:val="007A344E"/>
    <w:rsid w:val="007B7EC0"/>
    <w:rsid w:val="007C3858"/>
    <w:rsid w:val="008207CF"/>
    <w:rsid w:val="008614A6"/>
    <w:rsid w:val="00891CFE"/>
    <w:rsid w:val="00892D33"/>
    <w:rsid w:val="008A1C23"/>
    <w:rsid w:val="008A7271"/>
    <w:rsid w:val="00910BD8"/>
    <w:rsid w:val="0092751D"/>
    <w:rsid w:val="0094293D"/>
    <w:rsid w:val="009447B7"/>
    <w:rsid w:val="00960134"/>
    <w:rsid w:val="00973A3A"/>
    <w:rsid w:val="0099702D"/>
    <w:rsid w:val="009E3F17"/>
    <w:rsid w:val="009F2B74"/>
    <w:rsid w:val="00A06A6C"/>
    <w:rsid w:val="00A07751"/>
    <w:rsid w:val="00A122B1"/>
    <w:rsid w:val="00A43FB3"/>
    <w:rsid w:val="00A71E2F"/>
    <w:rsid w:val="00A935EB"/>
    <w:rsid w:val="00AB4643"/>
    <w:rsid w:val="00AB4AA9"/>
    <w:rsid w:val="00AE74FD"/>
    <w:rsid w:val="00B06E98"/>
    <w:rsid w:val="00B45E2A"/>
    <w:rsid w:val="00B53F9C"/>
    <w:rsid w:val="00BA0DD3"/>
    <w:rsid w:val="00BE3A51"/>
    <w:rsid w:val="00BE5450"/>
    <w:rsid w:val="00C35664"/>
    <w:rsid w:val="00C5099B"/>
    <w:rsid w:val="00CC28A9"/>
    <w:rsid w:val="00D32981"/>
    <w:rsid w:val="00D60800"/>
    <w:rsid w:val="00D66443"/>
    <w:rsid w:val="00D81729"/>
    <w:rsid w:val="00DA0002"/>
    <w:rsid w:val="00DA3302"/>
    <w:rsid w:val="00DB13A0"/>
    <w:rsid w:val="00DC7CA1"/>
    <w:rsid w:val="00E35ED3"/>
    <w:rsid w:val="00E41AD9"/>
    <w:rsid w:val="00E721C2"/>
    <w:rsid w:val="00E83476"/>
    <w:rsid w:val="00E85371"/>
    <w:rsid w:val="00EA32FB"/>
    <w:rsid w:val="00ED394B"/>
    <w:rsid w:val="00ED3E84"/>
    <w:rsid w:val="00F312A9"/>
    <w:rsid w:val="00F330B5"/>
    <w:rsid w:val="00F34EE0"/>
    <w:rsid w:val="00F679C7"/>
    <w:rsid w:val="00F86D70"/>
    <w:rsid w:val="12F18D32"/>
    <w:rsid w:val="1E2C63B1"/>
    <w:rsid w:val="7D34F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B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F7906"/>
    <w:pPr>
      <w:keepNext/>
      <w:widowControl w:val="0"/>
      <w:tabs>
        <w:tab w:val="left" w:pos="720"/>
      </w:tabs>
      <w:autoSpaceDE w:val="0"/>
      <w:autoSpaceDN w:val="0"/>
      <w:adjustRightInd w:val="0"/>
      <w:spacing w:after="0" w:line="240" w:lineRule="auto"/>
      <w:outlineLvl w:val="1"/>
    </w:pPr>
    <w:rPr>
      <w:rFonts w:ascii="Arial" w:eastAsia="Times New Roman" w:hAnsi="Arial" w:cs="Arial"/>
      <w:b/>
      <w:bCs/>
      <w:szCs w:val="24"/>
    </w:rPr>
  </w:style>
  <w:style w:type="paragraph" w:styleId="Heading5">
    <w:name w:val="heading 5"/>
    <w:basedOn w:val="Normal"/>
    <w:next w:val="Normal"/>
    <w:link w:val="Heading5Char"/>
    <w:uiPriority w:val="9"/>
    <w:semiHidden/>
    <w:unhideWhenUsed/>
    <w:qFormat/>
    <w:rsid w:val="005F79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D8"/>
    <w:pPr>
      <w:ind w:left="720"/>
      <w:contextualSpacing/>
    </w:pPr>
  </w:style>
  <w:style w:type="paragraph" w:styleId="Header">
    <w:name w:val="header"/>
    <w:basedOn w:val="Normal"/>
    <w:link w:val="HeaderChar"/>
    <w:unhideWhenUsed/>
    <w:rsid w:val="00A07751"/>
    <w:pPr>
      <w:tabs>
        <w:tab w:val="center" w:pos="4513"/>
        <w:tab w:val="right" w:pos="9026"/>
      </w:tabs>
      <w:spacing w:after="0" w:line="240" w:lineRule="auto"/>
    </w:pPr>
  </w:style>
  <w:style w:type="character" w:customStyle="1" w:styleId="HeaderChar">
    <w:name w:val="Header Char"/>
    <w:basedOn w:val="DefaultParagraphFont"/>
    <w:link w:val="Header"/>
    <w:rsid w:val="00A07751"/>
  </w:style>
  <w:style w:type="paragraph" w:styleId="Footer">
    <w:name w:val="footer"/>
    <w:basedOn w:val="Normal"/>
    <w:link w:val="FooterChar"/>
    <w:uiPriority w:val="99"/>
    <w:unhideWhenUsed/>
    <w:rsid w:val="00A0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751"/>
  </w:style>
  <w:style w:type="paragraph" w:styleId="BalloonText">
    <w:name w:val="Balloon Text"/>
    <w:basedOn w:val="Normal"/>
    <w:link w:val="BalloonTextChar"/>
    <w:uiPriority w:val="99"/>
    <w:semiHidden/>
    <w:unhideWhenUsed/>
    <w:rsid w:val="00A0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51"/>
    <w:rPr>
      <w:rFonts w:ascii="Tahoma" w:hAnsi="Tahoma" w:cs="Tahoma"/>
      <w:sz w:val="16"/>
      <w:szCs w:val="16"/>
    </w:rPr>
  </w:style>
  <w:style w:type="table" w:styleId="TableGrid">
    <w:name w:val="Table Grid"/>
    <w:basedOn w:val="TableNormal"/>
    <w:uiPriority w:val="39"/>
    <w:rsid w:val="00A0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5F790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5F7906"/>
    <w:rPr>
      <w:rFonts w:ascii="Arial" w:eastAsia="Times New Roman" w:hAnsi="Arial" w:cs="Times New Roman"/>
      <w:sz w:val="16"/>
      <w:szCs w:val="16"/>
    </w:rPr>
  </w:style>
  <w:style w:type="paragraph" w:styleId="BlockText">
    <w:name w:val="Block Text"/>
    <w:basedOn w:val="Normal"/>
    <w:semiHidden/>
    <w:unhideWhenUsed/>
    <w:rsid w:val="005F7906"/>
    <w:pPr>
      <w:widowControl w:val="0"/>
      <w:spacing w:after="0" w:line="240" w:lineRule="auto"/>
      <w:ind w:left="72" w:right="-18"/>
    </w:pPr>
    <w:rPr>
      <w:rFonts w:ascii="Arial" w:eastAsia="Times New Roman" w:hAnsi="Arial" w:cs="Times New Roman"/>
      <w:b/>
      <w:bCs/>
      <w:i/>
      <w:iCs/>
      <w:color w:val="0000FF"/>
      <w:sz w:val="20"/>
      <w:szCs w:val="20"/>
    </w:rPr>
  </w:style>
  <w:style w:type="character" w:customStyle="1" w:styleId="Heading2Char">
    <w:name w:val="Heading 2 Char"/>
    <w:basedOn w:val="DefaultParagraphFont"/>
    <w:link w:val="Heading2"/>
    <w:semiHidden/>
    <w:rsid w:val="005F7906"/>
    <w:rPr>
      <w:rFonts w:ascii="Arial" w:eastAsia="Times New Roman" w:hAnsi="Arial" w:cs="Arial"/>
      <w:b/>
      <w:bCs/>
      <w:szCs w:val="24"/>
    </w:rPr>
  </w:style>
  <w:style w:type="paragraph" w:styleId="NormalWeb">
    <w:name w:val="Normal (Web)"/>
    <w:basedOn w:val="Normal"/>
    <w:uiPriority w:val="99"/>
    <w:unhideWhenUsed/>
    <w:rsid w:val="005F7906"/>
    <w:pPr>
      <w:spacing w:after="60" w:line="360"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F7906"/>
    <w:rPr>
      <w:b/>
      <w:bCs/>
    </w:rPr>
  </w:style>
  <w:style w:type="character" w:customStyle="1" w:styleId="Heading5Char">
    <w:name w:val="Heading 5 Char"/>
    <w:basedOn w:val="DefaultParagraphFont"/>
    <w:link w:val="Heading5"/>
    <w:uiPriority w:val="9"/>
    <w:semiHidden/>
    <w:rsid w:val="005F7906"/>
    <w:rPr>
      <w:rFonts w:asciiTheme="majorHAnsi" w:eastAsiaTheme="majorEastAsia" w:hAnsiTheme="majorHAnsi" w:cstheme="majorBidi"/>
      <w:color w:val="243F60" w:themeColor="accent1" w:themeShade="7F"/>
    </w:rPr>
  </w:style>
  <w:style w:type="character" w:styleId="Hyperlink">
    <w:name w:val="Hyperlink"/>
    <w:unhideWhenUsed/>
    <w:rsid w:val="005F7906"/>
    <w:rPr>
      <w:color w:val="0000FF"/>
      <w:u w:val="single"/>
    </w:rPr>
  </w:style>
  <w:style w:type="numbering" w:customStyle="1" w:styleId="Style1">
    <w:name w:val="Style1"/>
    <w:uiPriority w:val="99"/>
    <w:rsid w:val="00530317"/>
    <w:pPr>
      <w:numPr>
        <w:numId w:val="14"/>
      </w:numPr>
    </w:pPr>
  </w:style>
  <w:style w:type="paragraph" w:styleId="NoSpacing">
    <w:name w:val="No Spacing"/>
    <w:link w:val="NoSpacingChar"/>
    <w:uiPriority w:val="1"/>
    <w:qFormat/>
    <w:rsid w:val="009E3F17"/>
    <w:pPr>
      <w:spacing w:after="0" w:line="240" w:lineRule="auto"/>
    </w:pPr>
  </w:style>
  <w:style w:type="character" w:customStyle="1" w:styleId="NoSpacingChar">
    <w:name w:val="No Spacing Char"/>
    <w:basedOn w:val="DefaultParagraphFont"/>
    <w:link w:val="NoSpacing"/>
    <w:uiPriority w:val="1"/>
    <w:rsid w:val="009E3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F7906"/>
    <w:pPr>
      <w:keepNext/>
      <w:widowControl w:val="0"/>
      <w:tabs>
        <w:tab w:val="left" w:pos="720"/>
      </w:tabs>
      <w:autoSpaceDE w:val="0"/>
      <w:autoSpaceDN w:val="0"/>
      <w:adjustRightInd w:val="0"/>
      <w:spacing w:after="0" w:line="240" w:lineRule="auto"/>
      <w:outlineLvl w:val="1"/>
    </w:pPr>
    <w:rPr>
      <w:rFonts w:ascii="Arial" w:eastAsia="Times New Roman" w:hAnsi="Arial" w:cs="Arial"/>
      <w:b/>
      <w:bCs/>
      <w:szCs w:val="24"/>
    </w:rPr>
  </w:style>
  <w:style w:type="paragraph" w:styleId="Heading5">
    <w:name w:val="heading 5"/>
    <w:basedOn w:val="Normal"/>
    <w:next w:val="Normal"/>
    <w:link w:val="Heading5Char"/>
    <w:uiPriority w:val="9"/>
    <w:semiHidden/>
    <w:unhideWhenUsed/>
    <w:qFormat/>
    <w:rsid w:val="005F79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D8"/>
    <w:pPr>
      <w:ind w:left="720"/>
      <w:contextualSpacing/>
    </w:pPr>
  </w:style>
  <w:style w:type="paragraph" w:styleId="Header">
    <w:name w:val="header"/>
    <w:basedOn w:val="Normal"/>
    <w:link w:val="HeaderChar"/>
    <w:unhideWhenUsed/>
    <w:rsid w:val="00A07751"/>
    <w:pPr>
      <w:tabs>
        <w:tab w:val="center" w:pos="4513"/>
        <w:tab w:val="right" w:pos="9026"/>
      </w:tabs>
      <w:spacing w:after="0" w:line="240" w:lineRule="auto"/>
    </w:pPr>
  </w:style>
  <w:style w:type="character" w:customStyle="1" w:styleId="HeaderChar">
    <w:name w:val="Header Char"/>
    <w:basedOn w:val="DefaultParagraphFont"/>
    <w:link w:val="Header"/>
    <w:rsid w:val="00A07751"/>
  </w:style>
  <w:style w:type="paragraph" w:styleId="Footer">
    <w:name w:val="footer"/>
    <w:basedOn w:val="Normal"/>
    <w:link w:val="FooterChar"/>
    <w:uiPriority w:val="99"/>
    <w:unhideWhenUsed/>
    <w:rsid w:val="00A0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751"/>
  </w:style>
  <w:style w:type="paragraph" w:styleId="BalloonText">
    <w:name w:val="Balloon Text"/>
    <w:basedOn w:val="Normal"/>
    <w:link w:val="BalloonTextChar"/>
    <w:uiPriority w:val="99"/>
    <w:semiHidden/>
    <w:unhideWhenUsed/>
    <w:rsid w:val="00A0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51"/>
    <w:rPr>
      <w:rFonts w:ascii="Tahoma" w:hAnsi="Tahoma" w:cs="Tahoma"/>
      <w:sz w:val="16"/>
      <w:szCs w:val="16"/>
    </w:rPr>
  </w:style>
  <w:style w:type="table" w:styleId="TableGrid">
    <w:name w:val="Table Grid"/>
    <w:basedOn w:val="TableNormal"/>
    <w:uiPriority w:val="39"/>
    <w:rsid w:val="00A0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5F790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5F7906"/>
    <w:rPr>
      <w:rFonts w:ascii="Arial" w:eastAsia="Times New Roman" w:hAnsi="Arial" w:cs="Times New Roman"/>
      <w:sz w:val="16"/>
      <w:szCs w:val="16"/>
    </w:rPr>
  </w:style>
  <w:style w:type="paragraph" w:styleId="BlockText">
    <w:name w:val="Block Text"/>
    <w:basedOn w:val="Normal"/>
    <w:semiHidden/>
    <w:unhideWhenUsed/>
    <w:rsid w:val="005F7906"/>
    <w:pPr>
      <w:widowControl w:val="0"/>
      <w:spacing w:after="0" w:line="240" w:lineRule="auto"/>
      <w:ind w:left="72" w:right="-18"/>
    </w:pPr>
    <w:rPr>
      <w:rFonts w:ascii="Arial" w:eastAsia="Times New Roman" w:hAnsi="Arial" w:cs="Times New Roman"/>
      <w:b/>
      <w:bCs/>
      <w:i/>
      <w:iCs/>
      <w:color w:val="0000FF"/>
      <w:sz w:val="20"/>
      <w:szCs w:val="20"/>
    </w:rPr>
  </w:style>
  <w:style w:type="character" w:customStyle="1" w:styleId="Heading2Char">
    <w:name w:val="Heading 2 Char"/>
    <w:basedOn w:val="DefaultParagraphFont"/>
    <w:link w:val="Heading2"/>
    <w:semiHidden/>
    <w:rsid w:val="005F7906"/>
    <w:rPr>
      <w:rFonts w:ascii="Arial" w:eastAsia="Times New Roman" w:hAnsi="Arial" w:cs="Arial"/>
      <w:b/>
      <w:bCs/>
      <w:szCs w:val="24"/>
    </w:rPr>
  </w:style>
  <w:style w:type="paragraph" w:styleId="NormalWeb">
    <w:name w:val="Normal (Web)"/>
    <w:basedOn w:val="Normal"/>
    <w:uiPriority w:val="99"/>
    <w:unhideWhenUsed/>
    <w:rsid w:val="005F7906"/>
    <w:pPr>
      <w:spacing w:after="60" w:line="360"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F7906"/>
    <w:rPr>
      <w:b/>
      <w:bCs/>
    </w:rPr>
  </w:style>
  <w:style w:type="character" w:customStyle="1" w:styleId="Heading5Char">
    <w:name w:val="Heading 5 Char"/>
    <w:basedOn w:val="DefaultParagraphFont"/>
    <w:link w:val="Heading5"/>
    <w:uiPriority w:val="9"/>
    <w:semiHidden/>
    <w:rsid w:val="005F7906"/>
    <w:rPr>
      <w:rFonts w:asciiTheme="majorHAnsi" w:eastAsiaTheme="majorEastAsia" w:hAnsiTheme="majorHAnsi" w:cstheme="majorBidi"/>
      <w:color w:val="243F60" w:themeColor="accent1" w:themeShade="7F"/>
    </w:rPr>
  </w:style>
  <w:style w:type="character" w:styleId="Hyperlink">
    <w:name w:val="Hyperlink"/>
    <w:unhideWhenUsed/>
    <w:rsid w:val="005F7906"/>
    <w:rPr>
      <w:color w:val="0000FF"/>
      <w:u w:val="single"/>
    </w:rPr>
  </w:style>
  <w:style w:type="numbering" w:customStyle="1" w:styleId="Style1">
    <w:name w:val="Style1"/>
    <w:uiPriority w:val="99"/>
    <w:rsid w:val="00530317"/>
    <w:pPr>
      <w:numPr>
        <w:numId w:val="14"/>
      </w:numPr>
    </w:pPr>
  </w:style>
  <w:style w:type="paragraph" w:styleId="NoSpacing">
    <w:name w:val="No Spacing"/>
    <w:link w:val="NoSpacingChar"/>
    <w:uiPriority w:val="1"/>
    <w:qFormat/>
    <w:rsid w:val="009E3F17"/>
    <w:pPr>
      <w:spacing w:after="0" w:line="240" w:lineRule="auto"/>
    </w:pPr>
  </w:style>
  <w:style w:type="character" w:customStyle="1" w:styleId="NoSpacingChar">
    <w:name w:val="No Spacing Char"/>
    <w:basedOn w:val="DefaultParagraphFont"/>
    <w:link w:val="NoSpacing"/>
    <w:uiPriority w:val="1"/>
    <w:rsid w:val="009E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485">
      <w:bodyDiv w:val="1"/>
      <w:marLeft w:val="0"/>
      <w:marRight w:val="0"/>
      <w:marTop w:val="0"/>
      <w:marBottom w:val="0"/>
      <w:divBdr>
        <w:top w:val="none" w:sz="0" w:space="0" w:color="auto"/>
        <w:left w:val="none" w:sz="0" w:space="0" w:color="auto"/>
        <w:bottom w:val="none" w:sz="0" w:space="0" w:color="auto"/>
        <w:right w:val="none" w:sz="0" w:space="0" w:color="auto"/>
      </w:divBdr>
    </w:div>
    <w:div w:id="1028292333">
      <w:bodyDiv w:val="1"/>
      <w:marLeft w:val="0"/>
      <w:marRight w:val="0"/>
      <w:marTop w:val="0"/>
      <w:marBottom w:val="0"/>
      <w:divBdr>
        <w:top w:val="none" w:sz="0" w:space="0" w:color="auto"/>
        <w:left w:val="none" w:sz="0" w:space="0" w:color="auto"/>
        <w:bottom w:val="none" w:sz="0" w:space="0" w:color="auto"/>
        <w:right w:val="none" w:sz="0" w:space="0" w:color="auto"/>
      </w:divBdr>
    </w:div>
    <w:div w:id="1383678045">
      <w:bodyDiv w:val="1"/>
      <w:marLeft w:val="0"/>
      <w:marRight w:val="0"/>
      <w:marTop w:val="0"/>
      <w:marBottom w:val="0"/>
      <w:divBdr>
        <w:top w:val="none" w:sz="0" w:space="0" w:color="auto"/>
        <w:left w:val="none" w:sz="0" w:space="0" w:color="auto"/>
        <w:bottom w:val="none" w:sz="0" w:space="0" w:color="auto"/>
        <w:right w:val="none" w:sz="0" w:space="0" w:color="auto"/>
      </w:divBdr>
      <w:divsChild>
        <w:div w:id="1132745851">
          <w:marLeft w:val="0"/>
          <w:marRight w:val="0"/>
          <w:marTop w:val="0"/>
          <w:marBottom w:val="0"/>
          <w:divBdr>
            <w:top w:val="none" w:sz="0" w:space="0" w:color="auto"/>
            <w:left w:val="none" w:sz="0" w:space="0" w:color="auto"/>
            <w:bottom w:val="none" w:sz="0" w:space="0" w:color="auto"/>
            <w:right w:val="none" w:sz="0" w:space="0" w:color="auto"/>
          </w:divBdr>
        </w:div>
        <w:div w:id="592393734">
          <w:marLeft w:val="0"/>
          <w:marRight w:val="0"/>
          <w:marTop w:val="0"/>
          <w:marBottom w:val="0"/>
          <w:divBdr>
            <w:top w:val="none" w:sz="0" w:space="0" w:color="auto"/>
            <w:left w:val="none" w:sz="0" w:space="0" w:color="auto"/>
            <w:bottom w:val="none" w:sz="0" w:space="0" w:color="auto"/>
            <w:right w:val="none" w:sz="0" w:space="0" w:color="auto"/>
          </w:divBdr>
        </w:div>
        <w:div w:id="181943308">
          <w:marLeft w:val="0"/>
          <w:marRight w:val="0"/>
          <w:marTop w:val="0"/>
          <w:marBottom w:val="0"/>
          <w:divBdr>
            <w:top w:val="none" w:sz="0" w:space="0" w:color="auto"/>
            <w:left w:val="none" w:sz="0" w:space="0" w:color="auto"/>
            <w:bottom w:val="none" w:sz="0" w:space="0" w:color="auto"/>
            <w:right w:val="none" w:sz="0" w:space="0" w:color="auto"/>
          </w:divBdr>
        </w:div>
        <w:div w:id="858591423">
          <w:marLeft w:val="0"/>
          <w:marRight w:val="0"/>
          <w:marTop w:val="0"/>
          <w:marBottom w:val="0"/>
          <w:divBdr>
            <w:top w:val="none" w:sz="0" w:space="0" w:color="auto"/>
            <w:left w:val="none" w:sz="0" w:space="0" w:color="auto"/>
            <w:bottom w:val="none" w:sz="0" w:space="0" w:color="auto"/>
            <w:right w:val="none" w:sz="0" w:space="0" w:color="auto"/>
          </w:divBdr>
        </w:div>
        <w:div w:id="2079549671">
          <w:marLeft w:val="0"/>
          <w:marRight w:val="0"/>
          <w:marTop w:val="0"/>
          <w:marBottom w:val="0"/>
          <w:divBdr>
            <w:top w:val="none" w:sz="0" w:space="0" w:color="auto"/>
            <w:left w:val="none" w:sz="0" w:space="0" w:color="auto"/>
            <w:bottom w:val="none" w:sz="0" w:space="0" w:color="auto"/>
            <w:right w:val="none" w:sz="0" w:space="0" w:color="auto"/>
          </w:divBdr>
        </w:div>
        <w:div w:id="234510480">
          <w:marLeft w:val="0"/>
          <w:marRight w:val="0"/>
          <w:marTop w:val="0"/>
          <w:marBottom w:val="0"/>
          <w:divBdr>
            <w:top w:val="none" w:sz="0" w:space="0" w:color="auto"/>
            <w:left w:val="none" w:sz="0" w:space="0" w:color="auto"/>
            <w:bottom w:val="none" w:sz="0" w:space="0" w:color="auto"/>
            <w:right w:val="none" w:sz="0" w:space="0" w:color="auto"/>
          </w:divBdr>
        </w:div>
        <w:div w:id="938680835">
          <w:marLeft w:val="0"/>
          <w:marRight w:val="0"/>
          <w:marTop w:val="0"/>
          <w:marBottom w:val="0"/>
          <w:divBdr>
            <w:top w:val="none" w:sz="0" w:space="0" w:color="auto"/>
            <w:left w:val="none" w:sz="0" w:space="0" w:color="auto"/>
            <w:bottom w:val="none" w:sz="0" w:space="0" w:color="auto"/>
            <w:right w:val="none" w:sz="0" w:space="0" w:color="auto"/>
          </w:divBdr>
        </w:div>
        <w:div w:id="1278217826">
          <w:marLeft w:val="0"/>
          <w:marRight w:val="0"/>
          <w:marTop w:val="0"/>
          <w:marBottom w:val="0"/>
          <w:divBdr>
            <w:top w:val="none" w:sz="0" w:space="0" w:color="auto"/>
            <w:left w:val="none" w:sz="0" w:space="0" w:color="auto"/>
            <w:bottom w:val="none" w:sz="0" w:space="0" w:color="auto"/>
            <w:right w:val="none" w:sz="0" w:space="0" w:color="auto"/>
          </w:divBdr>
        </w:div>
      </w:divsChild>
    </w:div>
    <w:div w:id="1865827774">
      <w:bodyDiv w:val="1"/>
      <w:marLeft w:val="0"/>
      <w:marRight w:val="0"/>
      <w:marTop w:val="0"/>
      <w:marBottom w:val="0"/>
      <w:divBdr>
        <w:top w:val="none" w:sz="0" w:space="0" w:color="auto"/>
        <w:left w:val="none" w:sz="0" w:space="0" w:color="auto"/>
        <w:bottom w:val="none" w:sz="0" w:space="0" w:color="auto"/>
        <w:right w:val="none" w:sz="0" w:space="0" w:color="auto"/>
      </w:divBdr>
      <w:divsChild>
        <w:div w:id="81921243">
          <w:marLeft w:val="0"/>
          <w:marRight w:val="0"/>
          <w:marTop w:val="0"/>
          <w:marBottom w:val="0"/>
          <w:divBdr>
            <w:top w:val="none" w:sz="0" w:space="0" w:color="auto"/>
            <w:left w:val="none" w:sz="0" w:space="0" w:color="auto"/>
            <w:bottom w:val="none" w:sz="0" w:space="0" w:color="auto"/>
            <w:right w:val="none" w:sz="0" w:space="0" w:color="auto"/>
          </w:divBdr>
        </w:div>
        <w:div w:id="1049762858">
          <w:marLeft w:val="0"/>
          <w:marRight w:val="0"/>
          <w:marTop w:val="0"/>
          <w:marBottom w:val="0"/>
          <w:divBdr>
            <w:top w:val="none" w:sz="0" w:space="0" w:color="auto"/>
            <w:left w:val="none" w:sz="0" w:space="0" w:color="auto"/>
            <w:bottom w:val="none" w:sz="0" w:space="0" w:color="auto"/>
            <w:right w:val="none" w:sz="0" w:space="0" w:color="auto"/>
          </w:divBdr>
        </w:div>
        <w:div w:id="154613281">
          <w:marLeft w:val="0"/>
          <w:marRight w:val="0"/>
          <w:marTop w:val="0"/>
          <w:marBottom w:val="0"/>
          <w:divBdr>
            <w:top w:val="none" w:sz="0" w:space="0" w:color="auto"/>
            <w:left w:val="none" w:sz="0" w:space="0" w:color="auto"/>
            <w:bottom w:val="none" w:sz="0" w:space="0" w:color="auto"/>
            <w:right w:val="none" w:sz="0" w:space="0" w:color="auto"/>
          </w:divBdr>
        </w:div>
        <w:div w:id="976759280">
          <w:marLeft w:val="0"/>
          <w:marRight w:val="0"/>
          <w:marTop w:val="0"/>
          <w:marBottom w:val="0"/>
          <w:divBdr>
            <w:top w:val="none" w:sz="0" w:space="0" w:color="auto"/>
            <w:left w:val="none" w:sz="0" w:space="0" w:color="auto"/>
            <w:bottom w:val="none" w:sz="0" w:space="0" w:color="auto"/>
            <w:right w:val="none" w:sz="0" w:space="0" w:color="auto"/>
          </w:divBdr>
        </w:div>
      </w:divsChild>
    </w:div>
    <w:div w:id="1955289530">
      <w:bodyDiv w:val="1"/>
      <w:marLeft w:val="0"/>
      <w:marRight w:val="0"/>
      <w:marTop w:val="0"/>
      <w:marBottom w:val="0"/>
      <w:divBdr>
        <w:top w:val="none" w:sz="0" w:space="0" w:color="auto"/>
        <w:left w:val="none" w:sz="0" w:space="0" w:color="auto"/>
        <w:bottom w:val="none" w:sz="0" w:space="0" w:color="auto"/>
        <w:right w:val="none" w:sz="0" w:space="0" w:color="auto"/>
      </w:divBdr>
      <w:divsChild>
        <w:div w:id="182597525">
          <w:marLeft w:val="0"/>
          <w:marRight w:val="0"/>
          <w:marTop w:val="0"/>
          <w:marBottom w:val="0"/>
          <w:divBdr>
            <w:top w:val="none" w:sz="0" w:space="0" w:color="auto"/>
            <w:left w:val="none" w:sz="0" w:space="0" w:color="auto"/>
            <w:bottom w:val="none" w:sz="0" w:space="0" w:color="auto"/>
            <w:right w:val="none" w:sz="0" w:space="0" w:color="auto"/>
          </w:divBdr>
        </w:div>
        <w:div w:id="1983727968">
          <w:marLeft w:val="0"/>
          <w:marRight w:val="0"/>
          <w:marTop w:val="0"/>
          <w:marBottom w:val="0"/>
          <w:divBdr>
            <w:top w:val="none" w:sz="0" w:space="0" w:color="auto"/>
            <w:left w:val="none" w:sz="0" w:space="0" w:color="auto"/>
            <w:bottom w:val="none" w:sz="0" w:space="0" w:color="auto"/>
            <w:right w:val="none" w:sz="0" w:space="0" w:color="auto"/>
          </w:divBdr>
        </w:div>
        <w:div w:id="356926809">
          <w:marLeft w:val="0"/>
          <w:marRight w:val="0"/>
          <w:marTop w:val="0"/>
          <w:marBottom w:val="0"/>
          <w:divBdr>
            <w:top w:val="none" w:sz="0" w:space="0" w:color="auto"/>
            <w:left w:val="none" w:sz="0" w:space="0" w:color="auto"/>
            <w:bottom w:val="none" w:sz="0" w:space="0" w:color="auto"/>
            <w:right w:val="none" w:sz="0" w:space="0" w:color="auto"/>
          </w:divBdr>
        </w:div>
        <w:div w:id="2077318540">
          <w:marLeft w:val="0"/>
          <w:marRight w:val="0"/>
          <w:marTop w:val="0"/>
          <w:marBottom w:val="0"/>
          <w:divBdr>
            <w:top w:val="none" w:sz="0" w:space="0" w:color="auto"/>
            <w:left w:val="none" w:sz="0" w:space="0" w:color="auto"/>
            <w:bottom w:val="none" w:sz="0" w:space="0" w:color="auto"/>
            <w:right w:val="none" w:sz="0" w:space="0" w:color="auto"/>
          </w:divBdr>
        </w:div>
        <w:div w:id="1953242317">
          <w:marLeft w:val="0"/>
          <w:marRight w:val="0"/>
          <w:marTop w:val="0"/>
          <w:marBottom w:val="0"/>
          <w:divBdr>
            <w:top w:val="none" w:sz="0" w:space="0" w:color="auto"/>
            <w:left w:val="none" w:sz="0" w:space="0" w:color="auto"/>
            <w:bottom w:val="none" w:sz="0" w:space="0" w:color="auto"/>
            <w:right w:val="none" w:sz="0" w:space="0" w:color="auto"/>
          </w:divBdr>
        </w:div>
      </w:divsChild>
    </w:div>
    <w:div w:id="1960525248">
      <w:bodyDiv w:val="1"/>
      <w:marLeft w:val="0"/>
      <w:marRight w:val="0"/>
      <w:marTop w:val="0"/>
      <w:marBottom w:val="0"/>
      <w:divBdr>
        <w:top w:val="none" w:sz="0" w:space="0" w:color="auto"/>
        <w:left w:val="none" w:sz="0" w:space="0" w:color="auto"/>
        <w:bottom w:val="none" w:sz="0" w:space="0" w:color="auto"/>
        <w:right w:val="none" w:sz="0" w:space="0" w:color="auto"/>
      </w:divBdr>
    </w:div>
    <w:div w:id="2059426851">
      <w:bodyDiv w:val="1"/>
      <w:marLeft w:val="0"/>
      <w:marRight w:val="0"/>
      <w:marTop w:val="0"/>
      <w:marBottom w:val="0"/>
      <w:divBdr>
        <w:top w:val="none" w:sz="0" w:space="0" w:color="auto"/>
        <w:left w:val="none" w:sz="0" w:space="0" w:color="auto"/>
        <w:bottom w:val="none" w:sz="0" w:space="0" w:color="auto"/>
        <w:right w:val="none" w:sz="0" w:space="0" w:color="auto"/>
      </w:divBdr>
      <w:divsChild>
        <w:div w:id="1294754121">
          <w:marLeft w:val="0"/>
          <w:marRight w:val="0"/>
          <w:marTop w:val="0"/>
          <w:marBottom w:val="0"/>
          <w:divBdr>
            <w:top w:val="none" w:sz="0" w:space="0" w:color="auto"/>
            <w:left w:val="none" w:sz="0" w:space="0" w:color="auto"/>
            <w:bottom w:val="none" w:sz="0" w:space="0" w:color="auto"/>
            <w:right w:val="none" w:sz="0" w:space="0" w:color="auto"/>
          </w:divBdr>
        </w:div>
        <w:div w:id="1486047843">
          <w:marLeft w:val="0"/>
          <w:marRight w:val="0"/>
          <w:marTop w:val="0"/>
          <w:marBottom w:val="0"/>
          <w:divBdr>
            <w:top w:val="none" w:sz="0" w:space="0" w:color="auto"/>
            <w:left w:val="none" w:sz="0" w:space="0" w:color="auto"/>
            <w:bottom w:val="none" w:sz="0" w:space="0" w:color="auto"/>
            <w:right w:val="none" w:sz="0" w:space="0" w:color="auto"/>
          </w:divBdr>
        </w:div>
        <w:div w:id="1588033703">
          <w:marLeft w:val="0"/>
          <w:marRight w:val="0"/>
          <w:marTop w:val="0"/>
          <w:marBottom w:val="0"/>
          <w:divBdr>
            <w:top w:val="none" w:sz="0" w:space="0" w:color="auto"/>
            <w:left w:val="none" w:sz="0" w:space="0" w:color="auto"/>
            <w:bottom w:val="none" w:sz="0" w:space="0" w:color="auto"/>
            <w:right w:val="none" w:sz="0" w:space="0" w:color="auto"/>
          </w:divBdr>
        </w:div>
        <w:div w:id="1400253402">
          <w:marLeft w:val="0"/>
          <w:marRight w:val="0"/>
          <w:marTop w:val="0"/>
          <w:marBottom w:val="0"/>
          <w:divBdr>
            <w:top w:val="none" w:sz="0" w:space="0" w:color="auto"/>
            <w:left w:val="none" w:sz="0" w:space="0" w:color="auto"/>
            <w:bottom w:val="none" w:sz="0" w:space="0" w:color="auto"/>
            <w:right w:val="none" w:sz="0" w:space="0" w:color="auto"/>
          </w:divBdr>
        </w:div>
        <w:div w:id="1314137691">
          <w:marLeft w:val="0"/>
          <w:marRight w:val="0"/>
          <w:marTop w:val="0"/>
          <w:marBottom w:val="0"/>
          <w:divBdr>
            <w:top w:val="none" w:sz="0" w:space="0" w:color="auto"/>
            <w:left w:val="none" w:sz="0" w:space="0" w:color="auto"/>
            <w:bottom w:val="none" w:sz="0" w:space="0" w:color="auto"/>
            <w:right w:val="none" w:sz="0" w:space="0" w:color="auto"/>
          </w:divBdr>
        </w:div>
        <w:div w:id="2039887539">
          <w:marLeft w:val="0"/>
          <w:marRight w:val="0"/>
          <w:marTop w:val="0"/>
          <w:marBottom w:val="0"/>
          <w:divBdr>
            <w:top w:val="none" w:sz="0" w:space="0" w:color="auto"/>
            <w:left w:val="none" w:sz="0" w:space="0" w:color="auto"/>
            <w:bottom w:val="none" w:sz="0" w:space="0" w:color="auto"/>
            <w:right w:val="none" w:sz="0" w:space="0" w:color="auto"/>
          </w:divBdr>
        </w:div>
        <w:div w:id="151801077">
          <w:marLeft w:val="0"/>
          <w:marRight w:val="0"/>
          <w:marTop w:val="0"/>
          <w:marBottom w:val="0"/>
          <w:divBdr>
            <w:top w:val="none" w:sz="0" w:space="0" w:color="auto"/>
            <w:left w:val="none" w:sz="0" w:space="0" w:color="auto"/>
            <w:bottom w:val="none" w:sz="0" w:space="0" w:color="auto"/>
            <w:right w:val="none" w:sz="0" w:space="0" w:color="auto"/>
          </w:divBdr>
        </w:div>
        <w:div w:id="1698963176">
          <w:marLeft w:val="0"/>
          <w:marRight w:val="0"/>
          <w:marTop w:val="0"/>
          <w:marBottom w:val="0"/>
          <w:divBdr>
            <w:top w:val="none" w:sz="0" w:space="0" w:color="auto"/>
            <w:left w:val="none" w:sz="0" w:space="0" w:color="auto"/>
            <w:bottom w:val="none" w:sz="0" w:space="0" w:color="auto"/>
            <w:right w:val="none" w:sz="0" w:space="0" w:color="auto"/>
          </w:divBdr>
        </w:div>
        <w:div w:id="883753806">
          <w:marLeft w:val="0"/>
          <w:marRight w:val="0"/>
          <w:marTop w:val="0"/>
          <w:marBottom w:val="0"/>
          <w:divBdr>
            <w:top w:val="none" w:sz="0" w:space="0" w:color="auto"/>
            <w:left w:val="none" w:sz="0" w:space="0" w:color="auto"/>
            <w:bottom w:val="none" w:sz="0" w:space="0" w:color="auto"/>
            <w:right w:val="none" w:sz="0" w:space="0" w:color="auto"/>
          </w:divBdr>
        </w:div>
        <w:div w:id="1620911296">
          <w:marLeft w:val="0"/>
          <w:marRight w:val="0"/>
          <w:marTop w:val="0"/>
          <w:marBottom w:val="0"/>
          <w:divBdr>
            <w:top w:val="none" w:sz="0" w:space="0" w:color="auto"/>
            <w:left w:val="none" w:sz="0" w:space="0" w:color="auto"/>
            <w:bottom w:val="none" w:sz="0" w:space="0" w:color="auto"/>
            <w:right w:val="none" w:sz="0" w:space="0" w:color="auto"/>
          </w:divBdr>
        </w:div>
      </w:divsChild>
    </w:div>
    <w:div w:id="20629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mbridgeshirepeterboroughcagov.cmis.uk.com/Meetings/tabid/70/ctl/ViewMeetingPublic/mid/397/Meeting/847/Committee/63/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14" ma:contentTypeDescription="Create a new document." ma:contentTypeScope="" ma:versionID="84025e717041de82b8014ea46b4e7cec">
  <xsd:schema xmlns:xsd="http://www.w3.org/2001/XMLSchema" xmlns:xs="http://www.w3.org/2001/XMLSchema" xmlns:p="http://schemas.microsoft.com/office/2006/metadata/properties" xmlns:ns1="http://schemas.microsoft.com/sharepoint/v3" xmlns:ns2="b81f8890-b772-4976-a4c3-e2b6dc19be5f" xmlns:ns3="74e3dc21-110f-477c-8488-b17d2e0ef34a" targetNamespace="http://schemas.microsoft.com/office/2006/metadata/properties" ma:root="true" ma:fieldsID="3b2d8847d18e3459b5435ffe690badff" ns1:_="" ns2:_="" ns3:_="">
    <xsd:import namespace="http://schemas.microsoft.com/sharepoint/v3"/>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A5C0-C881-4CA0-8EF1-6D8A6DDB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f8890-b772-4976-a4c3-e2b6dc19be5f"/>
    <ds:schemaRef ds:uri="74e3dc21-110f-477c-8488-b17d2e0e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F9961-E741-499C-9DB6-D8803271C36A}">
  <ds:schemaRefs>
    <ds:schemaRef ds:uri="http://schemas.microsoft.com/sharepoint/v3/contenttype/forms"/>
  </ds:schemaRefs>
</ds:datastoreItem>
</file>

<file path=customXml/itemProps3.xml><?xml version="1.0" encoding="utf-8"?>
<ds:datastoreItem xmlns:ds="http://schemas.openxmlformats.org/officeDocument/2006/customXml" ds:itemID="{4AEC0A29-059D-441B-92AB-BD3CD9AC443B}">
  <ds:schemaRefs>
    <ds:schemaRef ds:uri="http://purl.org/dc/elements/1.1/"/>
    <ds:schemaRef ds:uri="http://schemas.microsoft.com/sharepoint/v3"/>
    <ds:schemaRef ds:uri="http://schemas.microsoft.com/office/2006/documentManagement/types"/>
    <ds:schemaRef ds:uri="74e3dc21-110f-477c-8488-b17d2e0ef34a"/>
    <ds:schemaRef ds:uri="http://purl.org/dc/terms/"/>
    <ds:schemaRef ds:uri="http://purl.org/dc/dcmitype/"/>
    <ds:schemaRef ds:uri="http://schemas.microsoft.com/office/infopath/2007/PartnerControls"/>
    <ds:schemaRef ds:uri="http://schemas.openxmlformats.org/package/2006/metadata/core-properties"/>
    <ds:schemaRef ds:uri="b81f8890-b772-4976-a4c3-e2b6dc19be5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59489C-886E-44B3-9683-DF94018A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SUE BEECROFT</cp:lastModifiedBy>
  <cp:revision>2</cp:revision>
  <cp:lastPrinted>2020-01-20T08:42:00Z</cp:lastPrinted>
  <dcterms:created xsi:type="dcterms:W3CDTF">2020-02-05T10:24:00Z</dcterms:created>
  <dcterms:modified xsi:type="dcterms:W3CDTF">2020-02-05T10:24:00Z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0x010100C0D598AA8F22C74F8B6D2B93491D9F57</vt:lpwstr>
  </property>
</Properties>
</file>