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1664" w:rsidRDefault="00051664">
      <w:pPr>
        <w:rPr>
          <w:b/>
        </w:rPr>
      </w:pPr>
      <w:r>
        <w:rPr>
          <w:noProof/>
          <w:lang w:eastAsia="en-GB"/>
        </w:rPr>
        <w:drawing>
          <wp:inline distT="0" distB="0" distL="0" distR="0" wp14:anchorId="4BAFC9BC" wp14:editId="31DB200B">
            <wp:extent cx="5731510" cy="771183"/>
            <wp:effectExtent l="0" t="0" r="254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771183"/>
                    </a:xfrm>
                    <a:prstGeom prst="rect">
                      <a:avLst/>
                    </a:prstGeom>
                    <a:noFill/>
                    <a:ln>
                      <a:noFill/>
                    </a:ln>
                  </pic:spPr>
                </pic:pic>
              </a:graphicData>
            </a:graphic>
          </wp:inline>
        </w:drawing>
      </w:r>
    </w:p>
    <w:p w:rsidR="00051664" w:rsidRDefault="00051664">
      <w:pPr>
        <w:rPr>
          <w:b/>
        </w:rPr>
      </w:pPr>
    </w:p>
    <w:p w:rsidR="00051664" w:rsidRDefault="00051664">
      <w:pPr>
        <w:rPr>
          <w:b/>
        </w:rPr>
      </w:pPr>
    </w:p>
    <w:p w:rsidR="00051664" w:rsidRDefault="00051664">
      <w:pPr>
        <w:rPr>
          <w:b/>
        </w:rPr>
      </w:pPr>
    </w:p>
    <w:p w:rsidR="00051664" w:rsidRDefault="00051664">
      <w:pPr>
        <w:rPr>
          <w:b/>
        </w:rPr>
      </w:pPr>
    </w:p>
    <w:p w:rsidR="00051664" w:rsidRDefault="00051664">
      <w:pPr>
        <w:rPr>
          <w:b/>
        </w:rPr>
      </w:pPr>
    </w:p>
    <w:p w:rsidR="00051664" w:rsidRDefault="00051664">
      <w:pPr>
        <w:rPr>
          <w:b/>
        </w:rPr>
      </w:pPr>
    </w:p>
    <w:p w:rsidR="00051664" w:rsidRDefault="00051664">
      <w:pPr>
        <w:rPr>
          <w:b/>
        </w:rPr>
      </w:pPr>
    </w:p>
    <w:p w:rsidR="00051664" w:rsidRPr="00794054" w:rsidRDefault="005444DC" w:rsidP="00051664">
      <w:pPr>
        <w:jc w:val="center"/>
        <w:rPr>
          <w:color w:val="2E74B5" w:themeColor="accent1" w:themeShade="BF"/>
          <w:sz w:val="72"/>
          <w:szCs w:val="72"/>
        </w:rPr>
      </w:pPr>
      <w:r>
        <w:rPr>
          <w:color w:val="2E74B5" w:themeColor="accent1" w:themeShade="BF"/>
          <w:sz w:val="72"/>
          <w:szCs w:val="72"/>
        </w:rPr>
        <w:t xml:space="preserve">Cambridgeshire &amp; Peterborough </w:t>
      </w:r>
      <w:r w:rsidR="00051664">
        <w:rPr>
          <w:color w:val="2E74B5" w:themeColor="accent1" w:themeShade="BF"/>
          <w:sz w:val="72"/>
          <w:szCs w:val="72"/>
        </w:rPr>
        <w:t>Ageing Well Dashboard &amp; Data Overview</w:t>
      </w:r>
    </w:p>
    <w:p w:rsidR="00051664" w:rsidRPr="00794054" w:rsidRDefault="00051664" w:rsidP="00051664">
      <w:pPr>
        <w:jc w:val="center"/>
        <w:rPr>
          <w:color w:val="2E74B5" w:themeColor="accent1" w:themeShade="BF"/>
          <w:sz w:val="72"/>
          <w:szCs w:val="72"/>
        </w:rPr>
      </w:pPr>
    </w:p>
    <w:p w:rsidR="00051664" w:rsidRPr="00794054" w:rsidRDefault="00051664" w:rsidP="00051664">
      <w:pPr>
        <w:jc w:val="center"/>
        <w:rPr>
          <w:color w:val="2E74B5" w:themeColor="accent1" w:themeShade="BF"/>
          <w:sz w:val="72"/>
          <w:szCs w:val="72"/>
        </w:rPr>
      </w:pPr>
      <w:r>
        <w:rPr>
          <w:color w:val="2E74B5" w:themeColor="accent1" w:themeShade="BF"/>
          <w:sz w:val="72"/>
          <w:szCs w:val="72"/>
        </w:rPr>
        <w:t>July 2019</w:t>
      </w:r>
    </w:p>
    <w:p w:rsidR="00051664" w:rsidRDefault="00051664">
      <w:pPr>
        <w:rPr>
          <w:b/>
        </w:rPr>
      </w:pPr>
    </w:p>
    <w:p w:rsidR="00051664" w:rsidRDefault="00051664">
      <w:pPr>
        <w:rPr>
          <w:b/>
        </w:rPr>
      </w:pPr>
    </w:p>
    <w:p w:rsidR="00051664" w:rsidRDefault="00051664">
      <w:pPr>
        <w:rPr>
          <w:b/>
        </w:rPr>
      </w:pPr>
    </w:p>
    <w:p w:rsidR="00051664" w:rsidRDefault="00051664">
      <w:pPr>
        <w:rPr>
          <w:b/>
        </w:rPr>
      </w:pPr>
    </w:p>
    <w:p w:rsidR="00051664" w:rsidRDefault="00051664">
      <w:pPr>
        <w:rPr>
          <w:b/>
        </w:rPr>
      </w:pPr>
    </w:p>
    <w:p w:rsidR="00051664" w:rsidRDefault="00051664">
      <w:pPr>
        <w:rPr>
          <w:b/>
        </w:rPr>
      </w:pPr>
    </w:p>
    <w:p w:rsidR="00051664" w:rsidRDefault="00051664">
      <w:pPr>
        <w:rPr>
          <w:b/>
        </w:rPr>
      </w:pPr>
    </w:p>
    <w:p w:rsidR="00051664" w:rsidRDefault="00051664">
      <w:pPr>
        <w:rPr>
          <w:b/>
        </w:rPr>
      </w:pPr>
    </w:p>
    <w:p w:rsidR="00051664" w:rsidRDefault="00051664">
      <w:pPr>
        <w:rPr>
          <w:b/>
        </w:rPr>
      </w:pPr>
    </w:p>
    <w:sdt>
      <w:sdtPr>
        <w:id w:val="-860821153"/>
        <w:docPartObj>
          <w:docPartGallery w:val="Table of Contents"/>
          <w:docPartUnique/>
        </w:docPartObj>
      </w:sdtPr>
      <w:sdtEndPr>
        <w:rPr>
          <w:rFonts w:asciiTheme="minorHAnsi" w:eastAsiaTheme="minorHAnsi" w:hAnsiTheme="minorHAnsi" w:cstheme="minorBidi"/>
          <w:b/>
          <w:bCs/>
          <w:noProof/>
          <w:color w:val="auto"/>
          <w:sz w:val="22"/>
          <w:szCs w:val="22"/>
          <w:lang w:val="en-GB"/>
        </w:rPr>
      </w:sdtEndPr>
      <w:sdtContent>
        <w:p w:rsidR="00387E25" w:rsidRDefault="00387E25">
          <w:pPr>
            <w:pStyle w:val="TOCHeading"/>
          </w:pPr>
          <w:r>
            <w:t>Contents</w:t>
          </w:r>
        </w:p>
        <w:p w:rsidR="00DE07A3" w:rsidRDefault="00387E25">
          <w:pPr>
            <w:pStyle w:val="TOC2"/>
            <w:tabs>
              <w:tab w:val="left" w:pos="660"/>
              <w:tab w:val="right" w:leader="dot" w:pos="9016"/>
            </w:tabs>
            <w:rPr>
              <w:rFonts w:eastAsiaTheme="minorEastAsia"/>
              <w:noProof/>
              <w:lang w:eastAsia="en-GB"/>
            </w:rPr>
          </w:pPr>
          <w:r>
            <w:rPr>
              <w:b/>
              <w:bCs/>
              <w:noProof/>
            </w:rPr>
            <w:fldChar w:fldCharType="begin"/>
          </w:r>
          <w:r>
            <w:rPr>
              <w:b/>
              <w:bCs/>
              <w:noProof/>
            </w:rPr>
            <w:instrText xml:space="preserve"> TOC \o "1-3" \h \z \u </w:instrText>
          </w:r>
          <w:r>
            <w:rPr>
              <w:b/>
              <w:bCs/>
              <w:noProof/>
            </w:rPr>
            <w:fldChar w:fldCharType="separate"/>
          </w:r>
          <w:hyperlink w:anchor="_Toc13125206" w:history="1">
            <w:r w:rsidR="00DE07A3" w:rsidRPr="00B72C0F">
              <w:rPr>
                <w:rStyle w:val="Hyperlink"/>
                <w:noProof/>
              </w:rPr>
              <w:t>1.</w:t>
            </w:r>
            <w:r w:rsidR="00DE07A3">
              <w:rPr>
                <w:rFonts w:eastAsiaTheme="minorEastAsia"/>
                <w:noProof/>
                <w:lang w:eastAsia="en-GB"/>
              </w:rPr>
              <w:tab/>
            </w:r>
            <w:r w:rsidR="00DE07A3" w:rsidRPr="00B72C0F">
              <w:rPr>
                <w:rStyle w:val="Hyperlink"/>
                <w:noProof/>
              </w:rPr>
              <w:t>Introduction</w:t>
            </w:r>
            <w:r w:rsidR="00DE07A3">
              <w:rPr>
                <w:noProof/>
                <w:webHidden/>
              </w:rPr>
              <w:tab/>
            </w:r>
            <w:r w:rsidR="00DE07A3">
              <w:rPr>
                <w:noProof/>
                <w:webHidden/>
              </w:rPr>
              <w:fldChar w:fldCharType="begin"/>
            </w:r>
            <w:r w:rsidR="00DE07A3">
              <w:rPr>
                <w:noProof/>
                <w:webHidden/>
              </w:rPr>
              <w:instrText xml:space="preserve"> PAGEREF _Toc13125206 \h </w:instrText>
            </w:r>
            <w:r w:rsidR="00DE07A3">
              <w:rPr>
                <w:noProof/>
                <w:webHidden/>
              </w:rPr>
            </w:r>
            <w:r w:rsidR="00DE07A3">
              <w:rPr>
                <w:noProof/>
                <w:webHidden/>
              </w:rPr>
              <w:fldChar w:fldCharType="separate"/>
            </w:r>
            <w:r w:rsidR="00DE07A3">
              <w:rPr>
                <w:noProof/>
                <w:webHidden/>
              </w:rPr>
              <w:t>2</w:t>
            </w:r>
            <w:r w:rsidR="00DE07A3">
              <w:rPr>
                <w:noProof/>
                <w:webHidden/>
              </w:rPr>
              <w:fldChar w:fldCharType="end"/>
            </w:r>
          </w:hyperlink>
        </w:p>
        <w:p w:rsidR="00DE07A3" w:rsidRDefault="00DE07A3">
          <w:pPr>
            <w:pStyle w:val="TOC2"/>
            <w:tabs>
              <w:tab w:val="left" w:pos="660"/>
              <w:tab w:val="right" w:leader="dot" w:pos="9016"/>
            </w:tabs>
            <w:rPr>
              <w:rFonts w:eastAsiaTheme="minorEastAsia"/>
              <w:noProof/>
              <w:lang w:eastAsia="en-GB"/>
            </w:rPr>
          </w:pPr>
          <w:hyperlink w:anchor="_Toc13125207" w:history="1">
            <w:r w:rsidRPr="00B72C0F">
              <w:rPr>
                <w:rStyle w:val="Hyperlink"/>
                <w:noProof/>
              </w:rPr>
              <w:t>2.</w:t>
            </w:r>
            <w:r>
              <w:rPr>
                <w:rFonts w:eastAsiaTheme="minorEastAsia"/>
                <w:noProof/>
                <w:lang w:eastAsia="en-GB"/>
              </w:rPr>
              <w:tab/>
            </w:r>
            <w:r w:rsidRPr="00B72C0F">
              <w:rPr>
                <w:rStyle w:val="Hyperlink"/>
                <w:noProof/>
              </w:rPr>
              <w:t>Summary of key findings</w:t>
            </w:r>
            <w:r>
              <w:rPr>
                <w:noProof/>
                <w:webHidden/>
              </w:rPr>
              <w:tab/>
            </w:r>
            <w:r>
              <w:rPr>
                <w:noProof/>
                <w:webHidden/>
              </w:rPr>
              <w:fldChar w:fldCharType="begin"/>
            </w:r>
            <w:r>
              <w:rPr>
                <w:noProof/>
                <w:webHidden/>
              </w:rPr>
              <w:instrText xml:space="preserve"> PAGEREF _Toc13125207 \h </w:instrText>
            </w:r>
            <w:r>
              <w:rPr>
                <w:noProof/>
                <w:webHidden/>
              </w:rPr>
            </w:r>
            <w:r>
              <w:rPr>
                <w:noProof/>
                <w:webHidden/>
              </w:rPr>
              <w:fldChar w:fldCharType="separate"/>
            </w:r>
            <w:r>
              <w:rPr>
                <w:noProof/>
                <w:webHidden/>
              </w:rPr>
              <w:t>2</w:t>
            </w:r>
            <w:r>
              <w:rPr>
                <w:noProof/>
                <w:webHidden/>
              </w:rPr>
              <w:fldChar w:fldCharType="end"/>
            </w:r>
          </w:hyperlink>
        </w:p>
        <w:p w:rsidR="00DE07A3" w:rsidRDefault="00DE07A3">
          <w:pPr>
            <w:pStyle w:val="TOC2"/>
            <w:tabs>
              <w:tab w:val="left" w:pos="660"/>
              <w:tab w:val="right" w:leader="dot" w:pos="9016"/>
            </w:tabs>
            <w:rPr>
              <w:rFonts w:eastAsiaTheme="minorEastAsia"/>
              <w:noProof/>
              <w:lang w:eastAsia="en-GB"/>
            </w:rPr>
          </w:pPr>
          <w:hyperlink w:anchor="_Toc13125208" w:history="1">
            <w:r w:rsidRPr="00B72C0F">
              <w:rPr>
                <w:rStyle w:val="Hyperlink"/>
                <w:noProof/>
              </w:rPr>
              <w:t>3.</w:t>
            </w:r>
            <w:r>
              <w:rPr>
                <w:rFonts w:eastAsiaTheme="minorEastAsia"/>
                <w:noProof/>
                <w:lang w:eastAsia="en-GB"/>
              </w:rPr>
              <w:tab/>
            </w:r>
            <w:r w:rsidRPr="00B72C0F">
              <w:rPr>
                <w:rStyle w:val="Hyperlink"/>
                <w:noProof/>
              </w:rPr>
              <w:t>Overview &amp; demographic indicators</w:t>
            </w:r>
            <w:r>
              <w:rPr>
                <w:noProof/>
                <w:webHidden/>
              </w:rPr>
              <w:tab/>
            </w:r>
            <w:r>
              <w:rPr>
                <w:noProof/>
                <w:webHidden/>
              </w:rPr>
              <w:fldChar w:fldCharType="begin"/>
            </w:r>
            <w:r>
              <w:rPr>
                <w:noProof/>
                <w:webHidden/>
              </w:rPr>
              <w:instrText xml:space="preserve"> PAGEREF _Toc13125208 \h </w:instrText>
            </w:r>
            <w:r>
              <w:rPr>
                <w:noProof/>
                <w:webHidden/>
              </w:rPr>
            </w:r>
            <w:r>
              <w:rPr>
                <w:noProof/>
                <w:webHidden/>
              </w:rPr>
              <w:fldChar w:fldCharType="separate"/>
            </w:r>
            <w:r>
              <w:rPr>
                <w:noProof/>
                <w:webHidden/>
              </w:rPr>
              <w:t>4</w:t>
            </w:r>
            <w:r>
              <w:rPr>
                <w:noProof/>
                <w:webHidden/>
              </w:rPr>
              <w:fldChar w:fldCharType="end"/>
            </w:r>
          </w:hyperlink>
        </w:p>
        <w:p w:rsidR="00DE07A3" w:rsidRDefault="00DE07A3">
          <w:pPr>
            <w:pStyle w:val="TOC2"/>
            <w:tabs>
              <w:tab w:val="left" w:pos="660"/>
              <w:tab w:val="right" w:leader="dot" w:pos="9016"/>
            </w:tabs>
            <w:rPr>
              <w:rFonts w:eastAsiaTheme="minorEastAsia"/>
              <w:noProof/>
              <w:lang w:eastAsia="en-GB"/>
            </w:rPr>
          </w:pPr>
          <w:hyperlink w:anchor="_Toc13125209" w:history="1">
            <w:r w:rsidRPr="00B72C0F">
              <w:rPr>
                <w:rStyle w:val="Hyperlink"/>
                <w:noProof/>
              </w:rPr>
              <w:t>4.</w:t>
            </w:r>
            <w:r>
              <w:rPr>
                <w:rFonts w:eastAsiaTheme="minorEastAsia"/>
                <w:noProof/>
                <w:lang w:eastAsia="en-GB"/>
              </w:rPr>
              <w:tab/>
            </w:r>
            <w:r w:rsidRPr="00B72C0F">
              <w:rPr>
                <w:rStyle w:val="Hyperlink"/>
                <w:noProof/>
              </w:rPr>
              <w:t>Optimising health &amp; reducing risks early indicators</w:t>
            </w:r>
            <w:r>
              <w:rPr>
                <w:noProof/>
                <w:webHidden/>
              </w:rPr>
              <w:tab/>
            </w:r>
            <w:r>
              <w:rPr>
                <w:noProof/>
                <w:webHidden/>
              </w:rPr>
              <w:fldChar w:fldCharType="begin"/>
            </w:r>
            <w:r>
              <w:rPr>
                <w:noProof/>
                <w:webHidden/>
              </w:rPr>
              <w:instrText xml:space="preserve"> PAGEREF _Toc13125209 \h </w:instrText>
            </w:r>
            <w:r>
              <w:rPr>
                <w:noProof/>
                <w:webHidden/>
              </w:rPr>
            </w:r>
            <w:r>
              <w:rPr>
                <w:noProof/>
                <w:webHidden/>
              </w:rPr>
              <w:fldChar w:fldCharType="separate"/>
            </w:r>
            <w:r>
              <w:rPr>
                <w:noProof/>
                <w:webHidden/>
              </w:rPr>
              <w:t>7</w:t>
            </w:r>
            <w:r>
              <w:rPr>
                <w:noProof/>
                <w:webHidden/>
              </w:rPr>
              <w:fldChar w:fldCharType="end"/>
            </w:r>
          </w:hyperlink>
        </w:p>
        <w:p w:rsidR="00DE07A3" w:rsidRDefault="00DE07A3">
          <w:pPr>
            <w:pStyle w:val="TOC2"/>
            <w:tabs>
              <w:tab w:val="left" w:pos="660"/>
              <w:tab w:val="right" w:leader="dot" w:pos="9016"/>
            </w:tabs>
            <w:rPr>
              <w:rFonts w:eastAsiaTheme="minorEastAsia"/>
              <w:noProof/>
              <w:lang w:eastAsia="en-GB"/>
            </w:rPr>
          </w:pPr>
          <w:hyperlink w:anchor="_Toc13125210" w:history="1">
            <w:r w:rsidRPr="00B72C0F">
              <w:rPr>
                <w:rStyle w:val="Hyperlink"/>
                <w:noProof/>
              </w:rPr>
              <w:t>5.</w:t>
            </w:r>
            <w:r>
              <w:rPr>
                <w:rFonts w:eastAsiaTheme="minorEastAsia"/>
                <w:noProof/>
                <w:lang w:eastAsia="en-GB"/>
              </w:rPr>
              <w:tab/>
            </w:r>
            <w:r w:rsidRPr="00B72C0F">
              <w:rPr>
                <w:rStyle w:val="Hyperlink"/>
                <w:noProof/>
              </w:rPr>
              <w:t>Improving wellbeing and wider determinants of health indicators</w:t>
            </w:r>
            <w:r>
              <w:rPr>
                <w:noProof/>
                <w:webHidden/>
              </w:rPr>
              <w:tab/>
            </w:r>
            <w:r>
              <w:rPr>
                <w:noProof/>
                <w:webHidden/>
              </w:rPr>
              <w:fldChar w:fldCharType="begin"/>
            </w:r>
            <w:r>
              <w:rPr>
                <w:noProof/>
                <w:webHidden/>
              </w:rPr>
              <w:instrText xml:space="preserve"> PAGEREF _Toc13125210 \h </w:instrText>
            </w:r>
            <w:r>
              <w:rPr>
                <w:noProof/>
                <w:webHidden/>
              </w:rPr>
            </w:r>
            <w:r>
              <w:rPr>
                <w:noProof/>
                <w:webHidden/>
              </w:rPr>
              <w:fldChar w:fldCharType="separate"/>
            </w:r>
            <w:r>
              <w:rPr>
                <w:noProof/>
                <w:webHidden/>
              </w:rPr>
              <w:t>10</w:t>
            </w:r>
            <w:r>
              <w:rPr>
                <w:noProof/>
                <w:webHidden/>
              </w:rPr>
              <w:fldChar w:fldCharType="end"/>
            </w:r>
          </w:hyperlink>
        </w:p>
        <w:p w:rsidR="00DE07A3" w:rsidRDefault="00DE07A3">
          <w:pPr>
            <w:pStyle w:val="TOC2"/>
            <w:tabs>
              <w:tab w:val="left" w:pos="660"/>
              <w:tab w:val="right" w:leader="dot" w:pos="9016"/>
            </w:tabs>
            <w:rPr>
              <w:rFonts w:eastAsiaTheme="minorEastAsia"/>
              <w:noProof/>
              <w:lang w:eastAsia="en-GB"/>
            </w:rPr>
          </w:pPr>
          <w:hyperlink w:anchor="_Toc13125211" w:history="1">
            <w:r w:rsidRPr="00B72C0F">
              <w:rPr>
                <w:rStyle w:val="Hyperlink"/>
                <w:noProof/>
              </w:rPr>
              <w:t>6.</w:t>
            </w:r>
            <w:r>
              <w:rPr>
                <w:rFonts w:eastAsiaTheme="minorEastAsia"/>
                <w:noProof/>
                <w:lang w:eastAsia="en-GB"/>
              </w:rPr>
              <w:tab/>
            </w:r>
            <w:r w:rsidRPr="00B72C0F">
              <w:rPr>
                <w:rStyle w:val="Hyperlink"/>
                <w:noProof/>
              </w:rPr>
              <w:t>Reverse or live well with long term conditions indicators</w:t>
            </w:r>
            <w:r>
              <w:rPr>
                <w:noProof/>
                <w:webHidden/>
              </w:rPr>
              <w:tab/>
            </w:r>
            <w:r>
              <w:rPr>
                <w:noProof/>
                <w:webHidden/>
              </w:rPr>
              <w:fldChar w:fldCharType="begin"/>
            </w:r>
            <w:r>
              <w:rPr>
                <w:noProof/>
                <w:webHidden/>
              </w:rPr>
              <w:instrText xml:space="preserve"> PAGEREF _Toc13125211 \h </w:instrText>
            </w:r>
            <w:r>
              <w:rPr>
                <w:noProof/>
                <w:webHidden/>
              </w:rPr>
            </w:r>
            <w:r>
              <w:rPr>
                <w:noProof/>
                <w:webHidden/>
              </w:rPr>
              <w:fldChar w:fldCharType="separate"/>
            </w:r>
            <w:r>
              <w:rPr>
                <w:noProof/>
                <w:webHidden/>
              </w:rPr>
              <w:t>13</w:t>
            </w:r>
            <w:r>
              <w:rPr>
                <w:noProof/>
                <w:webHidden/>
              </w:rPr>
              <w:fldChar w:fldCharType="end"/>
            </w:r>
          </w:hyperlink>
        </w:p>
        <w:p w:rsidR="00DE07A3" w:rsidRDefault="00DE07A3">
          <w:pPr>
            <w:pStyle w:val="TOC2"/>
            <w:tabs>
              <w:tab w:val="left" w:pos="660"/>
              <w:tab w:val="right" w:leader="dot" w:pos="9016"/>
            </w:tabs>
            <w:rPr>
              <w:rFonts w:eastAsiaTheme="minorEastAsia"/>
              <w:noProof/>
              <w:lang w:eastAsia="en-GB"/>
            </w:rPr>
          </w:pPr>
          <w:hyperlink w:anchor="_Toc13125212" w:history="1">
            <w:r w:rsidRPr="00B72C0F">
              <w:rPr>
                <w:rStyle w:val="Hyperlink"/>
                <w:noProof/>
              </w:rPr>
              <w:t>7.</w:t>
            </w:r>
            <w:r>
              <w:rPr>
                <w:rFonts w:eastAsiaTheme="minorEastAsia"/>
                <w:noProof/>
                <w:lang w:eastAsia="en-GB"/>
              </w:rPr>
              <w:tab/>
            </w:r>
            <w:r w:rsidRPr="00B72C0F">
              <w:rPr>
                <w:rStyle w:val="Hyperlink"/>
                <w:noProof/>
              </w:rPr>
              <w:t>Enhanced care &amp; support indicators</w:t>
            </w:r>
            <w:r>
              <w:rPr>
                <w:noProof/>
                <w:webHidden/>
              </w:rPr>
              <w:tab/>
            </w:r>
            <w:r>
              <w:rPr>
                <w:noProof/>
                <w:webHidden/>
              </w:rPr>
              <w:fldChar w:fldCharType="begin"/>
            </w:r>
            <w:r>
              <w:rPr>
                <w:noProof/>
                <w:webHidden/>
              </w:rPr>
              <w:instrText xml:space="preserve"> PAGEREF _Toc13125212 \h </w:instrText>
            </w:r>
            <w:r>
              <w:rPr>
                <w:noProof/>
                <w:webHidden/>
              </w:rPr>
            </w:r>
            <w:r>
              <w:rPr>
                <w:noProof/>
                <w:webHidden/>
              </w:rPr>
              <w:fldChar w:fldCharType="separate"/>
            </w:r>
            <w:r>
              <w:rPr>
                <w:noProof/>
                <w:webHidden/>
              </w:rPr>
              <w:t>16</w:t>
            </w:r>
            <w:r>
              <w:rPr>
                <w:noProof/>
                <w:webHidden/>
              </w:rPr>
              <w:fldChar w:fldCharType="end"/>
            </w:r>
          </w:hyperlink>
        </w:p>
        <w:p w:rsidR="00387E25" w:rsidRDefault="00387E25">
          <w:r>
            <w:rPr>
              <w:b/>
              <w:bCs/>
              <w:noProof/>
            </w:rPr>
            <w:fldChar w:fldCharType="end"/>
          </w:r>
        </w:p>
      </w:sdtContent>
    </w:sdt>
    <w:p w:rsidR="00051664" w:rsidRDefault="00051664">
      <w:pPr>
        <w:rPr>
          <w:b/>
        </w:rPr>
      </w:pPr>
    </w:p>
    <w:p w:rsidR="00A82D39" w:rsidRPr="00A82D39" w:rsidRDefault="00A82D39" w:rsidP="00A82D39">
      <w:pPr>
        <w:pStyle w:val="Heading2"/>
        <w:numPr>
          <w:ilvl w:val="0"/>
          <w:numId w:val="3"/>
        </w:numPr>
      </w:pPr>
      <w:bookmarkStart w:id="0" w:name="_Toc13125206"/>
      <w:r>
        <w:t>Introduction</w:t>
      </w:r>
      <w:bookmarkEnd w:id="0"/>
    </w:p>
    <w:p w:rsidR="00051664" w:rsidRDefault="00051664">
      <w:pPr>
        <w:rPr>
          <w:b/>
        </w:rPr>
      </w:pPr>
    </w:p>
    <w:p w:rsidR="00A82D39" w:rsidRDefault="0034258C">
      <w:r>
        <w:t>The purpose of this report is to propose</w:t>
      </w:r>
      <w:r w:rsidR="005444DC">
        <w:t xml:space="preserve"> and provide an overview of</w:t>
      </w:r>
      <w:r>
        <w:t xml:space="preserve"> a </w:t>
      </w:r>
      <w:r w:rsidR="0057420F">
        <w:t>number of data indicators to comprise an ‘Ageing Well dataset’ to support the Cambridgeshire &amp; Peterborough Ageing Well Board in better understanding</w:t>
      </w:r>
      <w:r w:rsidR="00DE07A3">
        <w:t xml:space="preserve"> local</w:t>
      </w:r>
      <w:r w:rsidR="0057420F">
        <w:t xml:space="preserve"> health and wellbeing issues relating to principles of healthy ageing in adults and </w:t>
      </w:r>
      <w:r w:rsidR="007D3720">
        <w:t xml:space="preserve">the </w:t>
      </w:r>
      <w:r w:rsidR="0057420F">
        <w:t>commission</w:t>
      </w:r>
      <w:r w:rsidR="007D3720">
        <w:t>ing of</w:t>
      </w:r>
      <w:r w:rsidR="0057420F">
        <w:t xml:space="preserve"> services and interventions to improve outcomes where required. The dataset is comprised of a number of indications at both district (Cambridge, East Cambridgeshire, Fenland, Huntingdonshire and Cambridgeshire) and local authority (Cambridgeshire and Peterborough) levels, sourced from a range of data providers including Public Health England (PHE), the Office for National Statistics (ONS) and </w:t>
      </w:r>
      <w:r w:rsidR="007D3720">
        <w:t xml:space="preserve">NHS </w:t>
      </w:r>
      <w:r w:rsidR="0057420F">
        <w:t xml:space="preserve">hospital activity data. Data are arranged in to five key areas in line with Public Health England’s ‘Productive Healthy Ageing’ profile: 1. Demographics and mortality, 2. Optimise health and reduce risks early, 3. Improve wellbeing and wider determinants of health, 4. Reverse or live well with a long-term condition, 5. Enhance care and support. </w:t>
      </w:r>
    </w:p>
    <w:p w:rsidR="0057420F" w:rsidRPr="0034258C" w:rsidRDefault="0057420F">
      <w:r>
        <w:t xml:space="preserve">A summary of key findings is provided below and more detailed information follows throughout this report as per the contents outlined above. </w:t>
      </w:r>
    </w:p>
    <w:p w:rsidR="00A82D39" w:rsidRDefault="00A82D39">
      <w:pPr>
        <w:rPr>
          <w:b/>
        </w:rPr>
      </w:pPr>
    </w:p>
    <w:p w:rsidR="00A82D39" w:rsidRPr="00A82D39" w:rsidRDefault="00A82D39" w:rsidP="00A82D39">
      <w:pPr>
        <w:pStyle w:val="Heading2"/>
        <w:numPr>
          <w:ilvl w:val="0"/>
          <w:numId w:val="3"/>
        </w:numPr>
      </w:pPr>
      <w:bookmarkStart w:id="1" w:name="_Toc13125207"/>
      <w:r>
        <w:t>Summary of key findings</w:t>
      </w:r>
      <w:bookmarkEnd w:id="1"/>
    </w:p>
    <w:p w:rsidR="00051664" w:rsidRDefault="00051664">
      <w:pPr>
        <w:rPr>
          <w:b/>
        </w:rPr>
      </w:pPr>
    </w:p>
    <w:p w:rsidR="00FF7E4E" w:rsidRPr="00FF7E4E" w:rsidRDefault="00FF7E4E" w:rsidP="00FF7E4E">
      <w:pPr>
        <w:rPr>
          <w:b/>
        </w:rPr>
      </w:pPr>
      <w:r>
        <w:rPr>
          <w:b/>
        </w:rPr>
        <w:t>Indicators that show good healthcare outcomes in Cambridgeshire &amp; Peterborough in relation to ageing well include:</w:t>
      </w:r>
    </w:p>
    <w:p w:rsidR="00FF7E4E" w:rsidRPr="00FF7E4E" w:rsidRDefault="00FF7E4E" w:rsidP="00FF7E4E">
      <w:r w:rsidRPr="00FF7E4E">
        <w:t>- Directly age-standardised rates of deaths from cardiovascular disease, respira</w:t>
      </w:r>
      <w:r>
        <w:t>tory disease and cancer are all</w:t>
      </w:r>
      <w:r w:rsidRPr="00FF7E4E">
        <w:t xml:space="preserve"> statistically significantly lower </w:t>
      </w:r>
      <w:r w:rsidR="007D3720">
        <w:t>a</w:t>
      </w:r>
      <w:r w:rsidR="00D3634A">
        <w:t>mong residents aged 65 and older</w:t>
      </w:r>
      <w:r w:rsidR="007D3720">
        <w:t xml:space="preserve"> in Cambridgeshire than</w:t>
      </w:r>
      <w:r w:rsidR="00162F6C">
        <w:t xml:space="preserve"> in</w:t>
      </w:r>
      <w:r w:rsidR="007D3720">
        <w:t xml:space="preserve"> England. </w:t>
      </w:r>
    </w:p>
    <w:p w:rsidR="00FF7E4E" w:rsidRPr="00FF7E4E" w:rsidRDefault="00FF7E4E" w:rsidP="00FF7E4E">
      <w:r w:rsidRPr="00FF7E4E">
        <w:t>- Life expectancy at 65 is statistically significantly higher than the national average in Cambridgeshire and three of its districts; East Cambridgeshire, Huntingdonshire and South Cambridgeshire.</w:t>
      </w:r>
    </w:p>
    <w:p w:rsidR="00FF7E4E" w:rsidRPr="00FF7E4E" w:rsidRDefault="00FF7E4E" w:rsidP="00FF7E4E">
      <w:r w:rsidRPr="00FF7E4E">
        <w:t>- Directly age-standardised rates of inpat</w:t>
      </w:r>
      <w:r w:rsidR="00D3634A">
        <w:t>ient admissions in residents aged 65 and older</w:t>
      </w:r>
      <w:r w:rsidRPr="00FF7E4E">
        <w:t xml:space="preserve"> are statistically significantly lower than the Cambridgeshire &amp; Peterborough average in Peterborough, Cambridge, East Cambridgeshire and South Cambridgeshire. </w:t>
      </w:r>
    </w:p>
    <w:p w:rsidR="00FF7E4E" w:rsidRPr="00FF7E4E" w:rsidRDefault="00FF7E4E" w:rsidP="00FF7E4E">
      <w:r w:rsidRPr="00FF7E4E">
        <w:lastRenderedPageBreak/>
        <w:t xml:space="preserve">- Directly age-standardised rates of </w:t>
      </w:r>
      <w:r w:rsidR="00D3634A">
        <w:t xml:space="preserve">A&amp;E attendances in residents aged 75 and older </w:t>
      </w:r>
      <w:r w:rsidRPr="00FF7E4E">
        <w:t>are statistically significantly lower than the Cambridgeshire &amp; Peterborough average in Cambridgeshire, Cambridge, Huntingdonshire and South Cambridgeshire.</w:t>
      </w:r>
    </w:p>
    <w:p w:rsidR="00051664" w:rsidRDefault="00FF7E4E" w:rsidP="00FF7E4E">
      <w:r w:rsidRPr="00FF7E4E">
        <w:t>- Recorded osteoporosis prevalence is statistically significantly lower than the national average in all areas of Cambridgeshire &amp; Peterborough with the exception of East Cambridgeshire and South Cambridgeshire.</w:t>
      </w:r>
    </w:p>
    <w:p w:rsidR="00FF7E4E" w:rsidRPr="00FF7E4E" w:rsidRDefault="00D3634A" w:rsidP="00FF7E4E">
      <w:r>
        <w:rPr>
          <w:b/>
        </w:rPr>
        <w:t>Indicators that show poor</w:t>
      </w:r>
      <w:r w:rsidR="00FF7E4E">
        <w:rPr>
          <w:b/>
        </w:rPr>
        <w:t xml:space="preserve"> healthc</w:t>
      </w:r>
      <w:r w:rsidR="007D3720">
        <w:rPr>
          <w:b/>
        </w:rPr>
        <w:t xml:space="preserve">are outcomes in Cambridgeshire </w:t>
      </w:r>
      <w:r w:rsidR="00FF7E4E">
        <w:rPr>
          <w:b/>
        </w:rPr>
        <w:t>&amp; Peterborough with regard to ageing well, that may necessitate further investigation and/or the commissioning of alternative/new interventions to improve outcomes include:</w:t>
      </w:r>
    </w:p>
    <w:p w:rsidR="00FF7E4E" w:rsidRPr="00FF7E4E" w:rsidRDefault="00FF7E4E" w:rsidP="00FF7E4E">
      <w:r w:rsidRPr="00FF7E4E">
        <w:t>- Life expectancy at 65 is statistically significantly lower than the England average in Peterborough and Fenland</w:t>
      </w:r>
      <w:r w:rsidR="002006C3">
        <w:t>.</w:t>
      </w:r>
    </w:p>
    <w:p w:rsidR="00FF7E4E" w:rsidRPr="00FF7E4E" w:rsidRDefault="00FF7E4E" w:rsidP="00FF7E4E">
      <w:r w:rsidRPr="00FF7E4E">
        <w:t>- Inequality in life expectancy at 65 between residents in most and least deprived areas are notably high for both males and females in Cambridge (in the worst quintil</w:t>
      </w:r>
      <w:r w:rsidR="002006C3">
        <w:t>e nationally for both males and females</w:t>
      </w:r>
      <w:r w:rsidRPr="00FF7E4E">
        <w:t>) and in Peterborough (in the second-worst quintil</w:t>
      </w:r>
      <w:r w:rsidR="002006C3">
        <w:t>e nationally for both males and females</w:t>
      </w:r>
      <w:r w:rsidRPr="00FF7E4E">
        <w:t xml:space="preserve">). </w:t>
      </w:r>
    </w:p>
    <w:p w:rsidR="00FF7E4E" w:rsidRPr="00FF7E4E" w:rsidRDefault="00FF7E4E" w:rsidP="00FF7E4E">
      <w:r w:rsidRPr="00FF7E4E">
        <w:t>- The directly age-standardised rate of deaths from respirato</w:t>
      </w:r>
      <w:r w:rsidR="00937E1F">
        <w:t>ry disease in residents aged 65 and older</w:t>
      </w:r>
      <w:r w:rsidR="00112475">
        <w:t xml:space="preserve"> is</w:t>
      </w:r>
      <w:r w:rsidRPr="00FF7E4E">
        <w:t xml:space="preserve"> statistically significantly higher in Peterborough than</w:t>
      </w:r>
      <w:r w:rsidR="00112475">
        <w:t xml:space="preserve"> in</w:t>
      </w:r>
      <w:r w:rsidRPr="00FF7E4E">
        <w:t xml:space="preserve"> England.</w:t>
      </w:r>
    </w:p>
    <w:p w:rsidR="00FF7E4E" w:rsidRPr="00FF7E4E" w:rsidRDefault="00FF7E4E" w:rsidP="00FF7E4E">
      <w:r w:rsidRPr="00FF7E4E">
        <w:t xml:space="preserve">- Directly age-standardised rates of emergency hospital admissions for falls are statistically significantly higher than the national average in Cambridge for residents aged 65+, 65-79 only and 80+ only. </w:t>
      </w:r>
    </w:p>
    <w:p w:rsidR="00FF7E4E" w:rsidRPr="00FF7E4E" w:rsidRDefault="00FF7E4E" w:rsidP="00FF7E4E">
      <w:r w:rsidRPr="00FF7E4E">
        <w:t>- Of 47 districts/unitary authorities in the East of England, Fenland has the second-worst score on the Access to Health</w:t>
      </w:r>
      <w:r w:rsidR="00112475">
        <w:t>y Assets &amp; Hazards (AHAH) index</w:t>
      </w:r>
      <w:r w:rsidRPr="00FF7E4E">
        <w:t xml:space="preserve">, behind only Norwich. This scores measures difficulty in accessing health services, quality of lived environment and ease of access to fast food outlets, gambling outlets, tobacconists and premises licensed to sell alcohol. </w:t>
      </w:r>
    </w:p>
    <w:p w:rsidR="00FF7E4E" w:rsidRPr="00FF7E4E" w:rsidRDefault="00112475" w:rsidP="00FF7E4E">
      <w:r>
        <w:t>- Of 47 districts/</w:t>
      </w:r>
      <w:r w:rsidR="00FF7E4E" w:rsidRPr="00FF7E4E">
        <w:t xml:space="preserve">unitary authorities in the East of England, Cambridge has the highest crude rate of noise complaints per 1,000 resident population (14.9/1,000, compared to the England average of 6.3/1,000 and East of England average of 5.0/1,000). </w:t>
      </w:r>
    </w:p>
    <w:p w:rsidR="00FF7E4E" w:rsidRPr="00FF7E4E" w:rsidRDefault="00FF7E4E" w:rsidP="00FF7E4E">
      <w:r w:rsidRPr="00FF7E4E">
        <w:t xml:space="preserve">- The estimated dementia diagnosis rate in residents aged 65+ is statistically significantly lower than the England average in Cambridgeshire, East Cambridgeshire, Fenland and South Cambridgeshire. </w:t>
      </w:r>
    </w:p>
    <w:p w:rsidR="00FF7E4E" w:rsidRPr="00FF7E4E" w:rsidRDefault="00FF7E4E" w:rsidP="00FF7E4E">
      <w:r w:rsidRPr="00FF7E4E">
        <w:t xml:space="preserve">- The estimated diabetes diagnosis rate is statistically significantly lower than the England average in Cambridge and South Cambridgeshire. </w:t>
      </w:r>
    </w:p>
    <w:p w:rsidR="00FF7E4E" w:rsidRPr="00FF7E4E" w:rsidRDefault="00FF7E4E" w:rsidP="00FF7E4E">
      <w:r w:rsidRPr="00FF7E4E">
        <w:t xml:space="preserve">- The proportion of the population reporting depression or anxiety is statistically significantly higher than the national average in Fenland (15.9% compared to 13.7%). </w:t>
      </w:r>
    </w:p>
    <w:p w:rsidR="00FF7E4E" w:rsidRPr="00FF7E4E" w:rsidRDefault="00FF7E4E" w:rsidP="00FF7E4E">
      <w:r w:rsidRPr="00FF7E4E">
        <w:t>- Directly age-standardised rates</w:t>
      </w:r>
      <w:r w:rsidR="00112475">
        <w:t xml:space="preserve"> of inpatient admissions in </w:t>
      </w:r>
      <w:r w:rsidRPr="00FF7E4E">
        <w:t>residents</w:t>
      </w:r>
      <w:r w:rsidR="00112475">
        <w:t xml:space="preserve"> aged 75 and older</w:t>
      </w:r>
      <w:r w:rsidRPr="00FF7E4E">
        <w:t xml:space="preserve"> are statistically significantly higher than the Cambridgeshire and Peterborough average in Cambridgeshire, Fenland and Huntingdonshire.</w:t>
      </w:r>
    </w:p>
    <w:p w:rsidR="00A82D39" w:rsidRDefault="00FF7E4E" w:rsidP="00A82D39">
      <w:r w:rsidRPr="00FF7E4E">
        <w:t xml:space="preserve">- Directly age-standardised rates of </w:t>
      </w:r>
      <w:r w:rsidR="00112475">
        <w:t>A&amp;E attendances in residents aged 75 and older</w:t>
      </w:r>
      <w:r w:rsidRPr="00FF7E4E">
        <w:t xml:space="preserve"> are statistically significantly higher than the Cambridgeshire and Peterborough average in Peterborough and Fenland.</w:t>
      </w:r>
    </w:p>
    <w:p w:rsidR="00A82D39" w:rsidRDefault="00A82D39" w:rsidP="00A82D39"/>
    <w:p w:rsidR="00A82D39" w:rsidRPr="00A82D39" w:rsidRDefault="00A82D39" w:rsidP="00A82D39">
      <w:pPr>
        <w:sectPr w:rsidR="00A82D39" w:rsidRPr="00A82D39" w:rsidSect="00051664">
          <w:footerReference w:type="default" r:id="rId9"/>
          <w:pgSz w:w="11906" w:h="16838"/>
          <w:pgMar w:top="1440" w:right="1440" w:bottom="1440" w:left="1440" w:header="708" w:footer="708" w:gutter="0"/>
          <w:cols w:space="708"/>
          <w:docGrid w:linePitch="360"/>
        </w:sectPr>
      </w:pPr>
    </w:p>
    <w:p w:rsidR="00AF6D19" w:rsidRPr="00A82D39" w:rsidRDefault="00AF6D19" w:rsidP="00AF6D19">
      <w:pPr>
        <w:pStyle w:val="Heading2"/>
        <w:numPr>
          <w:ilvl w:val="0"/>
          <w:numId w:val="3"/>
        </w:numPr>
      </w:pPr>
      <w:bookmarkStart w:id="2" w:name="_Toc13125208"/>
      <w:r w:rsidRPr="00A82D39">
        <w:lastRenderedPageBreak/>
        <w:t>Overview &amp; demographic indicators</w:t>
      </w:r>
      <w:bookmarkEnd w:id="2"/>
    </w:p>
    <w:p w:rsidR="00E63BB6" w:rsidRDefault="00E63BB6" w:rsidP="00E63BB6">
      <w:pPr>
        <w:rPr>
          <w:b/>
        </w:rPr>
      </w:pPr>
    </w:p>
    <w:p w:rsidR="00AF467A" w:rsidRPr="00D83C7B" w:rsidRDefault="00D83C7B" w:rsidP="00E63BB6">
      <w:pPr>
        <w:rPr>
          <w:b/>
        </w:rPr>
      </w:pPr>
      <w:r w:rsidRPr="00D83C7B">
        <w:rPr>
          <w:b/>
        </w:rPr>
        <w:t xml:space="preserve">Figure </w:t>
      </w:r>
      <w:r w:rsidR="002E16E6">
        <w:rPr>
          <w:b/>
        </w:rPr>
        <w:t>1: Overview &amp; demographic i</w:t>
      </w:r>
      <w:r w:rsidR="004D3DFA">
        <w:rPr>
          <w:b/>
        </w:rPr>
        <w:t>ndicators</w:t>
      </w:r>
    </w:p>
    <w:tbl>
      <w:tblPr>
        <w:tblW w:w="5389" w:type="pct"/>
        <w:tblInd w:w="-572" w:type="dxa"/>
        <w:tblLayout w:type="fixed"/>
        <w:tblLook w:val="04A0" w:firstRow="1" w:lastRow="0" w:firstColumn="1" w:lastColumn="0" w:noHBand="0" w:noVBand="1"/>
      </w:tblPr>
      <w:tblGrid>
        <w:gridCol w:w="1985"/>
        <w:gridCol w:w="853"/>
        <w:gridCol w:w="850"/>
        <w:gridCol w:w="850"/>
        <w:gridCol w:w="852"/>
        <w:gridCol w:w="849"/>
        <w:gridCol w:w="852"/>
        <w:gridCol w:w="849"/>
        <w:gridCol w:w="852"/>
        <w:gridCol w:w="849"/>
        <w:gridCol w:w="852"/>
        <w:gridCol w:w="849"/>
        <w:gridCol w:w="849"/>
        <w:gridCol w:w="849"/>
        <w:gridCol w:w="852"/>
        <w:gridCol w:w="849"/>
        <w:gridCol w:w="995"/>
        <w:gridCol w:w="849"/>
      </w:tblGrid>
      <w:tr w:rsidR="00166E43" w:rsidRPr="00574C92" w:rsidTr="00166E43">
        <w:trPr>
          <w:trHeight w:val="300"/>
        </w:trPr>
        <w:tc>
          <w:tcPr>
            <w:tcW w:w="598"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74C92" w:rsidRPr="00574C92" w:rsidRDefault="00574C92" w:rsidP="00574C92">
            <w:pPr>
              <w:spacing w:after="0" w:line="240" w:lineRule="auto"/>
              <w:jc w:val="center"/>
              <w:rPr>
                <w:rFonts w:ascii="Calibri" w:eastAsia="Times New Roman" w:hAnsi="Calibri" w:cs="Times New Roman"/>
                <w:b/>
                <w:bCs/>
                <w:color w:val="000000"/>
                <w:sz w:val="16"/>
                <w:szCs w:val="16"/>
                <w:lang w:eastAsia="en-GB"/>
              </w:rPr>
            </w:pPr>
            <w:r w:rsidRPr="00574C92">
              <w:rPr>
                <w:rFonts w:ascii="Calibri" w:eastAsia="Times New Roman" w:hAnsi="Calibri" w:cs="Times New Roman"/>
                <w:b/>
                <w:bCs/>
                <w:color w:val="000000"/>
                <w:sz w:val="16"/>
                <w:szCs w:val="16"/>
                <w:lang w:eastAsia="en-GB"/>
              </w:rPr>
              <w:t>Indicator</w:t>
            </w:r>
          </w:p>
        </w:tc>
        <w:tc>
          <w:tcPr>
            <w:tcW w:w="25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74C92" w:rsidRPr="00574C92" w:rsidRDefault="00574C92" w:rsidP="00574C92">
            <w:pPr>
              <w:spacing w:after="0" w:line="240" w:lineRule="auto"/>
              <w:jc w:val="center"/>
              <w:rPr>
                <w:rFonts w:ascii="Calibri" w:eastAsia="Times New Roman" w:hAnsi="Calibri" w:cs="Times New Roman"/>
                <w:b/>
                <w:bCs/>
                <w:color w:val="000000"/>
                <w:sz w:val="16"/>
                <w:szCs w:val="16"/>
                <w:lang w:eastAsia="en-GB"/>
              </w:rPr>
            </w:pPr>
            <w:r w:rsidRPr="00574C92">
              <w:rPr>
                <w:rFonts w:ascii="Calibri" w:eastAsia="Times New Roman" w:hAnsi="Calibri" w:cs="Times New Roman"/>
                <w:b/>
                <w:bCs/>
                <w:color w:val="000000"/>
                <w:sz w:val="16"/>
                <w:szCs w:val="16"/>
                <w:lang w:eastAsia="en-GB"/>
              </w:rPr>
              <w:t>Time Period</w:t>
            </w:r>
          </w:p>
        </w:tc>
        <w:tc>
          <w:tcPr>
            <w:tcW w:w="4144" w:type="pct"/>
            <w:gridSpan w:val="16"/>
            <w:tcBorders>
              <w:top w:val="single" w:sz="4" w:space="0" w:color="auto"/>
              <w:left w:val="nil"/>
              <w:bottom w:val="single" w:sz="4" w:space="0" w:color="auto"/>
              <w:right w:val="single" w:sz="4" w:space="0" w:color="000000"/>
            </w:tcBorders>
            <w:shd w:val="clear" w:color="auto" w:fill="auto"/>
            <w:noWrap/>
            <w:vAlign w:val="center"/>
            <w:hideMark/>
          </w:tcPr>
          <w:p w:rsidR="00574C92" w:rsidRPr="00574C92" w:rsidRDefault="00574C92" w:rsidP="00574C92">
            <w:pPr>
              <w:spacing w:after="0" w:line="240" w:lineRule="auto"/>
              <w:jc w:val="center"/>
              <w:rPr>
                <w:rFonts w:ascii="Calibri" w:eastAsia="Times New Roman" w:hAnsi="Calibri" w:cs="Times New Roman"/>
                <w:b/>
                <w:bCs/>
                <w:color w:val="000000"/>
                <w:sz w:val="16"/>
                <w:szCs w:val="16"/>
                <w:lang w:eastAsia="en-GB"/>
              </w:rPr>
            </w:pPr>
            <w:r w:rsidRPr="00574C92">
              <w:rPr>
                <w:rFonts w:ascii="Calibri" w:eastAsia="Times New Roman" w:hAnsi="Calibri" w:cs="Times New Roman"/>
                <w:b/>
                <w:bCs/>
                <w:color w:val="000000"/>
                <w:sz w:val="16"/>
                <w:szCs w:val="16"/>
                <w:lang w:eastAsia="en-GB"/>
              </w:rPr>
              <w:t>Area</w:t>
            </w:r>
          </w:p>
        </w:tc>
      </w:tr>
      <w:tr w:rsidR="00166E43" w:rsidRPr="00574C92" w:rsidTr="00166E43">
        <w:trPr>
          <w:trHeight w:val="300"/>
        </w:trPr>
        <w:tc>
          <w:tcPr>
            <w:tcW w:w="598" w:type="pct"/>
            <w:vMerge/>
            <w:tcBorders>
              <w:top w:val="single" w:sz="4" w:space="0" w:color="auto"/>
              <w:left w:val="single" w:sz="4" w:space="0" w:color="auto"/>
              <w:bottom w:val="single" w:sz="4" w:space="0" w:color="000000"/>
              <w:right w:val="single" w:sz="4" w:space="0" w:color="auto"/>
            </w:tcBorders>
            <w:vAlign w:val="center"/>
            <w:hideMark/>
          </w:tcPr>
          <w:p w:rsidR="00574C92" w:rsidRPr="00574C92" w:rsidRDefault="00574C92" w:rsidP="00574C92">
            <w:pPr>
              <w:spacing w:after="0" w:line="240" w:lineRule="auto"/>
              <w:rPr>
                <w:rFonts w:ascii="Calibri" w:eastAsia="Times New Roman" w:hAnsi="Calibri" w:cs="Times New Roman"/>
                <w:b/>
                <w:bCs/>
                <w:color w:val="000000"/>
                <w:sz w:val="16"/>
                <w:szCs w:val="16"/>
                <w:lang w:eastAsia="en-GB"/>
              </w:rPr>
            </w:pPr>
          </w:p>
        </w:tc>
        <w:tc>
          <w:tcPr>
            <w:tcW w:w="257" w:type="pct"/>
            <w:vMerge/>
            <w:tcBorders>
              <w:top w:val="single" w:sz="4" w:space="0" w:color="auto"/>
              <w:left w:val="single" w:sz="4" w:space="0" w:color="auto"/>
              <w:bottom w:val="single" w:sz="4" w:space="0" w:color="000000"/>
              <w:right w:val="single" w:sz="4" w:space="0" w:color="auto"/>
            </w:tcBorders>
            <w:vAlign w:val="center"/>
            <w:hideMark/>
          </w:tcPr>
          <w:p w:rsidR="00574C92" w:rsidRPr="00574C92" w:rsidRDefault="00574C92" w:rsidP="00574C92">
            <w:pPr>
              <w:spacing w:after="0" w:line="240" w:lineRule="auto"/>
              <w:rPr>
                <w:rFonts w:ascii="Calibri" w:eastAsia="Times New Roman" w:hAnsi="Calibri" w:cs="Times New Roman"/>
                <w:b/>
                <w:bCs/>
                <w:color w:val="000000"/>
                <w:sz w:val="16"/>
                <w:szCs w:val="16"/>
                <w:lang w:eastAsia="en-GB"/>
              </w:rPr>
            </w:pPr>
          </w:p>
        </w:tc>
        <w:tc>
          <w:tcPr>
            <w:tcW w:w="512" w:type="pct"/>
            <w:gridSpan w:val="2"/>
            <w:tcBorders>
              <w:top w:val="single" w:sz="4" w:space="0" w:color="auto"/>
              <w:left w:val="nil"/>
              <w:bottom w:val="single" w:sz="4" w:space="0" w:color="auto"/>
              <w:right w:val="single" w:sz="4" w:space="0" w:color="auto"/>
            </w:tcBorders>
            <w:shd w:val="clear" w:color="auto" w:fill="auto"/>
            <w:noWrap/>
            <w:vAlign w:val="center"/>
            <w:hideMark/>
          </w:tcPr>
          <w:p w:rsidR="00574C92" w:rsidRPr="00574C92" w:rsidRDefault="00574C92" w:rsidP="00574C92">
            <w:pPr>
              <w:spacing w:after="0" w:line="240" w:lineRule="auto"/>
              <w:jc w:val="center"/>
              <w:rPr>
                <w:rFonts w:ascii="Calibri" w:eastAsia="Times New Roman" w:hAnsi="Calibri" w:cs="Times New Roman"/>
                <w:b/>
                <w:bCs/>
                <w:color w:val="000000"/>
                <w:sz w:val="16"/>
                <w:szCs w:val="16"/>
                <w:lang w:eastAsia="en-GB"/>
              </w:rPr>
            </w:pPr>
            <w:r w:rsidRPr="00574C92">
              <w:rPr>
                <w:rFonts w:ascii="Calibri" w:eastAsia="Times New Roman" w:hAnsi="Calibri" w:cs="Times New Roman"/>
                <w:b/>
                <w:bCs/>
                <w:color w:val="000000"/>
                <w:sz w:val="16"/>
                <w:szCs w:val="16"/>
                <w:lang w:eastAsia="en-GB"/>
              </w:rPr>
              <w:t>Cambridgeshire</w:t>
            </w:r>
          </w:p>
        </w:tc>
        <w:tc>
          <w:tcPr>
            <w:tcW w:w="513" w:type="pct"/>
            <w:gridSpan w:val="2"/>
            <w:tcBorders>
              <w:top w:val="single" w:sz="4" w:space="0" w:color="auto"/>
              <w:left w:val="nil"/>
              <w:bottom w:val="single" w:sz="4" w:space="0" w:color="auto"/>
              <w:right w:val="single" w:sz="4" w:space="0" w:color="auto"/>
            </w:tcBorders>
            <w:shd w:val="clear" w:color="auto" w:fill="auto"/>
            <w:noWrap/>
            <w:vAlign w:val="center"/>
            <w:hideMark/>
          </w:tcPr>
          <w:p w:rsidR="00574C92" w:rsidRPr="00574C92" w:rsidRDefault="00574C92" w:rsidP="00574C92">
            <w:pPr>
              <w:spacing w:after="0" w:line="240" w:lineRule="auto"/>
              <w:jc w:val="center"/>
              <w:rPr>
                <w:rFonts w:ascii="Calibri" w:eastAsia="Times New Roman" w:hAnsi="Calibri" w:cs="Times New Roman"/>
                <w:b/>
                <w:bCs/>
                <w:color w:val="000000"/>
                <w:sz w:val="16"/>
                <w:szCs w:val="16"/>
                <w:lang w:eastAsia="en-GB"/>
              </w:rPr>
            </w:pPr>
            <w:r w:rsidRPr="00574C92">
              <w:rPr>
                <w:rFonts w:ascii="Calibri" w:eastAsia="Times New Roman" w:hAnsi="Calibri" w:cs="Times New Roman"/>
                <w:b/>
                <w:bCs/>
                <w:color w:val="000000"/>
                <w:sz w:val="16"/>
                <w:szCs w:val="16"/>
                <w:lang w:eastAsia="en-GB"/>
              </w:rPr>
              <w:t>Peterborough</w:t>
            </w:r>
          </w:p>
        </w:tc>
        <w:tc>
          <w:tcPr>
            <w:tcW w:w="513" w:type="pct"/>
            <w:gridSpan w:val="2"/>
            <w:tcBorders>
              <w:top w:val="single" w:sz="4" w:space="0" w:color="auto"/>
              <w:left w:val="nil"/>
              <w:bottom w:val="single" w:sz="4" w:space="0" w:color="auto"/>
              <w:right w:val="single" w:sz="4" w:space="0" w:color="auto"/>
            </w:tcBorders>
            <w:shd w:val="clear" w:color="auto" w:fill="auto"/>
            <w:noWrap/>
            <w:vAlign w:val="center"/>
            <w:hideMark/>
          </w:tcPr>
          <w:p w:rsidR="00574C92" w:rsidRPr="00574C92" w:rsidRDefault="00574C92" w:rsidP="00574C92">
            <w:pPr>
              <w:spacing w:after="0" w:line="240" w:lineRule="auto"/>
              <w:jc w:val="center"/>
              <w:rPr>
                <w:rFonts w:ascii="Calibri" w:eastAsia="Times New Roman" w:hAnsi="Calibri" w:cs="Times New Roman"/>
                <w:b/>
                <w:bCs/>
                <w:color w:val="000000"/>
                <w:sz w:val="16"/>
                <w:szCs w:val="16"/>
                <w:lang w:eastAsia="en-GB"/>
              </w:rPr>
            </w:pPr>
            <w:r w:rsidRPr="00574C92">
              <w:rPr>
                <w:rFonts w:ascii="Calibri" w:eastAsia="Times New Roman" w:hAnsi="Calibri" w:cs="Times New Roman"/>
                <w:b/>
                <w:bCs/>
                <w:color w:val="000000"/>
                <w:sz w:val="16"/>
                <w:szCs w:val="16"/>
                <w:lang w:eastAsia="en-GB"/>
              </w:rPr>
              <w:t>Cambridge</w:t>
            </w:r>
          </w:p>
        </w:tc>
        <w:tc>
          <w:tcPr>
            <w:tcW w:w="513" w:type="pct"/>
            <w:gridSpan w:val="2"/>
            <w:tcBorders>
              <w:top w:val="single" w:sz="4" w:space="0" w:color="auto"/>
              <w:left w:val="nil"/>
              <w:bottom w:val="single" w:sz="4" w:space="0" w:color="auto"/>
              <w:right w:val="single" w:sz="4" w:space="0" w:color="auto"/>
            </w:tcBorders>
            <w:shd w:val="clear" w:color="auto" w:fill="auto"/>
            <w:noWrap/>
            <w:vAlign w:val="center"/>
            <w:hideMark/>
          </w:tcPr>
          <w:p w:rsidR="00574C92" w:rsidRPr="00574C92" w:rsidRDefault="00574C92" w:rsidP="00574C92">
            <w:pPr>
              <w:spacing w:after="0" w:line="240" w:lineRule="auto"/>
              <w:jc w:val="center"/>
              <w:rPr>
                <w:rFonts w:ascii="Calibri" w:eastAsia="Times New Roman" w:hAnsi="Calibri" w:cs="Times New Roman"/>
                <w:b/>
                <w:bCs/>
                <w:color w:val="000000"/>
                <w:sz w:val="16"/>
                <w:szCs w:val="16"/>
                <w:lang w:eastAsia="en-GB"/>
              </w:rPr>
            </w:pPr>
            <w:r w:rsidRPr="00574C92">
              <w:rPr>
                <w:rFonts w:ascii="Calibri" w:eastAsia="Times New Roman" w:hAnsi="Calibri" w:cs="Times New Roman"/>
                <w:b/>
                <w:bCs/>
                <w:color w:val="000000"/>
                <w:sz w:val="16"/>
                <w:szCs w:val="16"/>
                <w:lang w:eastAsia="en-GB"/>
              </w:rPr>
              <w:t>East Cambridgeshire</w:t>
            </w:r>
          </w:p>
        </w:tc>
        <w:tc>
          <w:tcPr>
            <w:tcW w:w="513" w:type="pct"/>
            <w:gridSpan w:val="2"/>
            <w:tcBorders>
              <w:top w:val="single" w:sz="4" w:space="0" w:color="auto"/>
              <w:left w:val="nil"/>
              <w:bottom w:val="single" w:sz="4" w:space="0" w:color="auto"/>
              <w:right w:val="single" w:sz="4" w:space="0" w:color="auto"/>
            </w:tcBorders>
            <w:shd w:val="clear" w:color="auto" w:fill="auto"/>
            <w:noWrap/>
            <w:vAlign w:val="center"/>
            <w:hideMark/>
          </w:tcPr>
          <w:p w:rsidR="00574C92" w:rsidRPr="00574C92" w:rsidRDefault="00574C92" w:rsidP="00574C92">
            <w:pPr>
              <w:spacing w:after="0" w:line="240" w:lineRule="auto"/>
              <w:jc w:val="center"/>
              <w:rPr>
                <w:rFonts w:ascii="Calibri" w:eastAsia="Times New Roman" w:hAnsi="Calibri" w:cs="Times New Roman"/>
                <w:b/>
                <w:bCs/>
                <w:color w:val="000000"/>
                <w:sz w:val="16"/>
                <w:szCs w:val="16"/>
                <w:lang w:eastAsia="en-GB"/>
              </w:rPr>
            </w:pPr>
            <w:r w:rsidRPr="00574C92">
              <w:rPr>
                <w:rFonts w:ascii="Calibri" w:eastAsia="Times New Roman" w:hAnsi="Calibri" w:cs="Times New Roman"/>
                <w:b/>
                <w:bCs/>
                <w:color w:val="000000"/>
                <w:sz w:val="16"/>
                <w:szCs w:val="16"/>
                <w:lang w:eastAsia="en-GB"/>
              </w:rPr>
              <w:t>Fenland</w:t>
            </w:r>
          </w:p>
        </w:tc>
        <w:tc>
          <w:tcPr>
            <w:tcW w:w="512" w:type="pct"/>
            <w:gridSpan w:val="2"/>
            <w:tcBorders>
              <w:top w:val="single" w:sz="4" w:space="0" w:color="auto"/>
              <w:left w:val="nil"/>
              <w:bottom w:val="single" w:sz="4" w:space="0" w:color="auto"/>
              <w:right w:val="single" w:sz="4" w:space="0" w:color="auto"/>
            </w:tcBorders>
            <w:shd w:val="clear" w:color="auto" w:fill="auto"/>
            <w:noWrap/>
            <w:vAlign w:val="center"/>
            <w:hideMark/>
          </w:tcPr>
          <w:p w:rsidR="00574C92" w:rsidRPr="00574C92" w:rsidRDefault="00574C92" w:rsidP="00574C92">
            <w:pPr>
              <w:spacing w:after="0" w:line="240" w:lineRule="auto"/>
              <w:jc w:val="center"/>
              <w:rPr>
                <w:rFonts w:ascii="Calibri" w:eastAsia="Times New Roman" w:hAnsi="Calibri" w:cs="Times New Roman"/>
                <w:b/>
                <w:bCs/>
                <w:color w:val="000000"/>
                <w:sz w:val="16"/>
                <w:szCs w:val="16"/>
                <w:lang w:eastAsia="en-GB"/>
              </w:rPr>
            </w:pPr>
            <w:r w:rsidRPr="00574C92">
              <w:rPr>
                <w:rFonts w:ascii="Calibri" w:eastAsia="Times New Roman" w:hAnsi="Calibri" w:cs="Times New Roman"/>
                <w:b/>
                <w:bCs/>
                <w:color w:val="000000"/>
                <w:sz w:val="16"/>
                <w:szCs w:val="16"/>
                <w:lang w:eastAsia="en-GB"/>
              </w:rPr>
              <w:t>Huntingdonshire</w:t>
            </w:r>
          </w:p>
        </w:tc>
        <w:tc>
          <w:tcPr>
            <w:tcW w:w="513" w:type="pct"/>
            <w:gridSpan w:val="2"/>
            <w:tcBorders>
              <w:top w:val="single" w:sz="4" w:space="0" w:color="auto"/>
              <w:left w:val="nil"/>
              <w:bottom w:val="single" w:sz="4" w:space="0" w:color="auto"/>
              <w:right w:val="single" w:sz="4" w:space="0" w:color="auto"/>
            </w:tcBorders>
            <w:shd w:val="clear" w:color="auto" w:fill="auto"/>
            <w:noWrap/>
            <w:vAlign w:val="center"/>
            <w:hideMark/>
          </w:tcPr>
          <w:p w:rsidR="00574C92" w:rsidRPr="00574C92" w:rsidRDefault="00574C92" w:rsidP="00574C92">
            <w:pPr>
              <w:spacing w:after="0" w:line="240" w:lineRule="auto"/>
              <w:jc w:val="center"/>
              <w:rPr>
                <w:rFonts w:ascii="Calibri" w:eastAsia="Times New Roman" w:hAnsi="Calibri" w:cs="Times New Roman"/>
                <w:b/>
                <w:bCs/>
                <w:color w:val="000000"/>
                <w:sz w:val="16"/>
                <w:szCs w:val="16"/>
                <w:lang w:eastAsia="en-GB"/>
              </w:rPr>
            </w:pPr>
            <w:r w:rsidRPr="00574C92">
              <w:rPr>
                <w:rFonts w:ascii="Calibri" w:eastAsia="Times New Roman" w:hAnsi="Calibri" w:cs="Times New Roman"/>
                <w:b/>
                <w:bCs/>
                <w:color w:val="000000"/>
                <w:sz w:val="16"/>
                <w:szCs w:val="16"/>
                <w:lang w:eastAsia="en-GB"/>
              </w:rPr>
              <w:t>South Cambridgeshire</w:t>
            </w:r>
          </w:p>
        </w:tc>
        <w:tc>
          <w:tcPr>
            <w:tcW w:w="556" w:type="pct"/>
            <w:gridSpan w:val="2"/>
            <w:tcBorders>
              <w:top w:val="single" w:sz="4" w:space="0" w:color="auto"/>
              <w:left w:val="nil"/>
              <w:bottom w:val="single" w:sz="4" w:space="0" w:color="auto"/>
              <w:right w:val="single" w:sz="4" w:space="0" w:color="auto"/>
            </w:tcBorders>
            <w:shd w:val="clear" w:color="auto" w:fill="auto"/>
            <w:noWrap/>
            <w:vAlign w:val="center"/>
            <w:hideMark/>
          </w:tcPr>
          <w:p w:rsidR="00574C92" w:rsidRPr="00574C92" w:rsidRDefault="00574C92" w:rsidP="00574C92">
            <w:pPr>
              <w:spacing w:after="0" w:line="240" w:lineRule="auto"/>
              <w:jc w:val="center"/>
              <w:rPr>
                <w:rFonts w:ascii="Calibri" w:eastAsia="Times New Roman" w:hAnsi="Calibri" w:cs="Times New Roman"/>
                <w:b/>
                <w:bCs/>
                <w:color w:val="000000"/>
                <w:sz w:val="16"/>
                <w:szCs w:val="16"/>
                <w:lang w:eastAsia="en-GB"/>
              </w:rPr>
            </w:pPr>
            <w:r w:rsidRPr="00574C92">
              <w:rPr>
                <w:rFonts w:ascii="Calibri" w:eastAsia="Times New Roman" w:hAnsi="Calibri" w:cs="Times New Roman"/>
                <w:b/>
                <w:bCs/>
                <w:color w:val="000000"/>
                <w:sz w:val="16"/>
                <w:szCs w:val="16"/>
                <w:lang w:eastAsia="en-GB"/>
              </w:rPr>
              <w:t>England</w:t>
            </w:r>
          </w:p>
        </w:tc>
      </w:tr>
      <w:tr w:rsidR="00166E43" w:rsidRPr="00574C92" w:rsidTr="00166E43">
        <w:trPr>
          <w:trHeight w:val="300"/>
        </w:trPr>
        <w:tc>
          <w:tcPr>
            <w:tcW w:w="598" w:type="pct"/>
            <w:vMerge/>
            <w:tcBorders>
              <w:top w:val="single" w:sz="4" w:space="0" w:color="auto"/>
              <w:left w:val="single" w:sz="4" w:space="0" w:color="auto"/>
              <w:bottom w:val="single" w:sz="4" w:space="0" w:color="000000"/>
              <w:right w:val="single" w:sz="4" w:space="0" w:color="auto"/>
            </w:tcBorders>
            <w:vAlign w:val="center"/>
            <w:hideMark/>
          </w:tcPr>
          <w:p w:rsidR="00574C92" w:rsidRPr="00574C92" w:rsidRDefault="00574C92" w:rsidP="00574C92">
            <w:pPr>
              <w:spacing w:after="0" w:line="240" w:lineRule="auto"/>
              <w:rPr>
                <w:rFonts w:ascii="Calibri" w:eastAsia="Times New Roman" w:hAnsi="Calibri" w:cs="Times New Roman"/>
                <w:b/>
                <w:bCs/>
                <w:color w:val="000000"/>
                <w:sz w:val="16"/>
                <w:szCs w:val="16"/>
                <w:lang w:eastAsia="en-GB"/>
              </w:rPr>
            </w:pPr>
          </w:p>
        </w:tc>
        <w:tc>
          <w:tcPr>
            <w:tcW w:w="257" w:type="pct"/>
            <w:vMerge/>
            <w:tcBorders>
              <w:top w:val="single" w:sz="4" w:space="0" w:color="auto"/>
              <w:left w:val="single" w:sz="4" w:space="0" w:color="auto"/>
              <w:bottom w:val="single" w:sz="4" w:space="0" w:color="000000"/>
              <w:right w:val="single" w:sz="4" w:space="0" w:color="auto"/>
            </w:tcBorders>
            <w:vAlign w:val="center"/>
            <w:hideMark/>
          </w:tcPr>
          <w:p w:rsidR="00574C92" w:rsidRPr="00574C92" w:rsidRDefault="00574C92" w:rsidP="00574C92">
            <w:pPr>
              <w:spacing w:after="0" w:line="240" w:lineRule="auto"/>
              <w:rPr>
                <w:rFonts w:ascii="Calibri" w:eastAsia="Times New Roman" w:hAnsi="Calibri" w:cs="Times New Roman"/>
                <w:b/>
                <w:bCs/>
                <w:color w:val="000000"/>
                <w:sz w:val="16"/>
                <w:szCs w:val="16"/>
                <w:lang w:eastAsia="en-GB"/>
              </w:rPr>
            </w:pPr>
          </w:p>
        </w:tc>
        <w:tc>
          <w:tcPr>
            <w:tcW w:w="256" w:type="pct"/>
            <w:tcBorders>
              <w:top w:val="nil"/>
              <w:left w:val="nil"/>
              <w:bottom w:val="single" w:sz="4" w:space="0" w:color="auto"/>
              <w:right w:val="single" w:sz="4" w:space="0" w:color="auto"/>
            </w:tcBorders>
            <w:shd w:val="clear" w:color="auto" w:fill="auto"/>
            <w:noWrap/>
            <w:vAlign w:val="center"/>
            <w:hideMark/>
          </w:tcPr>
          <w:p w:rsidR="00574C92" w:rsidRPr="00574C92" w:rsidRDefault="00574C92" w:rsidP="00574C92">
            <w:pPr>
              <w:spacing w:after="0" w:line="240" w:lineRule="auto"/>
              <w:jc w:val="center"/>
              <w:rPr>
                <w:rFonts w:ascii="Calibri" w:eastAsia="Times New Roman" w:hAnsi="Calibri" w:cs="Times New Roman"/>
                <w:b/>
                <w:bCs/>
                <w:color w:val="000000"/>
                <w:sz w:val="16"/>
                <w:szCs w:val="16"/>
                <w:lang w:eastAsia="en-GB"/>
              </w:rPr>
            </w:pPr>
            <w:r w:rsidRPr="00574C92">
              <w:rPr>
                <w:rFonts w:ascii="Calibri" w:eastAsia="Times New Roman" w:hAnsi="Calibri" w:cs="Times New Roman"/>
                <w:b/>
                <w:bCs/>
                <w:color w:val="000000"/>
                <w:sz w:val="16"/>
                <w:szCs w:val="16"/>
                <w:lang w:eastAsia="en-GB"/>
              </w:rPr>
              <w:t>Number</w:t>
            </w:r>
          </w:p>
        </w:tc>
        <w:tc>
          <w:tcPr>
            <w:tcW w:w="256" w:type="pct"/>
            <w:tcBorders>
              <w:top w:val="nil"/>
              <w:left w:val="nil"/>
              <w:bottom w:val="single" w:sz="4" w:space="0" w:color="auto"/>
              <w:right w:val="single" w:sz="4" w:space="0" w:color="auto"/>
            </w:tcBorders>
            <w:shd w:val="clear" w:color="auto" w:fill="auto"/>
            <w:noWrap/>
            <w:vAlign w:val="center"/>
            <w:hideMark/>
          </w:tcPr>
          <w:p w:rsidR="00574C92" w:rsidRPr="00574C92" w:rsidRDefault="00574C92" w:rsidP="00574C92">
            <w:pPr>
              <w:spacing w:after="0" w:line="240" w:lineRule="auto"/>
              <w:jc w:val="center"/>
              <w:rPr>
                <w:rFonts w:ascii="Calibri" w:eastAsia="Times New Roman" w:hAnsi="Calibri" w:cs="Times New Roman"/>
                <w:b/>
                <w:bCs/>
                <w:color w:val="000000"/>
                <w:sz w:val="16"/>
                <w:szCs w:val="16"/>
                <w:lang w:eastAsia="en-GB"/>
              </w:rPr>
            </w:pPr>
            <w:r w:rsidRPr="00574C92">
              <w:rPr>
                <w:rFonts w:ascii="Calibri" w:eastAsia="Times New Roman" w:hAnsi="Calibri" w:cs="Times New Roman"/>
                <w:b/>
                <w:bCs/>
                <w:color w:val="000000"/>
                <w:sz w:val="16"/>
                <w:szCs w:val="16"/>
                <w:lang w:eastAsia="en-GB"/>
              </w:rPr>
              <w:t>Indicator Value</w:t>
            </w:r>
          </w:p>
        </w:tc>
        <w:tc>
          <w:tcPr>
            <w:tcW w:w="257" w:type="pct"/>
            <w:tcBorders>
              <w:top w:val="nil"/>
              <w:left w:val="nil"/>
              <w:bottom w:val="single" w:sz="4" w:space="0" w:color="auto"/>
              <w:right w:val="single" w:sz="4" w:space="0" w:color="auto"/>
            </w:tcBorders>
            <w:shd w:val="clear" w:color="auto" w:fill="auto"/>
            <w:noWrap/>
            <w:vAlign w:val="center"/>
            <w:hideMark/>
          </w:tcPr>
          <w:p w:rsidR="00574C92" w:rsidRPr="00574C92" w:rsidRDefault="00574C92" w:rsidP="00574C92">
            <w:pPr>
              <w:spacing w:after="0" w:line="240" w:lineRule="auto"/>
              <w:jc w:val="center"/>
              <w:rPr>
                <w:rFonts w:ascii="Calibri" w:eastAsia="Times New Roman" w:hAnsi="Calibri" w:cs="Times New Roman"/>
                <w:b/>
                <w:bCs/>
                <w:color w:val="000000"/>
                <w:sz w:val="16"/>
                <w:szCs w:val="16"/>
                <w:lang w:eastAsia="en-GB"/>
              </w:rPr>
            </w:pPr>
            <w:r w:rsidRPr="00574C92">
              <w:rPr>
                <w:rFonts w:ascii="Calibri" w:eastAsia="Times New Roman" w:hAnsi="Calibri" w:cs="Times New Roman"/>
                <w:b/>
                <w:bCs/>
                <w:color w:val="000000"/>
                <w:sz w:val="16"/>
                <w:szCs w:val="16"/>
                <w:lang w:eastAsia="en-GB"/>
              </w:rPr>
              <w:t>Number</w:t>
            </w:r>
          </w:p>
        </w:tc>
        <w:tc>
          <w:tcPr>
            <w:tcW w:w="256" w:type="pct"/>
            <w:tcBorders>
              <w:top w:val="nil"/>
              <w:left w:val="nil"/>
              <w:bottom w:val="single" w:sz="4" w:space="0" w:color="auto"/>
              <w:right w:val="single" w:sz="4" w:space="0" w:color="auto"/>
            </w:tcBorders>
            <w:shd w:val="clear" w:color="auto" w:fill="auto"/>
            <w:noWrap/>
            <w:vAlign w:val="center"/>
            <w:hideMark/>
          </w:tcPr>
          <w:p w:rsidR="00574C92" w:rsidRPr="00574C92" w:rsidRDefault="00574C92" w:rsidP="00574C92">
            <w:pPr>
              <w:spacing w:after="0" w:line="240" w:lineRule="auto"/>
              <w:jc w:val="center"/>
              <w:rPr>
                <w:rFonts w:ascii="Calibri" w:eastAsia="Times New Roman" w:hAnsi="Calibri" w:cs="Times New Roman"/>
                <w:b/>
                <w:bCs/>
                <w:color w:val="000000"/>
                <w:sz w:val="16"/>
                <w:szCs w:val="16"/>
                <w:lang w:eastAsia="en-GB"/>
              </w:rPr>
            </w:pPr>
            <w:r w:rsidRPr="00574C92">
              <w:rPr>
                <w:rFonts w:ascii="Calibri" w:eastAsia="Times New Roman" w:hAnsi="Calibri" w:cs="Times New Roman"/>
                <w:b/>
                <w:bCs/>
                <w:color w:val="000000"/>
                <w:sz w:val="16"/>
                <w:szCs w:val="16"/>
                <w:lang w:eastAsia="en-GB"/>
              </w:rPr>
              <w:t>Indicator Value</w:t>
            </w:r>
          </w:p>
        </w:tc>
        <w:tc>
          <w:tcPr>
            <w:tcW w:w="257" w:type="pct"/>
            <w:tcBorders>
              <w:top w:val="nil"/>
              <w:left w:val="nil"/>
              <w:bottom w:val="single" w:sz="4" w:space="0" w:color="auto"/>
              <w:right w:val="single" w:sz="4" w:space="0" w:color="auto"/>
            </w:tcBorders>
            <w:shd w:val="clear" w:color="auto" w:fill="auto"/>
            <w:noWrap/>
            <w:vAlign w:val="center"/>
            <w:hideMark/>
          </w:tcPr>
          <w:p w:rsidR="00574C92" w:rsidRPr="00574C92" w:rsidRDefault="00574C92" w:rsidP="00574C92">
            <w:pPr>
              <w:spacing w:after="0" w:line="240" w:lineRule="auto"/>
              <w:jc w:val="center"/>
              <w:rPr>
                <w:rFonts w:ascii="Calibri" w:eastAsia="Times New Roman" w:hAnsi="Calibri" w:cs="Times New Roman"/>
                <w:b/>
                <w:bCs/>
                <w:color w:val="000000"/>
                <w:sz w:val="16"/>
                <w:szCs w:val="16"/>
                <w:lang w:eastAsia="en-GB"/>
              </w:rPr>
            </w:pPr>
            <w:r w:rsidRPr="00574C92">
              <w:rPr>
                <w:rFonts w:ascii="Calibri" w:eastAsia="Times New Roman" w:hAnsi="Calibri" w:cs="Times New Roman"/>
                <w:b/>
                <w:bCs/>
                <w:color w:val="000000"/>
                <w:sz w:val="16"/>
                <w:szCs w:val="16"/>
                <w:lang w:eastAsia="en-GB"/>
              </w:rPr>
              <w:t>Number</w:t>
            </w:r>
          </w:p>
        </w:tc>
        <w:tc>
          <w:tcPr>
            <w:tcW w:w="256" w:type="pct"/>
            <w:tcBorders>
              <w:top w:val="nil"/>
              <w:left w:val="nil"/>
              <w:bottom w:val="single" w:sz="4" w:space="0" w:color="auto"/>
              <w:right w:val="single" w:sz="4" w:space="0" w:color="auto"/>
            </w:tcBorders>
            <w:shd w:val="clear" w:color="auto" w:fill="auto"/>
            <w:noWrap/>
            <w:vAlign w:val="center"/>
            <w:hideMark/>
          </w:tcPr>
          <w:p w:rsidR="00574C92" w:rsidRPr="00574C92" w:rsidRDefault="00574C92" w:rsidP="00574C92">
            <w:pPr>
              <w:spacing w:after="0" w:line="240" w:lineRule="auto"/>
              <w:jc w:val="center"/>
              <w:rPr>
                <w:rFonts w:ascii="Calibri" w:eastAsia="Times New Roman" w:hAnsi="Calibri" w:cs="Times New Roman"/>
                <w:b/>
                <w:bCs/>
                <w:color w:val="000000"/>
                <w:sz w:val="16"/>
                <w:szCs w:val="16"/>
                <w:lang w:eastAsia="en-GB"/>
              </w:rPr>
            </w:pPr>
            <w:r w:rsidRPr="00574C92">
              <w:rPr>
                <w:rFonts w:ascii="Calibri" w:eastAsia="Times New Roman" w:hAnsi="Calibri" w:cs="Times New Roman"/>
                <w:b/>
                <w:bCs/>
                <w:color w:val="000000"/>
                <w:sz w:val="16"/>
                <w:szCs w:val="16"/>
                <w:lang w:eastAsia="en-GB"/>
              </w:rPr>
              <w:t>Indicator Value</w:t>
            </w:r>
          </w:p>
        </w:tc>
        <w:tc>
          <w:tcPr>
            <w:tcW w:w="257" w:type="pct"/>
            <w:tcBorders>
              <w:top w:val="nil"/>
              <w:left w:val="nil"/>
              <w:bottom w:val="single" w:sz="4" w:space="0" w:color="auto"/>
              <w:right w:val="single" w:sz="4" w:space="0" w:color="auto"/>
            </w:tcBorders>
            <w:shd w:val="clear" w:color="auto" w:fill="auto"/>
            <w:noWrap/>
            <w:vAlign w:val="center"/>
            <w:hideMark/>
          </w:tcPr>
          <w:p w:rsidR="00574C92" w:rsidRPr="00574C92" w:rsidRDefault="00574C92" w:rsidP="00574C92">
            <w:pPr>
              <w:spacing w:after="0" w:line="240" w:lineRule="auto"/>
              <w:jc w:val="center"/>
              <w:rPr>
                <w:rFonts w:ascii="Calibri" w:eastAsia="Times New Roman" w:hAnsi="Calibri" w:cs="Times New Roman"/>
                <w:b/>
                <w:bCs/>
                <w:color w:val="000000"/>
                <w:sz w:val="16"/>
                <w:szCs w:val="16"/>
                <w:lang w:eastAsia="en-GB"/>
              </w:rPr>
            </w:pPr>
            <w:r w:rsidRPr="00574C92">
              <w:rPr>
                <w:rFonts w:ascii="Calibri" w:eastAsia="Times New Roman" w:hAnsi="Calibri" w:cs="Times New Roman"/>
                <w:b/>
                <w:bCs/>
                <w:color w:val="000000"/>
                <w:sz w:val="16"/>
                <w:szCs w:val="16"/>
                <w:lang w:eastAsia="en-GB"/>
              </w:rPr>
              <w:t>Number</w:t>
            </w:r>
          </w:p>
        </w:tc>
        <w:tc>
          <w:tcPr>
            <w:tcW w:w="256" w:type="pct"/>
            <w:tcBorders>
              <w:top w:val="nil"/>
              <w:left w:val="nil"/>
              <w:bottom w:val="single" w:sz="4" w:space="0" w:color="auto"/>
              <w:right w:val="single" w:sz="4" w:space="0" w:color="auto"/>
            </w:tcBorders>
            <w:shd w:val="clear" w:color="auto" w:fill="auto"/>
            <w:noWrap/>
            <w:vAlign w:val="center"/>
            <w:hideMark/>
          </w:tcPr>
          <w:p w:rsidR="00574C92" w:rsidRPr="00574C92" w:rsidRDefault="00574C92" w:rsidP="00574C92">
            <w:pPr>
              <w:spacing w:after="0" w:line="240" w:lineRule="auto"/>
              <w:jc w:val="center"/>
              <w:rPr>
                <w:rFonts w:ascii="Calibri" w:eastAsia="Times New Roman" w:hAnsi="Calibri" w:cs="Times New Roman"/>
                <w:b/>
                <w:bCs/>
                <w:color w:val="000000"/>
                <w:sz w:val="16"/>
                <w:szCs w:val="16"/>
                <w:lang w:eastAsia="en-GB"/>
              </w:rPr>
            </w:pPr>
            <w:r w:rsidRPr="00574C92">
              <w:rPr>
                <w:rFonts w:ascii="Calibri" w:eastAsia="Times New Roman" w:hAnsi="Calibri" w:cs="Times New Roman"/>
                <w:b/>
                <w:bCs/>
                <w:color w:val="000000"/>
                <w:sz w:val="16"/>
                <w:szCs w:val="16"/>
                <w:lang w:eastAsia="en-GB"/>
              </w:rPr>
              <w:t>Indicator Value</w:t>
            </w:r>
          </w:p>
        </w:tc>
        <w:tc>
          <w:tcPr>
            <w:tcW w:w="257" w:type="pct"/>
            <w:tcBorders>
              <w:top w:val="nil"/>
              <w:left w:val="nil"/>
              <w:bottom w:val="single" w:sz="4" w:space="0" w:color="auto"/>
              <w:right w:val="single" w:sz="4" w:space="0" w:color="auto"/>
            </w:tcBorders>
            <w:shd w:val="clear" w:color="auto" w:fill="auto"/>
            <w:noWrap/>
            <w:vAlign w:val="center"/>
            <w:hideMark/>
          </w:tcPr>
          <w:p w:rsidR="00574C92" w:rsidRPr="00574C92" w:rsidRDefault="00574C92" w:rsidP="00574C92">
            <w:pPr>
              <w:spacing w:after="0" w:line="240" w:lineRule="auto"/>
              <w:jc w:val="center"/>
              <w:rPr>
                <w:rFonts w:ascii="Calibri" w:eastAsia="Times New Roman" w:hAnsi="Calibri" w:cs="Times New Roman"/>
                <w:b/>
                <w:bCs/>
                <w:color w:val="000000"/>
                <w:sz w:val="16"/>
                <w:szCs w:val="16"/>
                <w:lang w:eastAsia="en-GB"/>
              </w:rPr>
            </w:pPr>
            <w:r w:rsidRPr="00574C92">
              <w:rPr>
                <w:rFonts w:ascii="Calibri" w:eastAsia="Times New Roman" w:hAnsi="Calibri" w:cs="Times New Roman"/>
                <w:b/>
                <w:bCs/>
                <w:color w:val="000000"/>
                <w:sz w:val="16"/>
                <w:szCs w:val="16"/>
                <w:lang w:eastAsia="en-GB"/>
              </w:rPr>
              <w:t>Number</w:t>
            </w:r>
          </w:p>
        </w:tc>
        <w:tc>
          <w:tcPr>
            <w:tcW w:w="256" w:type="pct"/>
            <w:tcBorders>
              <w:top w:val="nil"/>
              <w:left w:val="nil"/>
              <w:bottom w:val="single" w:sz="4" w:space="0" w:color="auto"/>
              <w:right w:val="single" w:sz="4" w:space="0" w:color="auto"/>
            </w:tcBorders>
            <w:shd w:val="clear" w:color="auto" w:fill="auto"/>
            <w:noWrap/>
            <w:vAlign w:val="center"/>
            <w:hideMark/>
          </w:tcPr>
          <w:p w:rsidR="00574C92" w:rsidRPr="00574C92" w:rsidRDefault="00574C92" w:rsidP="00574C92">
            <w:pPr>
              <w:spacing w:after="0" w:line="240" w:lineRule="auto"/>
              <w:jc w:val="center"/>
              <w:rPr>
                <w:rFonts w:ascii="Calibri" w:eastAsia="Times New Roman" w:hAnsi="Calibri" w:cs="Times New Roman"/>
                <w:b/>
                <w:bCs/>
                <w:color w:val="000000"/>
                <w:sz w:val="16"/>
                <w:szCs w:val="16"/>
                <w:lang w:eastAsia="en-GB"/>
              </w:rPr>
            </w:pPr>
            <w:r w:rsidRPr="00574C92">
              <w:rPr>
                <w:rFonts w:ascii="Calibri" w:eastAsia="Times New Roman" w:hAnsi="Calibri" w:cs="Times New Roman"/>
                <w:b/>
                <w:bCs/>
                <w:color w:val="000000"/>
                <w:sz w:val="16"/>
                <w:szCs w:val="16"/>
                <w:lang w:eastAsia="en-GB"/>
              </w:rPr>
              <w:t>Indicator Value</w:t>
            </w:r>
          </w:p>
        </w:tc>
        <w:tc>
          <w:tcPr>
            <w:tcW w:w="256" w:type="pct"/>
            <w:tcBorders>
              <w:top w:val="nil"/>
              <w:left w:val="nil"/>
              <w:bottom w:val="single" w:sz="4" w:space="0" w:color="auto"/>
              <w:right w:val="single" w:sz="4" w:space="0" w:color="auto"/>
            </w:tcBorders>
            <w:shd w:val="clear" w:color="auto" w:fill="auto"/>
            <w:noWrap/>
            <w:vAlign w:val="center"/>
            <w:hideMark/>
          </w:tcPr>
          <w:p w:rsidR="00574C92" w:rsidRPr="00574C92" w:rsidRDefault="00574C92" w:rsidP="00574C92">
            <w:pPr>
              <w:spacing w:after="0" w:line="240" w:lineRule="auto"/>
              <w:jc w:val="center"/>
              <w:rPr>
                <w:rFonts w:ascii="Calibri" w:eastAsia="Times New Roman" w:hAnsi="Calibri" w:cs="Times New Roman"/>
                <w:b/>
                <w:bCs/>
                <w:color w:val="000000"/>
                <w:sz w:val="16"/>
                <w:szCs w:val="16"/>
                <w:lang w:eastAsia="en-GB"/>
              </w:rPr>
            </w:pPr>
            <w:r w:rsidRPr="00574C92">
              <w:rPr>
                <w:rFonts w:ascii="Calibri" w:eastAsia="Times New Roman" w:hAnsi="Calibri" w:cs="Times New Roman"/>
                <w:b/>
                <w:bCs/>
                <w:color w:val="000000"/>
                <w:sz w:val="16"/>
                <w:szCs w:val="16"/>
                <w:lang w:eastAsia="en-GB"/>
              </w:rPr>
              <w:t>Number</w:t>
            </w:r>
          </w:p>
        </w:tc>
        <w:tc>
          <w:tcPr>
            <w:tcW w:w="256" w:type="pct"/>
            <w:tcBorders>
              <w:top w:val="nil"/>
              <w:left w:val="nil"/>
              <w:bottom w:val="single" w:sz="4" w:space="0" w:color="auto"/>
              <w:right w:val="single" w:sz="4" w:space="0" w:color="auto"/>
            </w:tcBorders>
            <w:shd w:val="clear" w:color="auto" w:fill="auto"/>
            <w:noWrap/>
            <w:vAlign w:val="center"/>
            <w:hideMark/>
          </w:tcPr>
          <w:p w:rsidR="00574C92" w:rsidRPr="00574C92" w:rsidRDefault="00574C92" w:rsidP="00574C92">
            <w:pPr>
              <w:spacing w:after="0" w:line="240" w:lineRule="auto"/>
              <w:jc w:val="center"/>
              <w:rPr>
                <w:rFonts w:ascii="Calibri" w:eastAsia="Times New Roman" w:hAnsi="Calibri" w:cs="Times New Roman"/>
                <w:b/>
                <w:bCs/>
                <w:color w:val="000000"/>
                <w:sz w:val="16"/>
                <w:szCs w:val="16"/>
                <w:lang w:eastAsia="en-GB"/>
              </w:rPr>
            </w:pPr>
            <w:r w:rsidRPr="00574C92">
              <w:rPr>
                <w:rFonts w:ascii="Calibri" w:eastAsia="Times New Roman" w:hAnsi="Calibri" w:cs="Times New Roman"/>
                <w:b/>
                <w:bCs/>
                <w:color w:val="000000"/>
                <w:sz w:val="16"/>
                <w:szCs w:val="16"/>
                <w:lang w:eastAsia="en-GB"/>
              </w:rPr>
              <w:t>Indicator Value</w:t>
            </w:r>
          </w:p>
        </w:tc>
        <w:tc>
          <w:tcPr>
            <w:tcW w:w="257" w:type="pct"/>
            <w:tcBorders>
              <w:top w:val="nil"/>
              <w:left w:val="nil"/>
              <w:bottom w:val="single" w:sz="4" w:space="0" w:color="auto"/>
              <w:right w:val="single" w:sz="4" w:space="0" w:color="auto"/>
            </w:tcBorders>
            <w:shd w:val="clear" w:color="auto" w:fill="auto"/>
            <w:noWrap/>
            <w:vAlign w:val="center"/>
            <w:hideMark/>
          </w:tcPr>
          <w:p w:rsidR="00574C92" w:rsidRPr="00574C92" w:rsidRDefault="00574C92" w:rsidP="00574C92">
            <w:pPr>
              <w:spacing w:after="0" w:line="240" w:lineRule="auto"/>
              <w:jc w:val="center"/>
              <w:rPr>
                <w:rFonts w:ascii="Calibri" w:eastAsia="Times New Roman" w:hAnsi="Calibri" w:cs="Times New Roman"/>
                <w:b/>
                <w:bCs/>
                <w:color w:val="000000"/>
                <w:sz w:val="16"/>
                <w:szCs w:val="16"/>
                <w:lang w:eastAsia="en-GB"/>
              </w:rPr>
            </w:pPr>
            <w:r w:rsidRPr="00574C92">
              <w:rPr>
                <w:rFonts w:ascii="Calibri" w:eastAsia="Times New Roman" w:hAnsi="Calibri" w:cs="Times New Roman"/>
                <w:b/>
                <w:bCs/>
                <w:color w:val="000000"/>
                <w:sz w:val="16"/>
                <w:szCs w:val="16"/>
                <w:lang w:eastAsia="en-GB"/>
              </w:rPr>
              <w:t>Number</w:t>
            </w:r>
          </w:p>
        </w:tc>
        <w:tc>
          <w:tcPr>
            <w:tcW w:w="256" w:type="pct"/>
            <w:tcBorders>
              <w:top w:val="nil"/>
              <w:left w:val="nil"/>
              <w:bottom w:val="single" w:sz="4" w:space="0" w:color="auto"/>
              <w:right w:val="single" w:sz="4" w:space="0" w:color="auto"/>
            </w:tcBorders>
            <w:shd w:val="clear" w:color="auto" w:fill="auto"/>
            <w:noWrap/>
            <w:vAlign w:val="center"/>
            <w:hideMark/>
          </w:tcPr>
          <w:p w:rsidR="00574C92" w:rsidRPr="00574C92" w:rsidRDefault="00574C92" w:rsidP="00574C92">
            <w:pPr>
              <w:spacing w:after="0" w:line="240" w:lineRule="auto"/>
              <w:jc w:val="center"/>
              <w:rPr>
                <w:rFonts w:ascii="Calibri" w:eastAsia="Times New Roman" w:hAnsi="Calibri" w:cs="Times New Roman"/>
                <w:b/>
                <w:bCs/>
                <w:color w:val="000000"/>
                <w:sz w:val="16"/>
                <w:szCs w:val="16"/>
                <w:lang w:eastAsia="en-GB"/>
              </w:rPr>
            </w:pPr>
            <w:r w:rsidRPr="00574C92">
              <w:rPr>
                <w:rFonts w:ascii="Calibri" w:eastAsia="Times New Roman" w:hAnsi="Calibri" w:cs="Times New Roman"/>
                <w:b/>
                <w:bCs/>
                <w:color w:val="000000"/>
                <w:sz w:val="16"/>
                <w:szCs w:val="16"/>
                <w:lang w:eastAsia="en-GB"/>
              </w:rPr>
              <w:t>Indicator Value</w:t>
            </w:r>
          </w:p>
        </w:tc>
        <w:tc>
          <w:tcPr>
            <w:tcW w:w="300" w:type="pct"/>
            <w:tcBorders>
              <w:top w:val="nil"/>
              <w:left w:val="nil"/>
              <w:bottom w:val="single" w:sz="4" w:space="0" w:color="auto"/>
              <w:right w:val="single" w:sz="4" w:space="0" w:color="auto"/>
            </w:tcBorders>
            <w:shd w:val="clear" w:color="auto" w:fill="auto"/>
            <w:noWrap/>
            <w:vAlign w:val="center"/>
            <w:hideMark/>
          </w:tcPr>
          <w:p w:rsidR="00574C92" w:rsidRPr="00574C92" w:rsidRDefault="00574C92" w:rsidP="00574C92">
            <w:pPr>
              <w:spacing w:after="0" w:line="240" w:lineRule="auto"/>
              <w:jc w:val="center"/>
              <w:rPr>
                <w:rFonts w:ascii="Calibri" w:eastAsia="Times New Roman" w:hAnsi="Calibri" w:cs="Times New Roman"/>
                <w:b/>
                <w:bCs/>
                <w:color w:val="000000"/>
                <w:sz w:val="16"/>
                <w:szCs w:val="16"/>
                <w:lang w:eastAsia="en-GB"/>
              </w:rPr>
            </w:pPr>
            <w:r w:rsidRPr="00574C92">
              <w:rPr>
                <w:rFonts w:ascii="Calibri" w:eastAsia="Times New Roman" w:hAnsi="Calibri" w:cs="Times New Roman"/>
                <w:b/>
                <w:bCs/>
                <w:color w:val="000000"/>
                <w:sz w:val="16"/>
                <w:szCs w:val="16"/>
                <w:lang w:eastAsia="en-GB"/>
              </w:rPr>
              <w:t>Number</w:t>
            </w:r>
          </w:p>
        </w:tc>
        <w:tc>
          <w:tcPr>
            <w:tcW w:w="256" w:type="pct"/>
            <w:tcBorders>
              <w:top w:val="nil"/>
              <w:left w:val="nil"/>
              <w:bottom w:val="single" w:sz="4" w:space="0" w:color="auto"/>
              <w:right w:val="single" w:sz="4" w:space="0" w:color="auto"/>
            </w:tcBorders>
            <w:shd w:val="clear" w:color="auto" w:fill="auto"/>
            <w:noWrap/>
            <w:vAlign w:val="center"/>
            <w:hideMark/>
          </w:tcPr>
          <w:p w:rsidR="00574C92" w:rsidRPr="00574C92" w:rsidRDefault="00574C92" w:rsidP="00574C92">
            <w:pPr>
              <w:spacing w:after="0" w:line="240" w:lineRule="auto"/>
              <w:jc w:val="center"/>
              <w:rPr>
                <w:rFonts w:ascii="Calibri" w:eastAsia="Times New Roman" w:hAnsi="Calibri" w:cs="Times New Roman"/>
                <w:b/>
                <w:bCs/>
                <w:color w:val="000000"/>
                <w:sz w:val="16"/>
                <w:szCs w:val="16"/>
                <w:lang w:eastAsia="en-GB"/>
              </w:rPr>
            </w:pPr>
            <w:r w:rsidRPr="00574C92">
              <w:rPr>
                <w:rFonts w:ascii="Calibri" w:eastAsia="Times New Roman" w:hAnsi="Calibri" w:cs="Times New Roman"/>
                <w:b/>
                <w:bCs/>
                <w:color w:val="000000"/>
                <w:sz w:val="16"/>
                <w:szCs w:val="16"/>
                <w:lang w:eastAsia="en-GB"/>
              </w:rPr>
              <w:t>Indicator Value</w:t>
            </w:r>
          </w:p>
        </w:tc>
      </w:tr>
      <w:tr w:rsidR="00166E43" w:rsidRPr="00574C92" w:rsidTr="00166E43">
        <w:trPr>
          <w:trHeight w:val="300"/>
        </w:trPr>
        <w:tc>
          <w:tcPr>
            <w:tcW w:w="598" w:type="pct"/>
            <w:tcBorders>
              <w:top w:val="nil"/>
              <w:left w:val="single" w:sz="4" w:space="0" w:color="auto"/>
              <w:bottom w:val="single" w:sz="4" w:space="0" w:color="auto"/>
              <w:right w:val="single" w:sz="4" w:space="0" w:color="auto"/>
            </w:tcBorders>
            <w:shd w:val="clear" w:color="auto" w:fill="auto"/>
            <w:noWrap/>
            <w:vAlign w:val="center"/>
            <w:hideMark/>
          </w:tcPr>
          <w:p w:rsidR="00574C92" w:rsidRPr="00574C92" w:rsidRDefault="00574C92" w:rsidP="00574C92">
            <w:pPr>
              <w:spacing w:after="0" w:line="240" w:lineRule="auto"/>
              <w:jc w:val="center"/>
              <w:rPr>
                <w:rFonts w:ascii="Calibri" w:eastAsia="Times New Roman" w:hAnsi="Calibri" w:cs="Times New Roman"/>
                <w:color w:val="000000"/>
                <w:sz w:val="16"/>
                <w:szCs w:val="16"/>
                <w:lang w:eastAsia="en-GB"/>
              </w:rPr>
            </w:pPr>
            <w:r w:rsidRPr="00574C92">
              <w:rPr>
                <w:rFonts w:ascii="Calibri" w:eastAsia="Times New Roman" w:hAnsi="Calibri" w:cs="Times New Roman"/>
                <w:color w:val="000000"/>
                <w:sz w:val="16"/>
                <w:szCs w:val="16"/>
                <w:lang w:eastAsia="en-GB"/>
              </w:rPr>
              <w:t>% Population Aged 65+</w:t>
            </w:r>
          </w:p>
        </w:tc>
        <w:tc>
          <w:tcPr>
            <w:tcW w:w="257" w:type="pct"/>
            <w:tcBorders>
              <w:top w:val="nil"/>
              <w:left w:val="nil"/>
              <w:bottom w:val="single" w:sz="4" w:space="0" w:color="auto"/>
              <w:right w:val="single" w:sz="4" w:space="0" w:color="auto"/>
            </w:tcBorders>
            <w:shd w:val="clear" w:color="auto" w:fill="auto"/>
            <w:noWrap/>
            <w:vAlign w:val="center"/>
            <w:hideMark/>
          </w:tcPr>
          <w:p w:rsidR="00574C92" w:rsidRPr="00574C92" w:rsidRDefault="00574C92" w:rsidP="00574C92">
            <w:pPr>
              <w:spacing w:after="0" w:line="240" w:lineRule="auto"/>
              <w:jc w:val="center"/>
              <w:rPr>
                <w:rFonts w:ascii="Calibri" w:eastAsia="Times New Roman" w:hAnsi="Calibri" w:cs="Times New Roman"/>
                <w:color w:val="000000"/>
                <w:sz w:val="16"/>
                <w:szCs w:val="16"/>
                <w:lang w:eastAsia="en-GB"/>
              </w:rPr>
            </w:pPr>
            <w:r w:rsidRPr="00574C92">
              <w:rPr>
                <w:rFonts w:ascii="Calibri" w:eastAsia="Times New Roman" w:hAnsi="Calibri" w:cs="Times New Roman"/>
                <w:color w:val="000000"/>
                <w:sz w:val="16"/>
                <w:szCs w:val="16"/>
                <w:lang w:eastAsia="en-GB"/>
              </w:rPr>
              <w:t>2017</w:t>
            </w:r>
          </w:p>
        </w:tc>
        <w:tc>
          <w:tcPr>
            <w:tcW w:w="256" w:type="pct"/>
            <w:tcBorders>
              <w:top w:val="nil"/>
              <w:left w:val="nil"/>
              <w:bottom w:val="single" w:sz="4" w:space="0" w:color="auto"/>
              <w:right w:val="single" w:sz="4" w:space="0" w:color="auto"/>
            </w:tcBorders>
            <w:shd w:val="clear" w:color="000000" w:fill="C5D9F1"/>
            <w:noWrap/>
            <w:vAlign w:val="center"/>
            <w:hideMark/>
          </w:tcPr>
          <w:p w:rsidR="00574C92" w:rsidRPr="00574C92" w:rsidRDefault="00574C92" w:rsidP="00574C92">
            <w:pPr>
              <w:spacing w:after="0" w:line="240" w:lineRule="auto"/>
              <w:jc w:val="center"/>
              <w:rPr>
                <w:rFonts w:ascii="Calibri" w:eastAsia="Times New Roman" w:hAnsi="Calibri" w:cs="Times New Roman"/>
                <w:color w:val="000000"/>
                <w:sz w:val="16"/>
                <w:szCs w:val="16"/>
                <w:lang w:eastAsia="en-GB"/>
              </w:rPr>
            </w:pPr>
            <w:r w:rsidRPr="00574C92">
              <w:rPr>
                <w:rFonts w:ascii="Calibri" w:eastAsia="Times New Roman" w:hAnsi="Calibri" w:cs="Times New Roman"/>
                <w:color w:val="000000"/>
                <w:sz w:val="16"/>
                <w:szCs w:val="16"/>
                <w:lang w:eastAsia="en-GB"/>
              </w:rPr>
              <w:t>120,757</w:t>
            </w:r>
          </w:p>
        </w:tc>
        <w:tc>
          <w:tcPr>
            <w:tcW w:w="256" w:type="pct"/>
            <w:tcBorders>
              <w:top w:val="nil"/>
              <w:left w:val="nil"/>
              <w:bottom w:val="single" w:sz="4" w:space="0" w:color="auto"/>
              <w:right w:val="single" w:sz="4" w:space="0" w:color="auto"/>
            </w:tcBorders>
            <w:shd w:val="clear" w:color="000000" w:fill="C5D9F1"/>
            <w:noWrap/>
            <w:vAlign w:val="center"/>
            <w:hideMark/>
          </w:tcPr>
          <w:p w:rsidR="00574C92" w:rsidRPr="00574C92" w:rsidRDefault="00574C92" w:rsidP="00574C92">
            <w:pPr>
              <w:spacing w:after="0" w:line="240" w:lineRule="auto"/>
              <w:jc w:val="center"/>
              <w:rPr>
                <w:rFonts w:ascii="Calibri" w:eastAsia="Times New Roman" w:hAnsi="Calibri" w:cs="Times New Roman"/>
                <w:color w:val="000000"/>
                <w:sz w:val="16"/>
                <w:szCs w:val="16"/>
                <w:lang w:eastAsia="en-GB"/>
              </w:rPr>
            </w:pPr>
            <w:r w:rsidRPr="00574C92">
              <w:rPr>
                <w:rFonts w:ascii="Calibri" w:eastAsia="Times New Roman" w:hAnsi="Calibri" w:cs="Times New Roman"/>
                <w:color w:val="000000"/>
                <w:sz w:val="16"/>
                <w:szCs w:val="16"/>
                <w:lang w:eastAsia="en-GB"/>
              </w:rPr>
              <w:t>18.6%</w:t>
            </w:r>
          </w:p>
        </w:tc>
        <w:tc>
          <w:tcPr>
            <w:tcW w:w="257" w:type="pct"/>
            <w:tcBorders>
              <w:top w:val="nil"/>
              <w:left w:val="nil"/>
              <w:bottom w:val="single" w:sz="4" w:space="0" w:color="auto"/>
              <w:right w:val="single" w:sz="4" w:space="0" w:color="auto"/>
            </w:tcBorders>
            <w:shd w:val="clear" w:color="000000" w:fill="538DD5"/>
            <w:noWrap/>
            <w:vAlign w:val="center"/>
            <w:hideMark/>
          </w:tcPr>
          <w:p w:rsidR="00574C92" w:rsidRPr="00574C92" w:rsidRDefault="00574C92" w:rsidP="00574C92">
            <w:pPr>
              <w:spacing w:after="0" w:line="240" w:lineRule="auto"/>
              <w:jc w:val="center"/>
              <w:rPr>
                <w:rFonts w:ascii="Calibri" w:eastAsia="Times New Roman" w:hAnsi="Calibri" w:cs="Times New Roman"/>
                <w:color w:val="FFFFFF"/>
                <w:sz w:val="16"/>
                <w:szCs w:val="16"/>
                <w:lang w:eastAsia="en-GB"/>
              </w:rPr>
            </w:pPr>
            <w:r w:rsidRPr="00574C92">
              <w:rPr>
                <w:rFonts w:ascii="Calibri" w:eastAsia="Times New Roman" w:hAnsi="Calibri" w:cs="Times New Roman"/>
                <w:color w:val="FFFFFF"/>
                <w:sz w:val="16"/>
                <w:szCs w:val="16"/>
                <w:lang w:eastAsia="en-GB"/>
              </w:rPr>
              <w:t>28,970</w:t>
            </w:r>
          </w:p>
        </w:tc>
        <w:tc>
          <w:tcPr>
            <w:tcW w:w="256" w:type="pct"/>
            <w:tcBorders>
              <w:top w:val="nil"/>
              <w:left w:val="nil"/>
              <w:bottom w:val="single" w:sz="4" w:space="0" w:color="auto"/>
              <w:right w:val="single" w:sz="4" w:space="0" w:color="auto"/>
            </w:tcBorders>
            <w:shd w:val="clear" w:color="000000" w:fill="538DD5"/>
            <w:noWrap/>
            <w:vAlign w:val="center"/>
            <w:hideMark/>
          </w:tcPr>
          <w:p w:rsidR="00574C92" w:rsidRPr="00574C92" w:rsidRDefault="00574C92" w:rsidP="00574C92">
            <w:pPr>
              <w:spacing w:after="0" w:line="240" w:lineRule="auto"/>
              <w:jc w:val="center"/>
              <w:rPr>
                <w:rFonts w:ascii="Calibri" w:eastAsia="Times New Roman" w:hAnsi="Calibri" w:cs="Times New Roman"/>
                <w:color w:val="FFFFFF"/>
                <w:sz w:val="16"/>
                <w:szCs w:val="16"/>
                <w:lang w:eastAsia="en-GB"/>
              </w:rPr>
            </w:pPr>
            <w:r w:rsidRPr="00574C92">
              <w:rPr>
                <w:rFonts w:ascii="Calibri" w:eastAsia="Times New Roman" w:hAnsi="Calibri" w:cs="Times New Roman"/>
                <w:color w:val="FFFFFF"/>
                <w:sz w:val="16"/>
                <w:szCs w:val="16"/>
                <w:lang w:eastAsia="en-GB"/>
              </w:rPr>
              <w:t>14.6%</w:t>
            </w:r>
          </w:p>
        </w:tc>
        <w:tc>
          <w:tcPr>
            <w:tcW w:w="257" w:type="pct"/>
            <w:tcBorders>
              <w:top w:val="nil"/>
              <w:left w:val="nil"/>
              <w:bottom w:val="single" w:sz="4" w:space="0" w:color="auto"/>
              <w:right w:val="single" w:sz="4" w:space="0" w:color="auto"/>
            </w:tcBorders>
            <w:shd w:val="clear" w:color="000000" w:fill="538DD5"/>
            <w:noWrap/>
            <w:vAlign w:val="center"/>
            <w:hideMark/>
          </w:tcPr>
          <w:p w:rsidR="00574C92" w:rsidRPr="00574C92" w:rsidRDefault="00574C92" w:rsidP="00574C92">
            <w:pPr>
              <w:spacing w:after="0" w:line="240" w:lineRule="auto"/>
              <w:jc w:val="center"/>
              <w:rPr>
                <w:rFonts w:ascii="Calibri" w:eastAsia="Times New Roman" w:hAnsi="Calibri" w:cs="Times New Roman"/>
                <w:color w:val="FFFFFF"/>
                <w:sz w:val="16"/>
                <w:szCs w:val="16"/>
                <w:lang w:eastAsia="en-GB"/>
              </w:rPr>
            </w:pPr>
            <w:r w:rsidRPr="00574C92">
              <w:rPr>
                <w:rFonts w:ascii="Calibri" w:eastAsia="Times New Roman" w:hAnsi="Calibri" w:cs="Times New Roman"/>
                <w:color w:val="FFFFFF"/>
                <w:sz w:val="16"/>
                <w:szCs w:val="16"/>
                <w:lang w:eastAsia="en-GB"/>
              </w:rPr>
              <w:t>15,880</w:t>
            </w:r>
          </w:p>
        </w:tc>
        <w:tc>
          <w:tcPr>
            <w:tcW w:w="256" w:type="pct"/>
            <w:tcBorders>
              <w:top w:val="nil"/>
              <w:left w:val="nil"/>
              <w:bottom w:val="single" w:sz="4" w:space="0" w:color="auto"/>
              <w:right w:val="single" w:sz="4" w:space="0" w:color="auto"/>
            </w:tcBorders>
            <w:shd w:val="clear" w:color="000000" w:fill="538DD5"/>
            <w:noWrap/>
            <w:vAlign w:val="center"/>
            <w:hideMark/>
          </w:tcPr>
          <w:p w:rsidR="00574C92" w:rsidRPr="00574C92" w:rsidRDefault="00574C92" w:rsidP="00574C92">
            <w:pPr>
              <w:spacing w:after="0" w:line="240" w:lineRule="auto"/>
              <w:jc w:val="center"/>
              <w:rPr>
                <w:rFonts w:ascii="Calibri" w:eastAsia="Times New Roman" w:hAnsi="Calibri" w:cs="Times New Roman"/>
                <w:color w:val="FFFFFF"/>
                <w:sz w:val="16"/>
                <w:szCs w:val="16"/>
                <w:lang w:eastAsia="en-GB"/>
              </w:rPr>
            </w:pPr>
            <w:r w:rsidRPr="00574C92">
              <w:rPr>
                <w:rFonts w:ascii="Calibri" w:eastAsia="Times New Roman" w:hAnsi="Calibri" w:cs="Times New Roman"/>
                <w:color w:val="FFFFFF"/>
                <w:sz w:val="16"/>
                <w:szCs w:val="16"/>
                <w:lang w:eastAsia="en-GB"/>
              </w:rPr>
              <w:t>12.7%</w:t>
            </w:r>
          </w:p>
        </w:tc>
        <w:tc>
          <w:tcPr>
            <w:tcW w:w="257" w:type="pct"/>
            <w:tcBorders>
              <w:top w:val="nil"/>
              <w:left w:val="nil"/>
              <w:bottom w:val="single" w:sz="4" w:space="0" w:color="auto"/>
              <w:right w:val="single" w:sz="4" w:space="0" w:color="auto"/>
            </w:tcBorders>
            <w:shd w:val="clear" w:color="000000" w:fill="C5D9F1"/>
            <w:noWrap/>
            <w:vAlign w:val="center"/>
            <w:hideMark/>
          </w:tcPr>
          <w:p w:rsidR="00574C92" w:rsidRPr="00574C92" w:rsidRDefault="00574C92" w:rsidP="00574C92">
            <w:pPr>
              <w:spacing w:after="0" w:line="240" w:lineRule="auto"/>
              <w:jc w:val="center"/>
              <w:rPr>
                <w:rFonts w:ascii="Calibri" w:eastAsia="Times New Roman" w:hAnsi="Calibri" w:cs="Times New Roman"/>
                <w:color w:val="000000"/>
                <w:sz w:val="16"/>
                <w:szCs w:val="16"/>
                <w:lang w:eastAsia="en-GB"/>
              </w:rPr>
            </w:pPr>
            <w:r w:rsidRPr="00574C92">
              <w:rPr>
                <w:rFonts w:ascii="Calibri" w:eastAsia="Times New Roman" w:hAnsi="Calibri" w:cs="Times New Roman"/>
                <w:color w:val="000000"/>
                <w:sz w:val="16"/>
                <w:szCs w:val="16"/>
                <w:lang w:eastAsia="en-GB"/>
              </w:rPr>
              <w:t>17,556</w:t>
            </w:r>
          </w:p>
        </w:tc>
        <w:tc>
          <w:tcPr>
            <w:tcW w:w="256" w:type="pct"/>
            <w:tcBorders>
              <w:top w:val="nil"/>
              <w:left w:val="nil"/>
              <w:bottom w:val="single" w:sz="4" w:space="0" w:color="auto"/>
              <w:right w:val="single" w:sz="4" w:space="0" w:color="auto"/>
            </w:tcBorders>
            <w:shd w:val="clear" w:color="000000" w:fill="C5D9F1"/>
            <w:noWrap/>
            <w:vAlign w:val="center"/>
            <w:hideMark/>
          </w:tcPr>
          <w:p w:rsidR="00574C92" w:rsidRPr="00574C92" w:rsidRDefault="00574C92" w:rsidP="00574C92">
            <w:pPr>
              <w:spacing w:after="0" w:line="240" w:lineRule="auto"/>
              <w:jc w:val="center"/>
              <w:rPr>
                <w:rFonts w:ascii="Calibri" w:eastAsia="Times New Roman" w:hAnsi="Calibri" w:cs="Times New Roman"/>
                <w:color w:val="000000"/>
                <w:sz w:val="16"/>
                <w:szCs w:val="16"/>
                <w:lang w:eastAsia="en-GB"/>
              </w:rPr>
            </w:pPr>
            <w:r w:rsidRPr="00574C92">
              <w:rPr>
                <w:rFonts w:ascii="Calibri" w:eastAsia="Times New Roman" w:hAnsi="Calibri" w:cs="Times New Roman"/>
                <w:color w:val="000000"/>
                <w:sz w:val="16"/>
                <w:szCs w:val="16"/>
                <w:lang w:eastAsia="en-GB"/>
              </w:rPr>
              <w:t>19.8%</w:t>
            </w:r>
          </w:p>
        </w:tc>
        <w:tc>
          <w:tcPr>
            <w:tcW w:w="257" w:type="pct"/>
            <w:tcBorders>
              <w:top w:val="nil"/>
              <w:left w:val="nil"/>
              <w:bottom w:val="single" w:sz="4" w:space="0" w:color="auto"/>
              <w:right w:val="single" w:sz="4" w:space="0" w:color="auto"/>
            </w:tcBorders>
            <w:shd w:val="clear" w:color="000000" w:fill="C5D9F1"/>
            <w:noWrap/>
            <w:vAlign w:val="center"/>
            <w:hideMark/>
          </w:tcPr>
          <w:p w:rsidR="00574C92" w:rsidRPr="00574C92" w:rsidRDefault="00574C92" w:rsidP="00574C92">
            <w:pPr>
              <w:spacing w:after="0" w:line="240" w:lineRule="auto"/>
              <w:jc w:val="center"/>
              <w:rPr>
                <w:rFonts w:ascii="Calibri" w:eastAsia="Times New Roman" w:hAnsi="Calibri" w:cs="Times New Roman"/>
                <w:color w:val="000000"/>
                <w:sz w:val="16"/>
                <w:szCs w:val="16"/>
                <w:lang w:eastAsia="en-GB"/>
              </w:rPr>
            </w:pPr>
            <w:r w:rsidRPr="00574C92">
              <w:rPr>
                <w:rFonts w:ascii="Calibri" w:eastAsia="Times New Roman" w:hAnsi="Calibri" w:cs="Times New Roman"/>
                <w:color w:val="000000"/>
                <w:sz w:val="16"/>
                <w:szCs w:val="16"/>
                <w:lang w:eastAsia="en-GB"/>
              </w:rPr>
              <w:t>22,611</w:t>
            </w:r>
          </w:p>
        </w:tc>
        <w:tc>
          <w:tcPr>
            <w:tcW w:w="256" w:type="pct"/>
            <w:tcBorders>
              <w:top w:val="nil"/>
              <w:left w:val="nil"/>
              <w:bottom w:val="single" w:sz="4" w:space="0" w:color="auto"/>
              <w:right w:val="single" w:sz="4" w:space="0" w:color="auto"/>
            </w:tcBorders>
            <w:shd w:val="clear" w:color="000000" w:fill="C5D9F1"/>
            <w:noWrap/>
            <w:vAlign w:val="center"/>
            <w:hideMark/>
          </w:tcPr>
          <w:p w:rsidR="00574C92" w:rsidRPr="00574C92" w:rsidRDefault="00574C92" w:rsidP="00574C92">
            <w:pPr>
              <w:spacing w:after="0" w:line="240" w:lineRule="auto"/>
              <w:jc w:val="center"/>
              <w:rPr>
                <w:rFonts w:ascii="Calibri" w:eastAsia="Times New Roman" w:hAnsi="Calibri" w:cs="Times New Roman"/>
                <w:color w:val="000000"/>
                <w:sz w:val="16"/>
                <w:szCs w:val="16"/>
                <w:lang w:eastAsia="en-GB"/>
              </w:rPr>
            </w:pPr>
            <w:r w:rsidRPr="00574C92">
              <w:rPr>
                <w:rFonts w:ascii="Calibri" w:eastAsia="Times New Roman" w:hAnsi="Calibri" w:cs="Times New Roman"/>
                <w:color w:val="000000"/>
                <w:sz w:val="16"/>
                <w:szCs w:val="16"/>
                <w:lang w:eastAsia="en-GB"/>
              </w:rPr>
              <w:t>22.4%</w:t>
            </w:r>
          </w:p>
        </w:tc>
        <w:tc>
          <w:tcPr>
            <w:tcW w:w="256" w:type="pct"/>
            <w:tcBorders>
              <w:top w:val="nil"/>
              <w:left w:val="nil"/>
              <w:bottom w:val="single" w:sz="4" w:space="0" w:color="auto"/>
              <w:right w:val="single" w:sz="4" w:space="0" w:color="auto"/>
            </w:tcBorders>
            <w:shd w:val="clear" w:color="000000" w:fill="C5D9F1"/>
            <w:noWrap/>
            <w:vAlign w:val="center"/>
            <w:hideMark/>
          </w:tcPr>
          <w:p w:rsidR="00574C92" w:rsidRPr="00574C92" w:rsidRDefault="00574C92" w:rsidP="00574C92">
            <w:pPr>
              <w:spacing w:after="0" w:line="240" w:lineRule="auto"/>
              <w:jc w:val="center"/>
              <w:rPr>
                <w:rFonts w:ascii="Calibri" w:eastAsia="Times New Roman" w:hAnsi="Calibri" w:cs="Times New Roman"/>
                <w:color w:val="000000"/>
                <w:sz w:val="16"/>
                <w:szCs w:val="16"/>
                <w:lang w:eastAsia="en-GB"/>
              </w:rPr>
            </w:pPr>
            <w:r w:rsidRPr="00574C92">
              <w:rPr>
                <w:rFonts w:ascii="Calibri" w:eastAsia="Times New Roman" w:hAnsi="Calibri" w:cs="Times New Roman"/>
                <w:color w:val="000000"/>
                <w:sz w:val="16"/>
                <w:szCs w:val="16"/>
                <w:lang w:eastAsia="en-GB"/>
              </w:rPr>
              <w:t>34,620</w:t>
            </w:r>
          </w:p>
        </w:tc>
        <w:tc>
          <w:tcPr>
            <w:tcW w:w="256" w:type="pct"/>
            <w:tcBorders>
              <w:top w:val="nil"/>
              <w:left w:val="nil"/>
              <w:bottom w:val="single" w:sz="4" w:space="0" w:color="auto"/>
              <w:right w:val="single" w:sz="4" w:space="0" w:color="auto"/>
            </w:tcBorders>
            <w:shd w:val="clear" w:color="000000" w:fill="C5D9F1"/>
            <w:noWrap/>
            <w:vAlign w:val="center"/>
            <w:hideMark/>
          </w:tcPr>
          <w:p w:rsidR="00574C92" w:rsidRPr="00574C92" w:rsidRDefault="00574C92" w:rsidP="00574C92">
            <w:pPr>
              <w:spacing w:after="0" w:line="240" w:lineRule="auto"/>
              <w:jc w:val="center"/>
              <w:rPr>
                <w:rFonts w:ascii="Calibri" w:eastAsia="Times New Roman" w:hAnsi="Calibri" w:cs="Times New Roman"/>
                <w:color w:val="000000"/>
                <w:sz w:val="16"/>
                <w:szCs w:val="16"/>
                <w:lang w:eastAsia="en-GB"/>
              </w:rPr>
            </w:pPr>
            <w:r w:rsidRPr="00574C92">
              <w:rPr>
                <w:rFonts w:ascii="Calibri" w:eastAsia="Times New Roman" w:hAnsi="Calibri" w:cs="Times New Roman"/>
                <w:color w:val="000000"/>
                <w:sz w:val="16"/>
                <w:szCs w:val="16"/>
                <w:lang w:eastAsia="en-GB"/>
              </w:rPr>
              <w:t>19.6%</w:t>
            </w:r>
          </w:p>
        </w:tc>
        <w:tc>
          <w:tcPr>
            <w:tcW w:w="257" w:type="pct"/>
            <w:tcBorders>
              <w:top w:val="nil"/>
              <w:left w:val="nil"/>
              <w:bottom w:val="single" w:sz="4" w:space="0" w:color="auto"/>
              <w:right w:val="single" w:sz="4" w:space="0" w:color="auto"/>
            </w:tcBorders>
            <w:shd w:val="clear" w:color="000000" w:fill="C5D9F1"/>
            <w:noWrap/>
            <w:vAlign w:val="center"/>
            <w:hideMark/>
          </w:tcPr>
          <w:p w:rsidR="00574C92" w:rsidRPr="00574C92" w:rsidRDefault="00574C92" w:rsidP="00574C92">
            <w:pPr>
              <w:spacing w:after="0" w:line="240" w:lineRule="auto"/>
              <w:jc w:val="center"/>
              <w:rPr>
                <w:rFonts w:ascii="Calibri" w:eastAsia="Times New Roman" w:hAnsi="Calibri" w:cs="Times New Roman"/>
                <w:color w:val="000000"/>
                <w:sz w:val="16"/>
                <w:szCs w:val="16"/>
                <w:lang w:eastAsia="en-GB"/>
              </w:rPr>
            </w:pPr>
            <w:r w:rsidRPr="00574C92">
              <w:rPr>
                <w:rFonts w:ascii="Calibri" w:eastAsia="Times New Roman" w:hAnsi="Calibri" w:cs="Times New Roman"/>
                <w:color w:val="000000"/>
                <w:sz w:val="16"/>
                <w:szCs w:val="16"/>
                <w:lang w:eastAsia="en-GB"/>
              </w:rPr>
              <w:t>30,090</w:t>
            </w:r>
          </w:p>
        </w:tc>
        <w:tc>
          <w:tcPr>
            <w:tcW w:w="256" w:type="pct"/>
            <w:tcBorders>
              <w:top w:val="nil"/>
              <w:left w:val="nil"/>
              <w:bottom w:val="single" w:sz="4" w:space="0" w:color="auto"/>
              <w:right w:val="single" w:sz="4" w:space="0" w:color="auto"/>
            </w:tcBorders>
            <w:shd w:val="clear" w:color="000000" w:fill="C5D9F1"/>
            <w:noWrap/>
            <w:vAlign w:val="center"/>
            <w:hideMark/>
          </w:tcPr>
          <w:p w:rsidR="00574C92" w:rsidRPr="00574C92" w:rsidRDefault="00574C92" w:rsidP="00574C92">
            <w:pPr>
              <w:spacing w:after="0" w:line="240" w:lineRule="auto"/>
              <w:jc w:val="center"/>
              <w:rPr>
                <w:rFonts w:ascii="Calibri" w:eastAsia="Times New Roman" w:hAnsi="Calibri" w:cs="Times New Roman"/>
                <w:color w:val="000000"/>
                <w:sz w:val="16"/>
                <w:szCs w:val="16"/>
                <w:lang w:eastAsia="en-GB"/>
              </w:rPr>
            </w:pPr>
            <w:r w:rsidRPr="00574C92">
              <w:rPr>
                <w:rFonts w:ascii="Calibri" w:eastAsia="Times New Roman" w:hAnsi="Calibri" w:cs="Times New Roman"/>
                <w:color w:val="000000"/>
                <w:sz w:val="16"/>
                <w:szCs w:val="16"/>
                <w:lang w:eastAsia="en-GB"/>
              </w:rPr>
              <w:t>19.2%</w:t>
            </w:r>
          </w:p>
        </w:tc>
        <w:tc>
          <w:tcPr>
            <w:tcW w:w="300" w:type="pct"/>
            <w:tcBorders>
              <w:top w:val="nil"/>
              <w:left w:val="nil"/>
              <w:bottom w:val="single" w:sz="4" w:space="0" w:color="auto"/>
              <w:right w:val="single" w:sz="4" w:space="0" w:color="auto"/>
            </w:tcBorders>
            <w:shd w:val="clear" w:color="auto" w:fill="auto"/>
            <w:noWrap/>
            <w:vAlign w:val="center"/>
            <w:hideMark/>
          </w:tcPr>
          <w:p w:rsidR="00574C92" w:rsidRPr="00574C92" w:rsidRDefault="00574C92" w:rsidP="00574C92">
            <w:pPr>
              <w:spacing w:after="0" w:line="240" w:lineRule="auto"/>
              <w:jc w:val="center"/>
              <w:rPr>
                <w:rFonts w:ascii="Calibri" w:eastAsia="Times New Roman" w:hAnsi="Calibri" w:cs="Times New Roman"/>
                <w:color w:val="000000"/>
                <w:sz w:val="16"/>
                <w:szCs w:val="16"/>
                <w:lang w:eastAsia="en-GB"/>
              </w:rPr>
            </w:pPr>
            <w:r w:rsidRPr="00574C92">
              <w:rPr>
                <w:rFonts w:ascii="Calibri" w:eastAsia="Times New Roman" w:hAnsi="Calibri" w:cs="Times New Roman"/>
                <w:color w:val="000000"/>
                <w:sz w:val="16"/>
                <w:szCs w:val="16"/>
                <w:lang w:eastAsia="en-GB"/>
              </w:rPr>
              <w:t>10,030,511</w:t>
            </w:r>
          </w:p>
        </w:tc>
        <w:tc>
          <w:tcPr>
            <w:tcW w:w="256" w:type="pct"/>
            <w:tcBorders>
              <w:top w:val="nil"/>
              <w:left w:val="nil"/>
              <w:bottom w:val="single" w:sz="4" w:space="0" w:color="auto"/>
              <w:right w:val="single" w:sz="4" w:space="0" w:color="auto"/>
            </w:tcBorders>
            <w:shd w:val="clear" w:color="auto" w:fill="auto"/>
            <w:noWrap/>
            <w:vAlign w:val="center"/>
            <w:hideMark/>
          </w:tcPr>
          <w:p w:rsidR="00574C92" w:rsidRPr="00574C92" w:rsidRDefault="00574C92" w:rsidP="00574C92">
            <w:pPr>
              <w:spacing w:after="0" w:line="240" w:lineRule="auto"/>
              <w:jc w:val="center"/>
              <w:rPr>
                <w:rFonts w:ascii="Calibri" w:eastAsia="Times New Roman" w:hAnsi="Calibri" w:cs="Times New Roman"/>
                <w:color w:val="000000"/>
                <w:sz w:val="16"/>
                <w:szCs w:val="16"/>
                <w:lang w:eastAsia="en-GB"/>
              </w:rPr>
            </w:pPr>
            <w:r w:rsidRPr="00574C92">
              <w:rPr>
                <w:rFonts w:ascii="Calibri" w:eastAsia="Times New Roman" w:hAnsi="Calibri" w:cs="Times New Roman"/>
                <w:color w:val="000000"/>
                <w:sz w:val="16"/>
                <w:szCs w:val="16"/>
                <w:lang w:eastAsia="en-GB"/>
              </w:rPr>
              <w:t>18.0%</w:t>
            </w:r>
          </w:p>
        </w:tc>
      </w:tr>
      <w:tr w:rsidR="00166E43" w:rsidRPr="00574C92" w:rsidTr="00166E43">
        <w:trPr>
          <w:trHeight w:val="300"/>
        </w:trPr>
        <w:tc>
          <w:tcPr>
            <w:tcW w:w="598" w:type="pct"/>
            <w:tcBorders>
              <w:top w:val="nil"/>
              <w:left w:val="single" w:sz="4" w:space="0" w:color="auto"/>
              <w:bottom w:val="single" w:sz="4" w:space="0" w:color="auto"/>
              <w:right w:val="single" w:sz="4" w:space="0" w:color="auto"/>
            </w:tcBorders>
            <w:shd w:val="clear" w:color="auto" w:fill="auto"/>
            <w:noWrap/>
            <w:vAlign w:val="center"/>
            <w:hideMark/>
          </w:tcPr>
          <w:p w:rsidR="00574C92" w:rsidRPr="00574C92" w:rsidRDefault="00574C92" w:rsidP="00574C92">
            <w:pPr>
              <w:spacing w:after="0" w:line="240" w:lineRule="auto"/>
              <w:jc w:val="center"/>
              <w:rPr>
                <w:rFonts w:ascii="Calibri" w:eastAsia="Times New Roman" w:hAnsi="Calibri" w:cs="Times New Roman"/>
                <w:color w:val="000000"/>
                <w:sz w:val="16"/>
                <w:szCs w:val="16"/>
                <w:lang w:eastAsia="en-GB"/>
              </w:rPr>
            </w:pPr>
            <w:r w:rsidRPr="00574C92">
              <w:rPr>
                <w:rFonts w:ascii="Calibri" w:eastAsia="Times New Roman" w:hAnsi="Calibri" w:cs="Times New Roman"/>
                <w:color w:val="000000"/>
                <w:sz w:val="16"/>
                <w:szCs w:val="16"/>
                <w:lang w:eastAsia="en-GB"/>
              </w:rPr>
              <w:t>Directly age-standardised rate of deaths from cardiovascular disease - 65+</w:t>
            </w:r>
          </w:p>
        </w:tc>
        <w:tc>
          <w:tcPr>
            <w:tcW w:w="257" w:type="pct"/>
            <w:tcBorders>
              <w:top w:val="nil"/>
              <w:left w:val="nil"/>
              <w:bottom w:val="single" w:sz="4" w:space="0" w:color="auto"/>
              <w:right w:val="single" w:sz="4" w:space="0" w:color="auto"/>
            </w:tcBorders>
            <w:shd w:val="clear" w:color="auto" w:fill="auto"/>
            <w:noWrap/>
            <w:vAlign w:val="center"/>
            <w:hideMark/>
          </w:tcPr>
          <w:p w:rsidR="00574C92" w:rsidRPr="00574C92" w:rsidRDefault="00574C92" w:rsidP="00574C92">
            <w:pPr>
              <w:spacing w:after="0" w:line="240" w:lineRule="auto"/>
              <w:jc w:val="center"/>
              <w:rPr>
                <w:rFonts w:ascii="Calibri" w:eastAsia="Times New Roman" w:hAnsi="Calibri" w:cs="Times New Roman"/>
                <w:color w:val="000000"/>
                <w:sz w:val="16"/>
                <w:szCs w:val="16"/>
                <w:lang w:eastAsia="en-GB"/>
              </w:rPr>
            </w:pPr>
            <w:r w:rsidRPr="00574C92">
              <w:rPr>
                <w:rFonts w:ascii="Calibri" w:eastAsia="Times New Roman" w:hAnsi="Calibri" w:cs="Times New Roman"/>
                <w:color w:val="000000"/>
                <w:sz w:val="16"/>
                <w:szCs w:val="16"/>
                <w:lang w:eastAsia="en-GB"/>
              </w:rPr>
              <w:t>2015-17</w:t>
            </w:r>
          </w:p>
        </w:tc>
        <w:tc>
          <w:tcPr>
            <w:tcW w:w="256" w:type="pct"/>
            <w:tcBorders>
              <w:top w:val="nil"/>
              <w:left w:val="nil"/>
              <w:bottom w:val="single" w:sz="4" w:space="0" w:color="auto"/>
              <w:right w:val="single" w:sz="4" w:space="0" w:color="auto"/>
            </w:tcBorders>
            <w:shd w:val="clear" w:color="000000" w:fill="EBF1DE"/>
            <w:noWrap/>
            <w:vAlign w:val="center"/>
            <w:hideMark/>
          </w:tcPr>
          <w:p w:rsidR="00574C92" w:rsidRPr="00574C92" w:rsidRDefault="00574C92" w:rsidP="00574C92">
            <w:pPr>
              <w:spacing w:after="0" w:line="240" w:lineRule="auto"/>
              <w:jc w:val="center"/>
              <w:rPr>
                <w:rFonts w:ascii="Calibri" w:eastAsia="Times New Roman" w:hAnsi="Calibri" w:cs="Times New Roman"/>
                <w:color w:val="000000"/>
                <w:sz w:val="16"/>
                <w:szCs w:val="16"/>
                <w:lang w:eastAsia="en-GB"/>
              </w:rPr>
            </w:pPr>
            <w:r w:rsidRPr="00574C92">
              <w:rPr>
                <w:rFonts w:ascii="Calibri" w:eastAsia="Times New Roman" w:hAnsi="Calibri" w:cs="Times New Roman"/>
                <w:color w:val="000000"/>
                <w:sz w:val="16"/>
                <w:szCs w:val="16"/>
                <w:lang w:eastAsia="en-GB"/>
              </w:rPr>
              <w:t>3,745</w:t>
            </w:r>
          </w:p>
        </w:tc>
        <w:tc>
          <w:tcPr>
            <w:tcW w:w="256" w:type="pct"/>
            <w:tcBorders>
              <w:top w:val="nil"/>
              <w:left w:val="nil"/>
              <w:bottom w:val="single" w:sz="4" w:space="0" w:color="auto"/>
              <w:right w:val="single" w:sz="4" w:space="0" w:color="auto"/>
            </w:tcBorders>
            <w:shd w:val="clear" w:color="000000" w:fill="EBF1DE"/>
            <w:noWrap/>
            <w:vAlign w:val="center"/>
            <w:hideMark/>
          </w:tcPr>
          <w:p w:rsidR="00574C92" w:rsidRPr="00574C92" w:rsidRDefault="00574C92" w:rsidP="00574C92">
            <w:pPr>
              <w:spacing w:after="0" w:line="240" w:lineRule="auto"/>
              <w:jc w:val="center"/>
              <w:rPr>
                <w:rFonts w:ascii="Calibri" w:eastAsia="Times New Roman" w:hAnsi="Calibri" w:cs="Times New Roman"/>
                <w:color w:val="000000"/>
                <w:sz w:val="16"/>
                <w:szCs w:val="16"/>
                <w:lang w:eastAsia="en-GB"/>
              </w:rPr>
            </w:pPr>
            <w:r w:rsidRPr="00574C92">
              <w:rPr>
                <w:rFonts w:ascii="Calibri" w:eastAsia="Times New Roman" w:hAnsi="Calibri" w:cs="Times New Roman"/>
                <w:color w:val="000000"/>
                <w:sz w:val="16"/>
                <w:szCs w:val="16"/>
                <w:lang w:eastAsia="en-GB"/>
              </w:rPr>
              <w:t>1,040.8</w:t>
            </w:r>
          </w:p>
        </w:tc>
        <w:tc>
          <w:tcPr>
            <w:tcW w:w="257" w:type="pct"/>
            <w:tcBorders>
              <w:top w:val="nil"/>
              <w:left w:val="nil"/>
              <w:bottom w:val="single" w:sz="4" w:space="0" w:color="auto"/>
              <w:right w:val="single" w:sz="4" w:space="0" w:color="auto"/>
            </w:tcBorders>
            <w:shd w:val="clear" w:color="000000" w:fill="FFFF99"/>
            <w:noWrap/>
            <w:vAlign w:val="center"/>
            <w:hideMark/>
          </w:tcPr>
          <w:p w:rsidR="00574C92" w:rsidRPr="00574C92" w:rsidRDefault="00574C92" w:rsidP="00574C92">
            <w:pPr>
              <w:spacing w:after="0" w:line="240" w:lineRule="auto"/>
              <w:jc w:val="center"/>
              <w:rPr>
                <w:rFonts w:ascii="Calibri" w:eastAsia="Times New Roman" w:hAnsi="Calibri" w:cs="Times New Roman"/>
                <w:color w:val="000000"/>
                <w:sz w:val="16"/>
                <w:szCs w:val="16"/>
                <w:lang w:eastAsia="en-GB"/>
              </w:rPr>
            </w:pPr>
            <w:r w:rsidRPr="00574C92">
              <w:rPr>
                <w:rFonts w:ascii="Calibri" w:eastAsia="Times New Roman" w:hAnsi="Calibri" w:cs="Times New Roman"/>
                <w:color w:val="000000"/>
                <w:sz w:val="16"/>
                <w:szCs w:val="16"/>
                <w:lang w:eastAsia="en-GB"/>
              </w:rPr>
              <w:t>956</w:t>
            </w:r>
          </w:p>
        </w:tc>
        <w:tc>
          <w:tcPr>
            <w:tcW w:w="256" w:type="pct"/>
            <w:tcBorders>
              <w:top w:val="nil"/>
              <w:left w:val="nil"/>
              <w:bottom w:val="single" w:sz="4" w:space="0" w:color="auto"/>
              <w:right w:val="single" w:sz="4" w:space="0" w:color="auto"/>
            </w:tcBorders>
            <w:shd w:val="clear" w:color="000000" w:fill="FFFF99"/>
            <w:noWrap/>
            <w:vAlign w:val="center"/>
            <w:hideMark/>
          </w:tcPr>
          <w:p w:rsidR="00574C92" w:rsidRPr="00574C92" w:rsidRDefault="00574C92" w:rsidP="00574C92">
            <w:pPr>
              <w:spacing w:after="0" w:line="240" w:lineRule="auto"/>
              <w:jc w:val="center"/>
              <w:rPr>
                <w:rFonts w:ascii="Calibri" w:eastAsia="Times New Roman" w:hAnsi="Calibri" w:cs="Times New Roman"/>
                <w:color w:val="000000"/>
                <w:sz w:val="16"/>
                <w:szCs w:val="16"/>
                <w:lang w:eastAsia="en-GB"/>
              </w:rPr>
            </w:pPr>
            <w:r w:rsidRPr="00574C92">
              <w:rPr>
                <w:rFonts w:ascii="Calibri" w:eastAsia="Times New Roman" w:hAnsi="Calibri" w:cs="Times New Roman"/>
                <w:color w:val="000000"/>
                <w:sz w:val="16"/>
                <w:szCs w:val="16"/>
                <w:lang w:eastAsia="en-GB"/>
              </w:rPr>
              <w:t>1,113.8</w:t>
            </w:r>
          </w:p>
        </w:tc>
        <w:tc>
          <w:tcPr>
            <w:tcW w:w="257" w:type="pct"/>
            <w:tcBorders>
              <w:top w:val="nil"/>
              <w:left w:val="nil"/>
              <w:bottom w:val="single" w:sz="4" w:space="0" w:color="auto"/>
              <w:right w:val="single" w:sz="4" w:space="0" w:color="auto"/>
            </w:tcBorders>
            <w:shd w:val="clear" w:color="000000" w:fill="FFFF99"/>
            <w:noWrap/>
            <w:vAlign w:val="center"/>
            <w:hideMark/>
          </w:tcPr>
          <w:p w:rsidR="00574C92" w:rsidRPr="00574C92" w:rsidRDefault="00574C92" w:rsidP="00574C92">
            <w:pPr>
              <w:spacing w:after="0" w:line="240" w:lineRule="auto"/>
              <w:jc w:val="center"/>
              <w:rPr>
                <w:rFonts w:ascii="Calibri" w:eastAsia="Times New Roman" w:hAnsi="Calibri" w:cs="Times New Roman"/>
                <w:color w:val="000000"/>
                <w:sz w:val="16"/>
                <w:szCs w:val="16"/>
                <w:lang w:eastAsia="en-GB"/>
              </w:rPr>
            </w:pPr>
            <w:r w:rsidRPr="00574C92">
              <w:rPr>
                <w:rFonts w:ascii="Calibri" w:eastAsia="Times New Roman" w:hAnsi="Calibri" w:cs="Times New Roman"/>
                <w:color w:val="000000"/>
                <w:sz w:val="16"/>
                <w:szCs w:val="16"/>
                <w:lang w:eastAsia="en-GB"/>
              </w:rPr>
              <w:t>657</w:t>
            </w:r>
          </w:p>
        </w:tc>
        <w:tc>
          <w:tcPr>
            <w:tcW w:w="256" w:type="pct"/>
            <w:tcBorders>
              <w:top w:val="nil"/>
              <w:left w:val="nil"/>
              <w:bottom w:val="single" w:sz="4" w:space="0" w:color="auto"/>
              <w:right w:val="single" w:sz="4" w:space="0" w:color="auto"/>
            </w:tcBorders>
            <w:shd w:val="clear" w:color="000000" w:fill="FFFF99"/>
            <w:noWrap/>
            <w:vAlign w:val="center"/>
            <w:hideMark/>
          </w:tcPr>
          <w:p w:rsidR="00574C92" w:rsidRPr="00574C92" w:rsidRDefault="00574C92" w:rsidP="00574C92">
            <w:pPr>
              <w:spacing w:after="0" w:line="240" w:lineRule="auto"/>
              <w:jc w:val="center"/>
              <w:rPr>
                <w:rFonts w:ascii="Calibri" w:eastAsia="Times New Roman" w:hAnsi="Calibri" w:cs="Times New Roman"/>
                <w:color w:val="000000"/>
                <w:sz w:val="16"/>
                <w:szCs w:val="16"/>
                <w:lang w:eastAsia="en-GB"/>
              </w:rPr>
            </w:pPr>
            <w:r w:rsidRPr="00574C92">
              <w:rPr>
                <w:rFonts w:ascii="Calibri" w:eastAsia="Times New Roman" w:hAnsi="Calibri" w:cs="Times New Roman"/>
                <w:color w:val="000000"/>
                <w:sz w:val="16"/>
                <w:szCs w:val="16"/>
                <w:lang w:eastAsia="en-GB"/>
              </w:rPr>
              <w:t>1,188.4</w:t>
            </w:r>
          </w:p>
        </w:tc>
        <w:tc>
          <w:tcPr>
            <w:tcW w:w="257" w:type="pct"/>
            <w:tcBorders>
              <w:top w:val="nil"/>
              <w:left w:val="nil"/>
              <w:bottom w:val="single" w:sz="4" w:space="0" w:color="auto"/>
              <w:right w:val="single" w:sz="4" w:space="0" w:color="auto"/>
            </w:tcBorders>
            <w:shd w:val="clear" w:color="000000" w:fill="FFFF99"/>
            <w:noWrap/>
            <w:vAlign w:val="center"/>
            <w:hideMark/>
          </w:tcPr>
          <w:p w:rsidR="00574C92" w:rsidRPr="00574C92" w:rsidRDefault="00574C92" w:rsidP="00574C92">
            <w:pPr>
              <w:spacing w:after="0" w:line="240" w:lineRule="auto"/>
              <w:jc w:val="center"/>
              <w:rPr>
                <w:rFonts w:ascii="Calibri" w:eastAsia="Times New Roman" w:hAnsi="Calibri" w:cs="Times New Roman"/>
                <w:color w:val="000000"/>
                <w:sz w:val="16"/>
                <w:szCs w:val="16"/>
                <w:lang w:eastAsia="en-GB"/>
              </w:rPr>
            </w:pPr>
            <w:r w:rsidRPr="00574C92">
              <w:rPr>
                <w:rFonts w:ascii="Calibri" w:eastAsia="Times New Roman" w:hAnsi="Calibri" w:cs="Times New Roman"/>
                <w:color w:val="000000"/>
                <w:sz w:val="16"/>
                <w:szCs w:val="16"/>
                <w:lang w:eastAsia="en-GB"/>
              </w:rPr>
              <w:t>538</w:t>
            </w:r>
          </w:p>
        </w:tc>
        <w:tc>
          <w:tcPr>
            <w:tcW w:w="256" w:type="pct"/>
            <w:tcBorders>
              <w:top w:val="nil"/>
              <w:left w:val="nil"/>
              <w:bottom w:val="single" w:sz="4" w:space="0" w:color="auto"/>
              <w:right w:val="single" w:sz="4" w:space="0" w:color="auto"/>
            </w:tcBorders>
            <w:shd w:val="clear" w:color="000000" w:fill="FFFF99"/>
            <w:noWrap/>
            <w:vAlign w:val="center"/>
            <w:hideMark/>
          </w:tcPr>
          <w:p w:rsidR="00574C92" w:rsidRPr="00574C92" w:rsidRDefault="00574C92" w:rsidP="00574C92">
            <w:pPr>
              <w:spacing w:after="0" w:line="240" w:lineRule="auto"/>
              <w:jc w:val="center"/>
              <w:rPr>
                <w:rFonts w:ascii="Calibri" w:eastAsia="Times New Roman" w:hAnsi="Calibri" w:cs="Times New Roman"/>
                <w:color w:val="000000"/>
                <w:sz w:val="16"/>
                <w:szCs w:val="16"/>
                <w:lang w:eastAsia="en-GB"/>
              </w:rPr>
            </w:pPr>
            <w:r w:rsidRPr="00574C92">
              <w:rPr>
                <w:rFonts w:ascii="Calibri" w:eastAsia="Times New Roman" w:hAnsi="Calibri" w:cs="Times New Roman"/>
                <w:color w:val="000000"/>
                <w:sz w:val="16"/>
                <w:szCs w:val="16"/>
                <w:lang w:eastAsia="en-GB"/>
              </w:rPr>
              <w:t>1,052.4</w:t>
            </w:r>
          </w:p>
        </w:tc>
        <w:tc>
          <w:tcPr>
            <w:tcW w:w="257" w:type="pct"/>
            <w:tcBorders>
              <w:top w:val="nil"/>
              <w:left w:val="nil"/>
              <w:bottom w:val="single" w:sz="4" w:space="0" w:color="auto"/>
              <w:right w:val="single" w:sz="4" w:space="0" w:color="auto"/>
            </w:tcBorders>
            <w:shd w:val="clear" w:color="000000" w:fill="FFFF99"/>
            <w:noWrap/>
            <w:vAlign w:val="center"/>
            <w:hideMark/>
          </w:tcPr>
          <w:p w:rsidR="00574C92" w:rsidRPr="00574C92" w:rsidRDefault="00574C92" w:rsidP="00574C92">
            <w:pPr>
              <w:spacing w:after="0" w:line="240" w:lineRule="auto"/>
              <w:jc w:val="center"/>
              <w:rPr>
                <w:rFonts w:ascii="Calibri" w:eastAsia="Times New Roman" w:hAnsi="Calibri" w:cs="Times New Roman"/>
                <w:color w:val="000000"/>
                <w:sz w:val="16"/>
                <w:szCs w:val="16"/>
                <w:lang w:eastAsia="en-GB"/>
              </w:rPr>
            </w:pPr>
            <w:r w:rsidRPr="00574C92">
              <w:rPr>
                <w:rFonts w:ascii="Calibri" w:eastAsia="Times New Roman" w:hAnsi="Calibri" w:cs="Times New Roman"/>
                <w:color w:val="000000"/>
                <w:sz w:val="16"/>
                <w:szCs w:val="16"/>
                <w:lang w:eastAsia="en-GB"/>
              </w:rPr>
              <w:t>747</w:t>
            </w:r>
          </w:p>
        </w:tc>
        <w:tc>
          <w:tcPr>
            <w:tcW w:w="256" w:type="pct"/>
            <w:tcBorders>
              <w:top w:val="nil"/>
              <w:left w:val="nil"/>
              <w:bottom w:val="single" w:sz="4" w:space="0" w:color="auto"/>
              <w:right w:val="single" w:sz="4" w:space="0" w:color="auto"/>
            </w:tcBorders>
            <w:shd w:val="clear" w:color="000000" w:fill="FFFF99"/>
            <w:noWrap/>
            <w:vAlign w:val="center"/>
            <w:hideMark/>
          </w:tcPr>
          <w:p w:rsidR="00574C92" w:rsidRPr="00574C92" w:rsidRDefault="00574C92" w:rsidP="00574C92">
            <w:pPr>
              <w:spacing w:after="0" w:line="240" w:lineRule="auto"/>
              <w:jc w:val="center"/>
              <w:rPr>
                <w:rFonts w:ascii="Calibri" w:eastAsia="Times New Roman" w:hAnsi="Calibri" w:cs="Times New Roman"/>
                <w:color w:val="000000"/>
                <w:sz w:val="16"/>
                <w:szCs w:val="16"/>
                <w:lang w:eastAsia="en-GB"/>
              </w:rPr>
            </w:pPr>
            <w:r w:rsidRPr="00574C92">
              <w:rPr>
                <w:rFonts w:ascii="Calibri" w:eastAsia="Times New Roman" w:hAnsi="Calibri" w:cs="Times New Roman"/>
                <w:color w:val="000000"/>
                <w:sz w:val="16"/>
                <w:szCs w:val="16"/>
                <w:lang w:eastAsia="en-GB"/>
              </w:rPr>
              <w:t>1,108.5</w:t>
            </w:r>
          </w:p>
        </w:tc>
        <w:tc>
          <w:tcPr>
            <w:tcW w:w="256" w:type="pct"/>
            <w:tcBorders>
              <w:top w:val="nil"/>
              <w:left w:val="nil"/>
              <w:bottom w:val="single" w:sz="4" w:space="0" w:color="auto"/>
              <w:right w:val="single" w:sz="4" w:space="0" w:color="auto"/>
            </w:tcBorders>
            <w:shd w:val="clear" w:color="000000" w:fill="EBF1DE"/>
            <w:noWrap/>
            <w:vAlign w:val="center"/>
            <w:hideMark/>
          </w:tcPr>
          <w:p w:rsidR="00574C92" w:rsidRPr="00574C92" w:rsidRDefault="00574C92" w:rsidP="00574C92">
            <w:pPr>
              <w:spacing w:after="0" w:line="240" w:lineRule="auto"/>
              <w:jc w:val="center"/>
              <w:rPr>
                <w:rFonts w:ascii="Calibri" w:eastAsia="Times New Roman" w:hAnsi="Calibri" w:cs="Times New Roman"/>
                <w:color w:val="000000"/>
                <w:sz w:val="16"/>
                <w:szCs w:val="16"/>
                <w:lang w:eastAsia="en-GB"/>
              </w:rPr>
            </w:pPr>
            <w:r w:rsidRPr="00574C92">
              <w:rPr>
                <w:rFonts w:ascii="Calibri" w:eastAsia="Times New Roman" w:hAnsi="Calibri" w:cs="Times New Roman"/>
                <w:color w:val="000000"/>
                <w:sz w:val="16"/>
                <w:szCs w:val="16"/>
                <w:lang w:eastAsia="en-GB"/>
              </w:rPr>
              <w:t>945</w:t>
            </w:r>
          </w:p>
        </w:tc>
        <w:tc>
          <w:tcPr>
            <w:tcW w:w="256" w:type="pct"/>
            <w:tcBorders>
              <w:top w:val="nil"/>
              <w:left w:val="nil"/>
              <w:bottom w:val="single" w:sz="4" w:space="0" w:color="auto"/>
              <w:right w:val="single" w:sz="4" w:space="0" w:color="auto"/>
            </w:tcBorders>
            <w:shd w:val="clear" w:color="000000" w:fill="EBF1DE"/>
            <w:noWrap/>
            <w:vAlign w:val="center"/>
            <w:hideMark/>
          </w:tcPr>
          <w:p w:rsidR="00574C92" w:rsidRPr="00574C92" w:rsidRDefault="00574C92" w:rsidP="00574C92">
            <w:pPr>
              <w:spacing w:after="0" w:line="240" w:lineRule="auto"/>
              <w:jc w:val="center"/>
              <w:rPr>
                <w:rFonts w:ascii="Calibri" w:eastAsia="Times New Roman" w:hAnsi="Calibri" w:cs="Times New Roman"/>
                <w:color w:val="000000"/>
                <w:sz w:val="16"/>
                <w:szCs w:val="16"/>
                <w:lang w:eastAsia="en-GB"/>
              </w:rPr>
            </w:pPr>
            <w:r w:rsidRPr="00574C92">
              <w:rPr>
                <w:rFonts w:ascii="Calibri" w:eastAsia="Times New Roman" w:hAnsi="Calibri" w:cs="Times New Roman"/>
                <w:color w:val="000000"/>
                <w:sz w:val="16"/>
                <w:szCs w:val="16"/>
                <w:lang w:eastAsia="en-GB"/>
              </w:rPr>
              <w:t>984.6</w:t>
            </w:r>
          </w:p>
        </w:tc>
        <w:tc>
          <w:tcPr>
            <w:tcW w:w="257" w:type="pct"/>
            <w:tcBorders>
              <w:top w:val="nil"/>
              <w:left w:val="nil"/>
              <w:bottom w:val="single" w:sz="4" w:space="0" w:color="auto"/>
              <w:right w:val="single" w:sz="4" w:space="0" w:color="auto"/>
            </w:tcBorders>
            <w:shd w:val="clear" w:color="000000" w:fill="EBF1DE"/>
            <w:noWrap/>
            <w:vAlign w:val="center"/>
            <w:hideMark/>
          </w:tcPr>
          <w:p w:rsidR="00574C92" w:rsidRPr="00574C92" w:rsidRDefault="00574C92" w:rsidP="00574C92">
            <w:pPr>
              <w:spacing w:after="0" w:line="240" w:lineRule="auto"/>
              <w:jc w:val="center"/>
              <w:rPr>
                <w:rFonts w:ascii="Calibri" w:eastAsia="Times New Roman" w:hAnsi="Calibri" w:cs="Times New Roman"/>
                <w:color w:val="000000"/>
                <w:sz w:val="16"/>
                <w:szCs w:val="16"/>
                <w:lang w:eastAsia="en-GB"/>
              </w:rPr>
            </w:pPr>
            <w:r w:rsidRPr="00574C92">
              <w:rPr>
                <w:rFonts w:ascii="Calibri" w:eastAsia="Times New Roman" w:hAnsi="Calibri" w:cs="Times New Roman"/>
                <w:color w:val="000000"/>
                <w:sz w:val="16"/>
                <w:szCs w:val="16"/>
                <w:lang w:eastAsia="en-GB"/>
              </w:rPr>
              <w:t>858</w:t>
            </w:r>
          </w:p>
        </w:tc>
        <w:tc>
          <w:tcPr>
            <w:tcW w:w="256" w:type="pct"/>
            <w:tcBorders>
              <w:top w:val="nil"/>
              <w:left w:val="nil"/>
              <w:bottom w:val="single" w:sz="4" w:space="0" w:color="auto"/>
              <w:right w:val="single" w:sz="4" w:space="0" w:color="auto"/>
            </w:tcBorders>
            <w:shd w:val="clear" w:color="000000" w:fill="EBF1DE"/>
            <w:noWrap/>
            <w:vAlign w:val="center"/>
            <w:hideMark/>
          </w:tcPr>
          <w:p w:rsidR="00574C92" w:rsidRPr="00574C92" w:rsidRDefault="00574C92" w:rsidP="00574C92">
            <w:pPr>
              <w:spacing w:after="0" w:line="240" w:lineRule="auto"/>
              <w:jc w:val="center"/>
              <w:rPr>
                <w:rFonts w:ascii="Calibri" w:eastAsia="Times New Roman" w:hAnsi="Calibri" w:cs="Times New Roman"/>
                <w:color w:val="000000"/>
                <w:sz w:val="16"/>
                <w:szCs w:val="16"/>
                <w:lang w:eastAsia="en-GB"/>
              </w:rPr>
            </w:pPr>
            <w:r w:rsidRPr="00574C92">
              <w:rPr>
                <w:rFonts w:ascii="Calibri" w:eastAsia="Times New Roman" w:hAnsi="Calibri" w:cs="Times New Roman"/>
                <w:color w:val="000000"/>
                <w:sz w:val="16"/>
                <w:szCs w:val="16"/>
                <w:lang w:eastAsia="en-GB"/>
              </w:rPr>
              <w:t>955.3</w:t>
            </w:r>
          </w:p>
        </w:tc>
        <w:tc>
          <w:tcPr>
            <w:tcW w:w="300" w:type="pct"/>
            <w:tcBorders>
              <w:top w:val="nil"/>
              <w:left w:val="nil"/>
              <w:bottom w:val="single" w:sz="4" w:space="0" w:color="auto"/>
              <w:right w:val="single" w:sz="4" w:space="0" w:color="auto"/>
            </w:tcBorders>
            <w:shd w:val="clear" w:color="auto" w:fill="auto"/>
            <w:noWrap/>
            <w:vAlign w:val="center"/>
            <w:hideMark/>
          </w:tcPr>
          <w:p w:rsidR="00574C92" w:rsidRPr="00574C92" w:rsidRDefault="00574C92" w:rsidP="00574C92">
            <w:pPr>
              <w:spacing w:after="0" w:line="240" w:lineRule="auto"/>
              <w:jc w:val="center"/>
              <w:rPr>
                <w:rFonts w:ascii="Calibri" w:eastAsia="Times New Roman" w:hAnsi="Calibri" w:cs="Times New Roman"/>
                <w:color w:val="000000"/>
                <w:sz w:val="16"/>
                <w:szCs w:val="16"/>
                <w:lang w:eastAsia="en-GB"/>
              </w:rPr>
            </w:pPr>
            <w:r w:rsidRPr="00574C92">
              <w:rPr>
                <w:rFonts w:ascii="Calibri" w:eastAsia="Times New Roman" w:hAnsi="Calibri" w:cs="Times New Roman"/>
                <w:color w:val="000000"/>
                <w:sz w:val="16"/>
                <w:szCs w:val="16"/>
                <w:lang w:eastAsia="en-GB"/>
              </w:rPr>
              <w:t>334,042</w:t>
            </w:r>
          </w:p>
        </w:tc>
        <w:tc>
          <w:tcPr>
            <w:tcW w:w="256" w:type="pct"/>
            <w:tcBorders>
              <w:top w:val="nil"/>
              <w:left w:val="nil"/>
              <w:bottom w:val="single" w:sz="4" w:space="0" w:color="auto"/>
              <w:right w:val="single" w:sz="4" w:space="0" w:color="auto"/>
            </w:tcBorders>
            <w:shd w:val="clear" w:color="auto" w:fill="auto"/>
            <w:noWrap/>
            <w:vAlign w:val="center"/>
            <w:hideMark/>
          </w:tcPr>
          <w:p w:rsidR="00574C92" w:rsidRPr="00574C92" w:rsidRDefault="00574C92" w:rsidP="00574C92">
            <w:pPr>
              <w:spacing w:after="0" w:line="240" w:lineRule="auto"/>
              <w:jc w:val="center"/>
              <w:rPr>
                <w:rFonts w:ascii="Calibri" w:eastAsia="Times New Roman" w:hAnsi="Calibri" w:cs="Times New Roman"/>
                <w:color w:val="000000"/>
                <w:sz w:val="16"/>
                <w:szCs w:val="16"/>
                <w:lang w:eastAsia="en-GB"/>
              </w:rPr>
            </w:pPr>
            <w:r w:rsidRPr="00574C92">
              <w:rPr>
                <w:rFonts w:ascii="Calibri" w:eastAsia="Times New Roman" w:hAnsi="Calibri" w:cs="Times New Roman"/>
                <w:color w:val="000000"/>
                <w:sz w:val="16"/>
                <w:szCs w:val="16"/>
                <w:lang w:eastAsia="en-GB"/>
              </w:rPr>
              <w:t>1,121.0</w:t>
            </w:r>
          </w:p>
        </w:tc>
      </w:tr>
      <w:tr w:rsidR="00166E43" w:rsidRPr="00574C92" w:rsidTr="00166E43">
        <w:trPr>
          <w:trHeight w:val="300"/>
        </w:trPr>
        <w:tc>
          <w:tcPr>
            <w:tcW w:w="598" w:type="pct"/>
            <w:tcBorders>
              <w:top w:val="nil"/>
              <w:left w:val="single" w:sz="4" w:space="0" w:color="auto"/>
              <w:bottom w:val="single" w:sz="4" w:space="0" w:color="auto"/>
              <w:right w:val="single" w:sz="4" w:space="0" w:color="auto"/>
            </w:tcBorders>
            <w:shd w:val="clear" w:color="auto" w:fill="auto"/>
            <w:noWrap/>
            <w:vAlign w:val="center"/>
            <w:hideMark/>
          </w:tcPr>
          <w:p w:rsidR="00574C92" w:rsidRPr="00574C92" w:rsidRDefault="00574C92" w:rsidP="00574C92">
            <w:pPr>
              <w:spacing w:after="0" w:line="240" w:lineRule="auto"/>
              <w:jc w:val="center"/>
              <w:rPr>
                <w:rFonts w:ascii="Calibri" w:eastAsia="Times New Roman" w:hAnsi="Calibri" w:cs="Times New Roman"/>
                <w:color w:val="000000"/>
                <w:sz w:val="16"/>
                <w:szCs w:val="16"/>
                <w:lang w:eastAsia="en-GB"/>
              </w:rPr>
            </w:pPr>
            <w:r w:rsidRPr="00574C92">
              <w:rPr>
                <w:rFonts w:ascii="Calibri" w:eastAsia="Times New Roman" w:hAnsi="Calibri" w:cs="Times New Roman"/>
                <w:color w:val="000000"/>
                <w:sz w:val="16"/>
                <w:szCs w:val="16"/>
                <w:lang w:eastAsia="en-GB"/>
              </w:rPr>
              <w:t>Directly age-standardised rate of deaths from respiratory disease - 65+</w:t>
            </w:r>
          </w:p>
        </w:tc>
        <w:tc>
          <w:tcPr>
            <w:tcW w:w="257" w:type="pct"/>
            <w:tcBorders>
              <w:top w:val="nil"/>
              <w:left w:val="nil"/>
              <w:bottom w:val="single" w:sz="4" w:space="0" w:color="auto"/>
              <w:right w:val="single" w:sz="4" w:space="0" w:color="auto"/>
            </w:tcBorders>
            <w:shd w:val="clear" w:color="auto" w:fill="auto"/>
            <w:noWrap/>
            <w:vAlign w:val="center"/>
            <w:hideMark/>
          </w:tcPr>
          <w:p w:rsidR="00574C92" w:rsidRPr="00574C92" w:rsidRDefault="00574C92" w:rsidP="00574C92">
            <w:pPr>
              <w:spacing w:after="0" w:line="240" w:lineRule="auto"/>
              <w:jc w:val="center"/>
              <w:rPr>
                <w:rFonts w:ascii="Calibri" w:eastAsia="Times New Roman" w:hAnsi="Calibri" w:cs="Times New Roman"/>
                <w:color w:val="000000"/>
                <w:sz w:val="16"/>
                <w:szCs w:val="16"/>
                <w:lang w:eastAsia="en-GB"/>
              </w:rPr>
            </w:pPr>
            <w:r w:rsidRPr="00574C92">
              <w:rPr>
                <w:rFonts w:ascii="Calibri" w:eastAsia="Times New Roman" w:hAnsi="Calibri" w:cs="Times New Roman"/>
                <w:color w:val="000000"/>
                <w:sz w:val="16"/>
                <w:szCs w:val="16"/>
                <w:lang w:eastAsia="en-GB"/>
              </w:rPr>
              <w:t>2015-17</w:t>
            </w:r>
          </w:p>
        </w:tc>
        <w:tc>
          <w:tcPr>
            <w:tcW w:w="256" w:type="pct"/>
            <w:tcBorders>
              <w:top w:val="nil"/>
              <w:left w:val="nil"/>
              <w:bottom w:val="single" w:sz="4" w:space="0" w:color="auto"/>
              <w:right w:val="single" w:sz="4" w:space="0" w:color="auto"/>
            </w:tcBorders>
            <w:shd w:val="clear" w:color="000000" w:fill="EBF1DE"/>
            <w:noWrap/>
            <w:vAlign w:val="center"/>
            <w:hideMark/>
          </w:tcPr>
          <w:p w:rsidR="00574C92" w:rsidRPr="00574C92" w:rsidRDefault="00574C92" w:rsidP="00574C92">
            <w:pPr>
              <w:spacing w:after="0" w:line="240" w:lineRule="auto"/>
              <w:jc w:val="center"/>
              <w:rPr>
                <w:rFonts w:ascii="Calibri" w:eastAsia="Times New Roman" w:hAnsi="Calibri" w:cs="Times New Roman"/>
                <w:color w:val="000000"/>
                <w:sz w:val="16"/>
                <w:szCs w:val="16"/>
                <w:lang w:eastAsia="en-GB"/>
              </w:rPr>
            </w:pPr>
            <w:r w:rsidRPr="00574C92">
              <w:rPr>
                <w:rFonts w:ascii="Calibri" w:eastAsia="Times New Roman" w:hAnsi="Calibri" w:cs="Times New Roman"/>
                <w:color w:val="000000"/>
                <w:sz w:val="16"/>
                <w:szCs w:val="16"/>
                <w:lang w:eastAsia="en-GB"/>
              </w:rPr>
              <w:t>1,929</w:t>
            </w:r>
          </w:p>
        </w:tc>
        <w:tc>
          <w:tcPr>
            <w:tcW w:w="256" w:type="pct"/>
            <w:tcBorders>
              <w:top w:val="nil"/>
              <w:left w:val="nil"/>
              <w:bottom w:val="single" w:sz="4" w:space="0" w:color="auto"/>
              <w:right w:val="single" w:sz="4" w:space="0" w:color="auto"/>
            </w:tcBorders>
            <w:shd w:val="clear" w:color="000000" w:fill="EBF1DE"/>
            <w:noWrap/>
            <w:vAlign w:val="center"/>
            <w:hideMark/>
          </w:tcPr>
          <w:p w:rsidR="00574C92" w:rsidRPr="00574C92" w:rsidRDefault="00574C92" w:rsidP="00574C92">
            <w:pPr>
              <w:spacing w:after="0" w:line="240" w:lineRule="auto"/>
              <w:jc w:val="center"/>
              <w:rPr>
                <w:rFonts w:ascii="Calibri" w:eastAsia="Times New Roman" w:hAnsi="Calibri" w:cs="Times New Roman"/>
                <w:color w:val="000000"/>
                <w:sz w:val="16"/>
                <w:szCs w:val="16"/>
                <w:lang w:eastAsia="en-GB"/>
              </w:rPr>
            </w:pPr>
            <w:r w:rsidRPr="00574C92">
              <w:rPr>
                <w:rFonts w:ascii="Calibri" w:eastAsia="Times New Roman" w:hAnsi="Calibri" w:cs="Times New Roman"/>
                <w:color w:val="000000"/>
                <w:sz w:val="16"/>
                <w:szCs w:val="16"/>
                <w:lang w:eastAsia="en-GB"/>
              </w:rPr>
              <w:t>536.8</w:t>
            </w:r>
          </w:p>
        </w:tc>
        <w:tc>
          <w:tcPr>
            <w:tcW w:w="257" w:type="pct"/>
            <w:tcBorders>
              <w:top w:val="nil"/>
              <w:left w:val="nil"/>
              <w:bottom w:val="single" w:sz="4" w:space="0" w:color="auto"/>
              <w:right w:val="single" w:sz="4" w:space="0" w:color="auto"/>
            </w:tcBorders>
            <w:shd w:val="clear" w:color="000000" w:fill="420000"/>
            <w:noWrap/>
            <w:vAlign w:val="center"/>
            <w:hideMark/>
          </w:tcPr>
          <w:p w:rsidR="00574C92" w:rsidRPr="00574C92" w:rsidRDefault="00574C92" w:rsidP="00574C92">
            <w:pPr>
              <w:spacing w:after="0" w:line="240" w:lineRule="auto"/>
              <w:jc w:val="center"/>
              <w:rPr>
                <w:rFonts w:ascii="Calibri" w:eastAsia="Times New Roman" w:hAnsi="Calibri" w:cs="Times New Roman"/>
                <w:color w:val="FFFFFF"/>
                <w:sz w:val="16"/>
                <w:szCs w:val="16"/>
                <w:lang w:eastAsia="en-GB"/>
              </w:rPr>
            </w:pPr>
            <w:r w:rsidRPr="00574C92">
              <w:rPr>
                <w:rFonts w:ascii="Calibri" w:eastAsia="Times New Roman" w:hAnsi="Calibri" w:cs="Times New Roman"/>
                <w:color w:val="FFFFFF"/>
                <w:sz w:val="16"/>
                <w:szCs w:val="16"/>
                <w:lang w:eastAsia="en-GB"/>
              </w:rPr>
              <w:t>605</w:t>
            </w:r>
          </w:p>
        </w:tc>
        <w:tc>
          <w:tcPr>
            <w:tcW w:w="256" w:type="pct"/>
            <w:tcBorders>
              <w:top w:val="nil"/>
              <w:left w:val="nil"/>
              <w:bottom w:val="single" w:sz="4" w:space="0" w:color="auto"/>
              <w:right w:val="single" w:sz="4" w:space="0" w:color="auto"/>
            </w:tcBorders>
            <w:shd w:val="clear" w:color="000000" w:fill="420000"/>
            <w:noWrap/>
            <w:vAlign w:val="center"/>
            <w:hideMark/>
          </w:tcPr>
          <w:p w:rsidR="00574C92" w:rsidRPr="00574C92" w:rsidRDefault="00574C92" w:rsidP="00574C92">
            <w:pPr>
              <w:spacing w:after="0" w:line="240" w:lineRule="auto"/>
              <w:jc w:val="center"/>
              <w:rPr>
                <w:rFonts w:ascii="Calibri" w:eastAsia="Times New Roman" w:hAnsi="Calibri" w:cs="Times New Roman"/>
                <w:color w:val="FFFFFF"/>
                <w:sz w:val="16"/>
                <w:szCs w:val="16"/>
                <w:lang w:eastAsia="en-GB"/>
              </w:rPr>
            </w:pPr>
            <w:r w:rsidRPr="00574C92">
              <w:rPr>
                <w:rFonts w:ascii="Calibri" w:eastAsia="Times New Roman" w:hAnsi="Calibri" w:cs="Times New Roman"/>
                <w:color w:val="FFFFFF"/>
                <w:sz w:val="16"/>
                <w:szCs w:val="16"/>
                <w:lang w:eastAsia="en-GB"/>
              </w:rPr>
              <w:t>701.3</w:t>
            </w:r>
          </w:p>
        </w:tc>
        <w:tc>
          <w:tcPr>
            <w:tcW w:w="257" w:type="pct"/>
            <w:tcBorders>
              <w:top w:val="nil"/>
              <w:left w:val="nil"/>
              <w:bottom w:val="single" w:sz="4" w:space="0" w:color="auto"/>
              <w:right w:val="single" w:sz="4" w:space="0" w:color="auto"/>
            </w:tcBorders>
            <w:shd w:val="clear" w:color="000000" w:fill="EBF1DE"/>
            <w:noWrap/>
            <w:vAlign w:val="center"/>
            <w:hideMark/>
          </w:tcPr>
          <w:p w:rsidR="00574C92" w:rsidRPr="00574C92" w:rsidRDefault="00574C92" w:rsidP="00574C92">
            <w:pPr>
              <w:spacing w:after="0" w:line="240" w:lineRule="auto"/>
              <w:jc w:val="center"/>
              <w:rPr>
                <w:rFonts w:ascii="Calibri" w:eastAsia="Times New Roman" w:hAnsi="Calibri" w:cs="Times New Roman"/>
                <w:color w:val="000000"/>
                <w:sz w:val="16"/>
                <w:szCs w:val="16"/>
                <w:lang w:eastAsia="en-GB"/>
              </w:rPr>
            </w:pPr>
            <w:r w:rsidRPr="00574C92">
              <w:rPr>
                <w:rFonts w:ascii="Calibri" w:eastAsia="Times New Roman" w:hAnsi="Calibri" w:cs="Times New Roman"/>
                <w:color w:val="000000"/>
                <w:sz w:val="16"/>
                <w:szCs w:val="16"/>
                <w:lang w:eastAsia="en-GB"/>
              </w:rPr>
              <w:t>244</w:t>
            </w:r>
          </w:p>
        </w:tc>
        <w:tc>
          <w:tcPr>
            <w:tcW w:w="256" w:type="pct"/>
            <w:tcBorders>
              <w:top w:val="nil"/>
              <w:left w:val="nil"/>
              <w:bottom w:val="single" w:sz="4" w:space="0" w:color="auto"/>
              <w:right w:val="single" w:sz="4" w:space="0" w:color="auto"/>
            </w:tcBorders>
            <w:shd w:val="clear" w:color="000000" w:fill="EBF1DE"/>
            <w:noWrap/>
            <w:vAlign w:val="center"/>
            <w:hideMark/>
          </w:tcPr>
          <w:p w:rsidR="00574C92" w:rsidRPr="00574C92" w:rsidRDefault="00574C92" w:rsidP="00574C92">
            <w:pPr>
              <w:spacing w:after="0" w:line="240" w:lineRule="auto"/>
              <w:jc w:val="center"/>
              <w:rPr>
                <w:rFonts w:ascii="Calibri" w:eastAsia="Times New Roman" w:hAnsi="Calibri" w:cs="Times New Roman"/>
                <w:color w:val="000000"/>
                <w:sz w:val="16"/>
                <w:szCs w:val="16"/>
                <w:lang w:eastAsia="en-GB"/>
              </w:rPr>
            </w:pPr>
            <w:r w:rsidRPr="00574C92">
              <w:rPr>
                <w:rFonts w:ascii="Calibri" w:eastAsia="Times New Roman" w:hAnsi="Calibri" w:cs="Times New Roman"/>
                <w:color w:val="000000"/>
                <w:sz w:val="16"/>
                <w:szCs w:val="16"/>
                <w:lang w:eastAsia="en-GB"/>
              </w:rPr>
              <w:t>431.6</w:t>
            </w:r>
          </w:p>
        </w:tc>
        <w:tc>
          <w:tcPr>
            <w:tcW w:w="257" w:type="pct"/>
            <w:tcBorders>
              <w:top w:val="nil"/>
              <w:left w:val="nil"/>
              <w:bottom w:val="single" w:sz="4" w:space="0" w:color="auto"/>
              <w:right w:val="single" w:sz="4" w:space="0" w:color="auto"/>
            </w:tcBorders>
            <w:shd w:val="clear" w:color="000000" w:fill="EBF1DE"/>
            <w:noWrap/>
            <w:vAlign w:val="center"/>
            <w:hideMark/>
          </w:tcPr>
          <w:p w:rsidR="00574C92" w:rsidRPr="00574C92" w:rsidRDefault="00574C92" w:rsidP="00574C92">
            <w:pPr>
              <w:spacing w:after="0" w:line="240" w:lineRule="auto"/>
              <w:jc w:val="center"/>
              <w:rPr>
                <w:rFonts w:ascii="Calibri" w:eastAsia="Times New Roman" w:hAnsi="Calibri" w:cs="Times New Roman"/>
                <w:color w:val="000000"/>
                <w:sz w:val="16"/>
                <w:szCs w:val="16"/>
                <w:lang w:eastAsia="en-GB"/>
              </w:rPr>
            </w:pPr>
            <w:r w:rsidRPr="00574C92">
              <w:rPr>
                <w:rFonts w:ascii="Calibri" w:eastAsia="Times New Roman" w:hAnsi="Calibri" w:cs="Times New Roman"/>
                <w:color w:val="000000"/>
                <w:sz w:val="16"/>
                <w:szCs w:val="16"/>
                <w:lang w:eastAsia="en-GB"/>
              </w:rPr>
              <w:t>226</w:t>
            </w:r>
          </w:p>
        </w:tc>
        <w:tc>
          <w:tcPr>
            <w:tcW w:w="256" w:type="pct"/>
            <w:tcBorders>
              <w:top w:val="nil"/>
              <w:left w:val="nil"/>
              <w:bottom w:val="single" w:sz="4" w:space="0" w:color="auto"/>
              <w:right w:val="single" w:sz="4" w:space="0" w:color="auto"/>
            </w:tcBorders>
            <w:shd w:val="clear" w:color="000000" w:fill="EBF1DE"/>
            <w:noWrap/>
            <w:vAlign w:val="center"/>
            <w:hideMark/>
          </w:tcPr>
          <w:p w:rsidR="00574C92" w:rsidRPr="00574C92" w:rsidRDefault="00574C92" w:rsidP="00574C92">
            <w:pPr>
              <w:spacing w:after="0" w:line="240" w:lineRule="auto"/>
              <w:jc w:val="center"/>
              <w:rPr>
                <w:rFonts w:ascii="Calibri" w:eastAsia="Times New Roman" w:hAnsi="Calibri" w:cs="Times New Roman"/>
                <w:color w:val="000000"/>
                <w:sz w:val="16"/>
                <w:szCs w:val="16"/>
                <w:lang w:eastAsia="en-GB"/>
              </w:rPr>
            </w:pPr>
            <w:r w:rsidRPr="00574C92">
              <w:rPr>
                <w:rFonts w:ascii="Calibri" w:eastAsia="Times New Roman" w:hAnsi="Calibri" w:cs="Times New Roman"/>
                <w:color w:val="000000"/>
                <w:sz w:val="16"/>
                <w:szCs w:val="16"/>
                <w:lang w:eastAsia="en-GB"/>
              </w:rPr>
              <w:t>445.3</w:t>
            </w:r>
          </w:p>
        </w:tc>
        <w:tc>
          <w:tcPr>
            <w:tcW w:w="257" w:type="pct"/>
            <w:tcBorders>
              <w:top w:val="nil"/>
              <w:left w:val="nil"/>
              <w:bottom w:val="single" w:sz="4" w:space="0" w:color="auto"/>
              <w:right w:val="single" w:sz="4" w:space="0" w:color="auto"/>
            </w:tcBorders>
            <w:shd w:val="clear" w:color="000000" w:fill="FFFF99"/>
            <w:noWrap/>
            <w:vAlign w:val="center"/>
            <w:hideMark/>
          </w:tcPr>
          <w:p w:rsidR="00574C92" w:rsidRPr="00574C92" w:rsidRDefault="00574C92" w:rsidP="00574C92">
            <w:pPr>
              <w:spacing w:after="0" w:line="240" w:lineRule="auto"/>
              <w:jc w:val="center"/>
              <w:rPr>
                <w:rFonts w:ascii="Calibri" w:eastAsia="Times New Roman" w:hAnsi="Calibri" w:cs="Times New Roman"/>
                <w:color w:val="000000"/>
                <w:sz w:val="16"/>
                <w:szCs w:val="16"/>
                <w:lang w:eastAsia="en-GB"/>
              </w:rPr>
            </w:pPr>
            <w:r w:rsidRPr="00574C92">
              <w:rPr>
                <w:rFonts w:ascii="Calibri" w:eastAsia="Times New Roman" w:hAnsi="Calibri" w:cs="Times New Roman"/>
                <w:color w:val="000000"/>
                <w:sz w:val="16"/>
                <w:szCs w:val="16"/>
                <w:lang w:eastAsia="en-GB"/>
              </w:rPr>
              <w:t>468</w:t>
            </w:r>
          </w:p>
        </w:tc>
        <w:tc>
          <w:tcPr>
            <w:tcW w:w="256" w:type="pct"/>
            <w:tcBorders>
              <w:top w:val="nil"/>
              <w:left w:val="nil"/>
              <w:bottom w:val="single" w:sz="4" w:space="0" w:color="auto"/>
              <w:right w:val="single" w:sz="4" w:space="0" w:color="auto"/>
            </w:tcBorders>
            <w:shd w:val="clear" w:color="000000" w:fill="FFFF99"/>
            <w:noWrap/>
            <w:vAlign w:val="center"/>
            <w:hideMark/>
          </w:tcPr>
          <w:p w:rsidR="00574C92" w:rsidRPr="00574C92" w:rsidRDefault="00574C92" w:rsidP="00574C92">
            <w:pPr>
              <w:spacing w:after="0" w:line="240" w:lineRule="auto"/>
              <w:jc w:val="center"/>
              <w:rPr>
                <w:rFonts w:ascii="Calibri" w:eastAsia="Times New Roman" w:hAnsi="Calibri" w:cs="Times New Roman"/>
                <w:color w:val="000000"/>
                <w:sz w:val="16"/>
                <w:szCs w:val="16"/>
                <w:lang w:eastAsia="en-GB"/>
              </w:rPr>
            </w:pPr>
            <w:r w:rsidRPr="00574C92">
              <w:rPr>
                <w:rFonts w:ascii="Calibri" w:eastAsia="Times New Roman" w:hAnsi="Calibri" w:cs="Times New Roman"/>
                <w:color w:val="000000"/>
                <w:sz w:val="16"/>
                <w:szCs w:val="16"/>
                <w:lang w:eastAsia="en-GB"/>
              </w:rPr>
              <w:t>692.4</w:t>
            </w:r>
          </w:p>
        </w:tc>
        <w:tc>
          <w:tcPr>
            <w:tcW w:w="256" w:type="pct"/>
            <w:tcBorders>
              <w:top w:val="nil"/>
              <w:left w:val="nil"/>
              <w:bottom w:val="single" w:sz="4" w:space="0" w:color="auto"/>
              <w:right w:val="single" w:sz="4" w:space="0" w:color="auto"/>
            </w:tcBorders>
            <w:shd w:val="clear" w:color="000000" w:fill="FFFF99"/>
            <w:noWrap/>
            <w:vAlign w:val="center"/>
            <w:hideMark/>
          </w:tcPr>
          <w:p w:rsidR="00574C92" w:rsidRPr="00574C92" w:rsidRDefault="00574C92" w:rsidP="00574C92">
            <w:pPr>
              <w:spacing w:after="0" w:line="240" w:lineRule="auto"/>
              <w:jc w:val="center"/>
              <w:rPr>
                <w:rFonts w:ascii="Calibri" w:eastAsia="Times New Roman" w:hAnsi="Calibri" w:cs="Times New Roman"/>
                <w:color w:val="000000"/>
                <w:sz w:val="16"/>
                <w:szCs w:val="16"/>
                <w:lang w:eastAsia="en-GB"/>
              </w:rPr>
            </w:pPr>
            <w:r w:rsidRPr="00574C92">
              <w:rPr>
                <w:rFonts w:ascii="Calibri" w:eastAsia="Times New Roman" w:hAnsi="Calibri" w:cs="Times New Roman"/>
                <w:color w:val="000000"/>
                <w:sz w:val="16"/>
                <w:szCs w:val="16"/>
                <w:lang w:eastAsia="en-GB"/>
              </w:rPr>
              <w:t>597</w:t>
            </w:r>
          </w:p>
        </w:tc>
        <w:tc>
          <w:tcPr>
            <w:tcW w:w="256" w:type="pct"/>
            <w:tcBorders>
              <w:top w:val="nil"/>
              <w:left w:val="nil"/>
              <w:bottom w:val="single" w:sz="4" w:space="0" w:color="auto"/>
              <w:right w:val="single" w:sz="4" w:space="0" w:color="auto"/>
            </w:tcBorders>
            <w:shd w:val="clear" w:color="000000" w:fill="FFFF99"/>
            <w:noWrap/>
            <w:vAlign w:val="center"/>
            <w:hideMark/>
          </w:tcPr>
          <w:p w:rsidR="00574C92" w:rsidRPr="00574C92" w:rsidRDefault="00574C92" w:rsidP="00574C92">
            <w:pPr>
              <w:spacing w:after="0" w:line="240" w:lineRule="auto"/>
              <w:jc w:val="center"/>
              <w:rPr>
                <w:rFonts w:ascii="Calibri" w:eastAsia="Times New Roman" w:hAnsi="Calibri" w:cs="Times New Roman"/>
                <w:color w:val="000000"/>
                <w:sz w:val="16"/>
                <w:szCs w:val="16"/>
                <w:lang w:eastAsia="en-GB"/>
              </w:rPr>
            </w:pPr>
            <w:r w:rsidRPr="00574C92">
              <w:rPr>
                <w:rFonts w:ascii="Calibri" w:eastAsia="Times New Roman" w:hAnsi="Calibri" w:cs="Times New Roman"/>
                <w:color w:val="000000"/>
                <w:sz w:val="16"/>
                <w:szCs w:val="16"/>
                <w:lang w:eastAsia="en-GB"/>
              </w:rPr>
              <w:t>625.1</w:t>
            </w:r>
          </w:p>
        </w:tc>
        <w:tc>
          <w:tcPr>
            <w:tcW w:w="257" w:type="pct"/>
            <w:tcBorders>
              <w:top w:val="nil"/>
              <w:left w:val="nil"/>
              <w:bottom w:val="single" w:sz="4" w:space="0" w:color="auto"/>
              <w:right w:val="single" w:sz="4" w:space="0" w:color="auto"/>
            </w:tcBorders>
            <w:shd w:val="clear" w:color="000000" w:fill="EBF1DE"/>
            <w:noWrap/>
            <w:vAlign w:val="center"/>
            <w:hideMark/>
          </w:tcPr>
          <w:p w:rsidR="00574C92" w:rsidRPr="00574C92" w:rsidRDefault="00574C92" w:rsidP="00574C92">
            <w:pPr>
              <w:spacing w:after="0" w:line="240" w:lineRule="auto"/>
              <w:jc w:val="center"/>
              <w:rPr>
                <w:rFonts w:ascii="Calibri" w:eastAsia="Times New Roman" w:hAnsi="Calibri" w:cs="Times New Roman"/>
                <w:color w:val="000000"/>
                <w:sz w:val="16"/>
                <w:szCs w:val="16"/>
                <w:lang w:eastAsia="en-GB"/>
              </w:rPr>
            </w:pPr>
            <w:r w:rsidRPr="00574C92">
              <w:rPr>
                <w:rFonts w:ascii="Calibri" w:eastAsia="Times New Roman" w:hAnsi="Calibri" w:cs="Times New Roman"/>
                <w:color w:val="000000"/>
                <w:sz w:val="16"/>
                <w:szCs w:val="16"/>
                <w:lang w:eastAsia="en-GB"/>
              </w:rPr>
              <w:t>394</w:t>
            </w:r>
          </w:p>
        </w:tc>
        <w:tc>
          <w:tcPr>
            <w:tcW w:w="256" w:type="pct"/>
            <w:tcBorders>
              <w:top w:val="nil"/>
              <w:left w:val="nil"/>
              <w:bottom w:val="single" w:sz="4" w:space="0" w:color="auto"/>
              <w:right w:val="single" w:sz="4" w:space="0" w:color="auto"/>
            </w:tcBorders>
            <w:shd w:val="clear" w:color="000000" w:fill="EBF1DE"/>
            <w:noWrap/>
            <w:vAlign w:val="center"/>
            <w:hideMark/>
          </w:tcPr>
          <w:p w:rsidR="00574C92" w:rsidRPr="00574C92" w:rsidRDefault="00574C92" w:rsidP="00574C92">
            <w:pPr>
              <w:spacing w:after="0" w:line="240" w:lineRule="auto"/>
              <w:jc w:val="center"/>
              <w:rPr>
                <w:rFonts w:ascii="Calibri" w:eastAsia="Times New Roman" w:hAnsi="Calibri" w:cs="Times New Roman"/>
                <w:color w:val="000000"/>
                <w:sz w:val="16"/>
                <w:szCs w:val="16"/>
                <w:lang w:eastAsia="en-GB"/>
              </w:rPr>
            </w:pPr>
            <w:r w:rsidRPr="00574C92">
              <w:rPr>
                <w:rFonts w:ascii="Calibri" w:eastAsia="Times New Roman" w:hAnsi="Calibri" w:cs="Times New Roman"/>
                <w:color w:val="000000"/>
                <w:sz w:val="16"/>
                <w:szCs w:val="16"/>
                <w:lang w:eastAsia="en-GB"/>
              </w:rPr>
              <w:t>439.3</w:t>
            </w:r>
          </w:p>
        </w:tc>
        <w:tc>
          <w:tcPr>
            <w:tcW w:w="300" w:type="pct"/>
            <w:tcBorders>
              <w:top w:val="nil"/>
              <w:left w:val="nil"/>
              <w:bottom w:val="single" w:sz="4" w:space="0" w:color="auto"/>
              <w:right w:val="single" w:sz="4" w:space="0" w:color="auto"/>
            </w:tcBorders>
            <w:shd w:val="clear" w:color="auto" w:fill="auto"/>
            <w:noWrap/>
            <w:vAlign w:val="center"/>
            <w:hideMark/>
          </w:tcPr>
          <w:p w:rsidR="00574C92" w:rsidRPr="00574C92" w:rsidRDefault="00574C92" w:rsidP="00574C92">
            <w:pPr>
              <w:spacing w:after="0" w:line="240" w:lineRule="auto"/>
              <w:jc w:val="center"/>
              <w:rPr>
                <w:rFonts w:ascii="Calibri" w:eastAsia="Times New Roman" w:hAnsi="Calibri" w:cs="Times New Roman"/>
                <w:color w:val="000000"/>
                <w:sz w:val="16"/>
                <w:szCs w:val="16"/>
                <w:lang w:eastAsia="en-GB"/>
              </w:rPr>
            </w:pPr>
            <w:r w:rsidRPr="00574C92">
              <w:rPr>
                <w:rFonts w:ascii="Calibri" w:eastAsia="Times New Roman" w:hAnsi="Calibri" w:cs="Times New Roman"/>
                <w:color w:val="000000"/>
                <w:sz w:val="16"/>
                <w:szCs w:val="16"/>
                <w:lang w:eastAsia="en-GB"/>
              </w:rPr>
              <w:t>189,450</w:t>
            </w:r>
          </w:p>
        </w:tc>
        <w:tc>
          <w:tcPr>
            <w:tcW w:w="256" w:type="pct"/>
            <w:tcBorders>
              <w:top w:val="nil"/>
              <w:left w:val="nil"/>
              <w:bottom w:val="single" w:sz="4" w:space="0" w:color="auto"/>
              <w:right w:val="single" w:sz="4" w:space="0" w:color="auto"/>
            </w:tcBorders>
            <w:shd w:val="clear" w:color="auto" w:fill="auto"/>
            <w:noWrap/>
            <w:vAlign w:val="center"/>
            <w:hideMark/>
          </w:tcPr>
          <w:p w:rsidR="00574C92" w:rsidRPr="00574C92" w:rsidRDefault="00574C92" w:rsidP="00574C92">
            <w:pPr>
              <w:spacing w:after="0" w:line="240" w:lineRule="auto"/>
              <w:jc w:val="center"/>
              <w:rPr>
                <w:rFonts w:ascii="Calibri" w:eastAsia="Times New Roman" w:hAnsi="Calibri" w:cs="Times New Roman"/>
                <w:color w:val="000000"/>
                <w:sz w:val="16"/>
                <w:szCs w:val="16"/>
                <w:lang w:eastAsia="en-GB"/>
              </w:rPr>
            </w:pPr>
            <w:r w:rsidRPr="00574C92">
              <w:rPr>
                <w:rFonts w:ascii="Calibri" w:eastAsia="Times New Roman" w:hAnsi="Calibri" w:cs="Times New Roman"/>
                <w:color w:val="000000"/>
                <w:sz w:val="16"/>
                <w:szCs w:val="16"/>
                <w:lang w:eastAsia="en-GB"/>
              </w:rPr>
              <w:t>637.7</w:t>
            </w:r>
          </w:p>
        </w:tc>
      </w:tr>
      <w:tr w:rsidR="00166E43" w:rsidRPr="00574C92" w:rsidTr="00166E43">
        <w:trPr>
          <w:trHeight w:val="300"/>
        </w:trPr>
        <w:tc>
          <w:tcPr>
            <w:tcW w:w="598" w:type="pct"/>
            <w:tcBorders>
              <w:top w:val="nil"/>
              <w:left w:val="single" w:sz="4" w:space="0" w:color="auto"/>
              <w:bottom w:val="single" w:sz="4" w:space="0" w:color="auto"/>
              <w:right w:val="single" w:sz="4" w:space="0" w:color="auto"/>
            </w:tcBorders>
            <w:shd w:val="clear" w:color="auto" w:fill="auto"/>
            <w:noWrap/>
            <w:vAlign w:val="center"/>
            <w:hideMark/>
          </w:tcPr>
          <w:p w:rsidR="00574C92" w:rsidRPr="00574C92" w:rsidRDefault="00574C92" w:rsidP="00574C92">
            <w:pPr>
              <w:spacing w:after="0" w:line="240" w:lineRule="auto"/>
              <w:jc w:val="center"/>
              <w:rPr>
                <w:rFonts w:ascii="Calibri" w:eastAsia="Times New Roman" w:hAnsi="Calibri" w:cs="Times New Roman"/>
                <w:color w:val="000000"/>
                <w:sz w:val="16"/>
                <w:szCs w:val="16"/>
                <w:lang w:eastAsia="en-GB"/>
              </w:rPr>
            </w:pPr>
            <w:r w:rsidRPr="00574C92">
              <w:rPr>
                <w:rFonts w:ascii="Calibri" w:eastAsia="Times New Roman" w:hAnsi="Calibri" w:cs="Times New Roman"/>
                <w:color w:val="000000"/>
                <w:sz w:val="16"/>
                <w:szCs w:val="16"/>
                <w:lang w:eastAsia="en-GB"/>
              </w:rPr>
              <w:t>Directly age-standardised rate of deaths from cancer - 65+</w:t>
            </w:r>
          </w:p>
        </w:tc>
        <w:tc>
          <w:tcPr>
            <w:tcW w:w="257" w:type="pct"/>
            <w:tcBorders>
              <w:top w:val="nil"/>
              <w:left w:val="nil"/>
              <w:bottom w:val="single" w:sz="4" w:space="0" w:color="auto"/>
              <w:right w:val="single" w:sz="4" w:space="0" w:color="auto"/>
            </w:tcBorders>
            <w:shd w:val="clear" w:color="auto" w:fill="auto"/>
            <w:noWrap/>
            <w:vAlign w:val="center"/>
            <w:hideMark/>
          </w:tcPr>
          <w:p w:rsidR="00574C92" w:rsidRPr="00574C92" w:rsidRDefault="00574C92" w:rsidP="00574C92">
            <w:pPr>
              <w:spacing w:after="0" w:line="240" w:lineRule="auto"/>
              <w:jc w:val="center"/>
              <w:rPr>
                <w:rFonts w:ascii="Calibri" w:eastAsia="Times New Roman" w:hAnsi="Calibri" w:cs="Times New Roman"/>
                <w:color w:val="000000"/>
                <w:sz w:val="16"/>
                <w:szCs w:val="16"/>
                <w:lang w:eastAsia="en-GB"/>
              </w:rPr>
            </w:pPr>
            <w:r w:rsidRPr="00574C92">
              <w:rPr>
                <w:rFonts w:ascii="Calibri" w:eastAsia="Times New Roman" w:hAnsi="Calibri" w:cs="Times New Roman"/>
                <w:color w:val="000000"/>
                <w:sz w:val="16"/>
                <w:szCs w:val="16"/>
                <w:lang w:eastAsia="en-GB"/>
              </w:rPr>
              <w:t>2015-17</w:t>
            </w:r>
          </w:p>
        </w:tc>
        <w:tc>
          <w:tcPr>
            <w:tcW w:w="256" w:type="pct"/>
            <w:tcBorders>
              <w:top w:val="nil"/>
              <w:left w:val="nil"/>
              <w:bottom w:val="single" w:sz="4" w:space="0" w:color="auto"/>
              <w:right w:val="single" w:sz="4" w:space="0" w:color="auto"/>
            </w:tcBorders>
            <w:shd w:val="clear" w:color="000000" w:fill="EBF1DE"/>
            <w:noWrap/>
            <w:vAlign w:val="center"/>
            <w:hideMark/>
          </w:tcPr>
          <w:p w:rsidR="00574C92" w:rsidRPr="00574C92" w:rsidRDefault="00574C92" w:rsidP="00574C92">
            <w:pPr>
              <w:spacing w:after="0" w:line="240" w:lineRule="auto"/>
              <w:jc w:val="center"/>
              <w:rPr>
                <w:rFonts w:ascii="Calibri" w:eastAsia="Times New Roman" w:hAnsi="Calibri" w:cs="Times New Roman"/>
                <w:color w:val="000000"/>
                <w:sz w:val="16"/>
                <w:szCs w:val="16"/>
                <w:lang w:eastAsia="en-GB"/>
              </w:rPr>
            </w:pPr>
            <w:r w:rsidRPr="00574C92">
              <w:rPr>
                <w:rFonts w:ascii="Calibri" w:eastAsia="Times New Roman" w:hAnsi="Calibri" w:cs="Times New Roman"/>
                <w:color w:val="000000"/>
                <w:sz w:val="16"/>
                <w:szCs w:val="16"/>
                <w:lang w:eastAsia="en-GB"/>
              </w:rPr>
              <w:t>3,783</w:t>
            </w:r>
          </w:p>
        </w:tc>
        <w:tc>
          <w:tcPr>
            <w:tcW w:w="256" w:type="pct"/>
            <w:tcBorders>
              <w:top w:val="nil"/>
              <w:left w:val="nil"/>
              <w:bottom w:val="single" w:sz="4" w:space="0" w:color="auto"/>
              <w:right w:val="single" w:sz="4" w:space="0" w:color="auto"/>
            </w:tcBorders>
            <w:shd w:val="clear" w:color="000000" w:fill="EBF1DE"/>
            <w:noWrap/>
            <w:vAlign w:val="center"/>
            <w:hideMark/>
          </w:tcPr>
          <w:p w:rsidR="00574C92" w:rsidRPr="00574C92" w:rsidRDefault="00574C92" w:rsidP="00574C92">
            <w:pPr>
              <w:spacing w:after="0" w:line="240" w:lineRule="auto"/>
              <w:jc w:val="center"/>
              <w:rPr>
                <w:rFonts w:ascii="Calibri" w:eastAsia="Times New Roman" w:hAnsi="Calibri" w:cs="Times New Roman"/>
                <w:color w:val="000000"/>
                <w:sz w:val="16"/>
                <w:szCs w:val="16"/>
                <w:lang w:eastAsia="en-GB"/>
              </w:rPr>
            </w:pPr>
            <w:r w:rsidRPr="00574C92">
              <w:rPr>
                <w:rFonts w:ascii="Calibri" w:eastAsia="Times New Roman" w:hAnsi="Calibri" w:cs="Times New Roman"/>
                <w:color w:val="000000"/>
                <w:sz w:val="16"/>
                <w:szCs w:val="16"/>
                <w:lang w:eastAsia="en-GB"/>
              </w:rPr>
              <w:t>1,066.1</w:t>
            </w:r>
          </w:p>
        </w:tc>
        <w:tc>
          <w:tcPr>
            <w:tcW w:w="257" w:type="pct"/>
            <w:tcBorders>
              <w:top w:val="nil"/>
              <w:left w:val="nil"/>
              <w:bottom w:val="single" w:sz="4" w:space="0" w:color="auto"/>
              <w:right w:val="single" w:sz="4" w:space="0" w:color="auto"/>
            </w:tcBorders>
            <w:shd w:val="clear" w:color="000000" w:fill="FFFF99"/>
            <w:noWrap/>
            <w:vAlign w:val="center"/>
            <w:hideMark/>
          </w:tcPr>
          <w:p w:rsidR="00574C92" w:rsidRPr="00574C92" w:rsidRDefault="00574C92" w:rsidP="00574C92">
            <w:pPr>
              <w:spacing w:after="0" w:line="240" w:lineRule="auto"/>
              <w:jc w:val="center"/>
              <w:rPr>
                <w:rFonts w:ascii="Calibri" w:eastAsia="Times New Roman" w:hAnsi="Calibri" w:cs="Times New Roman"/>
                <w:color w:val="000000"/>
                <w:sz w:val="16"/>
                <w:szCs w:val="16"/>
                <w:lang w:eastAsia="en-GB"/>
              </w:rPr>
            </w:pPr>
            <w:r w:rsidRPr="00574C92">
              <w:rPr>
                <w:rFonts w:ascii="Calibri" w:eastAsia="Times New Roman" w:hAnsi="Calibri" w:cs="Times New Roman"/>
                <w:color w:val="000000"/>
                <w:sz w:val="16"/>
                <w:szCs w:val="16"/>
                <w:lang w:eastAsia="en-GB"/>
              </w:rPr>
              <w:t>976</w:t>
            </w:r>
          </w:p>
        </w:tc>
        <w:tc>
          <w:tcPr>
            <w:tcW w:w="256" w:type="pct"/>
            <w:tcBorders>
              <w:top w:val="nil"/>
              <w:left w:val="nil"/>
              <w:bottom w:val="single" w:sz="4" w:space="0" w:color="auto"/>
              <w:right w:val="single" w:sz="4" w:space="0" w:color="auto"/>
            </w:tcBorders>
            <w:shd w:val="clear" w:color="000000" w:fill="FFFF99"/>
            <w:noWrap/>
            <w:vAlign w:val="center"/>
            <w:hideMark/>
          </w:tcPr>
          <w:p w:rsidR="00574C92" w:rsidRPr="00574C92" w:rsidRDefault="00574C92" w:rsidP="00574C92">
            <w:pPr>
              <w:spacing w:after="0" w:line="240" w:lineRule="auto"/>
              <w:jc w:val="center"/>
              <w:rPr>
                <w:rFonts w:ascii="Calibri" w:eastAsia="Times New Roman" w:hAnsi="Calibri" w:cs="Times New Roman"/>
                <w:color w:val="000000"/>
                <w:sz w:val="16"/>
                <w:szCs w:val="16"/>
                <w:lang w:eastAsia="en-GB"/>
              </w:rPr>
            </w:pPr>
            <w:r w:rsidRPr="00574C92">
              <w:rPr>
                <w:rFonts w:ascii="Calibri" w:eastAsia="Times New Roman" w:hAnsi="Calibri" w:cs="Times New Roman"/>
                <w:color w:val="000000"/>
                <w:sz w:val="16"/>
                <w:szCs w:val="16"/>
                <w:lang w:eastAsia="en-GB"/>
              </w:rPr>
              <w:t>1,146.5</w:t>
            </w:r>
          </w:p>
        </w:tc>
        <w:tc>
          <w:tcPr>
            <w:tcW w:w="257" w:type="pct"/>
            <w:tcBorders>
              <w:top w:val="nil"/>
              <w:left w:val="nil"/>
              <w:bottom w:val="single" w:sz="4" w:space="0" w:color="auto"/>
              <w:right w:val="single" w:sz="4" w:space="0" w:color="auto"/>
            </w:tcBorders>
            <w:shd w:val="clear" w:color="000000" w:fill="FFFF99"/>
            <w:noWrap/>
            <w:vAlign w:val="center"/>
            <w:hideMark/>
          </w:tcPr>
          <w:p w:rsidR="00574C92" w:rsidRPr="00574C92" w:rsidRDefault="00574C92" w:rsidP="00574C92">
            <w:pPr>
              <w:spacing w:after="0" w:line="240" w:lineRule="auto"/>
              <w:jc w:val="center"/>
              <w:rPr>
                <w:rFonts w:ascii="Calibri" w:eastAsia="Times New Roman" w:hAnsi="Calibri" w:cs="Times New Roman"/>
                <w:color w:val="000000"/>
                <w:sz w:val="16"/>
                <w:szCs w:val="16"/>
                <w:lang w:eastAsia="en-GB"/>
              </w:rPr>
            </w:pPr>
            <w:r w:rsidRPr="00574C92">
              <w:rPr>
                <w:rFonts w:ascii="Calibri" w:eastAsia="Times New Roman" w:hAnsi="Calibri" w:cs="Times New Roman"/>
                <w:color w:val="000000"/>
                <w:sz w:val="16"/>
                <w:szCs w:val="16"/>
                <w:lang w:eastAsia="en-GB"/>
              </w:rPr>
              <w:t>511</w:t>
            </w:r>
          </w:p>
        </w:tc>
        <w:tc>
          <w:tcPr>
            <w:tcW w:w="256" w:type="pct"/>
            <w:tcBorders>
              <w:top w:val="nil"/>
              <w:left w:val="nil"/>
              <w:bottom w:val="single" w:sz="4" w:space="0" w:color="auto"/>
              <w:right w:val="single" w:sz="4" w:space="0" w:color="auto"/>
            </w:tcBorders>
            <w:shd w:val="clear" w:color="000000" w:fill="FFFF99"/>
            <w:noWrap/>
            <w:vAlign w:val="center"/>
            <w:hideMark/>
          </w:tcPr>
          <w:p w:rsidR="00574C92" w:rsidRPr="00574C92" w:rsidRDefault="00574C92" w:rsidP="00574C92">
            <w:pPr>
              <w:spacing w:after="0" w:line="240" w:lineRule="auto"/>
              <w:jc w:val="center"/>
              <w:rPr>
                <w:rFonts w:ascii="Calibri" w:eastAsia="Times New Roman" w:hAnsi="Calibri" w:cs="Times New Roman"/>
                <w:color w:val="000000"/>
                <w:sz w:val="16"/>
                <w:szCs w:val="16"/>
                <w:lang w:eastAsia="en-GB"/>
              </w:rPr>
            </w:pPr>
            <w:r w:rsidRPr="00574C92">
              <w:rPr>
                <w:rFonts w:ascii="Calibri" w:eastAsia="Times New Roman" w:hAnsi="Calibri" w:cs="Times New Roman"/>
                <w:color w:val="000000"/>
                <w:sz w:val="16"/>
                <w:szCs w:val="16"/>
                <w:lang w:eastAsia="en-GB"/>
              </w:rPr>
              <w:t>1,014.2</w:t>
            </w:r>
          </w:p>
        </w:tc>
        <w:tc>
          <w:tcPr>
            <w:tcW w:w="257" w:type="pct"/>
            <w:tcBorders>
              <w:top w:val="nil"/>
              <w:left w:val="nil"/>
              <w:bottom w:val="single" w:sz="4" w:space="0" w:color="auto"/>
              <w:right w:val="single" w:sz="4" w:space="0" w:color="auto"/>
            </w:tcBorders>
            <w:shd w:val="clear" w:color="000000" w:fill="EBF1DE"/>
            <w:noWrap/>
            <w:vAlign w:val="center"/>
            <w:hideMark/>
          </w:tcPr>
          <w:p w:rsidR="00574C92" w:rsidRPr="00574C92" w:rsidRDefault="00574C92" w:rsidP="00574C92">
            <w:pPr>
              <w:spacing w:after="0" w:line="240" w:lineRule="auto"/>
              <w:jc w:val="center"/>
              <w:rPr>
                <w:rFonts w:ascii="Calibri" w:eastAsia="Times New Roman" w:hAnsi="Calibri" w:cs="Times New Roman"/>
                <w:color w:val="000000"/>
                <w:sz w:val="16"/>
                <w:szCs w:val="16"/>
                <w:lang w:eastAsia="en-GB"/>
              </w:rPr>
            </w:pPr>
            <w:r w:rsidRPr="00574C92">
              <w:rPr>
                <w:rFonts w:ascii="Calibri" w:eastAsia="Times New Roman" w:hAnsi="Calibri" w:cs="Times New Roman"/>
                <w:color w:val="000000"/>
                <w:sz w:val="16"/>
                <w:szCs w:val="16"/>
                <w:lang w:eastAsia="en-GB"/>
              </w:rPr>
              <w:t>511</w:t>
            </w:r>
          </w:p>
        </w:tc>
        <w:tc>
          <w:tcPr>
            <w:tcW w:w="256" w:type="pct"/>
            <w:tcBorders>
              <w:top w:val="nil"/>
              <w:left w:val="nil"/>
              <w:bottom w:val="single" w:sz="4" w:space="0" w:color="auto"/>
              <w:right w:val="single" w:sz="4" w:space="0" w:color="auto"/>
            </w:tcBorders>
            <w:shd w:val="clear" w:color="000000" w:fill="EBF1DE"/>
            <w:noWrap/>
            <w:vAlign w:val="center"/>
            <w:hideMark/>
          </w:tcPr>
          <w:p w:rsidR="00574C92" w:rsidRPr="00574C92" w:rsidRDefault="00574C92" w:rsidP="00574C92">
            <w:pPr>
              <w:spacing w:after="0" w:line="240" w:lineRule="auto"/>
              <w:jc w:val="center"/>
              <w:rPr>
                <w:rFonts w:ascii="Calibri" w:eastAsia="Times New Roman" w:hAnsi="Calibri" w:cs="Times New Roman"/>
                <w:color w:val="000000"/>
                <w:sz w:val="16"/>
                <w:szCs w:val="16"/>
                <w:lang w:eastAsia="en-GB"/>
              </w:rPr>
            </w:pPr>
            <w:r w:rsidRPr="00574C92">
              <w:rPr>
                <w:rFonts w:ascii="Calibri" w:eastAsia="Times New Roman" w:hAnsi="Calibri" w:cs="Times New Roman"/>
                <w:color w:val="000000"/>
                <w:sz w:val="16"/>
                <w:szCs w:val="16"/>
                <w:lang w:eastAsia="en-GB"/>
              </w:rPr>
              <w:t>999</w:t>
            </w:r>
          </w:p>
        </w:tc>
        <w:tc>
          <w:tcPr>
            <w:tcW w:w="257" w:type="pct"/>
            <w:tcBorders>
              <w:top w:val="nil"/>
              <w:left w:val="nil"/>
              <w:bottom w:val="single" w:sz="4" w:space="0" w:color="auto"/>
              <w:right w:val="single" w:sz="4" w:space="0" w:color="auto"/>
            </w:tcBorders>
            <w:shd w:val="clear" w:color="000000" w:fill="FFFF99"/>
            <w:noWrap/>
            <w:vAlign w:val="center"/>
            <w:hideMark/>
          </w:tcPr>
          <w:p w:rsidR="00574C92" w:rsidRPr="00574C92" w:rsidRDefault="00574C92" w:rsidP="00574C92">
            <w:pPr>
              <w:spacing w:after="0" w:line="240" w:lineRule="auto"/>
              <w:jc w:val="center"/>
              <w:rPr>
                <w:rFonts w:ascii="Calibri" w:eastAsia="Times New Roman" w:hAnsi="Calibri" w:cs="Times New Roman"/>
                <w:color w:val="000000"/>
                <w:sz w:val="16"/>
                <w:szCs w:val="16"/>
                <w:lang w:eastAsia="en-GB"/>
              </w:rPr>
            </w:pPr>
            <w:r w:rsidRPr="00574C92">
              <w:rPr>
                <w:rFonts w:ascii="Calibri" w:eastAsia="Times New Roman" w:hAnsi="Calibri" w:cs="Times New Roman"/>
                <w:color w:val="000000"/>
                <w:sz w:val="16"/>
                <w:szCs w:val="16"/>
                <w:lang w:eastAsia="en-GB"/>
              </w:rPr>
              <w:t>778</w:t>
            </w:r>
          </w:p>
        </w:tc>
        <w:tc>
          <w:tcPr>
            <w:tcW w:w="256" w:type="pct"/>
            <w:tcBorders>
              <w:top w:val="nil"/>
              <w:left w:val="nil"/>
              <w:bottom w:val="single" w:sz="4" w:space="0" w:color="auto"/>
              <w:right w:val="single" w:sz="4" w:space="0" w:color="auto"/>
            </w:tcBorders>
            <w:shd w:val="clear" w:color="000000" w:fill="FFFF99"/>
            <w:noWrap/>
            <w:vAlign w:val="center"/>
            <w:hideMark/>
          </w:tcPr>
          <w:p w:rsidR="00574C92" w:rsidRPr="00574C92" w:rsidRDefault="00574C92" w:rsidP="00574C92">
            <w:pPr>
              <w:spacing w:after="0" w:line="240" w:lineRule="auto"/>
              <w:jc w:val="center"/>
              <w:rPr>
                <w:rFonts w:ascii="Calibri" w:eastAsia="Times New Roman" w:hAnsi="Calibri" w:cs="Times New Roman"/>
                <w:color w:val="000000"/>
                <w:sz w:val="16"/>
                <w:szCs w:val="16"/>
                <w:lang w:eastAsia="en-GB"/>
              </w:rPr>
            </w:pPr>
            <w:r w:rsidRPr="00574C92">
              <w:rPr>
                <w:rFonts w:ascii="Calibri" w:eastAsia="Times New Roman" w:hAnsi="Calibri" w:cs="Times New Roman"/>
                <w:color w:val="000000"/>
                <w:sz w:val="16"/>
                <w:szCs w:val="16"/>
                <w:lang w:eastAsia="en-GB"/>
              </w:rPr>
              <w:t>1,171.4</w:t>
            </w:r>
          </w:p>
        </w:tc>
        <w:tc>
          <w:tcPr>
            <w:tcW w:w="256" w:type="pct"/>
            <w:tcBorders>
              <w:top w:val="nil"/>
              <w:left w:val="nil"/>
              <w:bottom w:val="single" w:sz="4" w:space="0" w:color="auto"/>
              <w:right w:val="single" w:sz="4" w:space="0" w:color="auto"/>
            </w:tcBorders>
            <w:shd w:val="clear" w:color="000000" w:fill="FFFF99"/>
            <w:noWrap/>
            <w:vAlign w:val="center"/>
            <w:hideMark/>
          </w:tcPr>
          <w:p w:rsidR="00574C92" w:rsidRPr="00574C92" w:rsidRDefault="00574C92" w:rsidP="00574C92">
            <w:pPr>
              <w:spacing w:after="0" w:line="240" w:lineRule="auto"/>
              <w:jc w:val="center"/>
              <w:rPr>
                <w:rFonts w:ascii="Calibri" w:eastAsia="Times New Roman" w:hAnsi="Calibri" w:cs="Times New Roman"/>
                <w:color w:val="000000"/>
                <w:sz w:val="16"/>
                <w:szCs w:val="16"/>
                <w:lang w:eastAsia="en-GB"/>
              </w:rPr>
            </w:pPr>
            <w:r w:rsidRPr="00574C92">
              <w:rPr>
                <w:rFonts w:ascii="Calibri" w:eastAsia="Times New Roman" w:hAnsi="Calibri" w:cs="Times New Roman"/>
                <w:color w:val="000000"/>
                <w:sz w:val="16"/>
                <w:szCs w:val="16"/>
                <w:lang w:eastAsia="en-GB"/>
              </w:rPr>
              <w:t>1,059</w:t>
            </w:r>
          </w:p>
        </w:tc>
        <w:tc>
          <w:tcPr>
            <w:tcW w:w="256" w:type="pct"/>
            <w:tcBorders>
              <w:top w:val="nil"/>
              <w:left w:val="nil"/>
              <w:bottom w:val="single" w:sz="4" w:space="0" w:color="auto"/>
              <w:right w:val="single" w:sz="4" w:space="0" w:color="auto"/>
            </w:tcBorders>
            <w:shd w:val="clear" w:color="000000" w:fill="FFFF99"/>
            <w:noWrap/>
            <w:vAlign w:val="center"/>
            <w:hideMark/>
          </w:tcPr>
          <w:p w:rsidR="00574C92" w:rsidRPr="00574C92" w:rsidRDefault="00574C92" w:rsidP="00574C92">
            <w:pPr>
              <w:spacing w:after="0" w:line="240" w:lineRule="auto"/>
              <w:jc w:val="center"/>
              <w:rPr>
                <w:rFonts w:ascii="Calibri" w:eastAsia="Times New Roman" w:hAnsi="Calibri" w:cs="Times New Roman"/>
                <w:color w:val="000000"/>
                <w:sz w:val="16"/>
                <w:szCs w:val="16"/>
                <w:lang w:eastAsia="en-GB"/>
              </w:rPr>
            </w:pPr>
            <w:r w:rsidRPr="00574C92">
              <w:rPr>
                <w:rFonts w:ascii="Calibri" w:eastAsia="Times New Roman" w:hAnsi="Calibri" w:cs="Times New Roman"/>
                <w:color w:val="000000"/>
                <w:sz w:val="16"/>
                <w:szCs w:val="16"/>
                <w:lang w:eastAsia="en-GB"/>
              </w:rPr>
              <w:t>1,080.9</w:t>
            </w:r>
          </w:p>
        </w:tc>
        <w:tc>
          <w:tcPr>
            <w:tcW w:w="257" w:type="pct"/>
            <w:tcBorders>
              <w:top w:val="nil"/>
              <w:left w:val="nil"/>
              <w:bottom w:val="single" w:sz="4" w:space="0" w:color="auto"/>
              <w:right w:val="single" w:sz="4" w:space="0" w:color="auto"/>
            </w:tcBorders>
            <w:shd w:val="clear" w:color="000000" w:fill="FFFF99"/>
            <w:noWrap/>
            <w:vAlign w:val="center"/>
            <w:hideMark/>
          </w:tcPr>
          <w:p w:rsidR="00574C92" w:rsidRPr="00574C92" w:rsidRDefault="00574C92" w:rsidP="00574C92">
            <w:pPr>
              <w:spacing w:after="0" w:line="240" w:lineRule="auto"/>
              <w:jc w:val="center"/>
              <w:rPr>
                <w:rFonts w:ascii="Calibri" w:eastAsia="Times New Roman" w:hAnsi="Calibri" w:cs="Times New Roman"/>
                <w:color w:val="000000"/>
                <w:sz w:val="16"/>
                <w:szCs w:val="16"/>
                <w:lang w:eastAsia="en-GB"/>
              </w:rPr>
            </w:pPr>
            <w:r w:rsidRPr="00574C92">
              <w:rPr>
                <w:rFonts w:ascii="Calibri" w:eastAsia="Times New Roman" w:hAnsi="Calibri" w:cs="Times New Roman"/>
                <w:color w:val="000000"/>
                <w:sz w:val="16"/>
                <w:szCs w:val="16"/>
                <w:lang w:eastAsia="en-GB"/>
              </w:rPr>
              <w:t>924</w:t>
            </w:r>
          </w:p>
        </w:tc>
        <w:tc>
          <w:tcPr>
            <w:tcW w:w="256" w:type="pct"/>
            <w:tcBorders>
              <w:top w:val="nil"/>
              <w:left w:val="nil"/>
              <w:bottom w:val="single" w:sz="4" w:space="0" w:color="auto"/>
              <w:right w:val="single" w:sz="4" w:space="0" w:color="auto"/>
            </w:tcBorders>
            <w:shd w:val="clear" w:color="000000" w:fill="FFFF99"/>
            <w:noWrap/>
            <w:vAlign w:val="center"/>
            <w:hideMark/>
          </w:tcPr>
          <w:p w:rsidR="00574C92" w:rsidRPr="00574C92" w:rsidRDefault="00574C92" w:rsidP="00574C92">
            <w:pPr>
              <w:spacing w:after="0" w:line="240" w:lineRule="auto"/>
              <w:jc w:val="center"/>
              <w:rPr>
                <w:rFonts w:ascii="Calibri" w:eastAsia="Times New Roman" w:hAnsi="Calibri" w:cs="Times New Roman"/>
                <w:color w:val="000000"/>
                <w:sz w:val="16"/>
                <w:szCs w:val="16"/>
                <w:lang w:eastAsia="en-GB"/>
              </w:rPr>
            </w:pPr>
            <w:r w:rsidRPr="00574C92">
              <w:rPr>
                <w:rFonts w:ascii="Calibri" w:eastAsia="Times New Roman" w:hAnsi="Calibri" w:cs="Times New Roman"/>
                <w:color w:val="000000"/>
                <w:sz w:val="16"/>
                <w:szCs w:val="16"/>
                <w:lang w:eastAsia="en-GB"/>
              </w:rPr>
              <w:t>1,039.1</w:t>
            </w:r>
          </w:p>
        </w:tc>
        <w:tc>
          <w:tcPr>
            <w:tcW w:w="300" w:type="pct"/>
            <w:tcBorders>
              <w:top w:val="nil"/>
              <w:left w:val="nil"/>
              <w:bottom w:val="single" w:sz="4" w:space="0" w:color="auto"/>
              <w:right w:val="single" w:sz="4" w:space="0" w:color="auto"/>
            </w:tcBorders>
            <w:shd w:val="clear" w:color="auto" w:fill="auto"/>
            <w:noWrap/>
            <w:vAlign w:val="center"/>
            <w:hideMark/>
          </w:tcPr>
          <w:p w:rsidR="00574C92" w:rsidRPr="00574C92" w:rsidRDefault="00574C92" w:rsidP="00574C92">
            <w:pPr>
              <w:spacing w:after="0" w:line="240" w:lineRule="auto"/>
              <w:jc w:val="center"/>
              <w:rPr>
                <w:rFonts w:ascii="Calibri" w:eastAsia="Times New Roman" w:hAnsi="Calibri" w:cs="Times New Roman"/>
                <w:color w:val="000000"/>
                <w:sz w:val="16"/>
                <w:szCs w:val="16"/>
                <w:lang w:eastAsia="en-GB"/>
              </w:rPr>
            </w:pPr>
            <w:r w:rsidRPr="00574C92">
              <w:rPr>
                <w:rFonts w:ascii="Calibri" w:eastAsia="Times New Roman" w:hAnsi="Calibri" w:cs="Times New Roman"/>
                <w:color w:val="000000"/>
                <w:sz w:val="16"/>
                <w:szCs w:val="16"/>
                <w:lang w:eastAsia="en-GB"/>
              </w:rPr>
              <w:t>327,676</w:t>
            </w:r>
          </w:p>
        </w:tc>
        <w:tc>
          <w:tcPr>
            <w:tcW w:w="256" w:type="pct"/>
            <w:tcBorders>
              <w:top w:val="nil"/>
              <w:left w:val="nil"/>
              <w:bottom w:val="single" w:sz="4" w:space="0" w:color="auto"/>
              <w:right w:val="single" w:sz="4" w:space="0" w:color="auto"/>
            </w:tcBorders>
            <w:shd w:val="clear" w:color="auto" w:fill="auto"/>
            <w:noWrap/>
            <w:vAlign w:val="center"/>
            <w:hideMark/>
          </w:tcPr>
          <w:p w:rsidR="00574C92" w:rsidRPr="00574C92" w:rsidRDefault="00574C92" w:rsidP="00574C92">
            <w:pPr>
              <w:spacing w:after="0" w:line="240" w:lineRule="auto"/>
              <w:jc w:val="center"/>
              <w:rPr>
                <w:rFonts w:ascii="Calibri" w:eastAsia="Times New Roman" w:hAnsi="Calibri" w:cs="Times New Roman"/>
                <w:color w:val="000000"/>
                <w:sz w:val="16"/>
                <w:szCs w:val="16"/>
                <w:lang w:eastAsia="en-GB"/>
              </w:rPr>
            </w:pPr>
            <w:r w:rsidRPr="00574C92">
              <w:rPr>
                <w:rFonts w:ascii="Calibri" w:eastAsia="Times New Roman" w:hAnsi="Calibri" w:cs="Times New Roman"/>
                <w:color w:val="000000"/>
                <w:sz w:val="16"/>
                <w:szCs w:val="16"/>
                <w:lang w:eastAsia="en-GB"/>
              </w:rPr>
              <w:t>1,105.7</w:t>
            </w:r>
          </w:p>
        </w:tc>
      </w:tr>
      <w:tr w:rsidR="00166E43" w:rsidRPr="00574C92" w:rsidTr="00166E43">
        <w:trPr>
          <w:trHeight w:val="300"/>
        </w:trPr>
        <w:tc>
          <w:tcPr>
            <w:tcW w:w="598" w:type="pct"/>
            <w:tcBorders>
              <w:top w:val="nil"/>
              <w:left w:val="single" w:sz="4" w:space="0" w:color="auto"/>
              <w:bottom w:val="single" w:sz="4" w:space="0" w:color="auto"/>
              <w:right w:val="single" w:sz="4" w:space="0" w:color="auto"/>
            </w:tcBorders>
            <w:shd w:val="clear" w:color="auto" w:fill="auto"/>
            <w:noWrap/>
            <w:vAlign w:val="center"/>
            <w:hideMark/>
          </w:tcPr>
          <w:p w:rsidR="00574C92" w:rsidRPr="00574C92" w:rsidRDefault="00574C92" w:rsidP="00574C92">
            <w:pPr>
              <w:spacing w:after="0" w:line="240" w:lineRule="auto"/>
              <w:jc w:val="center"/>
              <w:rPr>
                <w:rFonts w:ascii="Calibri" w:eastAsia="Times New Roman" w:hAnsi="Calibri" w:cs="Times New Roman"/>
                <w:color w:val="000000"/>
                <w:sz w:val="16"/>
                <w:szCs w:val="16"/>
                <w:lang w:eastAsia="en-GB"/>
              </w:rPr>
            </w:pPr>
            <w:r w:rsidRPr="00574C92">
              <w:rPr>
                <w:rFonts w:ascii="Calibri" w:eastAsia="Times New Roman" w:hAnsi="Calibri" w:cs="Times New Roman"/>
                <w:color w:val="000000"/>
                <w:sz w:val="16"/>
                <w:szCs w:val="16"/>
                <w:lang w:eastAsia="en-GB"/>
              </w:rPr>
              <w:t>Excess winter deaths index - 85+</w:t>
            </w:r>
          </w:p>
        </w:tc>
        <w:tc>
          <w:tcPr>
            <w:tcW w:w="257" w:type="pct"/>
            <w:tcBorders>
              <w:top w:val="nil"/>
              <w:left w:val="nil"/>
              <w:bottom w:val="single" w:sz="4" w:space="0" w:color="auto"/>
              <w:right w:val="single" w:sz="4" w:space="0" w:color="auto"/>
            </w:tcBorders>
            <w:shd w:val="clear" w:color="auto" w:fill="auto"/>
            <w:noWrap/>
            <w:vAlign w:val="center"/>
            <w:hideMark/>
          </w:tcPr>
          <w:p w:rsidR="00574C92" w:rsidRPr="00574C92" w:rsidRDefault="00574C92" w:rsidP="00574C92">
            <w:pPr>
              <w:spacing w:after="0" w:line="240" w:lineRule="auto"/>
              <w:jc w:val="center"/>
              <w:rPr>
                <w:rFonts w:ascii="Calibri" w:eastAsia="Times New Roman" w:hAnsi="Calibri" w:cs="Times New Roman"/>
                <w:color w:val="000000"/>
                <w:sz w:val="16"/>
                <w:szCs w:val="16"/>
                <w:lang w:eastAsia="en-GB"/>
              </w:rPr>
            </w:pPr>
            <w:r w:rsidRPr="00574C92">
              <w:rPr>
                <w:rFonts w:ascii="Calibri" w:eastAsia="Times New Roman" w:hAnsi="Calibri" w:cs="Times New Roman"/>
                <w:color w:val="000000"/>
                <w:sz w:val="16"/>
                <w:szCs w:val="16"/>
                <w:lang w:eastAsia="en-GB"/>
              </w:rPr>
              <w:t>Aug 16 - Jul 17</w:t>
            </w:r>
          </w:p>
        </w:tc>
        <w:tc>
          <w:tcPr>
            <w:tcW w:w="256" w:type="pct"/>
            <w:tcBorders>
              <w:top w:val="nil"/>
              <w:left w:val="nil"/>
              <w:bottom w:val="single" w:sz="4" w:space="0" w:color="auto"/>
              <w:right w:val="single" w:sz="4" w:space="0" w:color="auto"/>
            </w:tcBorders>
            <w:shd w:val="clear" w:color="000000" w:fill="FFFF99"/>
            <w:noWrap/>
            <w:vAlign w:val="center"/>
            <w:hideMark/>
          </w:tcPr>
          <w:p w:rsidR="00574C92" w:rsidRPr="00574C92" w:rsidRDefault="00574C92" w:rsidP="00574C92">
            <w:pPr>
              <w:spacing w:after="0" w:line="240" w:lineRule="auto"/>
              <w:jc w:val="center"/>
              <w:rPr>
                <w:rFonts w:ascii="Calibri" w:eastAsia="Times New Roman" w:hAnsi="Calibri" w:cs="Times New Roman"/>
                <w:color w:val="000000"/>
                <w:sz w:val="16"/>
                <w:szCs w:val="16"/>
                <w:lang w:eastAsia="en-GB"/>
              </w:rPr>
            </w:pPr>
            <w:r w:rsidRPr="00574C92">
              <w:rPr>
                <w:rFonts w:ascii="Calibri" w:eastAsia="Times New Roman" w:hAnsi="Calibri" w:cs="Times New Roman"/>
                <w:color w:val="000000"/>
                <w:sz w:val="16"/>
                <w:szCs w:val="16"/>
                <w:lang w:eastAsia="en-GB"/>
              </w:rPr>
              <w:t>216</w:t>
            </w:r>
          </w:p>
        </w:tc>
        <w:tc>
          <w:tcPr>
            <w:tcW w:w="256" w:type="pct"/>
            <w:tcBorders>
              <w:top w:val="nil"/>
              <w:left w:val="nil"/>
              <w:bottom w:val="single" w:sz="4" w:space="0" w:color="auto"/>
              <w:right w:val="single" w:sz="4" w:space="0" w:color="auto"/>
            </w:tcBorders>
            <w:shd w:val="clear" w:color="000000" w:fill="FFFF99"/>
            <w:noWrap/>
            <w:vAlign w:val="center"/>
            <w:hideMark/>
          </w:tcPr>
          <w:p w:rsidR="00574C92" w:rsidRPr="00574C92" w:rsidRDefault="00574C92" w:rsidP="00574C92">
            <w:pPr>
              <w:spacing w:after="0" w:line="240" w:lineRule="auto"/>
              <w:jc w:val="center"/>
              <w:rPr>
                <w:rFonts w:ascii="Calibri" w:eastAsia="Times New Roman" w:hAnsi="Calibri" w:cs="Times New Roman"/>
                <w:color w:val="000000"/>
                <w:sz w:val="16"/>
                <w:szCs w:val="16"/>
                <w:lang w:eastAsia="en-GB"/>
              </w:rPr>
            </w:pPr>
            <w:r w:rsidRPr="00574C92">
              <w:rPr>
                <w:rFonts w:ascii="Calibri" w:eastAsia="Times New Roman" w:hAnsi="Calibri" w:cs="Times New Roman"/>
                <w:color w:val="000000"/>
                <w:sz w:val="16"/>
                <w:szCs w:val="16"/>
                <w:lang w:eastAsia="en-GB"/>
              </w:rPr>
              <w:t>30.2%</w:t>
            </w:r>
          </w:p>
        </w:tc>
        <w:tc>
          <w:tcPr>
            <w:tcW w:w="257" w:type="pct"/>
            <w:tcBorders>
              <w:top w:val="nil"/>
              <w:left w:val="nil"/>
              <w:bottom w:val="single" w:sz="4" w:space="0" w:color="auto"/>
              <w:right w:val="single" w:sz="4" w:space="0" w:color="auto"/>
            </w:tcBorders>
            <w:shd w:val="clear" w:color="000000" w:fill="FFFF99"/>
            <w:noWrap/>
            <w:vAlign w:val="center"/>
            <w:hideMark/>
          </w:tcPr>
          <w:p w:rsidR="00574C92" w:rsidRPr="00574C92" w:rsidRDefault="00574C92" w:rsidP="00574C92">
            <w:pPr>
              <w:spacing w:after="0" w:line="240" w:lineRule="auto"/>
              <w:jc w:val="center"/>
              <w:rPr>
                <w:rFonts w:ascii="Calibri" w:eastAsia="Times New Roman" w:hAnsi="Calibri" w:cs="Times New Roman"/>
                <w:color w:val="000000"/>
                <w:sz w:val="16"/>
                <w:szCs w:val="16"/>
                <w:lang w:eastAsia="en-GB"/>
              </w:rPr>
            </w:pPr>
            <w:r w:rsidRPr="00574C92">
              <w:rPr>
                <w:rFonts w:ascii="Calibri" w:eastAsia="Times New Roman" w:hAnsi="Calibri" w:cs="Times New Roman"/>
                <w:color w:val="000000"/>
                <w:sz w:val="16"/>
                <w:szCs w:val="16"/>
                <w:lang w:eastAsia="en-GB"/>
              </w:rPr>
              <w:t>65</w:t>
            </w:r>
          </w:p>
        </w:tc>
        <w:tc>
          <w:tcPr>
            <w:tcW w:w="256" w:type="pct"/>
            <w:tcBorders>
              <w:top w:val="nil"/>
              <w:left w:val="nil"/>
              <w:bottom w:val="single" w:sz="4" w:space="0" w:color="auto"/>
              <w:right w:val="single" w:sz="4" w:space="0" w:color="auto"/>
            </w:tcBorders>
            <w:shd w:val="clear" w:color="000000" w:fill="FFFF99"/>
            <w:noWrap/>
            <w:vAlign w:val="center"/>
            <w:hideMark/>
          </w:tcPr>
          <w:p w:rsidR="00574C92" w:rsidRPr="00574C92" w:rsidRDefault="00574C92" w:rsidP="00574C92">
            <w:pPr>
              <w:spacing w:after="0" w:line="240" w:lineRule="auto"/>
              <w:jc w:val="center"/>
              <w:rPr>
                <w:rFonts w:ascii="Calibri" w:eastAsia="Times New Roman" w:hAnsi="Calibri" w:cs="Times New Roman"/>
                <w:color w:val="000000"/>
                <w:sz w:val="16"/>
                <w:szCs w:val="16"/>
                <w:lang w:eastAsia="en-GB"/>
              </w:rPr>
            </w:pPr>
            <w:r w:rsidRPr="00574C92">
              <w:rPr>
                <w:rFonts w:ascii="Calibri" w:eastAsia="Times New Roman" w:hAnsi="Calibri" w:cs="Times New Roman"/>
                <w:color w:val="000000"/>
                <w:sz w:val="16"/>
                <w:szCs w:val="16"/>
                <w:lang w:eastAsia="en-GB"/>
              </w:rPr>
              <w:t>35.9%</w:t>
            </w:r>
          </w:p>
        </w:tc>
        <w:tc>
          <w:tcPr>
            <w:tcW w:w="257" w:type="pct"/>
            <w:tcBorders>
              <w:top w:val="nil"/>
              <w:left w:val="nil"/>
              <w:bottom w:val="single" w:sz="4" w:space="0" w:color="auto"/>
              <w:right w:val="single" w:sz="4" w:space="0" w:color="auto"/>
            </w:tcBorders>
            <w:shd w:val="clear" w:color="000000" w:fill="FFFF99"/>
            <w:noWrap/>
            <w:vAlign w:val="center"/>
            <w:hideMark/>
          </w:tcPr>
          <w:p w:rsidR="00574C92" w:rsidRPr="00574C92" w:rsidRDefault="00574C92" w:rsidP="00574C92">
            <w:pPr>
              <w:spacing w:after="0" w:line="240" w:lineRule="auto"/>
              <w:jc w:val="center"/>
              <w:rPr>
                <w:rFonts w:ascii="Calibri" w:eastAsia="Times New Roman" w:hAnsi="Calibri" w:cs="Times New Roman"/>
                <w:color w:val="000000"/>
                <w:sz w:val="16"/>
                <w:szCs w:val="16"/>
                <w:lang w:eastAsia="en-GB"/>
              </w:rPr>
            </w:pPr>
            <w:r w:rsidRPr="00574C92">
              <w:rPr>
                <w:rFonts w:ascii="Calibri" w:eastAsia="Times New Roman" w:hAnsi="Calibri" w:cs="Times New Roman"/>
                <w:color w:val="000000"/>
                <w:sz w:val="16"/>
                <w:szCs w:val="16"/>
                <w:lang w:eastAsia="en-GB"/>
              </w:rPr>
              <w:t>54</w:t>
            </w:r>
          </w:p>
        </w:tc>
        <w:tc>
          <w:tcPr>
            <w:tcW w:w="256" w:type="pct"/>
            <w:tcBorders>
              <w:top w:val="nil"/>
              <w:left w:val="nil"/>
              <w:bottom w:val="single" w:sz="4" w:space="0" w:color="auto"/>
              <w:right w:val="single" w:sz="4" w:space="0" w:color="auto"/>
            </w:tcBorders>
            <w:shd w:val="clear" w:color="000000" w:fill="FFFF99"/>
            <w:noWrap/>
            <w:vAlign w:val="center"/>
            <w:hideMark/>
          </w:tcPr>
          <w:p w:rsidR="00574C92" w:rsidRPr="00574C92" w:rsidRDefault="00574C92" w:rsidP="00574C92">
            <w:pPr>
              <w:spacing w:after="0" w:line="240" w:lineRule="auto"/>
              <w:jc w:val="center"/>
              <w:rPr>
                <w:rFonts w:ascii="Calibri" w:eastAsia="Times New Roman" w:hAnsi="Calibri" w:cs="Times New Roman"/>
                <w:color w:val="000000"/>
                <w:sz w:val="16"/>
                <w:szCs w:val="16"/>
                <w:lang w:eastAsia="en-GB"/>
              </w:rPr>
            </w:pPr>
            <w:r w:rsidRPr="00574C92">
              <w:rPr>
                <w:rFonts w:ascii="Calibri" w:eastAsia="Times New Roman" w:hAnsi="Calibri" w:cs="Times New Roman"/>
                <w:color w:val="000000"/>
                <w:sz w:val="16"/>
                <w:szCs w:val="16"/>
                <w:lang w:eastAsia="en-GB"/>
              </w:rPr>
              <w:t>44.6%</w:t>
            </w:r>
          </w:p>
        </w:tc>
        <w:tc>
          <w:tcPr>
            <w:tcW w:w="257" w:type="pct"/>
            <w:tcBorders>
              <w:top w:val="nil"/>
              <w:left w:val="nil"/>
              <w:bottom w:val="single" w:sz="4" w:space="0" w:color="auto"/>
              <w:right w:val="single" w:sz="4" w:space="0" w:color="auto"/>
            </w:tcBorders>
            <w:shd w:val="clear" w:color="000000" w:fill="FFFF99"/>
            <w:noWrap/>
            <w:vAlign w:val="center"/>
            <w:hideMark/>
          </w:tcPr>
          <w:p w:rsidR="00574C92" w:rsidRPr="00574C92" w:rsidRDefault="00574C92" w:rsidP="00574C92">
            <w:pPr>
              <w:spacing w:after="0" w:line="240" w:lineRule="auto"/>
              <w:jc w:val="center"/>
              <w:rPr>
                <w:rFonts w:ascii="Calibri" w:eastAsia="Times New Roman" w:hAnsi="Calibri" w:cs="Times New Roman"/>
                <w:color w:val="000000"/>
                <w:sz w:val="16"/>
                <w:szCs w:val="16"/>
                <w:lang w:eastAsia="en-GB"/>
              </w:rPr>
            </w:pPr>
            <w:r w:rsidRPr="00574C92">
              <w:rPr>
                <w:rFonts w:ascii="Calibri" w:eastAsia="Times New Roman" w:hAnsi="Calibri" w:cs="Times New Roman"/>
                <w:color w:val="000000"/>
                <w:sz w:val="16"/>
                <w:szCs w:val="16"/>
                <w:lang w:eastAsia="en-GB"/>
              </w:rPr>
              <w:t>32</w:t>
            </w:r>
          </w:p>
        </w:tc>
        <w:tc>
          <w:tcPr>
            <w:tcW w:w="256" w:type="pct"/>
            <w:tcBorders>
              <w:top w:val="nil"/>
              <w:left w:val="nil"/>
              <w:bottom w:val="single" w:sz="4" w:space="0" w:color="auto"/>
              <w:right w:val="single" w:sz="4" w:space="0" w:color="auto"/>
            </w:tcBorders>
            <w:shd w:val="clear" w:color="000000" w:fill="FFFF99"/>
            <w:noWrap/>
            <w:vAlign w:val="center"/>
            <w:hideMark/>
          </w:tcPr>
          <w:p w:rsidR="00574C92" w:rsidRPr="00574C92" w:rsidRDefault="00574C92" w:rsidP="00574C92">
            <w:pPr>
              <w:spacing w:after="0" w:line="240" w:lineRule="auto"/>
              <w:jc w:val="center"/>
              <w:rPr>
                <w:rFonts w:ascii="Calibri" w:eastAsia="Times New Roman" w:hAnsi="Calibri" w:cs="Times New Roman"/>
                <w:color w:val="000000"/>
                <w:sz w:val="16"/>
                <w:szCs w:val="16"/>
                <w:lang w:eastAsia="en-GB"/>
              </w:rPr>
            </w:pPr>
            <w:r w:rsidRPr="00574C92">
              <w:rPr>
                <w:rFonts w:ascii="Calibri" w:eastAsia="Times New Roman" w:hAnsi="Calibri" w:cs="Times New Roman"/>
                <w:color w:val="000000"/>
                <w:sz w:val="16"/>
                <w:szCs w:val="16"/>
                <w:lang w:eastAsia="en-GB"/>
              </w:rPr>
              <w:t>33.7%</w:t>
            </w:r>
          </w:p>
        </w:tc>
        <w:tc>
          <w:tcPr>
            <w:tcW w:w="257" w:type="pct"/>
            <w:tcBorders>
              <w:top w:val="nil"/>
              <w:left w:val="nil"/>
              <w:bottom w:val="single" w:sz="4" w:space="0" w:color="auto"/>
              <w:right w:val="single" w:sz="4" w:space="0" w:color="auto"/>
            </w:tcBorders>
            <w:shd w:val="clear" w:color="000000" w:fill="FFFF99"/>
            <w:noWrap/>
            <w:vAlign w:val="center"/>
            <w:hideMark/>
          </w:tcPr>
          <w:p w:rsidR="00574C92" w:rsidRPr="00574C92" w:rsidRDefault="00574C92" w:rsidP="00574C92">
            <w:pPr>
              <w:spacing w:after="0" w:line="240" w:lineRule="auto"/>
              <w:jc w:val="center"/>
              <w:rPr>
                <w:rFonts w:ascii="Calibri" w:eastAsia="Times New Roman" w:hAnsi="Calibri" w:cs="Times New Roman"/>
                <w:color w:val="000000"/>
                <w:sz w:val="16"/>
                <w:szCs w:val="16"/>
                <w:lang w:eastAsia="en-GB"/>
              </w:rPr>
            </w:pPr>
            <w:r w:rsidRPr="00574C92">
              <w:rPr>
                <w:rFonts w:ascii="Calibri" w:eastAsia="Times New Roman" w:hAnsi="Calibri" w:cs="Times New Roman"/>
                <w:color w:val="000000"/>
                <w:sz w:val="16"/>
                <w:szCs w:val="16"/>
                <w:lang w:eastAsia="en-GB"/>
              </w:rPr>
              <w:t>21</w:t>
            </w:r>
          </w:p>
        </w:tc>
        <w:tc>
          <w:tcPr>
            <w:tcW w:w="256" w:type="pct"/>
            <w:tcBorders>
              <w:top w:val="nil"/>
              <w:left w:val="nil"/>
              <w:bottom w:val="single" w:sz="4" w:space="0" w:color="auto"/>
              <w:right w:val="single" w:sz="4" w:space="0" w:color="auto"/>
            </w:tcBorders>
            <w:shd w:val="clear" w:color="000000" w:fill="FFFF99"/>
            <w:noWrap/>
            <w:vAlign w:val="center"/>
            <w:hideMark/>
          </w:tcPr>
          <w:p w:rsidR="00574C92" w:rsidRPr="00574C92" w:rsidRDefault="00574C92" w:rsidP="00574C92">
            <w:pPr>
              <w:spacing w:after="0" w:line="240" w:lineRule="auto"/>
              <w:jc w:val="center"/>
              <w:rPr>
                <w:rFonts w:ascii="Calibri" w:eastAsia="Times New Roman" w:hAnsi="Calibri" w:cs="Times New Roman"/>
                <w:color w:val="000000"/>
                <w:sz w:val="16"/>
                <w:szCs w:val="16"/>
                <w:lang w:eastAsia="en-GB"/>
              </w:rPr>
            </w:pPr>
            <w:r w:rsidRPr="00574C92">
              <w:rPr>
                <w:rFonts w:ascii="Calibri" w:eastAsia="Times New Roman" w:hAnsi="Calibri" w:cs="Times New Roman"/>
                <w:color w:val="000000"/>
                <w:sz w:val="16"/>
                <w:szCs w:val="16"/>
                <w:lang w:eastAsia="en-GB"/>
              </w:rPr>
              <w:t>14.8%</w:t>
            </w:r>
          </w:p>
        </w:tc>
        <w:tc>
          <w:tcPr>
            <w:tcW w:w="256" w:type="pct"/>
            <w:tcBorders>
              <w:top w:val="nil"/>
              <w:left w:val="nil"/>
              <w:bottom w:val="single" w:sz="4" w:space="0" w:color="auto"/>
              <w:right w:val="single" w:sz="4" w:space="0" w:color="auto"/>
            </w:tcBorders>
            <w:shd w:val="clear" w:color="000000" w:fill="FFFF99"/>
            <w:noWrap/>
            <w:vAlign w:val="center"/>
            <w:hideMark/>
          </w:tcPr>
          <w:p w:rsidR="00574C92" w:rsidRPr="00574C92" w:rsidRDefault="00574C92" w:rsidP="00574C92">
            <w:pPr>
              <w:spacing w:after="0" w:line="240" w:lineRule="auto"/>
              <w:jc w:val="center"/>
              <w:rPr>
                <w:rFonts w:ascii="Calibri" w:eastAsia="Times New Roman" w:hAnsi="Calibri" w:cs="Times New Roman"/>
                <w:color w:val="000000"/>
                <w:sz w:val="16"/>
                <w:szCs w:val="16"/>
                <w:lang w:eastAsia="en-GB"/>
              </w:rPr>
            </w:pPr>
            <w:r w:rsidRPr="00574C92">
              <w:rPr>
                <w:rFonts w:ascii="Calibri" w:eastAsia="Times New Roman" w:hAnsi="Calibri" w:cs="Times New Roman"/>
                <w:color w:val="000000"/>
                <w:sz w:val="16"/>
                <w:szCs w:val="16"/>
                <w:lang w:eastAsia="en-GB"/>
              </w:rPr>
              <w:t>40</w:t>
            </w:r>
          </w:p>
        </w:tc>
        <w:tc>
          <w:tcPr>
            <w:tcW w:w="256" w:type="pct"/>
            <w:tcBorders>
              <w:top w:val="nil"/>
              <w:left w:val="nil"/>
              <w:bottom w:val="single" w:sz="4" w:space="0" w:color="auto"/>
              <w:right w:val="single" w:sz="4" w:space="0" w:color="auto"/>
            </w:tcBorders>
            <w:shd w:val="clear" w:color="000000" w:fill="FFFF99"/>
            <w:noWrap/>
            <w:vAlign w:val="center"/>
            <w:hideMark/>
          </w:tcPr>
          <w:p w:rsidR="00574C92" w:rsidRPr="00574C92" w:rsidRDefault="00574C92" w:rsidP="00574C92">
            <w:pPr>
              <w:spacing w:after="0" w:line="240" w:lineRule="auto"/>
              <w:jc w:val="center"/>
              <w:rPr>
                <w:rFonts w:ascii="Calibri" w:eastAsia="Times New Roman" w:hAnsi="Calibri" w:cs="Times New Roman"/>
                <w:color w:val="000000"/>
                <w:sz w:val="16"/>
                <w:szCs w:val="16"/>
                <w:lang w:eastAsia="en-GB"/>
              </w:rPr>
            </w:pPr>
            <w:r w:rsidRPr="00574C92">
              <w:rPr>
                <w:rFonts w:ascii="Calibri" w:eastAsia="Times New Roman" w:hAnsi="Calibri" w:cs="Times New Roman"/>
                <w:color w:val="000000"/>
                <w:sz w:val="16"/>
                <w:szCs w:val="16"/>
                <w:lang w:eastAsia="en-GB"/>
              </w:rPr>
              <w:t>20.8%</w:t>
            </w:r>
          </w:p>
        </w:tc>
        <w:tc>
          <w:tcPr>
            <w:tcW w:w="257" w:type="pct"/>
            <w:tcBorders>
              <w:top w:val="nil"/>
              <w:left w:val="nil"/>
              <w:bottom w:val="single" w:sz="4" w:space="0" w:color="auto"/>
              <w:right w:val="single" w:sz="4" w:space="0" w:color="auto"/>
            </w:tcBorders>
            <w:shd w:val="clear" w:color="000000" w:fill="FFFF99"/>
            <w:noWrap/>
            <w:vAlign w:val="center"/>
            <w:hideMark/>
          </w:tcPr>
          <w:p w:rsidR="00574C92" w:rsidRPr="00574C92" w:rsidRDefault="00574C92" w:rsidP="00574C92">
            <w:pPr>
              <w:spacing w:after="0" w:line="240" w:lineRule="auto"/>
              <w:jc w:val="center"/>
              <w:rPr>
                <w:rFonts w:ascii="Calibri" w:eastAsia="Times New Roman" w:hAnsi="Calibri" w:cs="Times New Roman"/>
                <w:color w:val="000000"/>
                <w:sz w:val="16"/>
                <w:szCs w:val="16"/>
                <w:lang w:eastAsia="en-GB"/>
              </w:rPr>
            </w:pPr>
            <w:r w:rsidRPr="00574C92">
              <w:rPr>
                <w:rFonts w:ascii="Calibri" w:eastAsia="Times New Roman" w:hAnsi="Calibri" w:cs="Times New Roman"/>
                <w:color w:val="000000"/>
                <w:sz w:val="16"/>
                <w:szCs w:val="16"/>
                <w:lang w:eastAsia="en-GB"/>
              </w:rPr>
              <w:t>69</w:t>
            </w:r>
          </w:p>
        </w:tc>
        <w:tc>
          <w:tcPr>
            <w:tcW w:w="256" w:type="pct"/>
            <w:tcBorders>
              <w:top w:val="nil"/>
              <w:left w:val="nil"/>
              <w:bottom w:val="single" w:sz="4" w:space="0" w:color="auto"/>
              <w:right w:val="single" w:sz="4" w:space="0" w:color="auto"/>
            </w:tcBorders>
            <w:shd w:val="clear" w:color="000000" w:fill="FFFF99"/>
            <w:noWrap/>
            <w:vAlign w:val="center"/>
            <w:hideMark/>
          </w:tcPr>
          <w:p w:rsidR="00574C92" w:rsidRPr="00574C92" w:rsidRDefault="00574C92" w:rsidP="00574C92">
            <w:pPr>
              <w:spacing w:after="0" w:line="240" w:lineRule="auto"/>
              <w:jc w:val="center"/>
              <w:rPr>
                <w:rFonts w:ascii="Calibri" w:eastAsia="Times New Roman" w:hAnsi="Calibri" w:cs="Times New Roman"/>
                <w:color w:val="000000"/>
                <w:sz w:val="16"/>
                <w:szCs w:val="16"/>
                <w:lang w:eastAsia="en-GB"/>
              </w:rPr>
            </w:pPr>
            <w:r w:rsidRPr="00574C92">
              <w:rPr>
                <w:rFonts w:ascii="Calibri" w:eastAsia="Times New Roman" w:hAnsi="Calibri" w:cs="Times New Roman"/>
                <w:color w:val="000000"/>
                <w:sz w:val="16"/>
                <w:szCs w:val="16"/>
                <w:lang w:eastAsia="en-GB"/>
              </w:rPr>
              <w:t>41.6%</w:t>
            </w:r>
          </w:p>
        </w:tc>
        <w:tc>
          <w:tcPr>
            <w:tcW w:w="300" w:type="pct"/>
            <w:tcBorders>
              <w:top w:val="nil"/>
              <w:left w:val="nil"/>
              <w:bottom w:val="single" w:sz="4" w:space="0" w:color="auto"/>
              <w:right w:val="single" w:sz="4" w:space="0" w:color="auto"/>
            </w:tcBorders>
            <w:shd w:val="clear" w:color="auto" w:fill="auto"/>
            <w:noWrap/>
            <w:vAlign w:val="center"/>
            <w:hideMark/>
          </w:tcPr>
          <w:p w:rsidR="00574C92" w:rsidRPr="00574C92" w:rsidRDefault="00574C92" w:rsidP="00574C92">
            <w:pPr>
              <w:spacing w:after="0" w:line="240" w:lineRule="auto"/>
              <w:jc w:val="center"/>
              <w:rPr>
                <w:rFonts w:ascii="Calibri" w:eastAsia="Times New Roman" w:hAnsi="Calibri" w:cs="Times New Roman"/>
                <w:color w:val="000000"/>
                <w:sz w:val="16"/>
                <w:szCs w:val="16"/>
                <w:lang w:eastAsia="en-GB"/>
              </w:rPr>
            </w:pPr>
            <w:r w:rsidRPr="00574C92">
              <w:rPr>
                <w:rFonts w:ascii="Calibri" w:eastAsia="Times New Roman" w:hAnsi="Calibri" w:cs="Times New Roman"/>
                <w:color w:val="000000"/>
                <w:sz w:val="16"/>
                <w:szCs w:val="16"/>
                <w:lang w:eastAsia="en-GB"/>
              </w:rPr>
              <w:t>18,560</w:t>
            </w:r>
          </w:p>
        </w:tc>
        <w:tc>
          <w:tcPr>
            <w:tcW w:w="256" w:type="pct"/>
            <w:tcBorders>
              <w:top w:val="nil"/>
              <w:left w:val="nil"/>
              <w:bottom w:val="single" w:sz="4" w:space="0" w:color="auto"/>
              <w:right w:val="single" w:sz="4" w:space="0" w:color="auto"/>
            </w:tcBorders>
            <w:shd w:val="clear" w:color="auto" w:fill="auto"/>
            <w:noWrap/>
            <w:vAlign w:val="center"/>
            <w:hideMark/>
          </w:tcPr>
          <w:p w:rsidR="00574C92" w:rsidRPr="00574C92" w:rsidRDefault="00574C92" w:rsidP="00574C92">
            <w:pPr>
              <w:spacing w:after="0" w:line="240" w:lineRule="auto"/>
              <w:jc w:val="center"/>
              <w:rPr>
                <w:rFonts w:ascii="Calibri" w:eastAsia="Times New Roman" w:hAnsi="Calibri" w:cs="Times New Roman"/>
                <w:color w:val="000000"/>
                <w:sz w:val="16"/>
                <w:szCs w:val="16"/>
                <w:lang w:eastAsia="en-GB"/>
              </w:rPr>
            </w:pPr>
            <w:r w:rsidRPr="00574C92">
              <w:rPr>
                <w:rFonts w:ascii="Calibri" w:eastAsia="Times New Roman" w:hAnsi="Calibri" w:cs="Times New Roman"/>
                <w:color w:val="000000"/>
                <w:sz w:val="16"/>
                <w:szCs w:val="16"/>
                <w:lang w:eastAsia="en-GB"/>
              </w:rPr>
              <w:t>30.8%</w:t>
            </w:r>
          </w:p>
        </w:tc>
      </w:tr>
    </w:tbl>
    <w:p w:rsidR="00574C92" w:rsidRDefault="00574C92"/>
    <w:tbl>
      <w:tblPr>
        <w:tblW w:w="0" w:type="auto"/>
        <w:tblLook w:val="04A0" w:firstRow="1" w:lastRow="0" w:firstColumn="1" w:lastColumn="0" w:noHBand="0" w:noVBand="1"/>
      </w:tblPr>
      <w:tblGrid>
        <w:gridCol w:w="3317"/>
        <w:gridCol w:w="1778"/>
      </w:tblGrid>
      <w:tr w:rsidR="00A43BF3" w:rsidRPr="00A43BF3" w:rsidTr="00166E43">
        <w:trPr>
          <w:trHeight w:val="300"/>
        </w:trPr>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3BF3" w:rsidRPr="00A43BF3" w:rsidRDefault="00A43BF3" w:rsidP="00A43BF3">
            <w:pPr>
              <w:spacing w:after="0" w:line="240" w:lineRule="auto"/>
              <w:jc w:val="center"/>
              <w:rPr>
                <w:rFonts w:ascii="Calibri" w:eastAsia="Times New Roman" w:hAnsi="Calibri" w:cs="Times New Roman"/>
                <w:b/>
                <w:bCs/>
                <w:color w:val="000000"/>
                <w:sz w:val="16"/>
                <w:szCs w:val="16"/>
                <w:lang w:eastAsia="en-GB"/>
              </w:rPr>
            </w:pPr>
            <w:r w:rsidRPr="00A43BF3">
              <w:rPr>
                <w:rFonts w:ascii="Calibri" w:eastAsia="Times New Roman" w:hAnsi="Calibri" w:cs="Times New Roman"/>
                <w:b/>
                <w:bCs/>
                <w:color w:val="000000"/>
                <w:sz w:val="16"/>
                <w:szCs w:val="16"/>
                <w:lang w:eastAsia="en-GB"/>
              </w:rPr>
              <w:t>Key</w:t>
            </w:r>
          </w:p>
        </w:tc>
      </w:tr>
      <w:tr w:rsidR="00166E43" w:rsidRPr="00A43BF3" w:rsidTr="00166E43">
        <w:trPr>
          <w:trHeight w:val="300"/>
        </w:trPr>
        <w:tc>
          <w:tcPr>
            <w:tcW w:w="0" w:type="auto"/>
            <w:tcBorders>
              <w:top w:val="nil"/>
              <w:left w:val="single" w:sz="4" w:space="0" w:color="auto"/>
              <w:bottom w:val="single" w:sz="4" w:space="0" w:color="auto"/>
              <w:right w:val="single" w:sz="4" w:space="0" w:color="auto"/>
            </w:tcBorders>
            <w:shd w:val="clear" w:color="000000" w:fill="EBF1DE"/>
            <w:noWrap/>
            <w:vAlign w:val="center"/>
            <w:hideMark/>
          </w:tcPr>
          <w:p w:rsidR="00A43BF3" w:rsidRPr="00A43BF3" w:rsidRDefault="00A43BF3" w:rsidP="00A43BF3">
            <w:pPr>
              <w:spacing w:after="0" w:line="240" w:lineRule="auto"/>
              <w:jc w:val="center"/>
              <w:rPr>
                <w:rFonts w:ascii="Calibri" w:eastAsia="Times New Roman" w:hAnsi="Calibri" w:cs="Times New Roman"/>
                <w:color w:val="000000"/>
                <w:sz w:val="16"/>
                <w:szCs w:val="16"/>
                <w:lang w:eastAsia="en-GB"/>
              </w:rPr>
            </w:pPr>
            <w:r w:rsidRPr="00A43BF3">
              <w:rPr>
                <w:rFonts w:ascii="Calibri" w:eastAsia="Times New Roman" w:hAnsi="Calibri" w:cs="Times New Roman"/>
                <w:color w:val="000000"/>
                <w:sz w:val="16"/>
                <w:szCs w:val="16"/>
                <w:lang w:eastAsia="en-GB"/>
              </w:rPr>
              <w:t>Statistically significantly better than benchmark</w:t>
            </w:r>
          </w:p>
        </w:tc>
        <w:tc>
          <w:tcPr>
            <w:tcW w:w="0" w:type="auto"/>
            <w:tcBorders>
              <w:top w:val="nil"/>
              <w:left w:val="nil"/>
              <w:bottom w:val="single" w:sz="4" w:space="0" w:color="auto"/>
              <w:right w:val="single" w:sz="4" w:space="0" w:color="auto"/>
            </w:tcBorders>
            <w:shd w:val="clear" w:color="000000" w:fill="FDE9D9"/>
            <w:noWrap/>
            <w:vAlign w:val="center"/>
            <w:hideMark/>
          </w:tcPr>
          <w:p w:rsidR="00A43BF3" w:rsidRPr="00A43BF3" w:rsidRDefault="00A43BF3" w:rsidP="00A43BF3">
            <w:pPr>
              <w:spacing w:after="0" w:line="240" w:lineRule="auto"/>
              <w:jc w:val="center"/>
              <w:rPr>
                <w:rFonts w:ascii="Calibri" w:eastAsia="Times New Roman" w:hAnsi="Calibri" w:cs="Times New Roman"/>
                <w:sz w:val="16"/>
                <w:szCs w:val="16"/>
                <w:lang w:eastAsia="en-GB"/>
              </w:rPr>
            </w:pPr>
            <w:r w:rsidRPr="00A43BF3">
              <w:rPr>
                <w:rFonts w:ascii="Calibri" w:eastAsia="Times New Roman" w:hAnsi="Calibri" w:cs="Times New Roman"/>
                <w:sz w:val="16"/>
                <w:szCs w:val="16"/>
                <w:lang w:eastAsia="en-GB"/>
              </w:rPr>
              <w:t>In best quintile</w:t>
            </w:r>
          </w:p>
        </w:tc>
      </w:tr>
      <w:tr w:rsidR="00166E43" w:rsidRPr="00A43BF3" w:rsidTr="00166E43">
        <w:trPr>
          <w:trHeight w:val="300"/>
        </w:trPr>
        <w:tc>
          <w:tcPr>
            <w:tcW w:w="0" w:type="auto"/>
            <w:tcBorders>
              <w:top w:val="nil"/>
              <w:left w:val="single" w:sz="4" w:space="0" w:color="auto"/>
              <w:bottom w:val="single" w:sz="4" w:space="0" w:color="auto"/>
              <w:right w:val="single" w:sz="4" w:space="0" w:color="auto"/>
            </w:tcBorders>
            <w:shd w:val="clear" w:color="000000" w:fill="FFFF99"/>
            <w:noWrap/>
            <w:vAlign w:val="center"/>
            <w:hideMark/>
          </w:tcPr>
          <w:p w:rsidR="00A43BF3" w:rsidRPr="00A43BF3" w:rsidRDefault="00A43BF3" w:rsidP="00A43BF3">
            <w:pPr>
              <w:spacing w:after="0" w:line="240" w:lineRule="auto"/>
              <w:jc w:val="center"/>
              <w:rPr>
                <w:rFonts w:ascii="Calibri" w:eastAsia="Times New Roman" w:hAnsi="Calibri" w:cs="Times New Roman"/>
                <w:color w:val="000000"/>
                <w:sz w:val="16"/>
                <w:szCs w:val="16"/>
                <w:lang w:eastAsia="en-GB"/>
              </w:rPr>
            </w:pPr>
            <w:r w:rsidRPr="00A43BF3">
              <w:rPr>
                <w:rFonts w:ascii="Calibri" w:eastAsia="Times New Roman" w:hAnsi="Calibri" w:cs="Times New Roman"/>
                <w:color w:val="000000"/>
                <w:sz w:val="16"/>
                <w:szCs w:val="16"/>
                <w:lang w:eastAsia="en-GB"/>
              </w:rPr>
              <w:t>Statistically similar to benchmark</w:t>
            </w:r>
          </w:p>
        </w:tc>
        <w:tc>
          <w:tcPr>
            <w:tcW w:w="0" w:type="auto"/>
            <w:tcBorders>
              <w:top w:val="nil"/>
              <w:left w:val="nil"/>
              <w:bottom w:val="single" w:sz="4" w:space="0" w:color="auto"/>
              <w:right w:val="single" w:sz="4" w:space="0" w:color="auto"/>
            </w:tcBorders>
            <w:shd w:val="clear" w:color="000000" w:fill="FCD5B4"/>
            <w:noWrap/>
            <w:vAlign w:val="center"/>
            <w:hideMark/>
          </w:tcPr>
          <w:p w:rsidR="00A43BF3" w:rsidRPr="00A43BF3" w:rsidRDefault="00A43BF3" w:rsidP="00A43BF3">
            <w:pPr>
              <w:spacing w:after="0" w:line="240" w:lineRule="auto"/>
              <w:jc w:val="center"/>
              <w:rPr>
                <w:rFonts w:ascii="Calibri" w:eastAsia="Times New Roman" w:hAnsi="Calibri" w:cs="Times New Roman"/>
                <w:color w:val="000000"/>
                <w:sz w:val="16"/>
                <w:szCs w:val="16"/>
                <w:lang w:eastAsia="en-GB"/>
              </w:rPr>
            </w:pPr>
            <w:r w:rsidRPr="00A43BF3">
              <w:rPr>
                <w:rFonts w:ascii="Calibri" w:eastAsia="Times New Roman" w:hAnsi="Calibri" w:cs="Times New Roman"/>
                <w:color w:val="000000"/>
                <w:sz w:val="16"/>
                <w:szCs w:val="16"/>
                <w:lang w:eastAsia="en-GB"/>
              </w:rPr>
              <w:t>In second best quintile</w:t>
            </w:r>
          </w:p>
        </w:tc>
      </w:tr>
      <w:tr w:rsidR="00166E43" w:rsidRPr="00A43BF3" w:rsidTr="00166E43">
        <w:trPr>
          <w:trHeight w:val="300"/>
        </w:trPr>
        <w:tc>
          <w:tcPr>
            <w:tcW w:w="0" w:type="auto"/>
            <w:tcBorders>
              <w:top w:val="nil"/>
              <w:left w:val="single" w:sz="4" w:space="0" w:color="auto"/>
              <w:bottom w:val="single" w:sz="4" w:space="0" w:color="auto"/>
              <w:right w:val="single" w:sz="4" w:space="0" w:color="auto"/>
            </w:tcBorders>
            <w:shd w:val="clear" w:color="000000" w:fill="420000"/>
            <w:noWrap/>
            <w:vAlign w:val="center"/>
            <w:hideMark/>
          </w:tcPr>
          <w:p w:rsidR="00A43BF3" w:rsidRPr="00A43BF3" w:rsidRDefault="00A43BF3" w:rsidP="00A43BF3">
            <w:pPr>
              <w:spacing w:after="0" w:line="240" w:lineRule="auto"/>
              <w:jc w:val="center"/>
              <w:rPr>
                <w:rFonts w:ascii="Calibri" w:eastAsia="Times New Roman" w:hAnsi="Calibri" w:cs="Times New Roman"/>
                <w:color w:val="FFFFFF"/>
                <w:sz w:val="16"/>
                <w:szCs w:val="16"/>
                <w:lang w:eastAsia="en-GB"/>
              </w:rPr>
            </w:pPr>
            <w:r w:rsidRPr="00A43BF3">
              <w:rPr>
                <w:rFonts w:ascii="Calibri" w:eastAsia="Times New Roman" w:hAnsi="Calibri" w:cs="Times New Roman"/>
                <w:color w:val="FFFFFF"/>
                <w:sz w:val="16"/>
                <w:szCs w:val="16"/>
                <w:lang w:eastAsia="en-GB"/>
              </w:rPr>
              <w:t>Statistically significantly lower than benchmark</w:t>
            </w:r>
          </w:p>
        </w:tc>
        <w:tc>
          <w:tcPr>
            <w:tcW w:w="0" w:type="auto"/>
            <w:tcBorders>
              <w:top w:val="nil"/>
              <w:left w:val="nil"/>
              <w:bottom w:val="single" w:sz="4" w:space="0" w:color="auto"/>
              <w:right w:val="single" w:sz="4" w:space="0" w:color="auto"/>
            </w:tcBorders>
            <w:shd w:val="clear" w:color="000000" w:fill="FABF8F"/>
            <w:noWrap/>
            <w:vAlign w:val="center"/>
            <w:hideMark/>
          </w:tcPr>
          <w:p w:rsidR="00A43BF3" w:rsidRPr="00A43BF3" w:rsidRDefault="00A43BF3" w:rsidP="00A43BF3">
            <w:pPr>
              <w:spacing w:after="0" w:line="240" w:lineRule="auto"/>
              <w:jc w:val="center"/>
              <w:rPr>
                <w:rFonts w:ascii="Calibri" w:eastAsia="Times New Roman" w:hAnsi="Calibri" w:cs="Times New Roman"/>
                <w:color w:val="000000"/>
                <w:sz w:val="16"/>
                <w:szCs w:val="16"/>
                <w:lang w:eastAsia="en-GB"/>
              </w:rPr>
            </w:pPr>
            <w:r w:rsidRPr="00A43BF3">
              <w:rPr>
                <w:rFonts w:ascii="Calibri" w:eastAsia="Times New Roman" w:hAnsi="Calibri" w:cs="Times New Roman"/>
                <w:color w:val="000000"/>
                <w:sz w:val="16"/>
                <w:szCs w:val="16"/>
                <w:lang w:eastAsia="en-GB"/>
              </w:rPr>
              <w:t>In third quintile</w:t>
            </w:r>
          </w:p>
        </w:tc>
      </w:tr>
      <w:tr w:rsidR="00166E43" w:rsidRPr="00A43BF3" w:rsidTr="00166E43">
        <w:trPr>
          <w:trHeight w:val="300"/>
        </w:trPr>
        <w:tc>
          <w:tcPr>
            <w:tcW w:w="0" w:type="auto"/>
            <w:tcBorders>
              <w:top w:val="nil"/>
              <w:left w:val="single" w:sz="4" w:space="0" w:color="auto"/>
              <w:bottom w:val="single" w:sz="4" w:space="0" w:color="auto"/>
              <w:right w:val="single" w:sz="4" w:space="0" w:color="auto"/>
            </w:tcBorders>
            <w:shd w:val="clear" w:color="000000" w:fill="DCE6F1"/>
            <w:noWrap/>
            <w:vAlign w:val="center"/>
            <w:hideMark/>
          </w:tcPr>
          <w:p w:rsidR="00A43BF3" w:rsidRPr="00A43BF3" w:rsidRDefault="00A43BF3" w:rsidP="00A43BF3">
            <w:pPr>
              <w:spacing w:after="0" w:line="240" w:lineRule="auto"/>
              <w:jc w:val="center"/>
              <w:rPr>
                <w:rFonts w:ascii="Calibri" w:eastAsia="Times New Roman" w:hAnsi="Calibri" w:cs="Times New Roman"/>
                <w:color w:val="000000"/>
                <w:sz w:val="16"/>
                <w:szCs w:val="16"/>
                <w:lang w:eastAsia="en-GB"/>
              </w:rPr>
            </w:pPr>
            <w:r w:rsidRPr="00A43BF3">
              <w:rPr>
                <w:rFonts w:ascii="Calibri" w:eastAsia="Times New Roman" w:hAnsi="Calibri" w:cs="Times New Roman"/>
                <w:color w:val="000000"/>
                <w:sz w:val="16"/>
                <w:szCs w:val="16"/>
                <w:lang w:eastAsia="en-GB"/>
              </w:rPr>
              <w:t>Statistically significantly higher than benchmark</w:t>
            </w:r>
          </w:p>
        </w:tc>
        <w:tc>
          <w:tcPr>
            <w:tcW w:w="0" w:type="auto"/>
            <w:tcBorders>
              <w:top w:val="nil"/>
              <w:left w:val="nil"/>
              <w:bottom w:val="single" w:sz="4" w:space="0" w:color="auto"/>
              <w:right w:val="single" w:sz="4" w:space="0" w:color="auto"/>
            </w:tcBorders>
            <w:shd w:val="clear" w:color="000000" w:fill="E26B0A"/>
            <w:noWrap/>
            <w:vAlign w:val="center"/>
            <w:hideMark/>
          </w:tcPr>
          <w:p w:rsidR="00A43BF3" w:rsidRPr="00A43BF3" w:rsidRDefault="00A43BF3" w:rsidP="00A43BF3">
            <w:pPr>
              <w:spacing w:after="0" w:line="240" w:lineRule="auto"/>
              <w:jc w:val="center"/>
              <w:rPr>
                <w:rFonts w:ascii="Calibri" w:eastAsia="Times New Roman" w:hAnsi="Calibri" w:cs="Times New Roman"/>
                <w:color w:val="FFFFFF"/>
                <w:sz w:val="16"/>
                <w:szCs w:val="16"/>
                <w:lang w:eastAsia="en-GB"/>
              </w:rPr>
            </w:pPr>
            <w:r w:rsidRPr="00A43BF3">
              <w:rPr>
                <w:rFonts w:ascii="Calibri" w:eastAsia="Times New Roman" w:hAnsi="Calibri" w:cs="Times New Roman"/>
                <w:color w:val="FFFFFF"/>
                <w:sz w:val="16"/>
                <w:szCs w:val="16"/>
                <w:lang w:eastAsia="en-GB"/>
              </w:rPr>
              <w:t>In second worst quintile</w:t>
            </w:r>
          </w:p>
        </w:tc>
      </w:tr>
      <w:tr w:rsidR="00166E43" w:rsidRPr="00A43BF3" w:rsidTr="00166E43">
        <w:trPr>
          <w:trHeight w:val="300"/>
        </w:trPr>
        <w:tc>
          <w:tcPr>
            <w:tcW w:w="0" w:type="auto"/>
            <w:tcBorders>
              <w:top w:val="nil"/>
              <w:left w:val="single" w:sz="4" w:space="0" w:color="auto"/>
              <w:bottom w:val="single" w:sz="4" w:space="0" w:color="auto"/>
              <w:right w:val="single" w:sz="4" w:space="0" w:color="auto"/>
            </w:tcBorders>
            <w:shd w:val="clear" w:color="000000" w:fill="0070C0"/>
            <w:noWrap/>
            <w:vAlign w:val="center"/>
            <w:hideMark/>
          </w:tcPr>
          <w:p w:rsidR="00A43BF3" w:rsidRPr="00A43BF3" w:rsidRDefault="00A43BF3" w:rsidP="00A43BF3">
            <w:pPr>
              <w:spacing w:after="0" w:line="240" w:lineRule="auto"/>
              <w:jc w:val="center"/>
              <w:rPr>
                <w:rFonts w:ascii="Calibri" w:eastAsia="Times New Roman" w:hAnsi="Calibri" w:cs="Times New Roman"/>
                <w:color w:val="FFFFFF"/>
                <w:sz w:val="16"/>
                <w:szCs w:val="16"/>
                <w:lang w:eastAsia="en-GB"/>
              </w:rPr>
            </w:pPr>
            <w:r w:rsidRPr="00A43BF3">
              <w:rPr>
                <w:rFonts w:ascii="Calibri" w:eastAsia="Times New Roman" w:hAnsi="Calibri" w:cs="Times New Roman"/>
                <w:color w:val="FFFFFF"/>
                <w:sz w:val="16"/>
                <w:szCs w:val="16"/>
                <w:lang w:eastAsia="en-GB"/>
              </w:rPr>
              <w:t>Statistically significantly lower than benchmark</w:t>
            </w:r>
          </w:p>
        </w:tc>
        <w:tc>
          <w:tcPr>
            <w:tcW w:w="0" w:type="auto"/>
            <w:tcBorders>
              <w:top w:val="nil"/>
              <w:left w:val="nil"/>
              <w:bottom w:val="single" w:sz="4" w:space="0" w:color="auto"/>
              <w:right w:val="single" w:sz="4" w:space="0" w:color="auto"/>
            </w:tcBorders>
            <w:shd w:val="clear" w:color="000000" w:fill="974706"/>
            <w:noWrap/>
            <w:vAlign w:val="center"/>
            <w:hideMark/>
          </w:tcPr>
          <w:p w:rsidR="00A43BF3" w:rsidRPr="00A43BF3" w:rsidRDefault="00A43BF3" w:rsidP="00A43BF3">
            <w:pPr>
              <w:spacing w:after="0" w:line="240" w:lineRule="auto"/>
              <w:jc w:val="center"/>
              <w:rPr>
                <w:rFonts w:ascii="Calibri" w:eastAsia="Times New Roman" w:hAnsi="Calibri" w:cs="Times New Roman"/>
                <w:color w:val="FFFFFF"/>
                <w:sz w:val="16"/>
                <w:szCs w:val="16"/>
                <w:lang w:eastAsia="en-GB"/>
              </w:rPr>
            </w:pPr>
            <w:r w:rsidRPr="00A43BF3">
              <w:rPr>
                <w:rFonts w:ascii="Calibri" w:eastAsia="Times New Roman" w:hAnsi="Calibri" w:cs="Times New Roman"/>
                <w:color w:val="FFFFFF"/>
                <w:sz w:val="16"/>
                <w:szCs w:val="16"/>
                <w:lang w:eastAsia="en-GB"/>
              </w:rPr>
              <w:t>In worst quintile</w:t>
            </w:r>
          </w:p>
        </w:tc>
      </w:tr>
    </w:tbl>
    <w:p w:rsidR="00264F59" w:rsidRDefault="00264F59"/>
    <w:p w:rsidR="006E0ACB" w:rsidRDefault="006E0ACB" w:rsidP="00F968F4">
      <w:r>
        <w:t>The table above provides overall demographic data for Peterborough, Cambridgeshire and its districts as well as comparative data for three principal causes of mortality in the 65+ population – cardiovascular disease, respiratory disease and cancer, as well as a comparison of the number of excess winter deaths (deaths recorded in December – March each year compared to the average recorded between April and November each year) observed in each local authority.</w:t>
      </w:r>
    </w:p>
    <w:p w:rsidR="00F968F4" w:rsidRDefault="00F968F4" w:rsidP="00F968F4">
      <w:r w:rsidRPr="00F968F4">
        <w:t>18.0% of the population of England were aged 65 or older in 2017. It is of note that Cambridgeshire and all of its districts with the exception of Cambridge have a statistically significantly higher proportion of population in the 65+ age group compared to England, whereas conversely Peterborough and Ca</w:t>
      </w:r>
      <w:r>
        <w:t>mbridge have statistically signifi</w:t>
      </w:r>
      <w:r w:rsidRPr="00F968F4">
        <w:t xml:space="preserve">cantly lower proportion of their populations aged 65+. This influences a number of indicators within this dataset, such as Quality and Outcomes Framework (QOF) </w:t>
      </w:r>
      <w:r w:rsidRPr="00F968F4">
        <w:lastRenderedPageBreak/>
        <w:t xml:space="preserve">disease prevalence, which are not age-standardised and are therefore likely to show higher disease prevalence within older populations for conditions that tend to present in greater numbers within older age groups, such as </w:t>
      </w:r>
      <w:r w:rsidR="001F4511" w:rsidRPr="00F968F4">
        <w:t>cardiovascular</w:t>
      </w:r>
      <w:r w:rsidRPr="00F968F4">
        <w:t xml:space="preserve"> diseases, musculoskeletal conditions and dementia.</w:t>
      </w:r>
    </w:p>
    <w:p w:rsidR="00F968F4" w:rsidRPr="002E16E6" w:rsidRDefault="00B675EC">
      <w:pPr>
        <w:rPr>
          <w:b/>
        </w:rPr>
      </w:pPr>
      <w:r>
        <w:rPr>
          <w:b/>
        </w:rPr>
        <w:t>Figure 2</w:t>
      </w:r>
      <w:r w:rsidR="002E16E6" w:rsidRPr="002E16E6">
        <w:rPr>
          <w:b/>
        </w:rPr>
        <w:t xml:space="preserve">: Directly age-standardised rate of deaths from respiratory diseases among people aged 65 years and over, Peterborough, 2001-03 – 2015-17 </w:t>
      </w:r>
    </w:p>
    <w:p w:rsidR="00F968F4" w:rsidRDefault="002E16E6">
      <w:r>
        <w:rPr>
          <w:noProof/>
          <w:lang w:eastAsia="en-GB"/>
        </w:rPr>
        <w:drawing>
          <wp:inline distT="0" distB="0" distL="0" distR="0" wp14:anchorId="2CDE5FB4" wp14:editId="7ABF35C1">
            <wp:extent cx="7034530" cy="26003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7034530" cy="2600325"/>
                    </a:xfrm>
                    <a:prstGeom prst="rect">
                      <a:avLst/>
                    </a:prstGeom>
                  </pic:spPr>
                </pic:pic>
              </a:graphicData>
            </a:graphic>
          </wp:inline>
        </w:drawing>
      </w:r>
    </w:p>
    <w:p w:rsidR="002E16E6" w:rsidRPr="002E16E6" w:rsidRDefault="002E16E6">
      <w:pPr>
        <w:rPr>
          <w:b/>
          <w:sz w:val="16"/>
          <w:szCs w:val="16"/>
        </w:rPr>
      </w:pPr>
      <w:r w:rsidRPr="002E16E6">
        <w:rPr>
          <w:b/>
          <w:sz w:val="16"/>
          <w:szCs w:val="16"/>
        </w:rPr>
        <w:t>Source: Public Health England</w:t>
      </w:r>
    </w:p>
    <w:p w:rsidR="002E16E6" w:rsidRDefault="002E16E6">
      <w:r>
        <w:t xml:space="preserve">The only indicator within the above table with a statistically significantly worse outcome compared to benchmark (England) for any area of Cambridgeshire and Peterborough is the directly age-standardised rate of deaths from respiratory disease among people aged 65 years and over in Peterborough. Direct age-standardisation is a process whereby age-specific death rates are calculated and weighted in relation to a reference population in order that differences in </w:t>
      </w:r>
      <w:r w:rsidR="005A0C8A">
        <w:t xml:space="preserve">age structures are accounted for in comparisons (e.g. areas with higher proportions of older residents are not adversely described as ‘less healthy’ due to higher mortality rates, as this would be expected in areas with older populations). </w:t>
      </w:r>
      <w:r w:rsidR="00875BA8">
        <w:t>Statistical significance refers to an observed differences in outcomes of sufficient difference to be statistically unlikely to have occurred as a result of chance or issues relating to bias and/or confounding.</w:t>
      </w:r>
    </w:p>
    <w:p w:rsidR="005A0C8A" w:rsidRDefault="005A0C8A">
      <w:r>
        <w:t>The figure above shows directly age-standardised rates</w:t>
      </w:r>
      <w:r w:rsidR="00E7652B">
        <w:t xml:space="preserve"> per 100,000</w:t>
      </w:r>
      <w:r>
        <w:t xml:space="preserve"> of deaths in the 65+ population in Peterborough for 15 pooled periods between 2001-3 and 2015-17 and illustrates that Peterborough has had a statistically significantly higher (worse) rate for 13 of these 15 periods, including </w:t>
      </w:r>
      <w:r w:rsidR="00E7652B">
        <w:t>each of the last six pooled periods between 2010-12 and 2015-17. Respiratory disease is one of the major causes of death in the over 65s in England</w:t>
      </w:r>
      <w:r w:rsidR="00E7652B">
        <w:rPr>
          <w:rStyle w:val="FootnoteReference"/>
        </w:rPr>
        <w:footnoteReference w:id="1"/>
      </w:r>
      <w:r w:rsidR="00E7652B">
        <w:t xml:space="preserve"> and is caused by a number of modifiable risk factors including tobacco use, indoor and outdoor air pollution, physical inactivity and an unhealthy diet</w:t>
      </w:r>
      <w:r w:rsidR="00E7652B">
        <w:rPr>
          <w:rStyle w:val="FootnoteReference"/>
        </w:rPr>
        <w:footnoteReference w:id="2"/>
      </w:r>
      <w:r w:rsidR="00E7652B">
        <w:t>.</w:t>
      </w:r>
    </w:p>
    <w:p w:rsidR="006E0ACB" w:rsidRDefault="006E0ACB"/>
    <w:p w:rsidR="00E7652B" w:rsidRPr="002E16E6" w:rsidRDefault="00B675EC" w:rsidP="00E7652B">
      <w:pPr>
        <w:rPr>
          <w:b/>
        </w:rPr>
      </w:pPr>
      <w:r>
        <w:rPr>
          <w:b/>
        </w:rPr>
        <w:t>Figure 3</w:t>
      </w:r>
      <w:r w:rsidR="00E7652B" w:rsidRPr="002E16E6">
        <w:rPr>
          <w:b/>
        </w:rPr>
        <w:t xml:space="preserve">: Directly age-standardised rate of deaths from respiratory diseases among people aged 65 years and over, </w:t>
      </w:r>
      <w:r w:rsidR="00E7652B">
        <w:rPr>
          <w:b/>
        </w:rPr>
        <w:t>East of England Local Authorities</w:t>
      </w:r>
      <w:r w:rsidR="00E7652B" w:rsidRPr="002E16E6">
        <w:rPr>
          <w:b/>
        </w:rPr>
        <w:t xml:space="preserve">, </w:t>
      </w:r>
      <w:r w:rsidR="00E7652B">
        <w:rPr>
          <w:b/>
        </w:rPr>
        <w:t>2015-17</w:t>
      </w:r>
      <w:r w:rsidR="00E7652B" w:rsidRPr="002E16E6">
        <w:rPr>
          <w:b/>
        </w:rPr>
        <w:t xml:space="preserve"> </w:t>
      </w:r>
    </w:p>
    <w:p w:rsidR="002E16E6" w:rsidRDefault="00E7652B">
      <w:r>
        <w:rPr>
          <w:noProof/>
          <w:lang w:eastAsia="en-GB"/>
        </w:rPr>
        <w:drawing>
          <wp:inline distT="0" distB="0" distL="0" distR="0" wp14:anchorId="49195DF0" wp14:editId="579F585A">
            <wp:extent cx="7034530" cy="233553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7034530" cy="2335530"/>
                    </a:xfrm>
                    <a:prstGeom prst="rect">
                      <a:avLst/>
                    </a:prstGeom>
                  </pic:spPr>
                </pic:pic>
              </a:graphicData>
            </a:graphic>
          </wp:inline>
        </w:drawing>
      </w:r>
    </w:p>
    <w:p w:rsidR="00E7652B" w:rsidRDefault="00E7652B">
      <w:pPr>
        <w:rPr>
          <w:b/>
          <w:sz w:val="16"/>
          <w:szCs w:val="16"/>
        </w:rPr>
      </w:pPr>
      <w:r w:rsidRPr="00E7652B">
        <w:rPr>
          <w:b/>
          <w:sz w:val="16"/>
          <w:szCs w:val="16"/>
        </w:rPr>
        <w:t>Source: Public Health England</w:t>
      </w:r>
    </w:p>
    <w:p w:rsidR="00E7652B" w:rsidRDefault="00E7652B">
      <w:r>
        <w:t>The table above illustrates that Peterborough is one of only three areas within the East of England with a statistically significantly higher directly age-standardised rate of deaths from respiratory diseases among people aged 65 years and over within the East of England.</w:t>
      </w:r>
      <w:r w:rsidR="006E0ACB">
        <w:t xml:space="preserve"> Neighbouring Cambridgeshire has a statistically significantly lower rate than the national average.</w:t>
      </w:r>
    </w:p>
    <w:p w:rsidR="006E0ACB" w:rsidRDefault="006E0ACB"/>
    <w:p w:rsidR="00E42193" w:rsidRDefault="00E42193"/>
    <w:p w:rsidR="00E42193" w:rsidRDefault="00E42193"/>
    <w:p w:rsidR="00E42193" w:rsidRDefault="00E42193"/>
    <w:p w:rsidR="00E42193" w:rsidRDefault="00E42193"/>
    <w:p w:rsidR="006E0ACB" w:rsidRDefault="006E0ACB"/>
    <w:p w:rsidR="006E0ACB" w:rsidRDefault="006E0ACB"/>
    <w:p w:rsidR="00E63BB6" w:rsidRDefault="00E63BB6"/>
    <w:p w:rsidR="006E0ACB" w:rsidRDefault="006E0ACB"/>
    <w:p w:rsidR="00AF6D19" w:rsidRPr="00A82D39" w:rsidRDefault="00AF6D19" w:rsidP="00834592">
      <w:pPr>
        <w:pStyle w:val="Heading2"/>
        <w:numPr>
          <w:ilvl w:val="0"/>
          <w:numId w:val="3"/>
        </w:numPr>
      </w:pPr>
      <w:bookmarkStart w:id="3" w:name="_Toc13125209"/>
      <w:r w:rsidRPr="00A82D39">
        <w:t>Optimising health &amp; reducing risks early indicators</w:t>
      </w:r>
      <w:bookmarkEnd w:id="3"/>
    </w:p>
    <w:p w:rsidR="00C37A76" w:rsidRDefault="00C37A76">
      <w:pPr>
        <w:rPr>
          <w:b/>
        </w:rPr>
      </w:pPr>
    </w:p>
    <w:p w:rsidR="00D83C7B" w:rsidRPr="00E14C74" w:rsidRDefault="00B675EC">
      <w:pPr>
        <w:rPr>
          <w:b/>
        </w:rPr>
      </w:pPr>
      <w:r>
        <w:rPr>
          <w:b/>
        </w:rPr>
        <w:t>Figure 4</w:t>
      </w:r>
      <w:r w:rsidR="00D83C7B" w:rsidRPr="00E14C74">
        <w:rPr>
          <w:b/>
        </w:rPr>
        <w:t xml:space="preserve">: </w:t>
      </w:r>
      <w:r w:rsidR="002E16E6">
        <w:rPr>
          <w:b/>
        </w:rPr>
        <w:t>Optimising h</w:t>
      </w:r>
      <w:r w:rsidR="004D3DFA" w:rsidRPr="00E14C74">
        <w:rPr>
          <w:b/>
        </w:rPr>
        <w:t>ealth</w:t>
      </w:r>
      <w:r w:rsidR="000A7BB1">
        <w:rPr>
          <w:b/>
        </w:rPr>
        <w:t xml:space="preserve"> &amp; reducing risks early</w:t>
      </w:r>
      <w:r w:rsidR="004D3DFA" w:rsidRPr="00E14C74">
        <w:rPr>
          <w:b/>
        </w:rPr>
        <w:t xml:space="preserve"> </w:t>
      </w:r>
      <w:r w:rsidR="000A7BB1">
        <w:rPr>
          <w:b/>
        </w:rPr>
        <w:t>i</w:t>
      </w:r>
      <w:r w:rsidR="004D3DFA" w:rsidRPr="00E14C74">
        <w:rPr>
          <w:b/>
        </w:rPr>
        <w:t>ndicators:</w:t>
      </w:r>
    </w:p>
    <w:tbl>
      <w:tblPr>
        <w:tblW w:w="5389" w:type="pct"/>
        <w:tblInd w:w="-572" w:type="dxa"/>
        <w:tblLayout w:type="fixed"/>
        <w:tblLook w:val="04A0" w:firstRow="1" w:lastRow="0" w:firstColumn="1" w:lastColumn="0" w:noHBand="0" w:noVBand="1"/>
      </w:tblPr>
      <w:tblGrid>
        <w:gridCol w:w="1985"/>
        <w:gridCol w:w="850"/>
        <w:gridCol w:w="853"/>
        <w:gridCol w:w="849"/>
        <w:gridCol w:w="849"/>
        <w:gridCol w:w="852"/>
        <w:gridCol w:w="849"/>
        <w:gridCol w:w="852"/>
        <w:gridCol w:w="849"/>
        <w:gridCol w:w="852"/>
        <w:gridCol w:w="849"/>
        <w:gridCol w:w="852"/>
        <w:gridCol w:w="992"/>
        <w:gridCol w:w="932"/>
        <w:gridCol w:w="779"/>
        <w:gridCol w:w="849"/>
        <w:gridCol w:w="849"/>
        <w:gridCol w:w="843"/>
      </w:tblGrid>
      <w:tr w:rsidR="004D3DFA" w:rsidRPr="00264F59" w:rsidTr="00C37A76">
        <w:trPr>
          <w:trHeight w:val="300"/>
        </w:trPr>
        <w:tc>
          <w:tcPr>
            <w:tcW w:w="59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3DFA" w:rsidRPr="004D3DFA" w:rsidRDefault="004D3DFA" w:rsidP="004D3DFA">
            <w:pPr>
              <w:spacing w:after="0" w:line="240" w:lineRule="auto"/>
              <w:jc w:val="center"/>
              <w:rPr>
                <w:rFonts w:ascii="Calibri" w:eastAsia="Times New Roman" w:hAnsi="Calibri" w:cs="Times New Roman"/>
                <w:color w:val="000000"/>
                <w:sz w:val="16"/>
                <w:szCs w:val="16"/>
                <w:lang w:eastAsia="en-GB"/>
              </w:rPr>
            </w:pPr>
            <w:r w:rsidRPr="004D3DFA">
              <w:rPr>
                <w:rFonts w:ascii="Calibri" w:eastAsia="Times New Roman" w:hAnsi="Calibri" w:cs="Times New Roman"/>
                <w:color w:val="000000"/>
                <w:sz w:val="16"/>
                <w:szCs w:val="16"/>
                <w:lang w:eastAsia="en-GB"/>
              </w:rPr>
              <w:t>Indicator</w:t>
            </w:r>
          </w:p>
        </w:tc>
        <w:tc>
          <w:tcPr>
            <w:tcW w:w="256"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3DFA" w:rsidRPr="004D3DFA" w:rsidRDefault="004D3DFA" w:rsidP="004D3DFA">
            <w:pPr>
              <w:spacing w:after="0" w:line="240" w:lineRule="auto"/>
              <w:jc w:val="center"/>
              <w:rPr>
                <w:rFonts w:ascii="Calibri" w:eastAsia="Times New Roman" w:hAnsi="Calibri" w:cs="Times New Roman"/>
                <w:color w:val="000000"/>
                <w:sz w:val="16"/>
                <w:szCs w:val="16"/>
                <w:lang w:eastAsia="en-GB"/>
              </w:rPr>
            </w:pPr>
            <w:r w:rsidRPr="004D3DFA">
              <w:rPr>
                <w:rFonts w:ascii="Calibri" w:eastAsia="Times New Roman" w:hAnsi="Calibri" w:cs="Times New Roman"/>
                <w:color w:val="000000"/>
                <w:sz w:val="16"/>
                <w:szCs w:val="16"/>
                <w:lang w:eastAsia="en-GB"/>
              </w:rPr>
              <w:t>Time Period</w:t>
            </w:r>
          </w:p>
        </w:tc>
        <w:tc>
          <w:tcPr>
            <w:tcW w:w="4145" w:type="pct"/>
            <w:gridSpan w:val="16"/>
            <w:tcBorders>
              <w:top w:val="single" w:sz="4" w:space="0" w:color="auto"/>
              <w:left w:val="nil"/>
              <w:bottom w:val="single" w:sz="4" w:space="0" w:color="auto"/>
              <w:right w:val="single" w:sz="4" w:space="0" w:color="auto"/>
            </w:tcBorders>
            <w:shd w:val="clear" w:color="auto" w:fill="auto"/>
            <w:noWrap/>
            <w:vAlign w:val="center"/>
            <w:hideMark/>
          </w:tcPr>
          <w:p w:rsidR="004D3DFA" w:rsidRPr="004D3DFA" w:rsidRDefault="004D3DFA" w:rsidP="004D3DFA">
            <w:pPr>
              <w:spacing w:after="0" w:line="240" w:lineRule="auto"/>
              <w:jc w:val="center"/>
              <w:rPr>
                <w:rFonts w:ascii="Calibri" w:eastAsia="Times New Roman" w:hAnsi="Calibri" w:cs="Times New Roman"/>
                <w:color w:val="000000"/>
                <w:sz w:val="16"/>
                <w:szCs w:val="16"/>
                <w:lang w:eastAsia="en-GB"/>
              </w:rPr>
            </w:pPr>
            <w:r w:rsidRPr="004D3DFA">
              <w:rPr>
                <w:rFonts w:ascii="Calibri" w:eastAsia="Times New Roman" w:hAnsi="Calibri" w:cs="Times New Roman"/>
                <w:color w:val="000000"/>
                <w:sz w:val="16"/>
                <w:szCs w:val="16"/>
                <w:lang w:eastAsia="en-GB"/>
              </w:rPr>
              <w:t>Area</w:t>
            </w:r>
          </w:p>
        </w:tc>
      </w:tr>
      <w:tr w:rsidR="00C37A76" w:rsidRPr="00264F59" w:rsidTr="00C37A76">
        <w:trPr>
          <w:trHeight w:val="300"/>
        </w:trPr>
        <w:tc>
          <w:tcPr>
            <w:tcW w:w="598" w:type="pct"/>
            <w:vMerge/>
            <w:tcBorders>
              <w:top w:val="single" w:sz="4" w:space="0" w:color="auto"/>
              <w:left w:val="single" w:sz="4" w:space="0" w:color="auto"/>
              <w:bottom w:val="single" w:sz="4" w:space="0" w:color="auto"/>
              <w:right w:val="single" w:sz="4" w:space="0" w:color="auto"/>
            </w:tcBorders>
            <w:vAlign w:val="center"/>
            <w:hideMark/>
          </w:tcPr>
          <w:p w:rsidR="004D3DFA" w:rsidRPr="004D3DFA" w:rsidRDefault="004D3DFA" w:rsidP="004D3DFA">
            <w:pPr>
              <w:spacing w:after="0" w:line="240" w:lineRule="auto"/>
              <w:rPr>
                <w:rFonts w:ascii="Calibri" w:eastAsia="Times New Roman" w:hAnsi="Calibri" w:cs="Times New Roman"/>
                <w:color w:val="000000"/>
                <w:sz w:val="16"/>
                <w:szCs w:val="16"/>
                <w:lang w:eastAsia="en-GB"/>
              </w:rPr>
            </w:pPr>
          </w:p>
        </w:tc>
        <w:tc>
          <w:tcPr>
            <w:tcW w:w="256" w:type="pct"/>
            <w:vMerge/>
            <w:tcBorders>
              <w:top w:val="single" w:sz="4" w:space="0" w:color="auto"/>
              <w:left w:val="single" w:sz="4" w:space="0" w:color="auto"/>
              <w:bottom w:val="single" w:sz="4" w:space="0" w:color="auto"/>
              <w:right w:val="single" w:sz="4" w:space="0" w:color="auto"/>
            </w:tcBorders>
            <w:vAlign w:val="center"/>
            <w:hideMark/>
          </w:tcPr>
          <w:p w:rsidR="004D3DFA" w:rsidRPr="004D3DFA" w:rsidRDefault="004D3DFA" w:rsidP="004D3DFA">
            <w:pPr>
              <w:spacing w:after="0" w:line="240" w:lineRule="auto"/>
              <w:rPr>
                <w:rFonts w:ascii="Calibri" w:eastAsia="Times New Roman" w:hAnsi="Calibri" w:cs="Times New Roman"/>
                <w:color w:val="000000"/>
                <w:sz w:val="16"/>
                <w:szCs w:val="16"/>
                <w:lang w:eastAsia="en-GB"/>
              </w:rPr>
            </w:pPr>
          </w:p>
        </w:tc>
        <w:tc>
          <w:tcPr>
            <w:tcW w:w="513" w:type="pct"/>
            <w:gridSpan w:val="2"/>
            <w:tcBorders>
              <w:top w:val="single" w:sz="4" w:space="0" w:color="auto"/>
              <w:left w:val="nil"/>
              <w:bottom w:val="single" w:sz="4" w:space="0" w:color="auto"/>
              <w:right w:val="single" w:sz="4" w:space="0" w:color="auto"/>
            </w:tcBorders>
            <w:shd w:val="clear" w:color="auto" w:fill="auto"/>
            <w:noWrap/>
            <w:vAlign w:val="center"/>
            <w:hideMark/>
          </w:tcPr>
          <w:p w:rsidR="004D3DFA" w:rsidRPr="004D3DFA" w:rsidRDefault="004D3DFA" w:rsidP="004D3DFA">
            <w:pPr>
              <w:spacing w:after="0" w:line="240" w:lineRule="auto"/>
              <w:jc w:val="center"/>
              <w:rPr>
                <w:rFonts w:ascii="Calibri" w:eastAsia="Times New Roman" w:hAnsi="Calibri" w:cs="Times New Roman"/>
                <w:color w:val="000000"/>
                <w:sz w:val="16"/>
                <w:szCs w:val="16"/>
                <w:lang w:eastAsia="en-GB"/>
              </w:rPr>
            </w:pPr>
            <w:r w:rsidRPr="004D3DFA">
              <w:rPr>
                <w:rFonts w:ascii="Calibri" w:eastAsia="Times New Roman" w:hAnsi="Calibri" w:cs="Times New Roman"/>
                <w:color w:val="000000"/>
                <w:sz w:val="16"/>
                <w:szCs w:val="16"/>
                <w:lang w:eastAsia="en-GB"/>
              </w:rPr>
              <w:t>Cambridgeshire</w:t>
            </w:r>
          </w:p>
        </w:tc>
        <w:tc>
          <w:tcPr>
            <w:tcW w:w="513" w:type="pct"/>
            <w:gridSpan w:val="2"/>
            <w:tcBorders>
              <w:top w:val="single" w:sz="4" w:space="0" w:color="auto"/>
              <w:left w:val="nil"/>
              <w:bottom w:val="single" w:sz="4" w:space="0" w:color="auto"/>
              <w:right w:val="single" w:sz="4" w:space="0" w:color="auto"/>
            </w:tcBorders>
            <w:shd w:val="clear" w:color="auto" w:fill="auto"/>
            <w:noWrap/>
            <w:vAlign w:val="center"/>
            <w:hideMark/>
          </w:tcPr>
          <w:p w:rsidR="004D3DFA" w:rsidRPr="004D3DFA" w:rsidRDefault="004D3DFA" w:rsidP="004D3DFA">
            <w:pPr>
              <w:spacing w:after="0" w:line="240" w:lineRule="auto"/>
              <w:jc w:val="center"/>
              <w:rPr>
                <w:rFonts w:ascii="Calibri" w:eastAsia="Times New Roman" w:hAnsi="Calibri" w:cs="Times New Roman"/>
                <w:color w:val="000000"/>
                <w:sz w:val="16"/>
                <w:szCs w:val="16"/>
                <w:lang w:eastAsia="en-GB"/>
              </w:rPr>
            </w:pPr>
            <w:r w:rsidRPr="004D3DFA">
              <w:rPr>
                <w:rFonts w:ascii="Calibri" w:eastAsia="Times New Roman" w:hAnsi="Calibri" w:cs="Times New Roman"/>
                <w:color w:val="000000"/>
                <w:sz w:val="16"/>
                <w:szCs w:val="16"/>
                <w:lang w:eastAsia="en-GB"/>
              </w:rPr>
              <w:t>Peterborough</w:t>
            </w:r>
          </w:p>
        </w:tc>
        <w:tc>
          <w:tcPr>
            <w:tcW w:w="513" w:type="pct"/>
            <w:gridSpan w:val="2"/>
            <w:tcBorders>
              <w:top w:val="single" w:sz="4" w:space="0" w:color="auto"/>
              <w:left w:val="nil"/>
              <w:bottom w:val="single" w:sz="4" w:space="0" w:color="auto"/>
              <w:right w:val="single" w:sz="4" w:space="0" w:color="auto"/>
            </w:tcBorders>
            <w:shd w:val="clear" w:color="auto" w:fill="auto"/>
            <w:noWrap/>
            <w:vAlign w:val="center"/>
            <w:hideMark/>
          </w:tcPr>
          <w:p w:rsidR="004D3DFA" w:rsidRPr="004D3DFA" w:rsidRDefault="004D3DFA" w:rsidP="004D3DFA">
            <w:pPr>
              <w:spacing w:after="0" w:line="240" w:lineRule="auto"/>
              <w:jc w:val="center"/>
              <w:rPr>
                <w:rFonts w:ascii="Calibri" w:eastAsia="Times New Roman" w:hAnsi="Calibri" w:cs="Times New Roman"/>
                <w:color w:val="000000"/>
                <w:sz w:val="16"/>
                <w:szCs w:val="16"/>
                <w:lang w:eastAsia="en-GB"/>
              </w:rPr>
            </w:pPr>
            <w:r w:rsidRPr="004D3DFA">
              <w:rPr>
                <w:rFonts w:ascii="Calibri" w:eastAsia="Times New Roman" w:hAnsi="Calibri" w:cs="Times New Roman"/>
                <w:color w:val="000000"/>
                <w:sz w:val="16"/>
                <w:szCs w:val="16"/>
                <w:lang w:eastAsia="en-GB"/>
              </w:rPr>
              <w:t>Cambridge</w:t>
            </w:r>
          </w:p>
        </w:tc>
        <w:tc>
          <w:tcPr>
            <w:tcW w:w="513" w:type="pct"/>
            <w:gridSpan w:val="2"/>
            <w:tcBorders>
              <w:top w:val="single" w:sz="4" w:space="0" w:color="auto"/>
              <w:left w:val="nil"/>
              <w:bottom w:val="single" w:sz="4" w:space="0" w:color="auto"/>
              <w:right w:val="single" w:sz="4" w:space="0" w:color="auto"/>
            </w:tcBorders>
            <w:shd w:val="clear" w:color="auto" w:fill="auto"/>
            <w:noWrap/>
            <w:vAlign w:val="center"/>
            <w:hideMark/>
          </w:tcPr>
          <w:p w:rsidR="004D3DFA" w:rsidRPr="004D3DFA" w:rsidRDefault="004D3DFA" w:rsidP="004D3DFA">
            <w:pPr>
              <w:spacing w:after="0" w:line="240" w:lineRule="auto"/>
              <w:jc w:val="center"/>
              <w:rPr>
                <w:rFonts w:ascii="Calibri" w:eastAsia="Times New Roman" w:hAnsi="Calibri" w:cs="Times New Roman"/>
                <w:color w:val="000000"/>
                <w:sz w:val="16"/>
                <w:szCs w:val="16"/>
                <w:lang w:eastAsia="en-GB"/>
              </w:rPr>
            </w:pPr>
            <w:r w:rsidRPr="004D3DFA">
              <w:rPr>
                <w:rFonts w:ascii="Calibri" w:eastAsia="Times New Roman" w:hAnsi="Calibri" w:cs="Times New Roman"/>
                <w:color w:val="000000"/>
                <w:sz w:val="16"/>
                <w:szCs w:val="16"/>
                <w:lang w:eastAsia="en-GB"/>
              </w:rPr>
              <w:t>East Cambridgeshire</w:t>
            </w:r>
          </w:p>
        </w:tc>
        <w:tc>
          <w:tcPr>
            <w:tcW w:w="513" w:type="pct"/>
            <w:gridSpan w:val="2"/>
            <w:tcBorders>
              <w:top w:val="single" w:sz="4" w:space="0" w:color="auto"/>
              <w:left w:val="nil"/>
              <w:bottom w:val="single" w:sz="4" w:space="0" w:color="auto"/>
              <w:right w:val="single" w:sz="4" w:space="0" w:color="auto"/>
            </w:tcBorders>
            <w:shd w:val="clear" w:color="auto" w:fill="auto"/>
            <w:noWrap/>
            <w:vAlign w:val="center"/>
            <w:hideMark/>
          </w:tcPr>
          <w:p w:rsidR="004D3DFA" w:rsidRPr="004D3DFA" w:rsidRDefault="004D3DFA" w:rsidP="004D3DFA">
            <w:pPr>
              <w:spacing w:after="0" w:line="240" w:lineRule="auto"/>
              <w:jc w:val="center"/>
              <w:rPr>
                <w:rFonts w:ascii="Calibri" w:eastAsia="Times New Roman" w:hAnsi="Calibri" w:cs="Times New Roman"/>
                <w:color w:val="000000"/>
                <w:sz w:val="16"/>
                <w:szCs w:val="16"/>
                <w:lang w:eastAsia="en-GB"/>
              </w:rPr>
            </w:pPr>
            <w:r w:rsidRPr="004D3DFA">
              <w:rPr>
                <w:rFonts w:ascii="Calibri" w:eastAsia="Times New Roman" w:hAnsi="Calibri" w:cs="Times New Roman"/>
                <w:color w:val="000000"/>
                <w:sz w:val="16"/>
                <w:szCs w:val="16"/>
                <w:lang w:eastAsia="en-GB"/>
              </w:rPr>
              <w:t>Fenland</w:t>
            </w:r>
          </w:p>
        </w:tc>
        <w:tc>
          <w:tcPr>
            <w:tcW w:w="580" w:type="pct"/>
            <w:gridSpan w:val="2"/>
            <w:tcBorders>
              <w:top w:val="single" w:sz="4" w:space="0" w:color="auto"/>
              <w:left w:val="nil"/>
              <w:bottom w:val="single" w:sz="4" w:space="0" w:color="auto"/>
              <w:right w:val="single" w:sz="4" w:space="0" w:color="auto"/>
            </w:tcBorders>
            <w:shd w:val="clear" w:color="auto" w:fill="auto"/>
            <w:noWrap/>
            <w:vAlign w:val="center"/>
            <w:hideMark/>
          </w:tcPr>
          <w:p w:rsidR="004D3DFA" w:rsidRPr="004D3DFA" w:rsidRDefault="004D3DFA" w:rsidP="004D3DFA">
            <w:pPr>
              <w:spacing w:after="0" w:line="240" w:lineRule="auto"/>
              <w:jc w:val="center"/>
              <w:rPr>
                <w:rFonts w:ascii="Calibri" w:eastAsia="Times New Roman" w:hAnsi="Calibri" w:cs="Times New Roman"/>
                <w:color w:val="000000"/>
                <w:sz w:val="16"/>
                <w:szCs w:val="16"/>
                <w:lang w:eastAsia="en-GB"/>
              </w:rPr>
            </w:pPr>
            <w:r w:rsidRPr="004D3DFA">
              <w:rPr>
                <w:rFonts w:ascii="Calibri" w:eastAsia="Times New Roman" w:hAnsi="Calibri" w:cs="Times New Roman"/>
                <w:color w:val="000000"/>
                <w:sz w:val="16"/>
                <w:szCs w:val="16"/>
                <w:lang w:eastAsia="en-GB"/>
              </w:rPr>
              <w:t>Huntingdonshire</w:t>
            </w:r>
          </w:p>
        </w:tc>
        <w:tc>
          <w:tcPr>
            <w:tcW w:w="491" w:type="pct"/>
            <w:gridSpan w:val="2"/>
            <w:tcBorders>
              <w:top w:val="single" w:sz="4" w:space="0" w:color="auto"/>
              <w:left w:val="nil"/>
              <w:bottom w:val="single" w:sz="4" w:space="0" w:color="auto"/>
              <w:right w:val="single" w:sz="4" w:space="0" w:color="auto"/>
            </w:tcBorders>
            <w:shd w:val="clear" w:color="auto" w:fill="auto"/>
            <w:noWrap/>
            <w:vAlign w:val="center"/>
            <w:hideMark/>
          </w:tcPr>
          <w:p w:rsidR="004D3DFA" w:rsidRPr="004D3DFA" w:rsidRDefault="004D3DFA" w:rsidP="004D3DFA">
            <w:pPr>
              <w:spacing w:after="0" w:line="240" w:lineRule="auto"/>
              <w:jc w:val="center"/>
              <w:rPr>
                <w:rFonts w:ascii="Calibri" w:eastAsia="Times New Roman" w:hAnsi="Calibri" w:cs="Times New Roman"/>
                <w:color w:val="000000"/>
                <w:sz w:val="16"/>
                <w:szCs w:val="16"/>
                <w:lang w:eastAsia="en-GB"/>
              </w:rPr>
            </w:pPr>
            <w:r w:rsidRPr="004D3DFA">
              <w:rPr>
                <w:rFonts w:ascii="Calibri" w:eastAsia="Times New Roman" w:hAnsi="Calibri" w:cs="Times New Roman"/>
                <w:color w:val="000000"/>
                <w:sz w:val="16"/>
                <w:szCs w:val="16"/>
                <w:lang w:eastAsia="en-GB"/>
              </w:rPr>
              <w:t>South Cambridgeshire</w:t>
            </w:r>
          </w:p>
        </w:tc>
        <w:tc>
          <w:tcPr>
            <w:tcW w:w="510" w:type="pct"/>
            <w:gridSpan w:val="2"/>
            <w:tcBorders>
              <w:top w:val="single" w:sz="4" w:space="0" w:color="auto"/>
              <w:left w:val="nil"/>
              <w:bottom w:val="single" w:sz="4" w:space="0" w:color="auto"/>
              <w:right w:val="single" w:sz="4" w:space="0" w:color="auto"/>
            </w:tcBorders>
            <w:shd w:val="clear" w:color="auto" w:fill="auto"/>
            <w:noWrap/>
            <w:vAlign w:val="center"/>
            <w:hideMark/>
          </w:tcPr>
          <w:p w:rsidR="004D3DFA" w:rsidRPr="004D3DFA" w:rsidRDefault="004D3DFA" w:rsidP="004D3DFA">
            <w:pPr>
              <w:spacing w:after="0" w:line="240" w:lineRule="auto"/>
              <w:jc w:val="center"/>
              <w:rPr>
                <w:rFonts w:ascii="Calibri" w:eastAsia="Times New Roman" w:hAnsi="Calibri" w:cs="Times New Roman"/>
                <w:color w:val="000000"/>
                <w:sz w:val="16"/>
                <w:szCs w:val="16"/>
                <w:lang w:eastAsia="en-GB"/>
              </w:rPr>
            </w:pPr>
            <w:r w:rsidRPr="004D3DFA">
              <w:rPr>
                <w:rFonts w:ascii="Calibri" w:eastAsia="Times New Roman" w:hAnsi="Calibri" w:cs="Times New Roman"/>
                <w:color w:val="000000"/>
                <w:sz w:val="16"/>
                <w:szCs w:val="16"/>
                <w:lang w:eastAsia="en-GB"/>
              </w:rPr>
              <w:t>England</w:t>
            </w:r>
          </w:p>
        </w:tc>
      </w:tr>
      <w:tr w:rsidR="00C37A76" w:rsidRPr="00264F59" w:rsidTr="00C37A76">
        <w:trPr>
          <w:trHeight w:val="300"/>
        </w:trPr>
        <w:tc>
          <w:tcPr>
            <w:tcW w:w="598" w:type="pct"/>
            <w:vMerge/>
            <w:tcBorders>
              <w:top w:val="single" w:sz="4" w:space="0" w:color="auto"/>
              <w:left w:val="single" w:sz="4" w:space="0" w:color="auto"/>
              <w:bottom w:val="single" w:sz="4" w:space="0" w:color="auto"/>
              <w:right w:val="single" w:sz="4" w:space="0" w:color="auto"/>
            </w:tcBorders>
            <w:vAlign w:val="center"/>
            <w:hideMark/>
          </w:tcPr>
          <w:p w:rsidR="004D3DFA" w:rsidRPr="004D3DFA" w:rsidRDefault="004D3DFA" w:rsidP="004D3DFA">
            <w:pPr>
              <w:spacing w:after="0" w:line="240" w:lineRule="auto"/>
              <w:rPr>
                <w:rFonts w:ascii="Calibri" w:eastAsia="Times New Roman" w:hAnsi="Calibri" w:cs="Times New Roman"/>
                <w:color w:val="000000"/>
                <w:sz w:val="16"/>
                <w:szCs w:val="16"/>
                <w:lang w:eastAsia="en-GB"/>
              </w:rPr>
            </w:pPr>
          </w:p>
        </w:tc>
        <w:tc>
          <w:tcPr>
            <w:tcW w:w="256" w:type="pct"/>
            <w:vMerge/>
            <w:tcBorders>
              <w:top w:val="single" w:sz="4" w:space="0" w:color="auto"/>
              <w:left w:val="single" w:sz="4" w:space="0" w:color="auto"/>
              <w:bottom w:val="single" w:sz="4" w:space="0" w:color="auto"/>
              <w:right w:val="single" w:sz="4" w:space="0" w:color="auto"/>
            </w:tcBorders>
            <w:vAlign w:val="center"/>
            <w:hideMark/>
          </w:tcPr>
          <w:p w:rsidR="004D3DFA" w:rsidRPr="004D3DFA" w:rsidRDefault="004D3DFA" w:rsidP="004D3DFA">
            <w:pPr>
              <w:spacing w:after="0" w:line="240" w:lineRule="auto"/>
              <w:rPr>
                <w:rFonts w:ascii="Calibri" w:eastAsia="Times New Roman" w:hAnsi="Calibri" w:cs="Times New Roman"/>
                <w:color w:val="000000"/>
                <w:sz w:val="16"/>
                <w:szCs w:val="16"/>
                <w:lang w:eastAsia="en-GB"/>
              </w:rPr>
            </w:pPr>
          </w:p>
        </w:tc>
        <w:tc>
          <w:tcPr>
            <w:tcW w:w="257" w:type="pct"/>
            <w:tcBorders>
              <w:top w:val="nil"/>
              <w:left w:val="nil"/>
              <w:bottom w:val="single" w:sz="4" w:space="0" w:color="auto"/>
              <w:right w:val="single" w:sz="4" w:space="0" w:color="auto"/>
            </w:tcBorders>
            <w:shd w:val="clear" w:color="auto" w:fill="auto"/>
            <w:noWrap/>
            <w:vAlign w:val="center"/>
            <w:hideMark/>
          </w:tcPr>
          <w:p w:rsidR="004D3DFA" w:rsidRPr="004D3DFA" w:rsidRDefault="004D3DFA" w:rsidP="004D3DFA">
            <w:pPr>
              <w:spacing w:after="0" w:line="240" w:lineRule="auto"/>
              <w:jc w:val="center"/>
              <w:rPr>
                <w:rFonts w:ascii="Calibri" w:eastAsia="Times New Roman" w:hAnsi="Calibri" w:cs="Times New Roman"/>
                <w:color w:val="000000"/>
                <w:sz w:val="16"/>
                <w:szCs w:val="16"/>
                <w:lang w:eastAsia="en-GB"/>
              </w:rPr>
            </w:pPr>
            <w:r w:rsidRPr="004D3DFA">
              <w:rPr>
                <w:rFonts w:ascii="Calibri" w:eastAsia="Times New Roman" w:hAnsi="Calibri" w:cs="Times New Roman"/>
                <w:color w:val="000000"/>
                <w:sz w:val="16"/>
                <w:szCs w:val="16"/>
                <w:lang w:eastAsia="en-GB"/>
              </w:rPr>
              <w:t>Number</w:t>
            </w:r>
          </w:p>
        </w:tc>
        <w:tc>
          <w:tcPr>
            <w:tcW w:w="256" w:type="pct"/>
            <w:tcBorders>
              <w:top w:val="nil"/>
              <w:left w:val="nil"/>
              <w:bottom w:val="single" w:sz="4" w:space="0" w:color="auto"/>
              <w:right w:val="single" w:sz="4" w:space="0" w:color="auto"/>
            </w:tcBorders>
            <w:shd w:val="clear" w:color="auto" w:fill="auto"/>
            <w:noWrap/>
            <w:vAlign w:val="center"/>
            <w:hideMark/>
          </w:tcPr>
          <w:p w:rsidR="004D3DFA" w:rsidRPr="004D3DFA" w:rsidRDefault="004D3DFA" w:rsidP="004D3DFA">
            <w:pPr>
              <w:spacing w:after="0" w:line="240" w:lineRule="auto"/>
              <w:jc w:val="center"/>
              <w:rPr>
                <w:rFonts w:ascii="Calibri" w:eastAsia="Times New Roman" w:hAnsi="Calibri" w:cs="Times New Roman"/>
                <w:color w:val="000000"/>
                <w:sz w:val="16"/>
                <w:szCs w:val="16"/>
                <w:lang w:eastAsia="en-GB"/>
              </w:rPr>
            </w:pPr>
            <w:r w:rsidRPr="004D3DFA">
              <w:rPr>
                <w:rFonts w:ascii="Calibri" w:eastAsia="Times New Roman" w:hAnsi="Calibri" w:cs="Times New Roman"/>
                <w:color w:val="000000"/>
                <w:sz w:val="16"/>
                <w:szCs w:val="16"/>
                <w:lang w:eastAsia="en-GB"/>
              </w:rPr>
              <w:t>Indicator Value</w:t>
            </w:r>
          </w:p>
        </w:tc>
        <w:tc>
          <w:tcPr>
            <w:tcW w:w="256" w:type="pct"/>
            <w:tcBorders>
              <w:top w:val="nil"/>
              <w:left w:val="nil"/>
              <w:bottom w:val="single" w:sz="4" w:space="0" w:color="auto"/>
              <w:right w:val="single" w:sz="4" w:space="0" w:color="auto"/>
            </w:tcBorders>
            <w:shd w:val="clear" w:color="auto" w:fill="auto"/>
            <w:noWrap/>
            <w:vAlign w:val="center"/>
            <w:hideMark/>
          </w:tcPr>
          <w:p w:rsidR="004D3DFA" w:rsidRPr="004D3DFA" w:rsidRDefault="004D3DFA" w:rsidP="004D3DFA">
            <w:pPr>
              <w:spacing w:after="0" w:line="240" w:lineRule="auto"/>
              <w:jc w:val="center"/>
              <w:rPr>
                <w:rFonts w:ascii="Calibri" w:eastAsia="Times New Roman" w:hAnsi="Calibri" w:cs="Times New Roman"/>
                <w:color w:val="000000"/>
                <w:sz w:val="16"/>
                <w:szCs w:val="16"/>
                <w:lang w:eastAsia="en-GB"/>
              </w:rPr>
            </w:pPr>
            <w:r w:rsidRPr="004D3DFA">
              <w:rPr>
                <w:rFonts w:ascii="Calibri" w:eastAsia="Times New Roman" w:hAnsi="Calibri" w:cs="Times New Roman"/>
                <w:color w:val="000000"/>
                <w:sz w:val="16"/>
                <w:szCs w:val="16"/>
                <w:lang w:eastAsia="en-GB"/>
              </w:rPr>
              <w:t>Number</w:t>
            </w:r>
          </w:p>
        </w:tc>
        <w:tc>
          <w:tcPr>
            <w:tcW w:w="257" w:type="pct"/>
            <w:tcBorders>
              <w:top w:val="nil"/>
              <w:left w:val="nil"/>
              <w:bottom w:val="single" w:sz="4" w:space="0" w:color="auto"/>
              <w:right w:val="single" w:sz="4" w:space="0" w:color="auto"/>
            </w:tcBorders>
            <w:shd w:val="clear" w:color="auto" w:fill="auto"/>
            <w:noWrap/>
            <w:vAlign w:val="center"/>
            <w:hideMark/>
          </w:tcPr>
          <w:p w:rsidR="004D3DFA" w:rsidRPr="004D3DFA" w:rsidRDefault="004D3DFA" w:rsidP="004D3DFA">
            <w:pPr>
              <w:spacing w:after="0" w:line="240" w:lineRule="auto"/>
              <w:jc w:val="center"/>
              <w:rPr>
                <w:rFonts w:ascii="Calibri" w:eastAsia="Times New Roman" w:hAnsi="Calibri" w:cs="Times New Roman"/>
                <w:color w:val="000000"/>
                <w:sz w:val="16"/>
                <w:szCs w:val="16"/>
                <w:lang w:eastAsia="en-GB"/>
              </w:rPr>
            </w:pPr>
            <w:r w:rsidRPr="004D3DFA">
              <w:rPr>
                <w:rFonts w:ascii="Calibri" w:eastAsia="Times New Roman" w:hAnsi="Calibri" w:cs="Times New Roman"/>
                <w:color w:val="000000"/>
                <w:sz w:val="16"/>
                <w:szCs w:val="16"/>
                <w:lang w:eastAsia="en-GB"/>
              </w:rPr>
              <w:t>Indicator Value</w:t>
            </w:r>
          </w:p>
        </w:tc>
        <w:tc>
          <w:tcPr>
            <w:tcW w:w="256" w:type="pct"/>
            <w:tcBorders>
              <w:top w:val="nil"/>
              <w:left w:val="nil"/>
              <w:bottom w:val="single" w:sz="4" w:space="0" w:color="auto"/>
              <w:right w:val="single" w:sz="4" w:space="0" w:color="auto"/>
            </w:tcBorders>
            <w:shd w:val="clear" w:color="auto" w:fill="auto"/>
            <w:noWrap/>
            <w:vAlign w:val="center"/>
            <w:hideMark/>
          </w:tcPr>
          <w:p w:rsidR="004D3DFA" w:rsidRPr="004D3DFA" w:rsidRDefault="004D3DFA" w:rsidP="004D3DFA">
            <w:pPr>
              <w:spacing w:after="0" w:line="240" w:lineRule="auto"/>
              <w:jc w:val="center"/>
              <w:rPr>
                <w:rFonts w:ascii="Calibri" w:eastAsia="Times New Roman" w:hAnsi="Calibri" w:cs="Times New Roman"/>
                <w:color w:val="000000"/>
                <w:sz w:val="16"/>
                <w:szCs w:val="16"/>
                <w:lang w:eastAsia="en-GB"/>
              </w:rPr>
            </w:pPr>
            <w:r w:rsidRPr="004D3DFA">
              <w:rPr>
                <w:rFonts w:ascii="Calibri" w:eastAsia="Times New Roman" w:hAnsi="Calibri" w:cs="Times New Roman"/>
                <w:color w:val="000000"/>
                <w:sz w:val="16"/>
                <w:szCs w:val="16"/>
                <w:lang w:eastAsia="en-GB"/>
              </w:rPr>
              <w:t>Number</w:t>
            </w:r>
          </w:p>
        </w:tc>
        <w:tc>
          <w:tcPr>
            <w:tcW w:w="257" w:type="pct"/>
            <w:tcBorders>
              <w:top w:val="nil"/>
              <w:left w:val="nil"/>
              <w:bottom w:val="single" w:sz="4" w:space="0" w:color="auto"/>
              <w:right w:val="single" w:sz="4" w:space="0" w:color="auto"/>
            </w:tcBorders>
            <w:shd w:val="clear" w:color="auto" w:fill="auto"/>
            <w:noWrap/>
            <w:vAlign w:val="center"/>
            <w:hideMark/>
          </w:tcPr>
          <w:p w:rsidR="004D3DFA" w:rsidRPr="004D3DFA" w:rsidRDefault="004D3DFA" w:rsidP="004D3DFA">
            <w:pPr>
              <w:spacing w:after="0" w:line="240" w:lineRule="auto"/>
              <w:jc w:val="center"/>
              <w:rPr>
                <w:rFonts w:ascii="Calibri" w:eastAsia="Times New Roman" w:hAnsi="Calibri" w:cs="Times New Roman"/>
                <w:color w:val="000000"/>
                <w:sz w:val="16"/>
                <w:szCs w:val="16"/>
                <w:lang w:eastAsia="en-GB"/>
              </w:rPr>
            </w:pPr>
            <w:r w:rsidRPr="004D3DFA">
              <w:rPr>
                <w:rFonts w:ascii="Calibri" w:eastAsia="Times New Roman" w:hAnsi="Calibri" w:cs="Times New Roman"/>
                <w:color w:val="000000"/>
                <w:sz w:val="16"/>
                <w:szCs w:val="16"/>
                <w:lang w:eastAsia="en-GB"/>
              </w:rPr>
              <w:t>Indicator Value</w:t>
            </w:r>
          </w:p>
        </w:tc>
        <w:tc>
          <w:tcPr>
            <w:tcW w:w="256" w:type="pct"/>
            <w:tcBorders>
              <w:top w:val="nil"/>
              <w:left w:val="nil"/>
              <w:bottom w:val="single" w:sz="4" w:space="0" w:color="auto"/>
              <w:right w:val="single" w:sz="4" w:space="0" w:color="auto"/>
            </w:tcBorders>
            <w:shd w:val="clear" w:color="auto" w:fill="auto"/>
            <w:noWrap/>
            <w:vAlign w:val="center"/>
            <w:hideMark/>
          </w:tcPr>
          <w:p w:rsidR="004D3DFA" w:rsidRPr="004D3DFA" w:rsidRDefault="004D3DFA" w:rsidP="004D3DFA">
            <w:pPr>
              <w:spacing w:after="0" w:line="240" w:lineRule="auto"/>
              <w:jc w:val="center"/>
              <w:rPr>
                <w:rFonts w:ascii="Calibri" w:eastAsia="Times New Roman" w:hAnsi="Calibri" w:cs="Times New Roman"/>
                <w:color w:val="000000"/>
                <w:sz w:val="16"/>
                <w:szCs w:val="16"/>
                <w:lang w:eastAsia="en-GB"/>
              </w:rPr>
            </w:pPr>
            <w:r w:rsidRPr="004D3DFA">
              <w:rPr>
                <w:rFonts w:ascii="Calibri" w:eastAsia="Times New Roman" w:hAnsi="Calibri" w:cs="Times New Roman"/>
                <w:color w:val="000000"/>
                <w:sz w:val="16"/>
                <w:szCs w:val="16"/>
                <w:lang w:eastAsia="en-GB"/>
              </w:rPr>
              <w:t>Number</w:t>
            </w:r>
          </w:p>
        </w:tc>
        <w:tc>
          <w:tcPr>
            <w:tcW w:w="257" w:type="pct"/>
            <w:tcBorders>
              <w:top w:val="nil"/>
              <w:left w:val="nil"/>
              <w:bottom w:val="single" w:sz="4" w:space="0" w:color="auto"/>
              <w:right w:val="single" w:sz="4" w:space="0" w:color="auto"/>
            </w:tcBorders>
            <w:shd w:val="clear" w:color="auto" w:fill="auto"/>
            <w:noWrap/>
            <w:vAlign w:val="center"/>
            <w:hideMark/>
          </w:tcPr>
          <w:p w:rsidR="004D3DFA" w:rsidRPr="004D3DFA" w:rsidRDefault="004D3DFA" w:rsidP="004D3DFA">
            <w:pPr>
              <w:spacing w:after="0" w:line="240" w:lineRule="auto"/>
              <w:jc w:val="center"/>
              <w:rPr>
                <w:rFonts w:ascii="Calibri" w:eastAsia="Times New Roman" w:hAnsi="Calibri" w:cs="Times New Roman"/>
                <w:color w:val="000000"/>
                <w:sz w:val="16"/>
                <w:szCs w:val="16"/>
                <w:lang w:eastAsia="en-GB"/>
              </w:rPr>
            </w:pPr>
            <w:r w:rsidRPr="004D3DFA">
              <w:rPr>
                <w:rFonts w:ascii="Calibri" w:eastAsia="Times New Roman" w:hAnsi="Calibri" w:cs="Times New Roman"/>
                <w:color w:val="000000"/>
                <w:sz w:val="16"/>
                <w:szCs w:val="16"/>
                <w:lang w:eastAsia="en-GB"/>
              </w:rPr>
              <w:t>Indicator Value</w:t>
            </w:r>
          </w:p>
        </w:tc>
        <w:tc>
          <w:tcPr>
            <w:tcW w:w="256" w:type="pct"/>
            <w:tcBorders>
              <w:top w:val="nil"/>
              <w:left w:val="nil"/>
              <w:bottom w:val="single" w:sz="4" w:space="0" w:color="auto"/>
              <w:right w:val="single" w:sz="4" w:space="0" w:color="auto"/>
            </w:tcBorders>
            <w:shd w:val="clear" w:color="auto" w:fill="auto"/>
            <w:noWrap/>
            <w:vAlign w:val="center"/>
            <w:hideMark/>
          </w:tcPr>
          <w:p w:rsidR="004D3DFA" w:rsidRPr="004D3DFA" w:rsidRDefault="004D3DFA" w:rsidP="004D3DFA">
            <w:pPr>
              <w:spacing w:after="0" w:line="240" w:lineRule="auto"/>
              <w:jc w:val="center"/>
              <w:rPr>
                <w:rFonts w:ascii="Calibri" w:eastAsia="Times New Roman" w:hAnsi="Calibri" w:cs="Times New Roman"/>
                <w:color w:val="000000"/>
                <w:sz w:val="16"/>
                <w:szCs w:val="16"/>
                <w:lang w:eastAsia="en-GB"/>
              </w:rPr>
            </w:pPr>
            <w:r w:rsidRPr="004D3DFA">
              <w:rPr>
                <w:rFonts w:ascii="Calibri" w:eastAsia="Times New Roman" w:hAnsi="Calibri" w:cs="Times New Roman"/>
                <w:color w:val="000000"/>
                <w:sz w:val="16"/>
                <w:szCs w:val="16"/>
                <w:lang w:eastAsia="en-GB"/>
              </w:rPr>
              <w:t>Number</w:t>
            </w:r>
          </w:p>
        </w:tc>
        <w:tc>
          <w:tcPr>
            <w:tcW w:w="257" w:type="pct"/>
            <w:tcBorders>
              <w:top w:val="nil"/>
              <w:left w:val="nil"/>
              <w:bottom w:val="single" w:sz="4" w:space="0" w:color="auto"/>
              <w:right w:val="single" w:sz="4" w:space="0" w:color="auto"/>
            </w:tcBorders>
            <w:shd w:val="clear" w:color="auto" w:fill="auto"/>
            <w:noWrap/>
            <w:vAlign w:val="center"/>
            <w:hideMark/>
          </w:tcPr>
          <w:p w:rsidR="004D3DFA" w:rsidRPr="004D3DFA" w:rsidRDefault="004D3DFA" w:rsidP="004D3DFA">
            <w:pPr>
              <w:spacing w:after="0" w:line="240" w:lineRule="auto"/>
              <w:jc w:val="center"/>
              <w:rPr>
                <w:rFonts w:ascii="Calibri" w:eastAsia="Times New Roman" w:hAnsi="Calibri" w:cs="Times New Roman"/>
                <w:color w:val="000000"/>
                <w:sz w:val="16"/>
                <w:szCs w:val="16"/>
                <w:lang w:eastAsia="en-GB"/>
              </w:rPr>
            </w:pPr>
            <w:r w:rsidRPr="004D3DFA">
              <w:rPr>
                <w:rFonts w:ascii="Calibri" w:eastAsia="Times New Roman" w:hAnsi="Calibri" w:cs="Times New Roman"/>
                <w:color w:val="000000"/>
                <w:sz w:val="16"/>
                <w:szCs w:val="16"/>
                <w:lang w:eastAsia="en-GB"/>
              </w:rPr>
              <w:t>Indicator Value</w:t>
            </w:r>
          </w:p>
        </w:tc>
        <w:tc>
          <w:tcPr>
            <w:tcW w:w="299" w:type="pct"/>
            <w:tcBorders>
              <w:top w:val="nil"/>
              <w:left w:val="nil"/>
              <w:bottom w:val="single" w:sz="4" w:space="0" w:color="auto"/>
              <w:right w:val="single" w:sz="4" w:space="0" w:color="auto"/>
            </w:tcBorders>
            <w:shd w:val="clear" w:color="auto" w:fill="auto"/>
            <w:noWrap/>
            <w:vAlign w:val="center"/>
            <w:hideMark/>
          </w:tcPr>
          <w:p w:rsidR="004D3DFA" w:rsidRPr="004D3DFA" w:rsidRDefault="004D3DFA" w:rsidP="004D3DFA">
            <w:pPr>
              <w:spacing w:after="0" w:line="240" w:lineRule="auto"/>
              <w:jc w:val="center"/>
              <w:rPr>
                <w:rFonts w:ascii="Calibri" w:eastAsia="Times New Roman" w:hAnsi="Calibri" w:cs="Times New Roman"/>
                <w:color w:val="000000"/>
                <w:sz w:val="16"/>
                <w:szCs w:val="16"/>
                <w:lang w:eastAsia="en-GB"/>
              </w:rPr>
            </w:pPr>
            <w:r w:rsidRPr="004D3DFA">
              <w:rPr>
                <w:rFonts w:ascii="Calibri" w:eastAsia="Times New Roman" w:hAnsi="Calibri" w:cs="Times New Roman"/>
                <w:color w:val="000000"/>
                <w:sz w:val="16"/>
                <w:szCs w:val="16"/>
                <w:lang w:eastAsia="en-GB"/>
              </w:rPr>
              <w:t>Number</w:t>
            </w:r>
          </w:p>
        </w:tc>
        <w:tc>
          <w:tcPr>
            <w:tcW w:w="281" w:type="pct"/>
            <w:tcBorders>
              <w:top w:val="nil"/>
              <w:left w:val="nil"/>
              <w:bottom w:val="single" w:sz="4" w:space="0" w:color="auto"/>
              <w:right w:val="single" w:sz="4" w:space="0" w:color="auto"/>
            </w:tcBorders>
            <w:shd w:val="clear" w:color="auto" w:fill="auto"/>
            <w:noWrap/>
            <w:vAlign w:val="center"/>
            <w:hideMark/>
          </w:tcPr>
          <w:p w:rsidR="004D3DFA" w:rsidRPr="004D3DFA" w:rsidRDefault="004D3DFA" w:rsidP="004D3DFA">
            <w:pPr>
              <w:spacing w:after="0" w:line="240" w:lineRule="auto"/>
              <w:jc w:val="center"/>
              <w:rPr>
                <w:rFonts w:ascii="Calibri" w:eastAsia="Times New Roman" w:hAnsi="Calibri" w:cs="Times New Roman"/>
                <w:color w:val="000000"/>
                <w:sz w:val="16"/>
                <w:szCs w:val="16"/>
                <w:lang w:eastAsia="en-GB"/>
              </w:rPr>
            </w:pPr>
            <w:r w:rsidRPr="004D3DFA">
              <w:rPr>
                <w:rFonts w:ascii="Calibri" w:eastAsia="Times New Roman" w:hAnsi="Calibri" w:cs="Times New Roman"/>
                <w:color w:val="000000"/>
                <w:sz w:val="16"/>
                <w:szCs w:val="16"/>
                <w:lang w:eastAsia="en-GB"/>
              </w:rPr>
              <w:t>Indicator Value</w:t>
            </w:r>
          </w:p>
        </w:tc>
        <w:tc>
          <w:tcPr>
            <w:tcW w:w="235" w:type="pct"/>
            <w:tcBorders>
              <w:top w:val="nil"/>
              <w:left w:val="nil"/>
              <w:bottom w:val="single" w:sz="4" w:space="0" w:color="auto"/>
              <w:right w:val="single" w:sz="4" w:space="0" w:color="auto"/>
            </w:tcBorders>
            <w:shd w:val="clear" w:color="auto" w:fill="auto"/>
            <w:noWrap/>
            <w:vAlign w:val="center"/>
            <w:hideMark/>
          </w:tcPr>
          <w:p w:rsidR="004D3DFA" w:rsidRPr="004D3DFA" w:rsidRDefault="004D3DFA" w:rsidP="004D3DFA">
            <w:pPr>
              <w:spacing w:after="0" w:line="240" w:lineRule="auto"/>
              <w:jc w:val="center"/>
              <w:rPr>
                <w:rFonts w:ascii="Calibri" w:eastAsia="Times New Roman" w:hAnsi="Calibri" w:cs="Times New Roman"/>
                <w:color w:val="000000"/>
                <w:sz w:val="16"/>
                <w:szCs w:val="16"/>
                <w:lang w:eastAsia="en-GB"/>
              </w:rPr>
            </w:pPr>
            <w:r w:rsidRPr="004D3DFA">
              <w:rPr>
                <w:rFonts w:ascii="Calibri" w:eastAsia="Times New Roman" w:hAnsi="Calibri" w:cs="Times New Roman"/>
                <w:color w:val="000000"/>
                <w:sz w:val="16"/>
                <w:szCs w:val="16"/>
                <w:lang w:eastAsia="en-GB"/>
              </w:rPr>
              <w:t>Number</w:t>
            </w:r>
          </w:p>
        </w:tc>
        <w:tc>
          <w:tcPr>
            <w:tcW w:w="256" w:type="pct"/>
            <w:tcBorders>
              <w:top w:val="nil"/>
              <w:left w:val="nil"/>
              <w:bottom w:val="single" w:sz="4" w:space="0" w:color="auto"/>
              <w:right w:val="single" w:sz="4" w:space="0" w:color="auto"/>
            </w:tcBorders>
            <w:shd w:val="clear" w:color="auto" w:fill="auto"/>
            <w:noWrap/>
            <w:vAlign w:val="center"/>
            <w:hideMark/>
          </w:tcPr>
          <w:p w:rsidR="004D3DFA" w:rsidRPr="004D3DFA" w:rsidRDefault="004D3DFA" w:rsidP="004D3DFA">
            <w:pPr>
              <w:spacing w:after="0" w:line="240" w:lineRule="auto"/>
              <w:jc w:val="center"/>
              <w:rPr>
                <w:rFonts w:ascii="Calibri" w:eastAsia="Times New Roman" w:hAnsi="Calibri" w:cs="Times New Roman"/>
                <w:color w:val="000000"/>
                <w:sz w:val="16"/>
                <w:szCs w:val="16"/>
                <w:lang w:eastAsia="en-GB"/>
              </w:rPr>
            </w:pPr>
            <w:r w:rsidRPr="004D3DFA">
              <w:rPr>
                <w:rFonts w:ascii="Calibri" w:eastAsia="Times New Roman" w:hAnsi="Calibri" w:cs="Times New Roman"/>
                <w:color w:val="000000"/>
                <w:sz w:val="16"/>
                <w:szCs w:val="16"/>
                <w:lang w:eastAsia="en-GB"/>
              </w:rPr>
              <w:t>Indicator Value</w:t>
            </w:r>
          </w:p>
        </w:tc>
        <w:tc>
          <w:tcPr>
            <w:tcW w:w="256" w:type="pct"/>
            <w:tcBorders>
              <w:top w:val="nil"/>
              <w:left w:val="nil"/>
              <w:bottom w:val="single" w:sz="4" w:space="0" w:color="auto"/>
              <w:right w:val="single" w:sz="4" w:space="0" w:color="auto"/>
            </w:tcBorders>
            <w:shd w:val="clear" w:color="auto" w:fill="auto"/>
            <w:noWrap/>
            <w:vAlign w:val="center"/>
            <w:hideMark/>
          </w:tcPr>
          <w:p w:rsidR="004D3DFA" w:rsidRPr="004D3DFA" w:rsidRDefault="004D3DFA" w:rsidP="004D3DFA">
            <w:pPr>
              <w:spacing w:after="0" w:line="240" w:lineRule="auto"/>
              <w:jc w:val="center"/>
              <w:rPr>
                <w:rFonts w:ascii="Calibri" w:eastAsia="Times New Roman" w:hAnsi="Calibri" w:cs="Times New Roman"/>
                <w:color w:val="000000"/>
                <w:sz w:val="16"/>
                <w:szCs w:val="16"/>
                <w:lang w:eastAsia="en-GB"/>
              </w:rPr>
            </w:pPr>
            <w:r w:rsidRPr="004D3DFA">
              <w:rPr>
                <w:rFonts w:ascii="Calibri" w:eastAsia="Times New Roman" w:hAnsi="Calibri" w:cs="Times New Roman"/>
                <w:color w:val="000000"/>
                <w:sz w:val="16"/>
                <w:szCs w:val="16"/>
                <w:lang w:eastAsia="en-GB"/>
              </w:rPr>
              <w:t>Number</w:t>
            </w:r>
          </w:p>
        </w:tc>
        <w:tc>
          <w:tcPr>
            <w:tcW w:w="254" w:type="pct"/>
            <w:tcBorders>
              <w:top w:val="nil"/>
              <w:left w:val="nil"/>
              <w:bottom w:val="single" w:sz="4" w:space="0" w:color="auto"/>
              <w:right w:val="single" w:sz="4" w:space="0" w:color="auto"/>
            </w:tcBorders>
            <w:shd w:val="clear" w:color="auto" w:fill="auto"/>
            <w:noWrap/>
            <w:vAlign w:val="center"/>
            <w:hideMark/>
          </w:tcPr>
          <w:p w:rsidR="004D3DFA" w:rsidRPr="004D3DFA" w:rsidRDefault="004D3DFA" w:rsidP="004D3DFA">
            <w:pPr>
              <w:spacing w:after="0" w:line="240" w:lineRule="auto"/>
              <w:jc w:val="center"/>
              <w:rPr>
                <w:rFonts w:ascii="Calibri" w:eastAsia="Times New Roman" w:hAnsi="Calibri" w:cs="Times New Roman"/>
                <w:color w:val="000000"/>
                <w:sz w:val="16"/>
                <w:szCs w:val="16"/>
                <w:lang w:eastAsia="en-GB"/>
              </w:rPr>
            </w:pPr>
            <w:r w:rsidRPr="004D3DFA">
              <w:rPr>
                <w:rFonts w:ascii="Calibri" w:eastAsia="Times New Roman" w:hAnsi="Calibri" w:cs="Times New Roman"/>
                <w:color w:val="000000"/>
                <w:sz w:val="16"/>
                <w:szCs w:val="16"/>
                <w:lang w:eastAsia="en-GB"/>
              </w:rPr>
              <w:t>Indicator Value</w:t>
            </w:r>
          </w:p>
        </w:tc>
      </w:tr>
      <w:tr w:rsidR="00C37A76" w:rsidRPr="00264F59" w:rsidTr="00C37A76">
        <w:trPr>
          <w:trHeight w:val="300"/>
        </w:trPr>
        <w:tc>
          <w:tcPr>
            <w:tcW w:w="598" w:type="pct"/>
            <w:tcBorders>
              <w:top w:val="nil"/>
              <w:left w:val="single" w:sz="4" w:space="0" w:color="auto"/>
              <w:bottom w:val="single" w:sz="4" w:space="0" w:color="auto"/>
              <w:right w:val="single" w:sz="4" w:space="0" w:color="auto"/>
            </w:tcBorders>
            <w:shd w:val="clear" w:color="auto" w:fill="auto"/>
            <w:noWrap/>
            <w:vAlign w:val="center"/>
            <w:hideMark/>
          </w:tcPr>
          <w:p w:rsidR="004D3DFA" w:rsidRPr="004D3DFA" w:rsidRDefault="004D3DFA" w:rsidP="004D3DFA">
            <w:pPr>
              <w:spacing w:after="0" w:line="240" w:lineRule="auto"/>
              <w:jc w:val="center"/>
              <w:rPr>
                <w:rFonts w:ascii="Calibri" w:eastAsia="Times New Roman" w:hAnsi="Calibri" w:cs="Times New Roman"/>
                <w:color w:val="000000"/>
                <w:sz w:val="16"/>
                <w:szCs w:val="16"/>
                <w:lang w:eastAsia="en-GB"/>
              </w:rPr>
            </w:pPr>
            <w:r w:rsidRPr="004D3DFA">
              <w:rPr>
                <w:rFonts w:ascii="Calibri" w:eastAsia="Times New Roman" w:hAnsi="Calibri" w:cs="Times New Roman"/>
                <w:color w:val="000000"/>
                <w:sz w:val="16"/>
                <w:szCs w:val="16"/>
                <w:lang w:eastAsia="en-GB"/>
              </w:rPr>
              <w:t>Life expectancy at 65 (Male)</w:t>
            </w:r>
          </w:p>
        </w:tc>
        <w:tc>
          <w:tcPr>
            <w:tcW w:w="256" w:type="pct"/>
            <w:tcBorders>
              <w:top w:val="nil"/>
              <w:left w:val="nil"/>
              <w:bottom w:val="single" w:sz="4" w:space="0" w:color="auto"/>
              <w:right w:val="single" w:sz="4" w:space="0" w:color="auto"/>
            </w:tcBorders>
            <w:shd w:val="clear" w:color="auto" w:fill="auto"/>
            <w:noWrap/>
            <w:vAlign w:val="center"/>
            <w:hideMark/>
          </w:tcPr>
          <w:p w:rsidR="004D3DFA" w:rsidRPr="004D3DFA" w:rsidRDefault="004D3DFA" w:rsidP="004D3DFA">
            <w:pPr>
              <w:spacing w:after="0" w:line="240" w:lineRule="auto"/>
              <w:jc w:val="center"/>
              <w:rPr>
                <w:rFonts w:ascii="Calibri" w:eastAsia="Times New Roman" w:hAnsi="Calibri" w:cs="Times New Roman"/>
                <w:color w:val="000000"/>
                <w:sz w:val="16"/>
                <w:szCs w:val="16"/>
                <w:lang w:eastAsia="en-GB"/>
              </w:rPr>
            </w:pPr>
            <w:r w:rsidRPr="004D3DFA">
              <w:rPr>
                <w:rFonts w:ascii="Calibri" w:eastAsia="Times New Roman" w:hAnsi="Calibri" w:cs="Times New Roman"/>
                <w:color w:val="000000"/>
                <w:sz w:val="16"/>
                <w:szCs w:val="16"/>
                <w:lang w:eastAsia="en-GB"/>
              </w:rPr>
              <w:t>2015-17</w:t>
            </w:r>
          </w:p>
        </w:tc>
        <w:tc>
          <w:tcPr>
            <w:tcW w:w="257" w:type="pct"/>
            <w:tcBorders>
              <w:top w:val="nil"/>
              <w:left w:val="nil"/>
              <w:bottom w:val="single" w:sz="4" w:space="0" w:color="auto"/>
              <w:right w:val="single" w:sz="4" w:space="0" w:color="auto"/>
            </w:tcBorders>
            <w:shd w:val="clear" w:color="000000" w:fill="EBF1DE"/>
            <w:noWrap/>
            <w:vAlign w:val="center"/>
            <w:hideMark/>
          </w:tcPr>
          <w:p w:rsidR="004D3DFA" w:rsidRPr="004D3DFA" w:rsidRDefault="004D3DFA" w:rsidP="004D3DFA">
            <w:pPr>
              <w:spacing w:after="0" w:line="240" w:lineRule="auto"/>
              <w:jc w:val="center"/>
              <w:rPr>
                <w:rFonts w:ascii="Calibri" w:eastAsia="Times New Roman" w:hAnsi="Calibri" w:cs="Times New Roman"/>
                <w:color w:val="000000"/>
                <w:sz w:val="16"/>
                <w:szCs w:val="16"/>
                <w:lang w:eastAsia="en-GB"/>
              </w:rPr>
            </w:pPr>
            <w:r w:rsidRPr="004D3DFA">
              <w:rPr>
                <w:rFonts w:ascii="Calibri" w:eastAsia="Times New Roman" w:hAnsi="Calibri" w:cs="Times New Roman"/>
                <w:color w:val="000000"/>
                <w:sz w:val="16"/>
                <w:szCs w:val="16"/>
                <w:lang w:eastAsia="en-GB"/>
              </w:rPr>
              <w:t>-</w:t>
            </w:r>
          </w:p>
        </w:tc>
        <w:tc>
          <w:tcPr>
            <w:tcW w:w="256" w:type="pct"/>
            <w:tcBorders>
              <w:top w:val="nil"/>
              <w:left w:val="nil"/>
              <w:bottom w:val="single" w:sz="4" w:space="0" w:color="auto"/>
              <w:right w:val="single" w:sz="4" w:space="0" w:color="auto"/>
            </w:tcBorders>
            <w:shd w:val="clear" w:color="000000" w:fill="EBF1DE"/>
            <w:noWrap/>
            <w:vAlign w:val="center"/>
            <w:hideMark/>
          </w:tcPr>
          <w:p w:rsidR="004D3DFA" w:rsidRPr="004D3DFA" w:rsidRDefault="004D3DFA" w:rsidP="004D3DFA">
            <w:pPr>
              <w:spacing w:after="0" w:line="240" w:lineRule="auto"/>
              <w:jc w:val="center"/>
              <w:rPr>
                <w:rFonts w:ascii="Calibri" w:eastAsia="Times New Roman" w:hAnsi="Calibri" w:cs="Times New Roman"/>
                <w:color w:val="000000"/>
                <w:sz w:val="16"/>
                <w:szCs w:val="16"/>
                <w:lang w:eastAsia="en-GB"/>
              </w:rPr>
            </w:pPr>
            <w:r w:rsidRPr="004D3DFA">
              <w:rPr>
                <w:rFonts w:ascii="Calibri" w:eastAsia="Times New Roman" w:hAnsi="Calibri" w:cs="Times New Roman"/>
                <w:color w:val="000000"/>
                <w:sz w:val="16"/>
                <w:szCs w:val="16"/>
                <w:lang w:eastAsia="en-GB"/>
              </w:rPr>
              <w:t>19.5</w:t>
            </w:r>
          </w:p>
        </w:tc>
        <w:tc>
          <w:tcPr>
            <w:tcW w:w="256" w:type="pct"/>
            <w:tcBorders>
              <w:top w:val="nil"/>
              <w:left w:val="nil"/>
              <w:bottom w:val="single" w:sz="4" w:space="0" w:color="auto"/>
              <w:right w:val="single" w:sz="4" w:space="0" w:color="auto"/>
            </w:tcBorders>
            <w:shd w:val="clear" w:color="000000" w:fill="420000"/>
            <w:noWrap/>
            <w:vAlign w:val="center"/>
            <w:hideMark/>
          </w:tcPr>
          <w:p w:rsidR="004D3DFA" w:rsidRPr="004D3DFA" w:rsidRDefault="004D3DFA" w:rsidP="004D3DFA">
            <w:pPr>
              <w:spacing w:after="0" w:line="240" w:lineRule="auto"/>
              <w:jc w:val="center"/>
              <w:rPr>
                <w:rFonts w:ascii="Calibri" w:eastAsia="Times New Roman" w:hAnsi="Calibri" w:cs="Times New Roman"/>
                <w:color w:val="FFFFFF"/>
                <w:sz w:val="16"/>
                <w:szCs w:val="16"/>
                <w:lang w:eastAsia="en-GB"/>
              </w:rPr>
            </w:pPr>
            <w:r w:rsidRPr="004D3DFA">
              <w:rPr>
                <w:rFonts w:ascii="Calibri" w:eastAsia="Times New Roman" w:hAnsi="Calibri" w:cs="Times New Roman"/>
                <w:color w:val="FFFFFF"/>
                <w:sz w:val="16"/>
                <w:szCs w:val="16"/>
                <w:lang w:eastAsia="en-GB"/>
              </w:rPr>
              <w:t>-</w:t>
            </w:r>
          </w:p>
        </w:tc>
        <w:tc>
          <w:tcPr>
            <w:tcW w:w="257" w:type="pct"/>
            <w:tcBorders>
              <w:top w:val="nil"/>
              <w:left w:val="nil"/>
              <w:bottom w:val="single" w:sz="4" w:space="0" w:color="auto"/>
              <w:right w:val="single" w:sz="4" w:space="0" w:color="auto"/>
            </w:tcBorders>
            <w:shd w:val="clear" w:color="000000" w:fill="420000"/>
            <w:noWrap/>
            <w:vAlign w:val="center"/>
            <w:hideMark/>
          </w:tcPr>
          <w:p w:rsidR="004D3DFA" w:rsidRPr="004D3DFA" w:rsidRDefault="004D3DFA" w:rsidP="004D3DFA">
            <w:pPr>
              <w:spacing w:after="0" w:line="240" w:lineRule="auto"/>
              <w:jc w:val="center"/>
              <w:rPr>
                <w:rFonts w:ascii="Calibri" w:eastAsia="Times New Roman" w:hAnsi="Calibri" w:cs="Times New Roman"/>
                <w:color w:val="FFFFFF"/>
                <w:sz w:val="16"/>
                <w:szCs w:val="16"/>
                <w:lang w:eastAsia="en-GB"/>
              </w:rPr>
            </w:pPr>
            <w:r w:rsidRPr="004D3DFA">
              <w:rPr>
                <w:rFonts w:ascii="Calibri" w:eastAsia="Times New Roman" w:hAnsi="Calibri" w:cs="Times New Roman"/>
                <w:color w:val="FFFFFF"/>
                <w:sz w:val="16"/>
                <w:szCs w:val="16"/>
                <w:lang w:eastAsia="en-GB"/>
              </w:rPr>
              <w:t>18.2</w:t>
            </w:r>
          </w:p>
        </w:tc>
        <w:tc>
          <w:tcPr>
            <w:tcW w:w="256" w:type="pct"/>
            <w:tcBorders>
              <w:top w:val="nil"/>
              <w:left w:val="nil"/>
              <w:bottom w:val="single" w:sz="4" w:space="0" w:color="auto"/>
              <w:right w:val="single" w:sz="4" w:space="0" w:color="auto"/>
            </w:tcBorders>
            <w:shd w:val="clear" w:color="000000" w:fill="EBF1DE"/>
            <w:noWrap/>
            <w:vAlign w:val="center"/>
            <w:hideMark/>
          </w:tcPr>
          <w:p w:rsidR="004D3DFA" w:rsidRPr="004D3DFA" w:rsidRDefault="004D3DFA" w:rsidP="004D3DFA">
            <w:pPr>
              <w:spacing w:after="0" w:line="240" w:lineRule="auto"/>
              <w:jc w:val="center"/>
              <w:rPr>
                <w:rFonts w:ascii="Calibri" w:eastAsia="Times New Roman" w:hAnsi="Calibri" w:cs="Times New Roman"/>
                <w:sz w:val="16"/>
                <w:szCs w:val="16"/>
                <w:lang w:eastAsia="en-GB"/>
              </w:rPr>
            </w:pPr>
            <w:r w:rsidRPr="004D3DFA">
              <w:rPr>
                <w:rFonts w:ascii="Calibri" w:eastAsia="Times New Roman" w:hAnsi="Calibri" w:cs="Times New Roman"/>
                <w:sz w:val="16"/>
                <w:szCs w:val="16"/>
                <w:lang w:eastAsia="en-GB"/>
              </w:rPr>
              <w:t>-</w:t>
            </w:r>
          </w:p>
        </w:tc>
        <w:tc>
          <w:tcPr>
            <w:tcW w:w="257" w:type="pct"/>
            <w:tcBorders>
              <w:top w:val="nil"/>
              <w:left w:val="nil"/>
              <w:bottom w:val="single" w:sz="4" w:space="0" w:color="auto"/>
              <w:right w:val="single" w:sz="4" w:space="0" w:color="auto"/>
            </w:tcBorders>
            <w:shd w:val="clear" w:color="000000" w:fill="EBF1DE"/>
            <w:noWrap/>
            <w:vAlign w:val="center"/>
            <w:hideMark/>
          </w:tcPr>
          <w:p w:rsidR="004D3DFA" w:rsidRPr="004D3DFA" w:rsidRDefault="004D3DFA" w:rsidP="004D3DFA">
            <w:pPr>
              <w:spacing w:after="0" w:line="240" w:lineRule="auto"/>
              <w:jc w:val="center"/>
              <w:rPr>
                <w:rFonts w:ascii="Calibri" w:eastAsia="Times New Roman" w:hAnsi="Calibri" w:cs="Times New Roman"/>
                <w:color w:val="000000"/>
                <w:sz w:val="16"/>
                <w:szCs w:val="16"/>
                <w:lang w:eastAsia="en-GB"/>
              </w:rPr>
            </w:pPr>
            <w:r w:rsidRPr="004D3DFA">
              <w:rPr>
                <w:rFonts w:ascii="Calibri" w:eastAsia="Times New Roman" w:hAnsi="Calibri" w:cs="Times New Roman"/>
                <w:color w:val="000000"/>
                <w:sz w:val="16"/>
                <w:szCs w:val="16"/>
                <w:lang w:eastAsia="en-GB"/>
              </w:rPr>
              <w:t>19.3</w:t>
            </w:r>
          </w:p>
        </w:tc>
        <w:tc>
          <w:tcPr>
            <w:tcW w:w="256" w:type="pct"/>
            <w:tcBorders>
              <w:top w:val="nil"/>
              <w:left w:val="nil"/>
              <w:bottom w:val="single" w:sz="4" w:space="0" w:color="auto"/>
              <w:right w:val="single" w:sz="4" w:space="0" w:color="auto"/>
            </w:tcBorders>
            <w:shd w:val="clear" w:color="000000" w:fill="EBF1DE"/>
            <w:noWrap/>
            <w:vAlign w:val="center"/>
            <w:hideMark/>
          </w:tcPr>
          <w:p w:rsidR="004D3DFA" w:rsidRPr="004D3DFA" w:rsidRDefault="004D3DFA" w:rsidP="004D3DFA">
            <w:pPr>
              <w:spacing w:after="0" w:line="240" w:lineRule="auto"/>
              <w:jc w:val="center"/>
              <w:rPr>
                <w:rFonts w:ascii="Calibri" w:eastAsia="Times New Roman" w:hAnsi="Calibri" w:cs="Times New Roman"/>
                <w:color w:val="000000"/>
                <w:sz w:val="16"/>
                <w:szCs w:val="16"/>
                <w:lang w:eastAsia="en-GB"/>
              </w:rPr>
            </w:pPr>
            <w:r w:rsidRPr="004D3DFA">
              <w:rPr>
                <w:rFonts w:ascii="Calibri" w:eastAsia="Times New Roman" w:hAnsi="Calibri" w:cs="Times New Roman"/>
                <w:color w:val="000000"/>
                <w:sz w:val="16"/>
                <w:szCs w:val="16"/>
                <w:lang w:eastAsia="en-GB"/>
              </w:rPr>
              <w:t>-</w:t>
            </w:r>
          </w:p>
        </w:tc>
        <w:tc>
          <w:tcPr>
            <w:tcW w:w="257" w:type="pct"/>
            <w:tcBorders>
              <w:top w:val="nil"/>
              <w:left w:val="nil"/>
              <w:bottom w:val="single" w:sz="4" w:space="0" w:color="auto"/>
              <w:right w:val="single" w:sz="4" w:space="0" w:color="auto"/>
            </w:tcBorders>
            <w:shd w:val="clear" w:color="000000" w:fill="EBF1DE"/>
            <w:noWrap/>
            <w:vAlign w:val="center"/>
            <w:hideMark/>
          </w:tcPr>
          <w:p w:rsidR="004D3DFA" w:rsidRPr="004D3DFA" w:rsidRDefault="004D3DFA" w:rsidP="004D3DFA">
            <w:pPr>
              <w:spacing w:after="0" w:line="240" w:lineRule="auto"/>
              <w:jc w:val="center"/>
              <w:rPr>
                <w:rFonts w:ascii="Calibri" w:eastAsia="Times New Roman" w:hAnsi="Calibri" w:cs="Times New Roman"/>
                <w:color w:val="000000"/>
                <w:sz w:val="16"/>
                <w:szCs w:val="16"/>
                <w:lang w:eastAsia="en-GB"/>
              </w:rPr>
            </w:pPr>
            <w:r w:rsidRPr="004D3DFA">
              <w:rPr>
                <w:rFonts w:ascii="Calibri" w:eastAsia="Times New Roman" w:hAnsi="Calibri" w:cs="Times New Roman"/>
                <w:color w:val="000000"/>
                <w:sz w:val="16"/>
                <w:szCs w:val="16"/>
                <w:lang w:eastAsia="en-GB"/>
              </w:rPr>
              <w:t>19.8</w:t>
            </w:r>
          </w:p>
        </w:tc>
        <w:tc>
          <w:tcPr>
            <w:tcW w:w="256" w:type="pct"/>
            <w:tcBorders>
              <w:top w:val="nil"/>
              <w:left w:val="nil"/>
              <w:bottom w:val="single" w:sz="4" w:space="0" w:color="auto"/>
              <w:right w:val="single" w:sz="4" w:space="0" w:color="auto"/>
            </w:tcBorders>
            <w:shd w:val="clear" w:color="000000" w:fill="420000"/>
            <w:noWrap/>
            <w:vAlign w:val="center"/>
            <w:hideMark/>
          </w:tcPr>
          <w:p w:rsidR="004D3DFA" w:rsidRPr="004D3DFA" w:rsidRDefault="004D3DFA" w:rsidP="004D3DFA">
            <w:pPr>
              <w:spacing w:after="0" w:line="240" w:lineRule="auto"/>
              <w:jc w:val="center"/>
              <w:rPr>
                <w:rFonts w:ascii="Calibri" w:eastAsia="Times New Roman" w:hAnsi="Calibri" w:cs="Times New Roman"/>
                <w:color w:val="FFFFFF"/>
                <w:sz w:val="16"/>
                <w:szCs w:val="16"/>
                <w:lang w:eastAsia="en-GB"/>
              </w:rPr>
            </w:pPr>
            <w:r w:rsidRPr="004D3DFA">
              <w:rPr>
                <w:rFonts w:ascii="Calibri" w:eastAsia="Times New Roman" w:hAnsi="Calibri" w:cs="Times New Roman"/>
                <w:color w:val="FFFFFF"/>
                <w:sz w:val="16"/>
                <w:szCs w:val="16"/>
                <w:lang w:eastAsia="en-GB"/>
              </w:rPr>
              <w:t>-</w:t>
            </w:r>
          </w:p>
        </w:tc>
        <w:tc>
          <w:tcPr>
            <w:tcW w:w="257" w:type="pct"/>
            <w:tcBorders>
              <w:top w:val="nil"/>
              <w:left w:val="nil"/>
              <w:bottom w:val="single" w:sz="4" w:space="0" w:color="auto"/>
              <w:right w:val="single" w:sz="4" w:space="0" w:color="auto"/>
            </w:tcBorders>
            <w:shd w:val="clear" w:color="000000" w:fill="420000"/>
            <w:noWrap/>
            <w:vAlign w:val="center"/>
            <w:hideMark/>
          </w:tcPr>
          <w:p w:rsidR="004D3DFA" w:rsidRPr="004D3DFA" w:rsidRDefault="004D3DFA" w:rsidP="004D3DFA">
            <w:pPr>
              <w:spacing w:after="0" w:line="240" w:lineRule="auto"/>
              <w:jc w:val="center"/>
              <w:rPr>
                <w:rFonts w:ascii="Calibri" w:eastAsia="Times New Roman" w:hAnsi="Calibri" w:cs="Times New Roman"/>
                <w:color w:val="FFFFFF"/>
                <w:sz w:val="16"/>
                <w:szCs w:val="16"/>
                <w:lang w:eastAsia="en-GB"/>
              </w:rPr>
            </w:pPr>
            <w:r w:rsidRPr="004D3DFA">
              <w:rPr>
                <w:rFonts w:ascii="Calibri" w:eastAsia="Times New Roman" w:hAnsi="Calibri" w:cs="Times New Roman"/>
                <w:color w:val="FFFFFF"/>
                <w:sz w:val="16"/>
                <w:szCs w:val="16"/>
                <w:lang w:eastAsia="en-GB"/>
              </w:rPr>
              <w:t>18.3</w:t>
            </w:r>
          </w:p>
        </w:tc>
        <w:tc>
          <w:tcPr>
            <w:tcW w:w="299" w:type="pct"/>
            <w:tcBorders>
              <w:top w:val="nil"/>
              <w:left w:val="nil"/>
              <w:bottom w:val="single" w:sz="4" w:space="0" w:color="auto"/>
              <w:right w:val="single" w:sz="4" w:space="0" w:color="auto"/>
            </w:tcBorders>
            <w:shd w:val="clear" w:color="000000" w:fill="EBF1DE"/>
            <w:noWrap/>
            <w:vAlign w:val="center"/>
            <w:hideMark/>
          </w:tcPr>
          <w:p w:rsidR="004D3DFA" w:rsidRPr="004D3DFA" w:rsidRDefault="004D3DFA" w:rsidP="004D3DFA">
            <w:pPr>
              <w:spacing w:after="0" w:line="240" w:lineRule="auto"/>
              <w:jc w:val="center"/>
              <w:rPr>
                <w:rFonts w:ascii="Calibri" w:eastAsia="Times New Roman" w:hAnsi="Calibri" w:cs="Times New Roman"/>
                <w:sz w:val="16"/>
                <w:szCs w:val="16"/>
                <w:lang w:eastAsia="en-GB"/>
              </w:rPr>
            </w:pPr>
            <w:r w:rsidRPr="004D3DFA">
              <w:rPr>
                <w:rFonts w:ascii="Calibri" w:eastAsia="Times New Roman" w:hAnsi="Calibri" w:cs="Times New Roman"/>
                <w:sz w:val="16"/>
                <w:szCs w:val="16"/>
                <w:lang w:eastAsia="en-GB"/>
              </w:rPr>
              <w:t>-</w:t>
            </w:r>
          </w:p>
        </w:tc>
        <w:tc>
          <w:tcPr>
            <w:tcW w:w="281" w:type="pct"/>
            <w:tcBorders>
              <w:top w:val="nil"/>
              <w:left w:val="nil"/>
              <w:bottom w:val="single" w:sz="4" w:space="0" w:color="auto"/>
              <w:right w:val="single" w:sz="4" w:space="0" w:color="auto"/>
            </w:tcBorders>
            <w:shd w:val="clear" w:color="000000" w:fill="EBF1DE"/>
            <w:noWrap/>
            <w:vAlign w:val="center"/>
            <w:hideMark/>
          </w:tcPr>
          <w:p w:rsidR="004D3DFA" w:rsidRPr="004D3DFA" w:rsidRDefault="004D3DFA" w:rsidP="004D3DFA">
            <w:pPr>
              <w:spacing w:after="0" w:line="240" w:lineRule="auto"/>
              <w:jc w:val="center"/>
              <w:rPr>
                <w:rFonts w:ascii="Calibri" w:eastAsia="Times New Roman" w:hAnsi="Calibri" w:cs="Times New Roman"/>
                <w:color w:val="000000"/>
                <w:sz w:val="16"/>
                <w:szCs w:val="16"/>
                <w:lang w:eastAsia="en-GB"/>
              </w:rPr>
            </w:pPr>
            <w:r w:rsidRPr="004D3DFA">
              <w:rPr>
                <w:rFonts w:ascii="Calibri" w:eastAsia="Times New Roman" w:hAnsi="Calibri" w:cs="Times New Roman"/>
                <w:color w:val="000000"/>
                <w:sz w:val="16"/>
                <w:szCs w:val="16"/>
                <w:lang w:eastAsia="en-GB"/>
              </w:rPr>
              <w:t>19.6</w:t>
            </w:r>
          </w:p>
        </w:tc>
        <w:tc>
          <w:tcPr>
            <w:tcW w:w="235" w:type="pct"/>
            <w:tcBorders>
              <w:top w:val="nil"/>
              <w:left w:val="nil"/>
              <w:bottom w:val="single" w:sz="4" w:space="0" w:color="auto"/>
              <w:right w:val="single" w:sz="4" w:space="0" w:color="auto"/>
            </w:tcBorders>
            <w:shd w:val="clear" w:color="000000" w:fill="EBF1DE"/>
            <w:noWrap/>
            <w:vAlign w:val="center"/>
            <w:hideMark/>
          </w:tcPr>
          <w:p w:rsidR="004D3DFA" w:rsidRPr="004D3DFA" w:rsidRDefault="004D3DFA" w:rsidP="004D3DFA">
            <w:pPr>
              <w:spacing w:after="0" w:line="240" w:lineRule="auto"/>
              <w:jc w:val="center"/>
              <w:rPr>
                <w:rFonts w:ascii="Calibri" w:eastAsia="Times New Roman" w:hAnsi="Calibri" w:cs="Times New Roman"/>
                <w:color w:val="000000"/>
                <w:sz w:val="16"/>
                <w:szCs w:val="16"/>
                <w:lang w:eastAsia="en-GB"/>
              </w:rPr>
            </w:pPr>
            <w:r w:rsidRPr="004D3DFA">
              <w:rPr>
                <w:rFonts w:ascii="Calibri" w:eastAsia="Times New Roman" w:hAnsi="Calibri" w:cs="Times New Roman"/>
                <w:color w:val="000000"/>
                <w:sz w:val="16"/>
                <w:szCs w:val="16"/>
                <w:lang w:eastAsia="en-GB"/>
              </w:rPr>
              <w:t>-</w:t>
            </w:r>
          </w:p>
        </w:tc>
        <w:tc>
          <w:tcPr>
            <w:tcW w:w="256" w:type="pct"/>
            <w:tcBorders>
              <w:top w:val="nil"/>
              <w:left w:val="nil"/>
              <w:bottom w:val="single" w:sz="4" w:space="0" w:color="auto"/>
              <w:right w:val="single" w:sz="4" w:space="0" w:color="auto"/>
            </w:tcBorders>
            <w:shd w:val="clear" w:color="000000" w:fill="EBF1DE"/>
            <w:noWrap/>
            <w:vAlign w:val="center"/>
            <w:hideMark/>
          </w:tcPr>
          <w:p w:rsidR="004D3DFA" w:rsidRPr="004D3DFA" w:rsidRDefault="004D3DFA" w:rsidP="004D3DFA">
            <w:pPr>
              <w:spacing w:after="0" w:line="240" w:lineRule="auto"/>
              <w:jc w:val="center"/>
              <w:rPr>
                <w:rFonts w:ascii="Calibri" w:eastAsia="Times New Roman" w:hAnsi="Calibri" w:cs="Times New Roman"/>
                <w:color w:val="000000"/>
                <w:sz w:val="16"/>
                <w:szCs w:val="16"/>
                <w:lang w:eastAsia="en-GB"/>
              </w:rPr>
            </w:pPr>
            <w:r w:rsidRPr="004D3DFA">
              <w:rPr>
                <w:rFonts w:ascii="Calibri" w:eastAsia="Times New Roman" w:hAnsi="Calibri" w:cs="Times New Roman"/>
                <w:color w:val="000000"/>
                <w:sz w:val="16"/>
                <w:szCs w:val="16"/>
                <w:lang w:eastAsia="en-GB"/>
              </w:rPr>
              <w:t>20.3</w:t>
            </w:r>
          </w:p>
        </w:tc>
        <w:tc>
          <w:tcPr>
            <w:tcW w:w="256" w:type="pct"/>
            <w:tcBorders>
              <w:top w:val="nil"/>
              <w:left w:val="nil"/>
              <w:bottom w:val="single" w:sz="4" w:space="0" w:color="auto"/>
              <w:right w:val="single" w:sz="4" w:space="0" w:color="auto"/>
            </w:tcBorders>
            <w:shd w:val="clear" w:color="000000" w:fill="FFFFFF"/>
            <w:noWrap/>
            <w:vAlign w:val="center"/>
            <w:hideMark/>
          </w:tcPr>
          <w:p w:rsidR="004D3DFA" w:rsidRPr="004D3DFA" w:rsidRDefault="004D3DFA" w:rsidP="004D3DFA">
            <w:pPr>
              <w:spacing w:after="0" w:line="240" w:lineRule="auto"/>
              <w:jc w:val="center"/>
              <w:rPr>
                <w:rFonts w:ascii="Calibri" w:eastAsia="Times New Roman" w:hAnsi="Calibri" w:cs="Times New Roman"/>
                <w:color w:val="000000"/>
                <w:sz w:val="16"/>
                <w:szCs w:val="16"/>
                <w:lang w:eastAsia="en-GB"/>
              </w:rPr>
            </w:pPr>
            <w:r w:rsidRPr="004D3DFA">
              <w:rPr>
                <w:rFonts w:ascii="Calibri" w:eastAsia="Times New Roman" w:hAnsi="Calibri" w:cs="Times New Roman"/>
                <w:color w:val="000000"/>
                <w:sz w:val="16"/>
                <w:szCs w:val="16"/>
                <w:lang w:eastAsia="en-GB"/>
              </w:rPr>
              <w:t>-</w:t>
            </w:r>
          </w:p>
        </w:tc>
        <w:tc>
          <w:tcPr>
            <w:tcW w:w="254" w:type="pct"/>
            <w:tcBorders>
              <w:top w:val="nil"/>
              <w:left w:val="nil"/>
              <w:bottom w:val="single" w:sz="4" w:space="0" w:color="auto"/>
              <w:right w:val="single" w:sz="4" w:space="0" w:color="auto"/>
            </w:tcBorders>
            <w:shd w:val="clear" w:color="auto" w:fill="auto"/>
            <w:noWrap/>
            <w:vAlign w:val="center"/>
            <w:hideMark/>
          </w:tcPr>
          <w:p w:rsidR="004D3DFA" w:rsidRPr="004D3DFA" w:rsidRDefault="004D3DFA" w:rsidP="004D3DFA">
            <w:pPr>
              <w:spacing w:after="0" w:line="240" w:lineRule="auto"/>
              <w:jc w:val="center"/>
              <w:rPr>
                <w:rFonts w:ascii="Calibri" w:eastAsia="Times New Roman" w:hAnsi="Calibri" w:cs="Times New Roman"/>
                <w:color w:val="000000"/>
                <w:sz w:val="16"/>
                <w:szCs w:val="16"/>
                <w:lang w:eastAsia="en-GB"/>
              </w:rPr>
            </w:pPr>
            <w:r w:rsidRPr="004D3DFA">
              <w:rPr>
                <w:rFonts w:ascii="Calibri" w:eastAsia="Times New Roman" w:hAnsi="Calibri" w:cs="Times New Roman"/>
                <w:color w:val="000000"/>
                <w:sz w:val="16"/>
                <w:szCs w:val="16"/>
                <w:lang w:eastAsia="en-GB"/>
              </w:rPr>
              <w:t>18.8</w:t>
            </w:r>
          </w:p>
        </w:tc>
      </w:tr>
      <w:tr w:rsidR="00C37A76" w:rsidRPr="00264F59" w:rsidTr="00C37A76">
        <w:trPr>
          <w:trHeight w:val="300"/>
        </w:trPr>
        <w:tc>
          <w:tcPr>
            <w:tcW w:w="598" w:type="pct"/>
            <w:tcBorders>
              <w:top w:val="nil"/>
              <w:left w:val="single" w:sz="4" w:space="0" w:color="auto"/>
              <w:bottom w:val="single" w:sz="4" w:space="0" w:color="auto"/>
              <w:right w:val="single" w:sz="4" w:space="0" w:color="auto"/>
            </w:tcBorders>
            <w:shd w:val="clear" w:color="auto" w:fill="auto"/>
            <w:noWrap/>
            <w:vAlign w:val="center"/>
            <w:hideMark/>
          </w:tcPr>
          <w:p w:rsidR="004D3DFA" w:rsidRPr="004D3DFA" w:rsidRDefault="004D3DFA" w:rsidP="004D3DFA">
            <w:pPr>
              <w:spacing w:after="0" w:line="240" w:lineRule="auto"/>
              <w:jc w:val="center"/>
              <w:rPr>
                <w:rFonts w:ascii="Calibri" w:eastAsia="Times New Roman" w:hAnsi="Calibri" w:cs="Times New Roman"/>
                <w:color w:val="000000"/>
                <w:sz w:val="16"/>
                <w:szCs w:val="16"/>
                <w:lang w:eastAsia="en-GB"/>
              </w:rPr>
            </w:pPr>
            <w:r w:rsidRPr="004D3DFA">
              <w:rPr>
                <w:rFonts w:ascii="Calibri" w:eastAsia="Times New Roman" w:hAnsi="Calibri" w:cs="Times New Roman"/>
                <w:color w:val="000000"/>
                <w:sz w:val="16"/>
                <w:szCs w:val="16"/>
                <w:lang w:eastAsia="en-GB"/>
              </w:rPr>
              <w:t>Life expectancy at 65 (Female)</w:t>
            </w:r>
          </w:p>
        </w:tc>
        <w:tc>
          <w:tcPr>
            <w:tcW w:w="256" w:type="pct"/>
            <w:tcBorders>
              <w:top w:val="nil"/>
              <w:left w:val="nil"/>
              <w:bottom w:val="single" w:sz="4" w:space="0" w:color="auto"/>
              <w:right w:val="single" w:sz="4" w:space="0" w:color="auto"/>
            </w:tcBorders>
            <w:shd w:val="clear" w:color="auto" w:fill="auto"/>
            <w:noWrap/>
            <w:vAlign w:val="center"/>
            <w:hideMark/>
          </w:tcPr>
          <w:p w:rsidR="004D3DFA" w:rsidRPr="004D3DFA" w:rsidRDefault="004D3DFA" w:rsidP="004D3DFA">
            <w:pPr>
              <w:spacing w:after="0" w:line="240" w:lineRule="auto"/>
              <w:jc w:val="center"/>
              <w:rPr>
                <w:rFonts w:ascii="Calibri" w:eastAsia="Times New Roman" w:hAnsi="Calibri" w:cs="Times New Roman"/>
                <w:color w:val="000000"/>
                <w:sz w:val="16"/>
                <w:szCs w:val="16"/>
                <w:lang w:eastAsia="en-GB"/>
              </w:rPr>
            </w:pPr>
            <w:r w:rsidRPr="004D3DFA">
              <w:rPr>
                <w:rFonts w:ascii="Calibri" w:eastAsia="Times New Roman" w:hAnsi="Calibri" w:cs="Times New Roman"/>
                <w:color w:val="000000"/>
                <w:sz w:val="16"/>
                <w:szCs w:val="16"/>
                <w:lang w:eastAsia="en-GB"/>
              </w:rPr>
              <w:t>2015-17</w:t>
            </w:r>
          </w:p>
        </w:tc>
        <w:tc>
          <w:tcPr>
            <w:tcW w:w="257" w:type="pct"/>
            <w:tcBorders>
              <w:top w:val="nil"/>
              <w:left w:val="nil"/>
              <w:bottom w:val="single" w:sz="4" w:space="0" w:color="auto"/>
              <w:right w:val="single" w:sz="4" w:space="0" w:color="auto"/>
            </w:tcBorders>
            <w:shd w:val="clear" w:color="000000" w:fill="EBF1DE"/>
            <w:noWrap/>
            <w:vAlign w:val="center"/>
            <w:hideMark/>
          </w:tcPr>
          <w:p w:rsidR="004D3DFA" w:rsidRPr="004D3DFA" w:rsidRDefault="004D3DFA" w:rsidP="004D3DFA">
            <w:pPr>
              <w:spacing w:after="0" w:line="240" w:lineRule="auto"/>
              <w:jc w:val="center"/>
              <w:rPr>
                <w:rFonts w:ascii="Calibri" w:eastAsia="Times New Roman" w:hAnsi="Calibri" w:cs="Times New Roman"/>
                <w:color w:val="000000"/>
                <w:sz w:val="16"/>
                <w:szCs w:val="16"/>
                <w:lang w:eastAsia="en-GB"/>
              </w:rPr>
            </w:pPr>
            <w:r w:rsidRPr="004D3DFA">
              <w:rPr>
                <w:rFonts w:ascii="Calibri" w:eastAsia="Times New Roman" w:hAnsi="Calibri" w:cs="Times New Roman"/>
                <w:color w:val="000000"/>
                <w:sz w:val="16"/>
                <w:szCs w:val="16"/>
                <w:lang w:eastAsia="en-GB"/>
              </w:rPr>
              <w:t>-</w:t>
            </w:r>
          </w:p>
        </w:tc>
        <w:tc>
          <w:tcPr>
            <w:tcW w:w="256" w:type="pct"/>
            <w:tcBorders>
              <w:top w:val="nil"/>
              <w:left w:val="nil"/>
              <w:bottom w:val="single" w:sz="4" w:space="0" w:color="auto"/>
              <w:right w:val="single" w:sz="4" w:space="0" w:color="auto"/>
            </w:tcBorders>
            <w:shd w:val="clear" w:color="000000" w:fill="EBF1DE"/>
            <w:noWrap/>
            <w:vAlign w:val="center"/>
            <w:hideMark/>
          </w:tcPr>
          <w:p w:rsidR="004D3DFA" w:rsidRPr="004D3DFA" w:rsidRDefault="004D3DFA" w:rsidP="004D3DFA">
            <w:pPr>
              <w:spacing w:after="0" w:line="240" w:lineRule="auto"/>
              <w:jc w:val="center"/>
              <w:rPr>
                <w:rFonts w:ascii="Calibri" w:eastAsia="Times New Roman" w:hAnsi="Calibri" w:cs="Times New Roman"/>
                <w:color w:val="000000"/>
                <w:sz w:val="16"/>
                <w:szCs w:val="16"/>
                <w:lang w:eastAsia="en-GB"/>
              </w:rPr>
            </w:pPr>
            <w:r w:rsidRPr="004D3DFA">
              <w:rPr>
                <w:rFonts w:ascii="Calibri" w:eastAsia="Times New Roman" w:hAnsi="Calibri" w:cs="Times New Roman"/>
                <w:color w:val="000000"/>
                <w:sz w:val="16"/>
                <w:szCs w:val="16"/>
                <w:lang w:eastAsia="en-GB"/>
              </w:rPr>
              <w:t>21.8</w:t>
            </w:r>
          </w:p>
        </w:tc>
        <w:tc>
          <w:tcPr>
            <w:tcW w:w="256" w:type="pct"/>
            <w:tcBorders>
              <w:top w:val="nil"/>
              <w:left w:val="nil"/>
              <w:bottom w:val="single" w:sz="4" w:space="0" w:color="auto"/>
              <w:right w:val="single" w:sz="4" w:space="0" w:color="auto"/>
            </w:tcBorders>
            <w:shd w:val="clear" w:color="000000" w:fill="FFFF99"/>
            <w:noWrap/>
            <w:vAlign w:val="center"/>
            <w:hideMark/>
          </w:tcPr>
          <w:p w:rsidR="004D3DFA" w:rsidRPr="004D3DFA" w:rsidRDefault="004D3DFA" w:rsidP="004D3DFA">
            <w:pPr>
              <w:spacing w:after="0" w:line="240" w:lineRule="auto"/>
              <w:jc w:val="center"/>
              <w:rPr>
                <w:rFonts w:ascii="Calibri" w:eastAsia="Times New Roman" w:hAnsi="Calibri" w:cs="Times New Roman"/>
                <w:color w:val="000000"/>
                <w:sz w:val="16"/>
                <w:szCs w:val="16"/>
                <w:lang w:eastAsia="en-GB"/>
              </w:rPr>
            </w:pPr>
            <w:r w:rsidRPr="004D3DFA">
              <w:rPr>
                <w:rFonts w:ascii="Calibri" w:eastAsia="Times New Roman" w:hAnsi="Calibri" w:cs="Times New Roman"/>
                <w:color w:val="000000"/>
                <w:sz w:val="16"/>
                <w:szCs w:val="16"/>
                <w:lang w:eastAsia="en-GB"/>
              </w:rPr>
              <w:t>-</w:t>
            </w:r>
          </w:p>
        </w:tc>
        <w:tc>
          <w:tcPr>
            <w:tcW w:w="257" w:type="pct"/>
            <w:tcBorders>
              <w:top w:val="nil"/>
              <w:left w:val="nil"/>
              <w:bottom w:val="single" w:sz="4" w:space="0" w:color="auto"/>
              <w:right w:val="single" w:sz="4" w:space="0" w:color="auto"/>
            </w:tcBorders>
            <w:shd w:val="clear" w:color="000000" w:fill="FFFF99"/>
            <w:noWrap/>
            <w:vAlign w:val="center"/>
            <w:hideMark/>
          </w:tcPr>
          <w:p w:rsidR="004D3DFA" w:rsidRPr="004D3DFA" w:rsidRDefault="004D3DFA" w:rsidP="004D3DFA">
            <w:pPr>
              <w:spacing w:after="0" w:line="240" w:lineRule="auto"/>
              <w:jc w:val="center"/>
              <w:rPr>
                <w:rFonts w:ascii="Calibri" w:eastAsia="Times New Roman" w:hAnsi="Calibri" w:cs="Times New Roman"/>
                <w:color w:val="000000"/>
                <w:sz w:val="16"/>
                <w:szCs w:val="16"/>
                <w:lang w:eastAsia="en-GB"/>
              </w:rPr>
            </w:pPr>
            <w:r w:rsidRPr="004D3DFA">
              <w:rPr>
                <w:rFonts w:ascii="Calibri" w:eastAsia="Times New Roman" w:hAnsi="Calibri" w:cs="Times New Roman"/>
                <w:color w:val="000000"/>
                <w:sz w:val="16"/>
                <w:szCs w:val="16"/>
                <w:lang w:eastAsia="en-GB"/>
              </w:rPr>
              <w:t>20.8</w:t>
            </w:r>
          </w:p>
        </w:tc>
        <w:tc>
          <w:tcPr>
            <w:tcW w:w="256" w:type="pct"/>
            <w:tcBorders>
              <w:top w:val="nil"/>
              <w:left w:val="nil"/>
              <w:bottom w:val="single" w:sz="4" w:space="0" w:color="auto"/>
              <w:right w:val="single" w:sz="4" w:space="0" w:color="auto"/>
            </w:tcBorders>
            <w:shd w:val="clear" w:color="000000" w:fill="FFFF99"/>
            <w:noWrap/>
            <w:vAlign w:val="center"/>
            <w:hideMark/>
          </w:tcPr>
          <w:p w:rsidR="004D3DFA" w:rsidRPr="004D3DFA" w:rsidRDefault="004D3DFA" w:rsidP="004D3DFA">
            <w:pPr>
              <w:spacing w:after="0" w:line="240" w:lineRule="auto"/>
              <w:jc w:val="center"/>
              <w:rPr>
                <w:rFonts w:ascii="Calibri" w:eastAsia="Times New Roman" w:hAnsi="Calibri" w:cs="Times New Roman"/>
                <w:color w:val="000000"/>
                <w:sz w:val="16"/>
                <w:szCs w:val="16"/>
                <w:lang w:eastAsia="en-GB"/>
              </w:rPr>
            </w:pPr>
            <w:r w:rsidRPr="004D3DFA">
              <w:rPr>
                <w:rFonts w:ascii="Calibri" w:eastAsia="Times New Roman" w:hAnsi="Calibri" w:cs="Times New Roman"/>
                <w:color w:val="000000"/>
                <w:sz w:val="16"/>
                <w:szCs w:val="16"/>
                <w:lang w:eastAsia="en-GB"/>
              </w:rPr>
              <w:t>-</w:t>
            </w:r>
          </w:p>
        </w:tc>
        <w:tc>
          <w:tcPr>
            <w:tcW w:w="257" w:type="pct"/>
            <w:tcBorders>
              <w:top w:val="nil"/>
              <w:left w:val="nil"/>
              <w:bottom w:val="single" w:sz="4" w:space="0" w:color="auto"/>
              <w:right w:val="single" w:sz="4" w:space="0" w:color="auto"/>
            </w:tcBorders>
            <w:shd w:val="clear" w:color="000000" w:fill="FFFF99"/>
            <w:noWrap/>
            <w:vAlign w:val="center"/>
            <w:hideMark/>
          </w:tcPr>
          <w:p w:rsidR="004D3DFA" w:rsidRPr="004D3DFA" w:rsidRDefault="004D3DFA" w:rsidP="004D3DFA">
            <w:pPr>
              <w:spacing w:after="0" w:line="240" w:lineRule="auto"/>
              <w:jc w:val="center"/>
              <w:rPr>
                <w:rFonts w:ascii="Calibri" w:eastAsia="Times New Roman" w:hAnsi="Calibri" w:cs="Times New Roman"/>
                <w:color w:val="000000"/>
                <w:sz w:val="16"/>
                <w:szCs w:val="16"/>
                <w:lang w:eastAsia="en-GB"/>
              </w:rPr>
            </w:pPr>
            <w:r w:rsidRPr="004D3DFA">
              <w:rPr>
                <w:rFonts w:ascii="Calibri" w:eastAsia="Times New Roman" w:hAnsi="Calibri" w:cs="Times New Roman"/>
                <w:color w:val="000000"/>
                <w:sz w:val="16"/>
                <w:szCs w:val="16"/>
                <w:lang w:eastAsia="en-GB"/>
              </w:rPr>
              <w:t>21.2</w:t>
            </w:r>
          </w:p>
        </w:tc>
        <w:tc>
          <w:tcPr>
            <w:tcW w:w="256" w:type="pct"/>
            <w:tcBorders>
              <w:top w:val="nil"/>
              <w:left w:val="nil"/>
              <w:bottom w:val="single" w:sz="4" w:space="0" w:color="auto"/>
              <w:right w:val="single" w:sz="4" w:space="0" w:color="auto"/>
            </w:tcBorders>
            <w:shd w:val="clear" w:color="000000" w:fill="EBF1DE"/>
            <w:noWrap/>
            <w:vAlign w:val="center"/>
            <w:hideMark/>
          </w:tcPr>
          <w:p w:rsidR="004D3DFA" w:rsidRPr="004D3DFA" w:rsidRDefault="004D3DFA" w:rsidP="004D3DFA">
            <w:pPr>
              <w:spacing w:after="0" w:line="240" w:lineRule="auto"/>
              <w:jc w:val="center"/>
              <w:rPr>
                <w:rFonts w:ascii="Calibri" w:eastAsia="Times New Roman" w:hAnsi="Calibri" w:cs="Times New Roman"/>
                <w:color w:val="000000"/>
                <w:sz w:val="16"/>
                <w:szCs w:val="16"/>
                <w:lang w:eastAsia="en-GB"/>
              </w:rPr>
            </w:pPr>
            <w:r w:rsidRPr="004D3DFA">
              <w:rPr>
                <w:rFonts w:ascii="Calibri" w:eastAsia="Times New Roman" w:hAnsi="Calibri" w:cs="Times New Roman"/>
                <w:color w:val="000000"/>
                <w:sz w:val="16"/>
                <w:szCs w:val="16"/>
                <w:lang w:eastAsia="en-GB"/>
              </w:rPr>
              <w:t> </w:t>
            </w:r>
          </w:p>
        </w:tc>
        <w:tc>
          <w:tcPr>
            <w:tcW w:w="257" w:type="pct"/>
            <w:tcBorders>
              <w:top w:val="nil"/>
              <w:left w:val="nil"/>
              <w:bottom w:val="single" w:sz="4" w:space="0" w:color="auto"/>
              <w:right w:val="single" w:sz="4" w:space="0" w:color="auto"/>
            </w:tcBorders>
            <w:shd w:val="clear" w:color="000000" w:fill="EBF1DE"/>
            <w:noWrap/>
            <w:vAlign w:val="center"/>
            <w:hideMark/>
          </w:tcPr>
          <w:p w:rsidR="004D3DFA" w:rsidRPr="004D3DFA" w:rsidRDefault="004D3DFA" w:rsidP="004D3DFA">
            <w:pPr>
              <w:spacing w:after="0" w:line="240" w:lineRule="auto"/>
              <w:jc w:val="center"/>
              <w:rPr>
                <w:rFonts w:ascii="Calibri" w:eastAsia="Times New Roman" w:hAnsi="Calibri" w:cs="Times New Roman"/>
                <w:color w:val="000000"/>
                <w:sz w:val="16"/>
                <w:szCs w:val="16"/>
                <w:lang w:eastAsia="en-GB"/>
              </w:rPr>
            </w:pPr>
            <w:r w:rsidRPr="004D3DFA">
              <w:rPr>
                <w:rFonts w:ascii="Calibri" w:eastAsia="Times New Roman" w:hAnsi="Calibri" w:cs="Times New Roman"/>
                <w:color w:val="000000"/>
                <w:sz w:val="16"/>
                <w:szCs w:val="16"/>
                <w:lang w:eastAsia="en-GB"/>
              </w:rPr>
              <w:t>22.1</w:t>
            </w:r>
          </w:p>
        </w:tc>
        <w:tc>
          <w:tcPr>
            <w:tcW w:w="256" w:type="pct"/>
            <w:tcBorders>
              <w:top w:val="nil"/>
              <w:left w:val="nil"/>
              <w:bottom w:val="single" w:sz="4" w:space="0" w:color="auto"/>
              <w:right w:val="single" w:sz="4" w:space="0" w:color="auto"/>
            </w:tcBorders>
            <w:shd w:val="clear" w:color="000000" w:fill="FFFF99"/>
            <w:noWrap/>
            <w:vAlign w:val="center"/>
            <w:hideMark/>
          </w:tcPr>
          <w:p w:rsidR="004D3DFA" w:rsidRPr="004D3DFA" w:rsidRDefault="004D3DFA" w:rsidP="004D3DFA">
            <w:pPr>
              <w:spacing w:after="0" w:line="240" w:lineRule="auto"/>
              <w:jc w:val="center"/>
              <w:rPr>
                <w:rFonts w:ascii="Calibri" w:eastAsia="Times New Roman" w:hAnsi="Calibri" w:cs="Times New Roman"/>
                <w:color w:val="000000"/>
                <w:sz w:val="16"/>
                <w:szCs w:val="16"/>
                <w:lang w:eastAsia="en-GB"/>
              </w:rPr>
            </w:pPr>
            <w:r w:rsidRPr="004D3DFA">
              <w:rPr>
                <w:rFonts w:ascii="Calibri" w:eastAsia="Times New Roman" w:hAnsi="Calibri" w:cs="Times New Roman"/>
                <w:color w:val="000000"/>
                <w:sz w:val="16"/>
                <w:szCs w:val="16"/>
                <w:lang w:eastAsia="en-GB"/>
              </w:rPr>
              <w:t>-</w:t>
            </w:r>
          </w:p>
        </w:tc>
        <w:tc>
          <w:tcPr>
            <w:tcW w:w="257" w:type="pct"/>
            <w:tcBorders>
              <w:top w:val="nil"/>
              <w:left w:val="nil"/>
              <w:bottom w:val="single" w:sz="4" w:space="0" w:color="auto"/>
              <w:right w:val="single" w:sz="4" w:space="0" w:color="auto"/>
            </w:tcBorders>
            <w:shd w:val="clear" w:color="000000" w:fill="FFFF99"/>
            <w:noWrap/>
            <w:vAlign w:val="center"/>
            <w:hideMark/>
          </w:tcPr>
          <w:p w:rsidR="004D3DFA" w:rsidRPr="004D3DFA" w:rsidRDefault="004D3DFA" w:rsidP="004D3DFA">
            <w:pPr>
              <w:spacing w:after="0" w:line="240" w:lineRule="auto"/>
              <w:jc w:val="center"/>
              <w:rPr>
                <w:rFonts w:ascii="Calibri" w:eastAsia="Times New Roman" w:hAnsi="Calibri" w:cs="Times New Roman"/>
                <w:color w:val="000000"/>
                <w:sz w:val="16"/>
                <w:szCs w:val="16"/>
                <w:lang w:eastAsia="en-GB"/>
              </w:rPr>
            </w:pPr>
            <w:r w:rsidRPr="004D3DFA">
              <w:rPr>
                <w:rFonts w:ascii="Calibri" w:eastAsia="Times New Roman" w:hAnsi="Calibri" w:cs="Times New Roman"/>
                <w:color w:val="000000"/>
                <w:sz w:val="16"/>
                <w:szCs w:val="16"/>
                <w:lang w:eastAsia="en-GB"/>
              </w:rPr>
              <w:t>20.9</w:t>
            </w:r>
          </w:p>
        </w:tc>
        <w:tc>
          <w:tcPr>
            <w:tcW w:w="299" w:type="pct"/>
            <w:tcBorders>
              <w:top w:val="nil"/>
              <w:left w:val="nil"/>
              <w:bottom w:val="single" w:sz="4" w:space="0" w:color="auto"/>
              <w:right w:val="single" w:sz="4" w:space="0" w:color="auto"/>
            </w:tcBorders>
            <w:shd w:val="clear" w:color="000000" w:fill="EBF1DE"/>
            <w:noWrap/>
            <w:vAlign w:val="center"/>
            <w:hideMark/>
          </w:tcPr>
          <w:p w:rsidR="004D3DFA" w:rsidRPr="004D3DFA" w:rsidRDefault="004D3DFA" w:rsidP="004D3DFA">
            <w:pPr>
              <w:spacing w:after="0" w:line="240" w:lineRule="auto"/>
              <w:jc w:val="center"/>
              <w:rPr>
                <w:rFonts w:ascii="Calibri" w:eastAsia="Times New Roman" w:hAnsi="Calibri" w:cs="Times New Roman"/>
                <w:color w:val="000000"/>
                <w:sz w:val="16"/>
                <w:szCs w:val="16"/>
                <w:lang w:eastAsia="en-GB"/>
              </w:rPr>
            </w:pPr>
            <w:r w:rsidRPr="004D3DFA">
              <w:rPr>
                <w:rFonts w:ascii="Calibri" w:eastAsia="Times New Roman" w:hAnsi="Calibri" w:cs="Times New Roman"/>
                <w:color w:val="000000"/>
                <w:sz w:val="16"/>
                <w:szCs w:val="16"/>
                <w:lang w:eastAsia="en-GB"/>
              </w:rPr>
              <w:t>-</w:t>
            </w:r>
          </w:p>
        </w:tc>
        <w:tc>
          <w:tcPr>
            <w:tcW w:w="281" w:type="pct"/>
            <w:tcBorders>
              <w:top w:val="nil"/>
              <w:left w:val="nil"/>
              <w:bottom w:val="single" w:sz="4" w:space="0" w:color="auto"/>
              <w:right w:val="single" w:sz="4" w:space="0" w:color="auto"/>
            </w:tcBorders>
            <w:shd w:val="clear" w:color="000000" w:fill="EBF1DE"/>
            <w:noWrap/>
            <w:vAlign w:val="center"/>
            <w:hideMark/>
          </w:tcPr>
          <w:p w:rsidR="004D3DFA" w:rsidRPr="004D3DFA" w:rsidRDefault="004D3DFA" w:rsidP="004D3DFA">
            <w:pPr>
              <w:spacing w:after="0" w:line="240" w:lineRule="auto"/>
              <w:jc w:val="center"/>
              <w:rPr>
                <w:rFonts w:ascii="Calibri" w:eastAsia="Times New Roman" w:hAnsi="Calibri" w:cs="Times New Roman"/>
                <w:color w:val="000000"/>
                <w:sz w:val="16"/>
                <w:szCs w:val="16"/>
                <w:lang w:eastAsia="en-GB"/>
              </w:rPr>
            </w:pPr>
            <w:r w:rsidRPr="004D3DFA">
              <w:rPr>
                <w:rFonts w:ascii="Calibri" w:eastAsia="Times New Roman" w:hAnsi="Calibri" w:cs="Times New Roman"/>
                <w:color w:val="000000"/>
                <w:sz w:val="16"/>
                <w:szCs w:val="16"/>
                <w:lang w:eastAsia="en-GB"/>
              </w:rPr>
              <w:t>21.8</w:t>
            </w:r>
          </w:p>
        </w:tc>
        <w:tc>
          <w:tcPr>
            <w:tcW w:w="235" w:type="pct"/>
            <w:tcBorders>
              <w:top w:val="nil"/>
              <w:left w:val="nil"/>
              <w:bottom w:val="single" w:sz="4" w:space="0" w:color="auto"/>
              <w:right w:val="single" w:sz="4" w:space="0" w:color="auto"/>
            </w:tcBorders>
            <w:shd w:val="clear" w:color="000000" w:fill="EBF1DE"/>
            <w:noWrap/>
            <w:vAlign w:val="center"/>
            <w:hideMark/>
          </w:tcPr>
          <w:p w:rsidR="004D3DFA" w:rsidRPr="004D3DFA" w:rsidRDefault="004D3DFA" w:rsidP="004D3DFA">
            <w:pPr>
              <w:spacing w:after="0" w:line="240" w:lineRule="auto"/>
              <w:jc w:val="center"/>
              <w:rPr>
                <w:rFonts w:ascii="Calibri" w:eastAsia="Times New Roman" w:hAnsi="Calibri" w:cs="Times New Roman"/>
                <w:color w:val="000000"/>
                <w:sz w:val="16"/>
                <w:szCs w:val="16"/>
                <w:lang w:eastAsia="en-GB"/>
              </w:rPr>
            </w:pPr>
            <w:r w:rsidRPr="004D3DFA">
              <w:rPr>
                <w:rFonts w:ascii="Calibri" w:eastAsia="Times New Roman" w:hAnsi="Calibri" w:cs="Times New Roman"/>
                <w:color w:val="000000"/>
                <w:sz w:val="16"/>
                <w:szCs w:val="16"/>
                <w:lang w:eastAsia="en-GB"/>
              </w:rPr>
              <w:t>-</w:t>
            </w:r>
          </w:p>
        </w:tc>
        <w:tc>
          <w:tcPr>
            <w:tcW w:w="256" w:type="pct"/>
            <w:tcBorders>
              <w:top w:val="nil"/>
              <w:left w:val="nil"/>
              <w:bottom w:val="single" w:sz="4" w:space="0" w:color="auto"/>
              <w:right w:val="single" w:sz="4" w:space="0" w:color="auto"/>
            </w:tcBorders>
            <w:shd w:val="clear" w:color="000000" w:fill="EBF1DE"/>
            <w:noWrap/>
            <w:vAlign w:val="center"/>
            <w:hideMark/>
          </w:tcPr>
          <w:p w:rsidR="004D3DFA" w:rsidRPr="004D3DFA" w:rsidRDefault="004D3DFA" w:rsidP="004D3DFA">
            <w:pPr>
              <w:spacing w:after="0" w:line="240" w:lineRule="auto"/>
              <w:jc w:val="center"/>
              <w:rPr>
                <w:rFonts w:ascii="Calibri" w:eastAsia="Times New Roman" w:hAnsi="Calibri" w:cs="Times New Roman"/>
                <w:color w:val="000000"/>
                <w:sz w:val="16"/>
                <w:szCs w:val="16"/>
                <w:lang w:eastAsia="en-GB"/>
              </w:rPr>
            </w:pPr>
            <w:r w:rsidRPr="004D3DFA">
              <w:rPr>
                <w:rFonts w:ascii="Calibri" w:eastAsia="Times New Roman" w:hAnsi="Calibri" w:cs="Times New Roman"/>
                <w:color w:val="000000"/>
                <w:sz w:val="16"/>
                <w:szCs w:val="16"/>
                <w:lang w:eastAsia="en-GB"/>
              </w:rPr>
              <w:t>22.7</w:t>
            </w:r>
          </w:p>
        </w:tc>
        <w:tc>
          <w:tcPr>
            <w:tcW w:w="256" w:type="pct"/>
            <w:tcBorders>
              <w:top w:val="nil"/>
              <w:left w:val="nil"/>
              <w:bottom w:val="single" w:sz="4" w:space="0" w:color="auto"/>
              <w:right w:val="single" w:sz="4" w:space="0" w:color="auto"/>
            </w:tcBorders>
            <w:shd w:val="clear" w:color="000000" w:fill="FFFFFF"/>
            <w:noWrap/>
            <w:vAlign w:val="center"/>
            <w:hideMark/>
          </w:tcPr>
          <w:p w:rsidR="004D3DFA" w:rsidRPr="004D3DFA" w:rsidRDefault="004D3DFA" w:rsidP="004D3DFA">
            <w:pPr>
              <w:spacing w:after="0" w:line="240" w:lineRule="auto"/>
              <w:jc w:val="center"/>
              <w:rPr>
                <w:rFonts w:ascii="Calibri" w:eastAsia="Times New Roman" w:hAnsi="Calibri" w:cs="Times New Roman"/>
                <w:color w:val="000000"/>
                <w:sz w:val="16"/>
                <w:szCs w:val="16"/>
                <w:lang w:eastAsia="en-GB"/>
              </w:rPr>
            </w:pPr>
            <w:r w:rsidRPr="004D3DFA">
              <w:rPr>
                <w:rFonts w:ascii="Calibri" w:eastAsia="Times New Roman" w:hAnsi="Calibri" w:cs="Times New Roman"/>
                <w:color w:val="000000"/>
                <w:sz w:val="16"/>
                <w:szCs w:val="16"/>
                <w:lang w:eastAsia="en-GB"/>
              </w:rPr>
              <w:t>-</w:t>
            </w:r>
          </w:p>
        </w:tc>
        <w:tc>
          <w:tcPr>
            <w:tcW w:w="254" w:type="pct"/>
            <w:tcBorders>
              <w:top w:val="nil"/>
              <w:left w:val="nil"/>
              <w:bottom w:val="single" w:sz="4" w:space="0" w:color="auto"/>
              <w:right w:val="single" w:sz="4" w:space="0" w:color="auto"/>
            </w:tcBorders>
            <w:shd w:val="clear" w:color="auto" w:fill="auto"/>
            <w:noWrap/>
            <w:vAlign w:val="center"/>
            <w:hideMark/>
          </w:tcPr>
          <w:p w:rsidR="004D3DFA" w:rsidRPr="004D3DFA" w:rsidRDefault="004D3DFA" w:rsidP="004D3DFA">
            <w:pPr>
              <w:spacing w:after="0" w:line="240" w:lineRule="auto"/>
              <w:jc w:val="center"/>
              <w:rPr>
                <w:rFonts w:ascii="Calibri" w:eastAsia="Times New Roman" w:hAnsi="Calibri" w:cs="Times New Roman"/>
                <w:color w:val="000000"/>
                <w:sz w:val="16"/>
                <w:szCs w:val="16"/>
                <w:lang w:eastAsia="en-GB"/>
              </w:rPr>
            </w:pPr>
            <w:r w:rsidRPr="004D3DFA">
              <w:rPr>
                <w:rFonts w:ascii="Calibri" w:eastAsia="Times New Roman" w:hAnsi="Calibri" w:cs="Times New Roman"/>
                <w:color w:val="000000"/>
                <w:sz w:val="16"/>
                <w:szCs w:val="16"/>
                <w:lang w:eastAsia="en-GB"/>
              </w:rPr>
              <w:t>21.1</w:t>
            </w:r>
          </w:p>
        </w:tc>
      </w:tr>
      <w:tr w:rsidR="00C37A76" w:rsidRPr="00264F59" w:rsidTr="00C37A76">
        <w:trPr>
          <w:trHeight w:val="300"/>
        </w:trPr>
        <w:tc>
          <w:tcPr>
            <w:tcW w:w="598" w:type="pct"/>
            <w:tcBorders>
              <w:top w:val="nil"/>
              <w:left w:val="single" w:sz="4" w:space="0" w:color="auto"/>
              <w:bottom w:val="single" w:sz="4" w:space="0" w:color="auto"/>
              <w:right w:val="single" w:sz="4" w:space="0" w:color="auto"/>
            </w:tcBorders>
            <w:shd w:val="clear" w:color="auto" w:fill="auto"/>
            <w:noWrap/>
            <w:vAlign w:val="center"/>
            <w:hideMark/>
          </w:tcPr>
          <w:p w:rsidR="004D3DFA" w:rsidRPr="004D3DFA" w:rsidRDefault="004D3DFA" w:rsidP="004D3DFA">
            <w:pPr>
              <w:spacing w:after="0" w:line="240" w:lineRule="auto"/>
              <w:jc w:val="center"/>
              <w:rPr>
                <w:rFonts w:ascii="Calibri" w:eastAsia="Times New Roman" w:hAnsi="Calibri" w:cs="Times New Roman"/>
                <w:color w:val="000000"/>
                <w:sz w:val="16"/>
                <w:szCs w:val="16"/>
                <w:lang w:eastAsia="en-GB"/>
              </w:rPr>
            </w:pPr>
            <w:r w:rsidRPr="004D3DFA">
              <w:rPr>
                <w:rFonts w:ascii="Calibri" w:eastAsia="Times New Roman" w:hAnsi="Calibri" w:cs="Times New Roman"/>
                <w:color w:val="000000"/>
                <w:sz w:val="16"/>
                <w:szCs w:val="16"/>
                <w:lang w:eastAsia="en-GB"/>
              </w:rPr>
              <w:t>Inequality in life expectancy at 65 (Male)</w:t>
            </w:r>
          </w:p>
        </w:tc>
        <w:tc>
          <w:tcPr>
            <w:tcW w:w="256" w:type="pct"/>
            <w:tcBorders>
              <w:top w:val="nil"/>
              <w:left w:val="nil"/>
              <w:bottom w:val="single" w:sz="4" w:space="0" w:color="auto"/>
              <w:right w:val="single" w:sz="4" w:space="0" w:color="auto"/>
            </w:tcBorders>
            <w:shd w:val="clear" w:color="auto" w:fill="auto"/>
            <w:noWrap/>
            <w:vAlign w:val="center"/>
            <w:hideMark/>
          </w:tcPr>
          <w:p w:rsidR="004D3DFA" w:rsidRPr="004D3DFA" w:rsidRDefault="004D3DFA" w:rsidP="004D3DFA">
            <w:pPr>
              <w:spacing w:after="0" w:line="240" w:lineRule="auto"/>
              <w:jc w:val="center"/>
              <w:rPr>
                <w:rFonts w:ascii="Calibri" w:eastAsia="Times New Roman" w:hAnsi="Calibri" w:cs="Times New Roman"/>
                <w:color w:val="000000"/>
                <w:sz w:val="16"/>
                <w:szCs w:val="16"/>
                <w:lang w:eastAsia="en-GB"/>
              </w:rPr>
            </w:pPr>
            <w:r w:rsidRPr="004D3DFA">
              <w:rPr>
                <w:rFonts w:ascii="Calibri" w:eastAsia="Times New Roman" w:hAnsi="Calibri" w:cs="Times New Roman"/>
                <w:color w:val="000000"/>
                <w:sz w:val="16"/>
                <w:szCs w:val="16"/>
                <w:lang w:eastAsia="en-GB"/>
              </w:rPr>
              <w:t>2015-17</w:t>
            </w:r>
          </w:p>
        </w:tc>
        <w:tc>
          <w:tcPr>
            <w:tcW w:w="257" w:type="pct"/>
            <w:tcBorders>
              <w:top w:val="nil"/>
              <w:left w:val="nil"/>
              <w:bottom w:val="single" w:sz="4" w:space="0" w:color="auto"/>
              <w:right w:val="single" w:sz="4" w:space="0" w:color="auto"/>
            </w:tcBorders>
            <w:shd w:val="clear" w:color="000000" w:fill="FCD5B4"/>
            <w:noWrap/>
            <w:vAlign w:val="center"/>
            <w:hideMark/>
          </w:tcPr>
          <w:p w:rsidR="004D3DFA" w:rsidRPr="004D3DFA" w:rsidRDefault="004D3DFA" w:rsidP="004D3DFA">
            <w:pPr>
              <w:spacing w:after="0" w:line="240" w:lineRule="auto"/>
              <w:jc w:val="center"/>
              <w:rPr>
                <w:rFonts w:ascii="Calibri" w:eastAsia="Times New Roman" w:hAnsi="Calibri" w:cs="Times New Roman"/>
                <w:color w:val="000000"/>
                <w:sz w:val="16"/>
                <w:szCs w:val="16"/>
                <w:lang w:eastAsia="en-GB"/>
              </w:rPr>
            </w:pPr>
            <w:r w:rsidRPr="004D3DFA">
              <w:rPr>
                <w:rFonts w:ascii="Calibri" w:eastAsia="Times New Roman" w:hAnsi="Calibri" w:cs="Times New Roman"/>
                <w:color w:val="000000"/>
                <w:sz w:val="16"/>
                <w:szCs w:val="16"/>
                <w:lang w:eastAsia="en-GB"/>
              </w:rPr>
              <w:t>-</w:t>
            </w:r>
          </w:p>
        </w:tc>
        <w:tc>
          <w:tcPr>
            <w:tcW w:w="256" w:type="pct"/>
            <w:tcBorders>
              <w:top w:val="nil"/>
              <w:left w:val="nil"/>
              <w:bottom w:val="single" w:sz="4" w:space="0" w:color="auto"/>
              <w:right w:val="single" w:sz="4" w:space="0" w:color="auto"/>
            </w:tcBorders>
            <w:shd w:val="clear" w:color="000000" w:fill="FCD5B4"/>
            <w:noWrap/>
            <w:vAlign w:val="center"/>
            <w:hideMark/>
          </w:tcPr>
          <w:p w:rsidR="004D3DFA" w:rsidRPr="004D3DFA" w:rsidRDefault="004D3DFA" w:rsidP="004D3DFA">
            <w:pPr>
              <w:spacing w:after="0" w:line="240" w:lineRule="auto"/>
              <w:jc w:val="center"/>
              <w:rPr>
                <w:rFonts w:ascii="Calibri" w:eastAsia="Times New Roman" w:hAnsi="Calibri" w:cs="Times New Roman"/>
                <w:color w:val="000000"/>
                <w:sz w:val="16"/>
                <w:szCs w:val="16"/>
                <w:lang w:eastAsia="en-GB"/>
              </w:rPr>
            </w:pPr>
            <w:r w:rsidRPr="004D3DFA">
              <w:rPr>
                <w:rFonts w:ascii="Calibri" w:eastAsia="Times New Roman" w:hAnsi="Calibri" w:cs="Times New Roman"/>
                <w:color w:val="000000"/>
                <w:sz w:val="16"/>
                <w:szCs w:val="16"/>
                <w:lang w:eastAsia="en-GB"/>
              </w:rPr>
              <w:t>3.9 (2)</w:t>
            </w:r>
          </w:p>
        </w:tc>
        <w:tc>
          <w:tcPr>
            <w:tcW w:w="256" w:type="pct"/>
            <w:tcBorders>
              <w:top w:val="nil"/>
              <w:left w:val="nil"/>
              <w:bottom w:val="single" w:sz="4" w:space="0" w:color="auto"/>
              <w:right w:val="single" w:sz="4" w:space="0" w:color="auto"/>
            </w:tcBorders>
            <w:shd w:val="clear" w:color="000000" w:fill="E26B0A"/>
            <w:noWrap/>
            <w:vAlign w:val="center"/>
            <w:hideMark/>
          </w:tcPr>
          <w:p w:rsidR="004D3DFA" w:rsidRPr="004D3DFA" w:rsidRDefault="004D3DFA" w:rsidP="004D3DFA">
            <w:pPr>
              <w:spacing w:after="0" w:line="240" w:lineRule="auto"/>
              <w:jc w:val="center"/>
              <w:rPr>
                <w:rFonts w:ascii="Calibri" w:eastAsia="Times New Roman" w:hAnsi="Calibri" w:cs="Times New Roman"/>
                <w:color w:val="FFFFFF"/>
                <w:sz w:val="16"/>
                <w:szCs w:val="16"/>
                <w:lang w:eastAsia="en-GB"/>
              </w:rPr>
            </w:pPr>
            <w:r w:rsidRPr="004D3DFA">
              <w:rPr>
                <w:rFonts w:ascii="Calibri" w:eastAsia="Times New Roman" w:hAnsi="Calibri" w:cs="Times New Roman"/>
                <w:color w:val="FFFFFF"/>
                <w:sz w:val="16"/>
                <w:szCs w:val="16"/>
                <w:lang w:eastAsia="en-GB"/>
              </w:rPr>
              <w:t>-</w:t>
            </w:r>
          </w:p>
        </w:tc>
        <w:tc>
          <w:tcPr>
            <w:tcW w:w="257" w:type="pct"/>
            <w:tcBorders>
              <w:top w:val="nil"/>
              <w:left w:val="nil"/>
              <w:bottom w:val="single" w:sz="4" w:space="0" w:color="auto"/>
              <w:right w:val="single" w:sz="4" w:space="0" w:color="auto"/>
            </w:tcBorders>
            <w:shd w:val="clear" w:color="000000" w:fill="E26B0A"/>
            <w:noWrap/>
            <w:vAlign w:val="center"/>
            <w:hideMark/>
          </w:tcPr>
          <w:p w:rsidR="004D3DFA" w:rsidRPr="004D3DFA" w:rsidRDefault="004D3DFA" w:rsidP="004D3DFA">
            <w:pPr>
              <w:spacing w:after="0" w:line="240" w:lineRule="auto"/>
              <w:jc w:val="center"/>
              <w:rPr>
                <w:rFonts w:ascii="Calibri" w:eastAsia="Times New Roman" w:hAnsi="Calibri" w:cs="Times New Roman"/>
                <w:color w:val="FFFFFF"/>
                <w:sz w:val="16"/>
                <w:szCs w:val="16"/>
                <w:lang w:eastAsia="en-GB"/>
              </w:rPr>
            </w:pPr>
            <w:r w:rsidRPr="004D3DFA">
              <w:rPr>
                <w:rFonts w:ascii="Calibri" w:eastAsia="Times New Roman" w:hAnsi="Calibri" w:cs="Times New Roman"/>
                <w:color w:val="FFFFFF"/>
                <w:sz w:val="16"/>
                <w:szCs w:val="16"/>
                <w:lang w:eastAsia="en-GB"/>
              </w:rPr>
              <w:t>5.1 (4)</w:t>
            </w:r>
          </w:p>
        </w:tc>
        <w:tc>
          <w:tcPr>
            <w:tcW w:w="256" w:type="pct"/>
            <w:tcBorders>
              <w:top w:val="nil"/>
              <w:left w:val="nil"/>
              <w:bottom w:val="single" w:sz="4" w:space="0" w:color="auto"/>
              <w:right w:val="single" w:sz="4" w:space="0" w:color="auto"/>
            </w:tcBorders>
            <w:shd w:val="clear" w:color="000000" w:fill="974706"/>
            <w:noWrap/>
            <w:vAlign w:val="center"/>
            <w:hideMark/>
          </w:tcPr>
          <w:p w:rsidR="004D3DFA" w:rsidRPr="004D3DFA" w:rsidRDefault="004D3DFA" w:rsidP="004D3DFA">
            <w:pPr>
              <w:spacing w:after="0" w:line="240" w:lineRule="auto"/>
              <w:jc w:val="center"/>
              <w:rPr>
                <w:rFonts w:ascii="Calibri" w:eastAsia="Times New Roman" w:hAnsi="Calibri" w:cs="Times New Roman"/>
                <w:color w:val="FFFFFF"/>
                <w:sz w:val="16"/>
                <w:szCs w:val="16"/>
                <w:lang w:eastAsia="en-GB"/>
              </w:rPr>
            </w:pPr>
            <w:r w:rsidRPr="004D3DFA">
              <w:rPr>
                <w:rFonts w:ascii="Calibri" w:eastAsia="Times New Roman" w:hAnsi="Calibri" w:cs="Times New Roman"/>
                <w:color w:val="FFFFFF"/>
                <w:sz w:val="16"/>
                <w:szCs w:val="16"/>
                <w:lang w:eastAsia="en-GB"/>
              </w:rPr>
              <w:t>-</w:t>
            </w:r>
          </w:p>
        </w:tc>
        <w:tc>
          <w:tcPr>
            <w:tcW w:w="257" w:type="pct"/>
            <w:tcBorders>
              <w:top w:val="nil"/>
              <w:left w:val="nil"/>
              <w:bottom w:val="single" w:sz="4" w:space="0" w:color="auto"/>
              <w:right w:val="single" w:sz="4" w:space="0" w:color="auto"/>
            </w:tcBorders>
            <w:shd w:val="clear" w:color="000000" w:fill="974706"/>
            <w:noWrap/>
            <w:vAlign w:val="center"/>
            <w:hideMark/>
          </w:tcPr>
          <w:p w:rsidR="004D3DFA" w:rsidRPr="004D3DFA" w:rsidRDefault="004D3DFA" w:rsidP="004D3DFA">
            <w:pPr>
              <w:spacing w:after="0" w:line="240" w:lineRule="auto"/>
              <w:jc w:val="center"/>
              <w:rPr>
                <w:rFonts w:ascii="Calibri" w:eastAsia="Times New Roman" w:hAnsi="Calibri" w:cs="Times New Roman"/>
                <w:color w:val="FFFFFF"/>
                <w:sz w:val="16"/>
                <w:szCs w:val="16"/>
                <w:lang w:eastAsia="en-GB"/>
              </w:rPr>
            </w:pPr>
            <w:r w:rsidRPr="004D3DFA">
              <w:rPr>
                <w:rFonts w:ascii="Calibri" w:eastAsia="Times New Roman" w:hAnsi="Calibri" w:cs="Times New Roman"/>
                <w:color w:val="FFFFFF"/>
                <w:sz w:val="16"/>
                <w:szCs w:val="16"/>
                <w:lang w:eastAsia="en-GB"/>
              </w:rPr>
              <w:t>8.4 (5)</w:t>
            </w:r>
          </w:p>
        </w:tc>
        <w:tc>
          <w:tcPr>
            <w:tcW w:w="256" w:type="pct"/>
            <w:tcBorders>
              <w:top w:val="nil"/>
              <w:left w:val="nil"/>
              <w:bottom w:val="single" w:sz="4" w:space="0" w:color="auto"/>
              <w:right w:val="single" w:sz="4" w:space="0" w:color="auto"/>
            </w:tcBorders>
            <w:shd w:val="clear" w:color="000000" w:fill="FDE9D9"/>
            <w:noWrap/>
            <w:vAlign w:val="center"/>
            <w:hideMark/>
          </w:tcPr>
          <w:p w:rsidR="004D3DFA" w:rsidRPr="004D3DFA" w:rsidRDefault="004D3DFA" w:rsidP="004D3DFA">
            <w:pPr>
              <w:spacing w:after="0" w:line="240" w:lineRule="auto"/>
              <w:jc w:val="center"/>
              <w:rPr>
                <w:rFonts w:ascii="Calibri" w:eastAsia="Times New Roman" w:hAnsi="Calibri" w:cs="Times New Roman"/>
                <w:sz w:val="16"/>
                <w:szCs w:val="16"/>
                <w:lang w:eastAsia="en-GB"/>
              </w:rPr>
            </w:pPr>
            <w:r w:rsidRPr="004D3DFA">
              <w:rPr>
                <w:rFonts w:ascii="Calibri" w:eastAsia="Times New Roman" w:hAnsi="Calibri" w:cs="Times New Roman"/>
                <w:sz w:val="16"/>
                <w:szCs w:val="16"/>
                <w:lang w:eastAsia="en-GB"/>
              </w:rPr>
              <w:t>-</w:t>
            </w:r>
          </w:p>
        </w:tc>
        <w:tc>
          <w:tcPr>
            <w:tcW w:w="257" w:type="pct"/>
            <w:tcBorders>
              <w:top w:val="nil"/>
              <w:left w:val="nil"/>
              <w:bottom w:val="single" w:sz="4" w:space="0" w:color="auto"/>
              <w:right w:val="single" w:sz="4" w:space="0" w:color="auto"/>
            </w:tcBorders>
            <w:shd w:val="clear" w:color="000000" w:fill="FDE9D9"/>
            <w:noWrap/>
            <w:vAlign w:val="center"/>
            <w:hideMark/>
          </w:tcPr>
          <w:p w:rsidR="004D3DFA" w:rsidRPr="004D3DFA" w:rsidRDefault="004D3DFA" w:rsidP="004D3DFA">
            <w:pPr>
              <w:spacing w:after="0" w:line="240" w:lineRule="auto"/>
              <w:jc w:val="center"/>
              <w:rPr>
                <w:rFonts w:ascii="Calibri" w:eastAsia="Times New Roman" w:hAnsi="Calibri" w:cs="Times New Roman"/>
                <w:color w:val="000000"/>
                <w:sz w:val="16"/>
                <w:szCs w:val="16"/>
                <w:lang w:eastAsia="en-GB"/>
              </w:rPr>
            </w:pPr>
            <w:r w:rsidRPr="004D3DFA">
              <w:rPr>
                <w:rFonts w:ascii="Calibri" w:eastAsia="Times New Roman" w:hAnsi="Calibri" w:cs="Times New Roman"/>
                <w:color w:val="000000"/>
                <w:sz w:val="16"/>
                <w:szCs w:val="16"/>
                <w:lang w:eastAsia="en-GB"/>
              </w:rPr>
              <w:t>1.6 (1)</w:t>
            </w:r>
          </w:p>
        </w:tc>
        <w:tc>
          <w:tcPr>
            <w:tcW w:w="256" w:type="pct"/>
            <w:tcBorders>
              <w:top w:val="nil"/>
              <w:left w:val="nil"/>
              <w:bottom w:val="single" w:sz="4" w:space="0" w:color="auto"/>
              <w:right w:val="single" w:sz="4" w:space="0" w:color="auto"/>
            </w:tcBorders>
            <w:shd w:val="clear" w:color="000000" w:fill="FDE9D9"/>
            <w:noWrap/>
            <w:vAlign w:val="center"/>
            <w:hideMark/>
          </w:tcPr>
          <w:p w:rsidR="004D3DFA" w:rsidRPr="004D3DFA" w:rsidRDefault="004D3DFA" w:rsidP="004D3DFA">
            <w:pPr>
              <w:spacing w:after="0" w:line="240" w:lineRule="auto"/>
              <w:jc w:val="center"/>
              <w:rPr>
                <w:rFonts w:ascii="Calibri" w:eastAsia="Times New Roman" w:hAnsi="Calibri" w:cs="Times New Roman"/>
                <w:color w:val="000000"/>
                <w:sz w:val="16"/>
                <w:szCs w:val="16"/>
                <w:lang w:eastAsia="en-GB"/>
              </w:rPr>
            </w:pPr>
            <w:r w:rsidRPr="004D3DFA">
              <w:rPr>
                <w:rFonts w:ascii="Calibri" w:eastAsia="Times New Roman" w:hAnsi="Calibri" w:cs="Times New Roman"/>
                <w:color w:val="000000"/>
                <w:sz w:val="16"/>
                <w:szCs w:val="16"/>
                <w:lang w:eastAsia="en-GB"/>
              </w:rPr>
              <w:t>-</w:t>
            </w:r>
          </w:p>
        </w:tc>
        <w:tc>
          <w:tcPr>
            <w:tcW w:w="257" w:type="pct"/>
            <w:tcBorders>
              <w:top w:val="nil"/>
              <w:left w:val="nil"/>
              <w:bottom w:val="single" w:sz="4" w:space="0" w:color="auto"/>
              <w:right w:val="single" w:sz="4" w:space="0" w:color="auto"/>
            </w:tcBorders>
            <w:shd w:val="clear" w:color="000000" w:fill="FDE9D9"/>
            <w:noWrap/>
            <w:vAlign w:val="center"/>
            <w:hideMark/>
          </w:tcPr>
          <w:p w:rsidR="004D3DFA" w:rsidRPr="004D3DFA" w:rsidRDefault="004D3DFA" w:rsidP="004D3DFA">
            <w:pPr>
              <w:spacing w:after="0" w:line="240" w:lineRule="auto"/>
              <w:jc w:val="center"/>
              <w:rPr>
                <w:rFonts w:ascii="Calibri" w:eastAsia="Times New Roman" w:hAnsi="Calibri" w:cs="Times New Roman"/>
                <w:color w:val="000000"/>
                <w:sz w:val="16"/>
                <w:szCs w:val="16"/>
                <w:lang w:eastAsia="en-GB"/>
              </w:rPr>
            </w:pPr>
            <w:r w:rsidRPr="004D3DFA">
              <w:rPr>
                <w:rFonts w:ascii="Calibri" w:eastAsia="Times New Roman" w:hAnsi="Calibri" w:cs="Times New Roman"/>
                <w:color w:val="000000"/>
                <w:sz w:val="16"/>
                <w:szCs w:val="16"/>
                <w:lang w:eastAsia="en-GB"/>
              </w:rPr>
              <w:t>2.4 (1)</w:t>
            </w:r>
          </w:p>
        </w:tc>
        <w:tc>
          <w:tcPr>
            <w:tcW w:w="299" w:type="pct"/>
            <w:tcBorders>
              <w:top w:val="nil"/>
              <w:left w:val="nil"/>
              <w:bottom w:val="single" w:sz="4" w:space="0" w:color="auto"/>
              <w:right w:val="single" w:sz="4" w:space="0" w:color="auto"/>
            </w:tcBorders>
            <w:shd w:val="clear" w:color="000000" w:fill="FCD5B4"/>
            <w:noWrap/>
            <w:vAlign w:val="center"/>
            <w:hideMark/>
          </w:tcPr>
          <w:p w:rsidR="004D3DFA" w:rsidRPr="004D3DFA" w:rsidRDefault="004D3DFA" w:rsidP="004D3DFA">
            <w:pPr>
              <w:spacing w:after="0" w:line="240" w:lineRule="auto"/>
              <w:jc w:val="center"/>
              <w:rPr>
                <w:rFonts w:ascii="Calibri" w:eastAsia="Times New Roman" w:hAnsi="Calibri" w:cs="Times New Roman"/>
                <w:color w:val="000000"/>
                <w:sz w:val="16"/>
                <w:szCs w:val="16"/>
                <w:lang w:eastAsia="en-GB"/>
              </w:rPr>
            </w:pPr>
            <w:r w:rsidRPr="004D3DFA">
              <w:rPr>
                <w:rFonts w:ascii="Calibri" w:eastAsia="Times New Roman" w:hAnsi="Calibri" w:cs="Times New Roman"/>
                <w:color w:val="000000"/>
                <w:sz w:val="16"/>
                <w:szCs w:val="16"/>
                <w:lang w:eastAsia="en-GB"/>
              </w:rPr>
              <w:t>-</w:t>
            </w:r>
          </w:p>
        </w:tc>
        <w:tc>
          <w:tcPr>
            <w:tcW w:w="281" w:type="pct"/>
            <w:tcBorders>
              <w:top w:val="nil"/>
              <w:left w:val="nil"/>
              <w:bottom w:val="single" w:sz="4" w:space="0" w:color="auto"/>
              <w:right w:val="single" w:sz="4" w:space="0" w:color="auto"/>
            </w:tcBorders>
            <w:shd w:val="clear" w:color="000000" w:fill="FCD5B4"/>
            <w:noWrap/>
            <w:vAlign w:val="center"/>
            <w:hideMark/>
          </w:tcPr>
          <w:p w:rsidR="004D3DFA" w:rsidRPr="004D3DFA" w:rsidRDefault="004D3DFA" w:rsidP="004D3DFA">
            <w:pPr>
              <w:spacing w:after="0" w:line="240" w:lineRule="auto"/>
              <w:jc w:val="center"/>
              <w:rPr>
                <w:rFonts w:ascii="Calibri" w:eastAsia="Times New Roman" w:hAnsi="Calibri" w:cs="Times New Roman"/>
                <w:color w:val="000000"/>
                <w:sz w:val="16"/>
                <w:szCs w:val="16"/>
                <w:lang w:eastAsia="en-GB"/>
              </w:rPr>
            </w:pPr>
            <w:r w:rsidRPr="004D3DFA">
              <w:rPr>
                <w:rFonts w:ascii="Calibri" w:eastAsia="Times New Roman" w:hAnsi="Calibri" w:cs="Times New Roman"/>
                <w:color w:val="000000"/>
                <w:sz w:val="16"/>
                <w:szCs w:val="16"/>
                <w:lang w:eastAsia="en-GB"/>
              </w:rPr>
              <w:t>2.7 (2)</w:t>
            </w:r>
          </w:p>
        </w:tc>
        <w:tc>
          <w:tcPr>
            <w:tcW w:w="235" w:type="pct"/>
            <w:tcBorders>
              <w:top w:val="nil"/>
              <w:left w:val="nil"/>
              <w:bottom w:val="single" w:sz="4" w:space="0" w:color="auto"/>
              <w:right w:val="single" w:sz="4" w:space="0" w:color="auto"/>
            </w:tcBorders>
            <w:shd w:val="clear" w:color="000000" w:fill="FDE9D9"/>
            <w:noWrap/>
            <w:vAlign w:val="center"/>
            <w:hideMark/>
          </w:tcPr>
          <w:p w:rsidR="004D3DFA" w:rsidRPr="004D3DFA" w:rsidRDefault="004D3DFA" w:rsidP="004D3DFA">
            <w:pPr>
              <w:spacing w:after="0" w:line="240" w:lineRule="auto"/>
              <w:jc w:val="center"/>
              <w:rPr>
                <w:rFonts w:ascii="Calibri" w:eastAsia="Times New Roman" w:hAnsi="Calibri" w:cs="Times New Roman"/>
                <w:color w:val="000000"/>
                <w:sz w:val="16"/>
                <w:szCs w:val="16"/>
                <w:lang w:eastAsia="en-GB"/>
              </w:rPr>
            </w:pPr>
            <w:r w:rsidRPr="004D3DFA">
              <w:rPr>
                <w:rFonts w:ascii="Calibri" w:eastAsia="Times New Roman" w:hAnsi="Calibri" w:cs="Times New Roman"/>
                <w:color w:val="000000"/>
                <w:sz w:val="16"/>
                <w:szCs w:val="16"/>
                <w:lang w:eastAsia="en-GB"/>
              </w:rPr>
              <w:t>-</w:t>
            </w:r>
          </w:p>
        </w:tc>
        <w:tc>
          <w:tcPr>
            <w:tcW w:w="256" w:type="pct"/>
            <w:tcBorders>
              <w:top w:val="nil"/>
              <w:left w:val="nil"/>
              <w:bottom w:val="single" w:sz="4" w:space="0" w:color="auto"/>
              <w:right w:val="single" w:sz="4" w:space="0" w:color="auto"/>
            </w:tcBorders>
            <w:shd w:val="clear" w:color="000000" w:fill="FDE9D9"/>
            <w:noWrap/>
            <w:vAlign w:val="center"/>
            <w:hideMark/>
          </w:tcPr>
          <w:p w:rsidR="004D3DFA" w:rsidRPr="004D3DFA" w:rsidRDefault="004D3DFA" w:rsidP="004D3DFA">
            <w:pPr>
              <w:spacing w:after="0" w:line="240" w:lineRule="auto"/>
              <w:jc w:val="center"/>
              <w:rPr>
                <w:rFonts w:ascii="Calibri" w:eastAsia="Times New Roman" w:hAnsi="Calibri" w:cs="Times New Roman"/>
                <w:color w:val="000000"/>
                <w:sz w:val="16"/>
                <w:szCs w:val="16"/>
                <w:lang w:eastAsia="en-GB"/>
              </w:rPr>
            </w:pPr>
            <w:r w:rsidRPr="004D3DFA">
              <w:rPr>
                <w:rFonts w:ascii="Calibri" w:eastAsia="Times New Roman" w:hAnsi="Calibri" w:cs="Times New Roman"/>
                <w:color w:val="000000"/>
                <w:sz w:val="16"/>
                <w:szCs w:val="16"/>
                <w:lang w:eastAsia="en-GB"/>
              </w:rPr>
              <w:t>2.6 (1)</w:t>
            </w:r>
          </w:p>
        </w:tc>
        <w:tc>
          <w:tcPr>
            <w:tcW w:w="256" w:type="pct"/>
            <w:tcBorders>
              <w:top w:val="nil"/>
              <w:left w:val="nil"/>
              <w:bottom w:val="single" w:sz="4" w:space="0" w:color="auto"/>
              <w:right w:val="single" w:sz="4" w:space="0" w:color="auto"/>
            </w:tcBorders>
            <w:shd w:val="clear" w:color="000000" w:fill="FFFFFF"/>
            <w:noWrap/>
            <w:vAlign w:val="center"/>
            <w:hideMark/>
          </w:tcPr>
          <w:p w:rsidR="004D3DFA" w:rsidRPr="004D3DFA" w:rsidRDefault="004D3DFA" w:rsidP="004D3DFA">
            <w:pPr>
              <w:spacing w:after="0" w:line="240" w:lineRule="auto"/>
              <w:jc w:val="center"/>
              <w:rPr>
                <w:rFonts w:ascii="Calibri" w:eastAsia="Times New Roman" w:hAnsi="Calibri" w:cs="Times New Roman"/>
                <w:color w:val="000000"/>
                <w:sz w:val="16"/>
                <w:szCs w:val="16"/>
                <w:lang w:eastAsia="en-GB"/>
              </w:rPr>
            </w:pPr>
            <w:r w:rsidRPr="004D3DFA">
              <w:rPr>
                <w:rFonts w:ascii="Calibri" w:eastAsia="Times New Roman" w:hAnsi="Calibri" w:cs="Times New Roman"/>
                <w:color w:val="000000"/>
                <w:sz w:val="16"/>
                <w:szCs w:val="16"/>
                <w:lang w:eastAsia="en-GB"/>
              </w:rPr>
              <w:t>-</w:t>
            </w:r>
          </w:p>
        </w:tc>
        <w:tc>
          <w:tcPr>
            <w:tcW w:w="254" w:type="pct"/>
            <w:tcBorders>
              <w:top w:val="nil"/>
              <w:left w:val="nil"/>
              <w:bottom w:val="single" w:sz="4" w:space="0" w:color="auto"/>
              <w:right w:val="single" w:sz="4" w:space="0" w:color="auto"/>
            </w:tcBorders>
            <w:shd w:val="clear" w:color="auto" w:fill="auto"/>
            <w:noWrap/>
            <w:vAlign w:val="center"/>
            <w:hideMark/>
          </w:tcPr>
          <w:p w:rsidR="004D3DFA" w:rsidRPr="004D3DFA" w:rsidRDefault="004D3DFA" w:rsidP="004D3DFA">
            <w:pPr>
              <w:spacing w:after="0" w:line="240" w:lineRule="auto"/>
              <w:jc w:val="center"/>
              <w:rPr>
                <w:rFonts w:ascii="Calibri" w:eastAsia="Times New Roman" w:hAnsi="Calibri" w:cs="Times New Roman"/>
                <w:color w:val="000000"/>
                <w:sz w:val="16"/>
                <w:szCs w:val="16"/>
                <w:lang w:eastAsia="en-GB"/>
              </w:rPr>
            </w:pPr>
            <w:r w:rsidRPr="004D3DFA">
              <w:rPr>
                <w:rFonts w:ascii="Calibri" w:eastAsia="Times New Roman" w:hAnsi="Calibri" w:cs="Times New Roman"/>
                <w:color w:val="000000"/>
                <w:sz w:val="16"/>
                <w:szCs w:val="16"/>
                <w:lang w:eastAsia="en-GB"/>
              </w:rPr>
              <w:t>4.9</w:t>
            </w:r>
          </w:p>
        </w:tc>
      </w:tr>
      <w:tr w:rsidR="00C37A76" w:rsidRPr="00264F59" w:rsidTr="00C37A76">
        <w:trPr>
          <w:trHeight w:val="300"/>
        </w:trPr>
        <w:tc>
          <w:tcPr>
            <w:tcW w:w="598" w:type="pct"/>
            <w:tcBorders>
              <w:top w:val="nil"/>
              <w:left w:val="single" w:sz="4" w:space="0" w:color="auto"/>
              <w:bottom w:val="single" w:sz="4" w:space="0" w:color="auto"/>
              <w:right w:val="single" w:sz="4" w:space="0" w:color="auto"/>
            </w:tcBorders>
            <w:shd w:val="clear" w:color="auto" w:fill="auto"/>
            <w:noWrap/>
            <w:vAlign w:val="center"/>
            <w:hideMark/>
          </w:tcPr>
          <w:p w:rsidR="004D3DFA" w:rsidRPr="004D3DFA" w:rsidRDefault="004D3DFA" w:rsidP="004D3DFA">
            <w:pPr>
              <w:spacing w:after="0" w:line="240" w:lineRule="auto"/>
              <w:jc w:val="center"/>
              <w:rPr>
                <w:rFonts w:ascii="Calibri" w:eastAsia="Times New Roman" w:hAnsi="Calibri" w:cs="Times New Roman"/>
                <w:color w:val="000000"/>
                <w:sz w:val="16"/>
                <w:szCs w:val="16"/>
                <w:lang w:eastAsia="en-GB"/>
              </w:rPr>
            </w:pPr>
            <w:r w:rsidRPr="004D3DFA">
              <w:rPr>
                <w:rFonts w:ascii="Calibri" w:eastAsia="Times New Roman" w:hAnsi="Calibri" w:cs="Times New Roman"/>
                <w:color w:val="000000"/>
                <w:sz w:val="16"/>
                <w:szCs w:val="16"/>
                <w:lang w:eastAsia="en-GB"/>
              </w:rPr>
              <w:t>Inequality in life expectancy at 65 (Female)</w:t>
            </w:r>
          </w:p>
        </w:tc>
        <w:tc>
          <w:tcPr>
            <w:tcW w:w="256" w:type="pct"/>
            <w:tcBorders>
              <w:top w:val="nil"/>
              <w:left w:val="nil"/>
              <w:bottom w:val="single" w:sz="4" w:space="0" w:color="auto"/>
              <w:right w:val="single" w:sz="4" w:space="0" w:color="auto"/>
            </w:tcBorders>
            <w:shd w:val="clear" w:color="auto" w:fill="auto"/>
            <w:noWrap/>
            <w:vAlign w:val="center"/>
            <w:hideMark/>
          </w:tcPr>
          <w:p w:rsidR="004D3DFA" w:rsidRPr="004D3DFA" w:rsidRDefault="004D3DFA" w:rsidP="004D3DFA">
            <w:pPr>
              <w:spacing w:after="0" w:line="240" w:lineRule="auto"/>
              <w:jc w:val="center"/>
              <w:rPr>
                <w:rFonts w:ascii="Calibri" w:eastAsia="Times New Roman" w:hAnsi="Calibri" w:cs="Times New Roman"/>
                <w:color w:val="000000"/>
                <w:sz w:val="16"/>
                <w:szCs w:val="16"/>
                <w:lang w:eastAsia="en-GB"/>
              </w:rPr>
            </w:pPr>
            <w:r w:rsidRPr="004D3DFA">
              <w:rPr>
                <w:rFonts w:ascii="Calibri" w:eastAsia="Times New Roman" w:hAnsi="Calibri" w:cs="Times New Roman"/>
                <w:color w:val="000000"/>
                <w:sz w:val="16"/>
                <w:szCs w:val="16"/>
                <w:lang w:eastAsia="en-GB"/>
              </w:rPr>
              <w:t>2015-17</w:t>
            </w:r>
          </w:p>
        </w:tc>
        <w:tc>
          <w:tcPr>
            <w:tcW w:w="257" w:type="pct"/>
            <w:tcBorders>
              <w:top w:val="nil"/>
              <w:left w:val="nil"/>
              <w:bottom w:val="single" w:sz="4" w:space="0" w:color="auto"/>
              <w:right w:val="single" w:sz="4" w:space="0" w:color="auto"/>
            </w:tcBorders>
            <w:shd w:val="clear" w:color="000000" w:fill="FABF8F"/>
            <w:noWrap/>
            <w:vAlign w:val="center"/>
            <w:hideMark/>
          </w:tcPr>
          <w:p w:rsidR="004D3DFA" w:rsidRPr="004D3DFA" w:rsidRDefault="004D3DFA" w:rsidP="004D3DFA">
            <w:pPr>
              <w:spacing w:after="0" w:line="240" w:lineRule="auto"/>
              <w:jc w:val="center"/>
              <w:rPr>
                <w:rFonts w:ascii="Calibri" w:eastAsia="Times New Roman" w:hAnsi="Calibri" w:cs="Times New Roman"/>
                <w:color w:val="000000"/>
                <w:sz w:val="16"/>
                <w:szCs w:val="16"/>
                <w:lang w:eastAsia="en-GB"/>
              </w:rPr>
            </w:pPr>
            <w:r w:rsidRPr="004D3DFA">
              <w:rPr>
                <w:rFonts w:ascii="Calibri" w:eastAsia="Times New Roman" w:hAnsi="Calibri" w:cs="Times New Roman"/>
                <w:color w:val="000000"/>
                <w:sz w:val="16"/>
                <w:szCs w:val="16"/>
                <w:lang w:eastAsia="en-GB"/>
              </w:rPr>
              <w:t>-</w:t>
            </w:r>
          </w:p>
        </w:tc>
        <w:tc>
          <w:tcPr>
            <w:tcW w:w="256" w:type="pct"/>
            <w:tcBorders>
              <w:top w:val="nil"/>
              <w:left w:val="nil"/>
              <w:bottom w:val="single" w:sz="4" w:space="0" w:color="auto"/>
              <w:right w:val="single" w:sz="4" w:space="0" w:color="auto"/>
            </w:tcBorders>
            <w:shd w:val="clear" w:color="000000" w:fill="FABF8F"/>
            <w:noWrap/>
            <w:vAlign w:val="center"/>
            <w:hideMark/>
          </w:tcPr>
          <w:p w:rsidR="004D3DFA" w:rsidRPr="004D3DFA" w:rsidRDefault="004D3DFA" w:rsidP="004D3DFA">
            <w:pPr>
              <w:spacing w:after="0" w:line="240" w:lineRule="auto"/>
              <w:jc w:val="center"/>
              <w:rPr>
                <w:rFonts w:ascii="Calibri" w:eastAsia="Times New Roman" w:hAnsi="Calibri" w:cs="Times New Roman"/>
                <w:color w:val="000000"/>
                <w:sz w:val="16"/>
                <w:szCs w:val="16"/>
                <w:lang w:eastAsia="en-GB"/>
              </w:rPr>
            </w:pPr>
            <w:r w:rsidRPr="004D3DFA">
              <w:rPr>
                <w:rFonts w:ascii="Calibri" w:eastAsia="Times New Roman" w:hAnsi="Calibri" w:cs="Times New Roman"/>
                <w:color w:val="000000"/>
                <w:sz w:val="16"/>
                <w:szCs w:val="16"/>
                <w:lang w:eastAsia="en-GB"/>
              </w:rPr>
              <w:t>3.9 (3)</w:t>
            </w:r>
          </w:p>
        </w:tc>
        <w:tc>
          <w:tcPr>
            <w:tcW w:w="256" w:type="pct"/>
            <w:tcBorders>
              <w:top w:val="nil"/>
              <w:left w:val="nil"/>
              <w:bottom w:val="single" w:sz="4" w:space="0" w:color="auto"/>
              <w:right w:val="single" w:sz="4" w:space="0" w:color="auto"/>
            </w:tcBorders>
            <w:shd w:val="clear" w:color="000000" w:fill="E26B0A"/>
            <w:noWrap/>
            <w:vAlign w:val="center"/>
            <w:hideMark/>
          </w:tcPr>
          <w:p w:rsidR="004D3DFA" w:rsidRPr="004D3DFA" w:rsidRDefault="004D3DFA" w:rsidP="004D3DFA">
            <w:pPr>
              <w:spacing w:after="0" w:line="240" w:lineRule="auto"/>
              <w:jc w:val="center"/>
              <w:rPr>
                <w:rFonts w:ascii="Calibri" w:eastAsia="Times New Roman" w:hAnsi="Calibri" w:cs="Times New Roman"/>
                <w:color w:val="FFFFFF"/>
                <w:sz w:val="16"/>
                <w:szCs w:val="16"/>
                <w:lang w:eastAsia="en-GB"/>
              </w:rPr>
            </w:pPr>
            <w:r w:rsidRPr="004D3DFA">
              <w:rPr>
                <w:rFonts w:ascii="Calibri" w:eastAsia="Times New Roman" w:hAnsi="Calibri" w:cs="Times New Roman"/>
                <w:color w:val="FFFFFF"/>
                <w:sz w:val="16"/>
                <w:szCs w:val="16"/>
                <w:lang w:eastAsia="en-GB"/>
              </w:rPr>
              <w:t>-</w:t>
            </w:r>
          </w:p>
        </w:tc>
        <w:tc>
          <w:tcPr>
            <w:tcW w:w="257" w:type="pct"/>
            <w:tcBorders>
              <w:top w:val="nil"/>
              <w:left w:val="nil"/>
              <w:bottom w:val="single" w:sz="4" w:space="0" w:color="auto"/>
              <w:right w:val="single" w:sz="4" w:space="0" w:color="auto"/>
            </w:tcBorders>
            <w:shd w:val="clear" w:color="000000" w:fill="E26B0A"/>
            <w:noWrap/>
            <w:vAlign w:val="center"/>
            <w:hideMark/>
          </w:tcPr>
          <w:p w:rsidR="004D3DFA" w:rsidRPr="004D3DFA" w:rsidRDefault="004D3DFA" w:rsidP="004D3DFA">
            <w:pPr>
              <w:spacing w:after="0" w:line="240" w:lineRule="auto"/>
              <w:jc w:val="center"/>
              <w:rPr>
                <w:rFonts w:ascii="Calibri" w:eastAsia="Times New Roman" w:hAnsi="Calibri" w:cs="Times New Roman"/>
                <w:color w:val="FFFFFF"/>
                <w:sz w:val="16"/>
                <w:szCs w:val="16"/>
                <w:lang w:eastAsia="en-GB"/>
              </w:rPr>
            </w:pPr>
            <w:r w:rsidRPr="004D3DFA">
              <w:rPr>
                <w:rFonts w:ascii="Calibri" w:eastAsia="Times New Roman" w:hAnsi="Calibri" w:cs="Times New Roman"/>
                <w:color w:val="FFFFFF"/>
                <w:sz w:val="16"/>
                <w:szCs w:val="16"/>
                <w:lang w:eastAsia="en-GB"/>
              </w:rPr>
              <w:t>4.7 (4)</w:t>
            </w:r>
          </w:p>
        </w:tc>
        <w:tc>
          <w:tcPr>
            <w:tcW w:w="256" w:type="pct"/>
            <w:tcBorders>
              <w:top w:val="nil"/>
              <w:left w:val="nil"/>
              <w:bottom w:val="single" w:sz="4" w:space="0" w:color="auto"/>
              <w:right w:val="single" w:sz="4" w:space="0" w:color="auto"/>
            </w:tcBorders>
            <w:shd w:val="clear" w:color="000000" w:fill="974706"/>
            <w:noWrap/>
            <w:vAlign w:val="center"/>
            <w:hideMark/>
          </w:tcPr>
          <w:p w:rsidR="004D3DFA" w:rsidRPr="004D3DFA" w:rsidRDefault="004D3DFA" w:rsidP="004D3DFA">
            <w:pPr>
              <w:spacing w:after="0" w:line="240" w:lineRule="auto"/>
              <w:jc w:val="center"/>
              <w:rPr>
                <w:rFonts w:ascii="Calibri" w:eastAsia="Times New Roman" w:hAnsi="Calibri" w:cs="Times New Roman"/>
                <w:color w:val="FFFFFF"/>
                <w:sz w:val="16"/>
                <w:szCs w:val="16"/>
                <w:lang w:eastAsia="en-GB"/>
              </w:rPr>
            </w:pPr>
            <w:r w:rsidRPr="004D3DFA">
              <w:rPr>
                <w:rFonts w:ascii="Calibri" w:eastAsia="Times New Roman" w:hAnsi="Calibri" w:cs="Times New Roman"/>
                <w:color w:val="FFFFFF"/>
                <w:sz w:val="16"/>
                <w:szCs w:val="16"/>
                <w:lang w:eastAsia="en-GB"/>
              </w:rPr>
              <w:t>-</w:t>
            </w:r>
          </w:p>
        </w:tc>
        <w:tc>
          <w:tcPr>
            <w:tcW w:w="257" w:type="pct"/>
            <w:tcBorders>
              <w:top w:val="nil"/>
              <w:left w:val="nil"/>
              <w:bottom w:val="single" w:sz="4" w:space="0" w:color="auto"/>
              <w:right w:val="single" w:sz="4" w:space="0" w:color="auto"/>
            </w:tcBorders>
            <w:shd w:val="clear" w:color="000000" w:fill="974706"/>
            <w:noWrap/>
            <w:vAlign w:val="center"/>
            <w:hideMark/>
          </w:tcPr>
          <w:p w:rsidR="004D3DFA" w:rsidRPr="004D3DFA" w:rsidRDefault="004D3DFA" w:rsidP="004D3DFA">
            <w:pPr>
              <w:spacing w:after="0" w:line="240" w:lineRule="auto"/>
              <w:jc w:val="center"/>
              <w:rPr>
                <w:rFonts w:ascii="Calibri" w:eastAsia="Times New Roman" w:hAnsi="Calibri" w:cs="Times New Roman"/>
                <w:color w:val="FFFFFF"/>
                <w:sz w:val="16"/>
                <w:szCs w:val="16"/>
                <w:lang w:eastAsia="en-GB"/>
              </w:rPr>
            </w:pPr>
            <w:r w:rsidRPr="004D3DFA">
              <w:rPr>
                <w:rFonts w:ascii="Calibri" w:eastAsia="Times New Roman" w:hAnsi="Calibri" w:cs="Times New Roman"/>
                <w:color w:val="FFFFFF"/>
                <w:sz w:val="16"/>
                <w:szCs w:val="16"/>
                <w:lang w:eastAsia="en-GB"/>
              </w:rPr>
              <w:t>8.8 (5)</w:t>
            </w:r>
          </w:p>
        </w:tc>
        <w:tc>
          <w:tcPr>
            <w:tcW w:w="256" w:type="pct"/>
            <w:tcBorders>
              <w:top w:val="nil"/>
              <w:left w:val="nil"/>
              <w:bottom w:val="single" w:sz="4" w:space="0" w:color="auto"/>
              <w:right w:val="single" w:sz="4" w:space="0" w:color="auto"/>
            </w:tcBorders>
            <w:shd w:val="clear" w:color="000000" w:fill="FDE9D9"/>
            <w:noWrap/>
            <w:vAlign w:val="center"/>
            <w:hideMark/>
          </w:tcPr>
          <w:p w:rsidR="004D3DFA" w:rsidRPr="004D3DFA" w:rsidRDefault="004D3DFA" w:rsidP="004D3DFA">
            <w:pPr>
              <w:spacing w:after="0" w:line="240" w:lineRule="auto"/>
              <w:jc w:val="center"/>
              <w:rPr>
                <w:rFonts w:ascii="Calibri" w:eastAsia="Times New Roman" w:hAnsi="Calibri" w:cs="Times New Roman"/>
                <w:sz w:val="16"/>
                <w:szCs w:val="16"/>
                <w:lang w:eastAsia="en-GB"/>
              </w:rPr>
            </w:pPr>
            <w:r w:rsidRPr="004D3DFA">
              <w:rPr>
                <w:rFonts w:ascii="Calibri" w:eastAsia="Times New Roman" w:hAnsi="Calibri" w:cs="Times New Roman"/>
                <w:sz w:val="16"/>
                <w:szCs w:val="16"/>
                <w:lang w:eastAsia="en-GB"/>
              </w:rPr>
              <w:t>-</w:t>
            </w:r>
          </w:p>
        </w:tc>
        <w:tc>
          <w:tcPr>
            <w:tcW w:w="257" w:type="pct"/>
            <w:tcBorders>
              <w:top w:val="nil"/>
              <w:left w:val="nil"/>
              <w:bottom w:val="single" w:sz="4" w:space="0" w:color="auto"/>
              <w:right w:val="single" w:sz="4" w:space="0" w:color="auto"/>
            </w:tcBorders>
            <w:shd w:val="clear" w:color="000000" w:fill="FDE9D9"/>
            <w:noWrap/>
            <w:vAlign w:val="center"/>
            <w:hideMark/>
          </w:tcPr>
          <w:p w:rsidR="004D3DFA" w:rsidRPr="004D3DFA" w:rsidRDefault="004D3DFA" w:rsidP="004D3DFA">
            <w:pPr>
              <w:spacing w:after="0" w:line="240" w:lineRule="auto"/>
              <w:jc w:val="center"/>
              <w:rPr>
                <w:rFonts w:ascii="Calibri" w:eastAsia="Times New Roman" w:hAnsi="Calibri" w:cs="Times New Roman"/>
                <w:color w:val="000000"/>
                <w:sz w:val="16"/>
                <w:szCs w:val="16"/>
                <w:lang w:eastAsia="en-GB"/>
              </w:rPr>
            </w:pPr>
            <w:r w:rsidRPr="004D3DFA">
              <w:rPr>
                <w:rFonts w:ascii="Calibri" w:eastAsia="Times New Roman" w:hAnsi="Calibri" w:cs="Times New Roman"/>
                <w:color w:val="000000"/>
                <w:sz w:val="16"/>
                <w:szCs w:val="16"/>
                <w:lang w:eastAsia="en-GB"/>
              </w:rPr>
              <w:t>1.7 (1)</w:t>
            </w:r>
          </w:p>
        </w:tc>
        <w:tc>
          <w:tcPr>
            <w:tcW w:w="256" w:type="pct"/>
            <w:tcBorders>
              <w:top w:val="nil"/>
              <w:left w:val="nil"/>
              <w:bottom w:val="single" w:sz="4" w:space="0" w:color="auto"/>
              <w:right w:val="single" w:sz="4" w:space="0" w:color="auto"/>
            </w:tcBorders>
            <w:shd w:val="clear" w:color="000000" w:fill="FDE9D9"/>
            <w:noWrap/>
            <w:vAlign w:val="center"/>
            <w:hideMark/>
          </w:tcPr>
          <w:p w:rsidR="004D3DFA" w:rsidRPr="004D3DFA" w:rsidRDefault="004D3DFA" w:rsidP="004D3DFA">
            <w:pPr>
              <w:spacing w:after="0" w:line="240" w:lineRule="auto"/>
              <w:jc w:val="center"/>
              <w:rPr>
                <w:rFonts w:ascii="Calibri" w:eastAsia="Times New Roman" w:hAnsi="Calibri" w:cs="Times New Roman"/>
                <w:color w:val="000000"/>
                <w:sz w:val="16"/>
                <w:szCs w:val="16"/>
                <w:lang w:eastAsia="en-GB"/>
              </w:rPr>
            </w:pPr>
            <w:r w:rsidRPr="004D3DFA">
              <w:rPr>
                <w:rFonts w:ascii="Calibri" w:eastAsia="Times New Roman" w:hAnsi="Calibri" w:cs="Times New Roman"/>
                <w:color w:val="000000"/>
                <w:sz w:val="16"/>
                <w:szCs w:val="16"/>
                <w:lang w:eastAsia="en-GB"/>
              </w:rPr>
              <w:t>-</w:t>
            </w:r>
          </w:p>
        </w:tc>
        <w:tc>
          <w:tcPr>
            <w:tcW w:w="257" w:type="pct"/>
            <w:tcBorders>
              <w:top w:val="nil"/>
              <w:left w:val="nil"/>
              <w:bottom w:val="single" w:sz="4" w:space="0" w:color="auto"/>
              <w:right w:val="single" w:sz="4" w:space="0" w:color="auto"/>
            </w:tcBorders>
            <w:shd w:val="clear" w:color="000000" w:fill="FDE9D9"/>
            <w:noWrap/>
            <w:vAlign w:val="center"/>
            <w:hideMark/>
          </w:tcPr>
          <w:p w:rsidR="004D3DFA" w:rsidRPr="004D3DFA" w:rsidRDefault="004D3DFA" w:rsidP="004D3DFA">
            <w:pPr>
              <w:spacing w:after="0" w:line="240" w:lineRule="auto"/>
              <w:jc w:val="center"/>
              <w:rPr>
                <w:rFonts w:ascii="Calibri" w:eastAsia="Times New Roman" w:hAnsi="Calibri" w:cs="Times New Roman"/>
                <w:color w:val="000000"/>
                <w:sz w:val="16"/>
                <w:szCs w:val="16"/>
                <w:lang w:eastAsia="en-GB"/>
              </w:rPr>
            </w:pPr>
            <w:r w:rsidRPr="004D3DFA">
              <w:rPr>
                <w:rFonts w:ascii="Calibri" w:eastAsia="Times New Roman" w:hAnsi="Calibri" w:cs="Times New Roman"/>
                <w:color w:val="000000"/>
                <w:sz w:val="16"/>
                <w:szCs w:val="16"/>
                <w:lang w:eastAsia="en-GB"/>
              </w:rPr>
              <w:t>1.0 (1)</w:t>
            </w:r>
          </w:p>
        </w:tc>
        <w:tc>
          <w:tcPr>
            <w:tcW w:w="299" w:type="pct"/>
            <w:tcBorders>
              <w:top w:val="nil"/>
              <w:left w:val="nil"/>
              <w:bottom w:val="single" w:sz="4" w:space="0" w:color="auto"/>
              <w:right w:val="single" w:sz="4" w:space="0" w:color="auto"/>
            </w:tcBorders>
            <w:shd w:val="clear" w:color="000000" w:fill="FABF8F"/>
            <w:noWrap/>
            <w:vAlign w:val="center"/>
            <w:hideMark/>
          </w:tcPr>
          <w:p w:rsidR="004D3DFA" w:rsidRPr="004D3DFA" w:rsidRDefault="004D3DFA" w:rsidP="004D3DFA">
            <w:pPr>
              <w:spacing w:after="0" w:line="240" w:lineRule="auto"/>
              <w:jc w:val="center"/>
              <w:rPr>
                <w:rFonts w:ascii="Calibri" w:eastAsia="Times New Roman" w:hAnsi="Calibri" w:cs="Times New Roman"/>
                <w:color w:val="000000"/>
                <w:sz w:val="16"/>
                <w:szCs w:val="16"/>
                <w:lang w:eastAsia="en-GB"/>
              </w:rPr>
            </w:pPr>
            <w:r w:rsidRPr="004D3DFA">
              <w:rPr>
                <w:rFonts w:ascii="Calibri" w:eastAsia="Times New Roman" w:hAnsi="Calibri" w:cs="Times New Roman"/>
                <w:color w:val="000000"/>
                <w:sz w:val="16"/>
                <w:szCs w:val="16"/>
                <w:lang w:eastAsia="en-GB"/>
              </w:rPr>
              <w:t>-</w:t>
            </w:r>
          </w:p>
        </w:tc>
        <w:tc>
          <w:tcPr>
            <w:tcW w:w="281" w:type="pct"/>
            <w:tcBorders>
              <w:top w:val="nil"/>
              <w:left w:val="nil"/>
              <w:bottom w:val="single" w:sz="4" w:space="0" w:color="auto"/>
              <w:right w:val="single" w:sz="4" w:space="0" w:color="auto"/>
            </w:tcBorders>
            <w:shd w:val="clear" w:color="000000" w:fill="FABF8F"/>
            <w:noWrap/>
            <w:vAlign w:val="center"/>
            <w:hideMark/>
          </w:tcPr>
          <w:p w:rsidR="004D3DFA" w:rsidRPr="004D3DFA" w:rsidRDefault="004D3DFA" w:rsidP="004D3DFA">
            <w:pPr>
              <w:spacing w:after="0" w:line="240" w:lineRule="auto"/>
              <w:jc w:val="center"/>
              <w:rPr>
                <w:rFonts w:ascii="Calibri" w:eastAsia="Times New Roman" w:hAnsi="Calibri" w:cs="Times New Roman"/>
                <w:color w:val="000000"/>
                <w:sz w:val="16"/>
                <w:szCs w:val="16"/>
                <w:lang w:eastAsia="en-GB"/>
              </w:rPr>
            </w:pPr>
            <w:r w:rsidRPr="004D3DFA">
              <w:rPr>
                <w:rFonts w:ascii="Calibri" w:eastAsia="Times New Roman" w:hAnsi="Calibri" w:cs="Times New Roman"/>
                <w:color w:val="000000"/>
                <w:sz w:val="16"/>
                <w:szCs w:val="16"/>
                <w:lang w:eastAsia="en-GB"/>
              </w:rPr>
              <w:t>3.8 (3)</w:t>
            </w:r>
          </w:p>
        </w:tc>
        <w:tc>
          <w:tcPr>
            <w:tcW w:w="235" w:type="pct"/>
            <w:tcBorders>
              <w:top w:val="nil"/>
              <w:left w:val="nil"/>
              <w:bottom w:val="single" w:sz="4" w:space="0" w:color="auto"/>
              <w:right w:val="single" w:sz="4" w:space="0" w:color="auto"/>
            </w:tcBorders>
            <w:shd w:val="clear" w:color="000000" w:fill="FDE9D9"/>
            <w:noWrap/>
            <w:vAlign w:val="center"/>
            <w:hideMark/>
          </w:tcPr>
          <w:p w:rsidR="004D3DFA" w:rsidRPr="004D3DFA" w:rsidRDefault="004D3DFA" w:rsidP="004D3DFA">
            <w:pPr>
              <w:spacing w:after="0" w:line="240" w:lineRule="auto"/>
              <w:jc w:val="center"/>
              <w:rPr>
                <w:rFonts w:ascii="Calibri" w:eastAsia="Times New Roman" w:hAnsi="Calibri" w:cs="Times New Roman"/>
                <w:color w:val="000000"/>
                <w:sz w:val="16"/>
                <w:szCs w:val="16"/>
                <w:lang w:eastAsia="en-GB"/>
              </w:rPr>
            </w:pPr>
            <w:r w:rsidRPr="004D3DFA">
              <w:rPr>
                <w:rFonts w:ascii="Calibri" w:eastAsia="Times New Roman" w:hAnsi="Calibri" w:cs="Times New Roman"/>
                <w:color w:val="000000"/>
                <w:sz w:val="16"/>
                <w:szCs w:val="16"/>
                <w:lang w:eastAsia="en-GB"/>
              </w:rPr>
              <w:t>-</w:t>
            </w:r>
          </w:p>
        </w:tc>
        <w:tc>
          <w:tcPr>
            <w:tcW w:w="256" w:type="pct"/>
            <w:tcBorders>
              <w:top w:val="nil"/>
              <w:left w:val="nil"/>
              <w:bottom w:val="single" w:sz="4" w:space="0" w:color="auto"/>
              <w:right w:val="single" w:sz="4" w:space="0" w:color="auto"/>
            </w:tcBorders>
            <w:shd w:val="clear" w:color="000000" w:fill="FDE9D9"/>
            <w:noWrap/>
            <w:vAlign w:val="center"/>
            <w:hideMark/>
          </w:tcPr>
          <w:p w:rsidR="004D3DFA" w:rsidRPr="004D3DFA" w:rsidRDefault="004D3DFA" w:rsidP="004D3DFA">
            <w:pPr>
              <w:spacing w:after="0" w:line="240" w:lineRule="auto"/>
              <w:jc w:val="center"/>
              <w:rPr>
                <w:rFonts w:ascii="Calibri" w:eastAsia="Times New Roman" w:hAnsi="Calibri" w:cs="Times New Roman"/>
                <w:color w:val="000000"/>
                <w:sz w:val="16"/>
                <w:szCs w:val="16"/>
                <w:lang w:eastAsia="en-GB"/>
              </w:rPr>
            </w:pPr>
            <w:r w:rsidRPr="004D3DFA">
              <w:rPr>
                <w:rFonts w:ascii="Calibri" w:eastAsia="Times New Roman" w:hAnsi="Calibri" w:cs="Times New Roman"/>
                <w:color w:val="000000"/>
                <w:sz w:val="16"/>
                <w:szCs w:val="16"/>
                <w:lang w:eastAsia="en-GB"/>
              </w:rPr>
              <w:t>1.1 (1)</w:t>
            </w:r>
          </w:p>
        </w:tc>
        <w:tc>
          <w:tcPr>
            <w:tcW w:w="256" w:type="pct"/>
            <w:tcBorders>
              <w:top w:val="nil"/>
              <w:left w:val="nil"/>
              <w:bottom w:val="single" w:sz="4" w:space="0" w:color="auto"/>
              <w:right w:val="single" w:sz="4" w:space="0" w:color="auto"/>
            </w:tcBorders>
            <w:shd w:val="clear" w:color="000000" w:fill="FFFFFF"/>
            <w:noWrap/>
            <w:vAlign w:val="center"/>
            <w:hideMark/>
          </w:tcPr>
          <w:p w:rsidR="004D3DFA" w:rsidRPr="004D3DFA" w:rsidRDefault="004D3DFA" w:rsidP="004D3DFA">
            <w:pPr>
              <w:spacing w:after="0" w:line="240" w:lineRule="auto"/>
              <w:jc w:val="center"/>
              <w:rPr>
                <w:rFonts w:ascii="Calibri" w:eastAsia="Times New Roman" w:hAnsi="Calibri" w:cs="Times New Roman"/>
                <w:color w:val="000000"/>
                <w:sz w:val="16"/>
                <w:szCs w:val="16"/>
                <w:lang w:eastAsia="en-GB"/>
              </w:rPr>
            </w:pPr>
            <w:r w:rsidRPr="004D3DFA">
              <w:rPr>
                <w:rFonts w:ascii="Calibri" w:eastAsia="Times New Roman" w:hAnsi="Calibri" w:cs="Times New Roman"/>
                <w:color w:val="000000"/>
                <w:sz w:val="16"/>
                <w:szCs w:val="16"/>
                <w:lang w:eastAsia="en-GB"/>
              </w:rPr>
              <w:t>-</w:t>
            </w:r>
          </w:p>
        </w:tc>
        <w:tc>
          <w:tcPr>
            <w:tcW w:w="254" w:type="pct"/>
            <w:tcBorders>
              <w:top w:val="nil"/>
              <w:left w:val="nil"/>
              <w:bottom w:val="single" w:sz="4" w:space="0" w:color="auto"/>
              <w:right w:val="single" w:sz="4" w:space="0" w:color="auto"/>
            </w:tcBorders>
            <w:shd w:val="clear" w:color="auto" w:fill="auto"/>
            <w:noWrap/>
            <w:vAlign w:val="center"/>
            <w:hideMark/>
          </w:tcPr>
          <w:p w:rsidR="004D3DFA" w:rsidRPr="004D3DFA" w:rsidRDefault="004D3DFA" w:rsidP="004D3DFA">
            <w:pPr>
              <w:spacing w:after="0" w:line="240" w:lineRule="auto"/>
              <w:jc w:val="center"/>
              <w:rPr>
                <w:rFonts w:ascii="Calibri" w:eastAsia="Times New Roman" w:hAnsi="Calibri" w:cs="Times New Roman"/>
                <w:color w:val="000000"/>
                <w:sz w:val="16"/>
                <w:szCs w:val="16"/>
                <w:lang w:eastAsia="en-GB"/>
              </w:rPr>
            </w:pPr>
            <w:r w:rsidRPr="004D3DFA">
              <w:rPr>
                <w:rFonts w:ascii="Calibri" w:eastAsia="Times New Roman" w:hAnsi="Calibri" w:cs="Times New Roman"/>
                <w:color w:val="000000"/>
                <w:sz w:val="16"/>
                <w:szCs w:val="16"/>
                <w:lang w:eastAsia="en-GB"/>
              </w:rPr>
              <w:t>4.5</w:t>
            </w:r>
          </w:p>
        </w:tc>
      </w:tr>
      <w:tr w:rsidR="00C37A76" w:rsidRPr="00264F59" w:rsidTr="00C37A76">
        <w:trPr>
          <w:trHeight w:val="300"/>
        </w:trPr>
        <w:tc>
          <w:tcPr>
            <w:tcW w:w="598" w:type="pct"/>
            <w:tcBorders>
              <w:top w:val="nil"/>
              <w:left w:val="single" w:sz="4" w:space="0" w:color="auto"/>
              <w:bottom w:val="single" w:sz="4" w:space="0" w:color="auto"/>
              <w:right w:val="single" w:sz="4" w:space="0" w:color="auto"/>
            </w:tcBorders>
            <w:shd w:val="clear" w:color="auto" w:fill="auto"/>
            <w:noWrap/>
            <w:vAlign w:val="center"/>
            <w:hideMark/>
          </w:tcPr>
          <w:p w:rsidR="004D3DFA" w:rsidRPr="004D3DFA" w:rsidRDefault="004D3DFA" w:rsidP="004D3DFA">
            <w:pPr>
              <w:spacing w:after="0" w:line="240" w:lineRule="auto"/>
              <w:jc w:val="center"/>
              <w:rPr>
                <w:rFonts w:ascii="Calibri" w:eastAsia="Times New Roman" w:hAnsi="Calibri" w:cs="Times New Roman"/>
                <w:color w:val="000000"/>
                <w:sz w:val="16"/>
                <w:szCs w:val="16"/>
                <w:lang w:eastAsia="en-GB"/>
              </w:rPr>
            </w:pPr>
            <w:r w:rsidRPr="004D3DFA">
              <w:rPr>
                <w:rFonts w:ascii="Calibri" w:eastAsia="Times New Roman" w:hAnsi="Calibri" w:cs="Times New Roman"/>
                <w:color w:val="000000"/>
                <w:sz w:val="16"/>
                <w:szCs w:val="16"/>
                <w:lang w:eastAsia="en-GB"/>
              </w:rPr>
              <w:t xml:space="preserve">Smoking prevalence in adults 18+ </w:t>
            </w:r>
          </w:p>
        </w:tc>
        <w:tc>
          <w:tcPr>
            <w:tcW w:w="256" w:type="pct"/>
            <w:tcBorders>
              <w:top w:val="nil"/>
              <w:left w:val="nil"/>
              <w:bottom w:val="single" w:sz="4" w:space="0" w:color="auto"/>
              <w:right w:val="single" w:sz="4" w:space="0" w:color="auto"/>
            </w:tcBorders>
            <w:shd w:val="clear" w:color="auto" w:fill="auto"/>
            <w:noWrap/>
            <w:vAlign w:val="center"/>
            <w:hideMark/>
          </w:tcPr>
          <w:p w:rsidR="004D3DFA" w:rsidRPr="004D3DFA" w:rsidRDefault="004D3DFA" w:rsidP="004D3DFA">
            <w:pPr>
              <w:spacing w:after="0" w:line="240" w:lineRule="auto"/>
              <w:jc w:val="center"/>
              <w:rPr>
                <w:rFonts w:ascii="Calibri" w:eastAsia="Times New Roman" w:hAnsi="Calibri" w:cs="Times New Roman"/>
                <w:color w:val="000000"/>
                <w:sz w:val="16"/>
                <w:szCs w:val="16"/>
                <w:lang w:eastAsia="en-GB"/>
              </w:rPr>
            </w:pPr>
            <w:r w:rsidRPr="004D3DFA">
              <w:rPr>
                <w:rFonts w:ascii="Calibri" w:eastAsia="Times New Roman" w:hAnsi="Calibri" w:cs="Times New Roman"/>
                <w:color w:val="000000"/>
                <w:sz w:val="16"/>
                <w:szCs w:val="16"/>
                <w:lang w:eastAsia="en-GB"/>
              </w:rPr>
              <w:t>2017</w:t>
            </w:r>
          </w:p>
        </w:tc>
        <w:tc>
          <w:tcPr>
            <w:tcW w:w="257" w:type="pct"/>
            <w:tcBorders>
              <w:top w:val="nil"/>
              <w:left w:val="nil"/>
              <w:bottom w:val="single" w:sz="4" w:space="0" w:color="auto"/>
              <w:right w:val="single" w:sz="4" w:space="0" w:color="auto"/>
            </w:tcBorders>
            <w:shd w:val="clear" w:color="000000" w:fill="FFFF99"/>
            <w:noWrap/>
            <w:vAlign w:val="center"/>
            <w:hideMark/>
          </w:tcPr>
          <w:p w:rsidR="004D3DFA" w:rsidRPr="004D3DFA" w:rsidRDefault="004D3DFA" w:rsidP="004D3DFA">
            <w:pPr>
              <w:spacing w:after="0" w:line="240" w:lineRule="auto"/>
              <w:jc w:val="center"/>
              <w:rPr>
                <w:rFonts w:ascii="Calibri" w:eastAsia="Times New Roman" w:hAnsi="Calibri" w:cs="Times New Roman"/>
                <w:color w:val="000000"/>
                <w:sz w:val="16"/>
                <w:szCs w:val="16"/>
                <w:lang w:eastAsia="en-GB"/>
              </w:rPr>
            </w:pPr>
            <w:r w:rsidRPr="004D3DFA">
              <w:rPr>
                <w:rFonts w:ascii="Calibri" w:eastAsia="Times New Roman" w:hAnsi="Calibri" w:cs="Times New Roman"/>
                <w:color w:val="000000"/>
                <w:sz w:val="16"/>
                <w:szCs w:val="16"/>
                <w:lang w:eastAsia="en-GB"/>
              </w:rPr>
              <w:t>74,710</w:t>
            </w:r>
          </w:p>
        </w:tc>
        <w:tc>
          <w:tcPr>
            <w:tcW w:w="256" w:type="pct"/>
            <w:tcBorders>
              <w:top w:val="nil"/>
              <w:left w:val="nil"/>
              <w:bottom w:val="single" w:sz="4" w:space="0" w:color="auto"/>
              <w:right w:val="single" w:sz="4" w:space="0" w:color="auto"/>
            </w:tcBorders>
            <w:shd w:val="clear" w:color="000000" w:fill="FFFF99"/>
            <w:noWrap/>
            <w:vAlign w:val="center"/>
            <w:hideMark/>
          </w:tcPr>
          <w:p w:rsidR="004D3DFA" w:rsidRPr="004D3DFA" w:rsidRDefault="004D3DFA" w:rsidP="004D3DFA">
            <w:pPr>
              <w:spacing w:after="0" w:line="240" w:lineRule="auto"/>
              <w:jc w:val="center"/>
              <w:rPr>
                <w:rFonts w:ascii="Calibri" w:eastAsia="Times New Roman" w:hAnsi="Calibri" w:cs="Times New Roman"/>
                <w:color w:val="000000"/>
                <w:sz w:val="16"/>
                <w:szCs w:val="16"/>
                <w:lang w:eastAsia="en-GB"/>
              </w:rPr>
            </w:pPr>
            <w:r w:rsidRPr="004D3DFA">
              <w:rPr>
                <w:rFonts w:ascii="Calibri" w:eastAsia="Times New Roman" w:hAnsi="Calibri" w:cs="Times New Roman"/>
                <w:color w:val="000000"/>
                <w:sz w:val="16"/>
                <w:szCs w:val="16"/>
                <w:lang w:eastAsia="en-GB"/>
              </w:rPr>
              <w:t>14.5%</w:t>
            </w:r>
          </w:p>
        </w:tc>
        <w:tc>
          <w:tcPr>
            <w:tcW w:w="256" w:type="pct"/>
            <w:tcBorders>
              <w:top w:val="nil"/>
              <w:left w:val="nil"/>
              <w:bottom w:val="single" w:sz="4" w:space="0" w:color="auto"/>
              <w:right w:val="single" w:sz="4" w:space="0" w:color="auto"/>
            </w:tcBorders>
            <w:shd w:val="clear" w:color="000000" w:fill="FFFF99"/>
            <w:noWrap/>
            <w:vAlign w:val="center"/>
            <w:hideMark/>
          </w:tcPr>
          <w:p w:rsidR="004D3DFA" w:rsidRPr="004D3DFA" w:rsidRDefault="004D3DFA" w:rsidP="004D3DFA">
            <w:pPr>
              <w:spacing w:after="0" w:line="240" w:lineRule="auto"/>
              <w:jc w:val="center"/>
              <w:rPr>
                <w:rFonts w:ascii="Calibri" w:eastAsia="Times New Roman" w:hAnsi="Calibri" w:cs="Times New Roman"/>
                <w:color w:val="000000"/>
                <w:sz w:val="16"/>
                <w:szCs w:val="16"/>
                <w:lang w:eastAsia="en-GB"/>
              </w:rPr>
            </w:pPr>
            <w:r w:rsidRPr="004D3DFA">
              <w:rPr>
                <w:rFonts w:ascii="Calibri" w:eastAsia="Times New Roman" w:hAnsi="Calibri" w:cs="Times New Roman"/>
                <w:color w:val="000000"/>
                <w:sz w:val="16"/>
                <w:szCs w:val="16"/>
                <w:lang w:eastAsia="en-GB"/>
              </w:rPr>
              <w:t>26,226</w:t>
            </w:r>
          </w:p>
        </w:tc>
        <w:tc>
          <w:tcPr>
            <w:tcW w:w="257" w:type="pct"/>
            <w:tcBorders>
              <w:top w:val="nil"/>
              <w:left w:val="nil"/>
              <w:bottom w:val="single" w:sz="4" w:space="0" w:color="auto"/>
              <w:right w:val="single" w:sz="4" w:space="0" w:color="auto"/>
            </w:tcBorders>
            <w:shd w:val="clear" w:color="000000" w:fill="FFFF99"/>
            <w:noWrap/>
            <w:vAlign w:val="center"/>
            <w:hideMark/>
          </w:tcPr>
          <w:p w:rsidR="004D3DFA" w:rsidRPr="004D3DFA" w:rsidRDefault="004D3DFA" w:rsidP="004D3DFA">
            <w:pPr>
              <w:spacing w:after="0" w:line="240" w:lineRule="auto"/>
              <w:jc w:val="center"/>
              <w:rPr>
                <w:rFonts w:ascii="Calibri" w:eastAsia="Times New Roman" w:hAnsi="Calibri" w:cs="Times New Roman"/>
                <w:color w:val="000000"/>
                <w:sz w:val="16"/>
                <w:szCs w:val="16"/>
                <w:lang w:eastAsia="en-GB"/>
              </w:rPr>
            </w:pPr>
            <w:r w:rsidRPr="004D3DFA">
              <w:rPr>
                <w:rFonts w:ascii="Calibri" w:eastAsia="Times New Roman" w:hAnsi="Calibri" w:cs="Times New Roman"/>
                <w:color w:val="000000"/>
                <w:sz w:val="16"/>
                <w:szCs w:val="16"/>
                <w:lang w:eastAsia="en-GB"/>
              </w:rPr>
              <w:t>17.6%</w:t>
            </w:r>
          </w:p>
        </w:tc>
        <w:tc>
          <w:tcPr>
            <w:tcW w:w="256" w:type="pct"/>
            <w:tcBorders>
              <w:top w:val="nil"/>
              <w:left w:val="nil"/>
              <w:bottom w:val="single" w:sz="4" w:space="0" w:color="auto"/>
              <w:right w:val="single" w:sz="4" w:space="0" w:color="auto"/>
            </w:tcBorders>
            <w:shd w:val="clear" w:color="000000" w:fill="FFFF99"/>
            <w:noWrap/>
            <w:vAlign w:val="center"/>
            <w:hideMark/>
          </w:tcPr>
          <w:p w:rsidR="004D3DFA" w:rsidRPr="004D3DFA" w:rsidRDefault="004D3DFA" w:rsidP="004D3DFA">
            <w:pPr>
              <w:spacing w:after="0" w:line="240" w:lineRule="auto"/>
              <w:jc w:val="center"/>
              <w:rPr>
                <w:rFonts w:ascii="Calibri" w:eastAsia="Times New Roman" w:hAnsi="Calibri" w:cs="Times New Roman"/>
                <w:color w:val="000000"/>
                <w:sz w:val="16"/>
                <w:szCs w:val="16"/>
                <w:lang w:eastAsia="en-GB"/>
              </w:rPr>
            </w:pPr>
            <w:r w:rsidRPr="004D3DFA">
              <w:rPr>
                <w:rFonts w:ascii="Calibri" w:eastAsia="Times New Roman" w:hAnsi="Calibri" w:cs="Times New Roman"/>
                <w:color w:val="000000"/>
                <w:sz w:val="16"/>
                <w:szCs w:val="16"/>
                <w:lang w:eastAsia="en-GB"/>
              </w:rPr>
              <w:t>17,290</w:t>
            </w:r>
          </w:p>
        </w:tc>
        <w:tc>
          <w:tcPr>
            <w:tcW w:w="257" w:type="pct"/>
            <w:tcBorders>
              <w:top w:val="nil"/>
              <w:left w:val="nil"/>
              <w:bottom w:val="single" w:sz="4" w:space="0" w:color="auto"/>
              <w:right w:val="single" w:sz="4" w:space="0" w:color="auto"/>
            </w:tcBorders>
            <w:shd w:val="clear" w:color="000000" w:fill="FFFF99"/>
            <w:noWrap/>
            <w:vAlign w:val="center"/>
            <w:hideMark/>
          </w:tcPr>
          <w:p w:rsidR="004D3DFA" w:rsidRPr="004D3DFA" w:rsidRDefault="004D3DFA" w:rsidP="004D3DFA">
            <w:pPr>
              <w:spacing w:after="0" w:line="240" w:lineRule="auto"/>
              <w:jc w:val="center"/>
              <w:rPr>
                <w:rFonts w:ascii="Calibri" w:eastAsia="Times New Roman" w:hAnsi="Calibri" w:cs="Times New Roman"/>
                <w:color w:val="000000"/>
                <w:sz w:val="16"/>
                <w:szCs w:val="16"/>
                <w:lang w:eastAsia="en-GB"/>
              </w:rPr>
            </w:pPr>
            <w:r w:rsidRPr="004D3DFA">
              <w:rPr>
                <w:rFonts w:ascii="Calibri" w:eastAsia="Times New Roman" w:hAnsi="Calibri" w:cs="Times New Roman"/>
                <w:color w:val="000000"/>
                <w:sz w:val="16"/>
                <w:szCs w:val="16"/>
                <w:lang w:eastAsia="en-GB"/>
              </w:rPr>
              <w:t>17.0%</w:t>
            </w:r>
          </w:p>
        </w:tc>
        <w:tc>
          <w:tcPr>
            <w:tcW w:w="256" w:type="pct"/>
            <w:tcBorders>
              <w:top w:val="nil"/>
              <w:left w:val="nil"/>
              <w:bottom w:val="single" w:sz="4" w:space="0" w:color="auto"/>
              <w:right w:val="single" w:sz="4" w:space="0" w:color="auto"/>
            </w:tcBorders>
            <w:shd w:val="clear" w:color="000000" w:fill="FFFF99"/>
            <w:noWrap/>
            <w:vAlign w:val="center"/>
            <w:hideMark/>
          </w:tcPr>
          <w:p w:rsidR="004D3DFA" w:rsidRPr="004D3DFA" w:rsidRDefault="004D3DFA" w:rsidP="004D3DFA">
            <w:pPr>
              <w:spacing w:after="0" w:line="240" w:lineRule="auto"/>
              <w:jc w:val="center"/>
              <w:rPr>
                <w:rFonts w:ascii="Calibri" w:eastAsia="Times New Roman" w:hAnsi="Calibri" w:cs="Times New Roman"/>
                <w:color w:val="000000"/>
                <w:sz w:val="16"/>
                <w:szCs w:val="16"/>
                <w:lang w:eastAsia="en-GB"/>
              </w:rPr>
            </w:pPr>
            <w:r w:rsidRPr="004D3DFA">
              <w:rPr>
                <w:rFonts w:ascii="Calibri" w:eastAsia="Times New Roman" w:hAnsi="Calibri" w:cs="Times New Roman"/>
                <w:color w:val="000000"/>
                <w:sz w:val="16"/>
                <w:szCs w:val="16"/>
                <w:lang w:eastAsia="en-GB"/>
              </w:rPr>
              <w:t>10,624</w:t>
            </w:r>
          </w:p>
        </w:tc>
        <w:tc>
          <w:tcPr>
            <w:tcW w:w="257" w:type="pct"/>
            <w:tcBorders>
              <w:top w:val="nil"/>
              <w:left w:val="nil"/>
              <w:bottom w:val="single" w:sz="4" w:space="0" w:color="auto"/>
              <w:right w:val="single" w:sz="4" w:space="0" w:color="auto"/>
            </w:tcBorders>
            <w:shd w:val="clear" w:color="000000" w:fill="FFFF99"/>
            <w:noWrap/>
            <w:vAlign w:val="center"/>
            <w:hideMark/>
          </w:tcPr>
          <w:p w:rsidR="004D3DFA" w:rsidRPr="004D3DFA" w:rsidRDefault="004D3DFA" w:rsidP="004D3DFA">
            <w:pPr>
              <w:spacing w:after="0" w:line="240" w:lineRule="auto"/>
              <w:jc w:val="center"/>
              <w:rPr>
                <w:rFonts w:ascii="Calibri" w:eastAsia="Times New Roman" w:hAnsi="Calibri" w:cs="Times New Roman"/>
                <w:color w:val="000000"/>
                <w:sz w:val="16"/>
                <w:szCs w:val="16"/>
                <w:lang w:eastAsia="en-GB"/>
              </w:rPr>
            </w:pPr>
            <w:r w:rsidRPr="004D3DFA">
              <w:rPr>
                <w:rFonts w:ascii="Calibri" w:eastAsia="Times New Roman" w:hAnsi="Calibri" w:cs="Times New Roman"/>
                <w:color w:val="000000"/>
                <w:sz w:val="16"/>
                <w:szCs w:val="16"/>
                <w:lang w:eastAsia="en-GB"/>
              </w:rPr>
              <w:t>15.3%</w:t>
            </w:r>
          </w:p>
        </w:tc>
        <w:tc>
          <w:tcPr>
            <w:tcW w:w="256" w:type="pct"/>
            <w:tcBorders>
              <w:top w:val="nil"/>
              <w:left w:val="nil"/>
              <w:bottom w:val="single" w:sz="4" w:space="0" w:color="auto"/>
              <w:right w:val="single" w:sz="4" w:space="0" w:color="auto"/>
            </w:tcBorders>
            <w:shd w:val="clear" w:color="000000" w:fill="FFFF99"/>
            <w:noWrap/>
            <w:vAlign w:val="center"/>
            <w:hideMark/>
          </w:tcPr>
          <w:p w:rsidR="004D3DFA" w:rsidRPr="004D3DFA" w:rsidRDefault="004D3DFA" w:rsidP="004D3DFA">
            <w:pPr>
              <w:spacing w:after="0" w:line="240" w:lineRule="auto"/>
              <w:jc w:val="center"/>
              <w:rPr>
                <w:rFonts w:ascii="Calibri" w:eastAsia="Times New Roman" w:hAnsi="Calibri" w:cs="Times New Roman"/>
                <w:color w:val="000000"/>
                <w:sz w:val="16"/>
                <w:szCs w:val="16"/>
                <w:lang w:eastAsia="en-GB"/>
              </w:rPr>
            </w:pPr>
            <w:r w:rsidRPr="004D3DFA">
              <w:rPr>
                <w:rFonts w:ascii="Calibri" w:eastAsia="Times New Roman" w:hAnsi="Calibri" w:cs="Times New Roman"/>
                <w:color w:val="000000"/>
                <w:sz w:val="16"/>
                <w:szCs w:val="16"/>
                <w:lang w:eastAsia="en-GB"/>
              </w:rPr>
              <w:t>13,163</w:t>
            </w:r>
          </w:p>
        </w:tc>
        <w:tc>
          <w:tcPr>
            <w:tcW w:w="257" w:type="pct"/>
            <w:tcBorders>
              <w:top w:val="nil"/>
              <w:left w:val="nil"/>
              <w:bottom w:val="single" w:sz="4" w:space="0" w:color="auto"/>
              <w:right w:val="single" w:sz="4" w:space="0" w:color="auto"/>
            </w:tcBorders>
            <w:shd w:val="clear" w:color="000000" w:fill="FFFF99"/>
            <w:noWrap/>
            <w:vAlign w:val="center"/>
            <w:hideMark/>
          </w:tcPr>
          <w:p w:rsidR="004D3DFA" w:rsidRPr="004D3DFA" w:rsidRDefault="004D3DFA" w:rsidP="004D3DFA">
            <w:pPr>
              <w:spacing w:after="0" w:line="240" w:lineRule="auto"/>
              <w:jc w:val="center"/>
              <w:rPr>
                <w:rFonts w:ascii="Calibri" w:eastAsia="Times New Roman" w:hAnsi="Calibri" w:cs="Times New Roman"/>
                <w:color w:val="000000"/>
                <w:sz w:val="16"/>
                <w:szCs w:val="16"/>
                <w:lang w:eastAsia="en-GB"/>
              </w:rPr>
            </w:pPr>
            <w:r w:rsidRPr="004D3DFA">
              <w:rPr>
                <w:rFonts w:ascii="Calibri" w:eastAsia="Times New Roman" w:hAnsi="Calibri" w:cs="Times New Roman"/>
                <w:color w:val="000000"/>
                <w:sz w:val="16"/>
                <w:szCs w:val="16"/>
                <w:lang w:eastAsia="en-GB"/>
              </w:rPr>
              <w:t>16.3%</w:t>
            </w:r>
          </w:p>
        </w:tc>
        <w:tc>
          <w:tcPr>
            <w:tcW w:w="299" w:type="pct"/>
            <w:tcBorders>
              <w:top w:val="nil"/>
              <w:left w:val="nil"/>
              <w:bottom w:val="single" w:sz="4" w:space="0" w:color="auto"/>
              <w:right w:val="single" w:sz="4" w:space="0" w:color="auto"/>
            </w:tcBorders>
            <w:shd w:val="clear" w:color="000000" w:fill="FFFF99"/>
            <w:noWrap/>
            <w:vAlign w:val="center"/>
            <w:hideMark/>
          </w:tcPr>
          <w:p w:rsidR="004D3DFA" w:rsidRPr="004D3DFA" w:rsidRDefault="004D3DFA" w:rsidP="004D3DFA">
            <w:pPr>
              <w:spacing w:after="0" w:line="240" w:lineRule="auto"/>
              <w:jc w:val="center"/>
              <w:rPr>
                <w:rFonts w:ascii="Calibri" w:eastAsia="Times New Roman" w:hAnsi="Calibri" w:cs="Times New Roman"/>
                <w:color w:val="000000"/>
                <w:sz w:val="16"/>
                <w:szCs w:val="16"/>
                <w:lang w:eastAsia="en-GB"/>
              </w:rPr>
            </w:pPr>
            <w:r w:rsidRPr="004D3DFA">
              <w:rPr>
                <w:rFonts w:ascii="Calibri" w:eastAsia="Times New Roman" w:hAnsi="Calibri" w:cs="Times New Roman"/>
                <w:color w:val="000000"/>
                <w:sz w:val="16"/>
                <w:szCs w:val="16"/>
                <w:lang w:eastAsia="en-GB"/>
              </w:rPr>
              <w:t>19,590</w:t>
            </w:r>
          </w:p>
        </w:tc>
        <w:tc>
          <w:tcPr>
            <w:tcW w:w="281" w:type="pct"/>
            <w:tcBorders>
              <w:top w:val="nil"/>
              <w:left w:val="nil"/>
              <w:bottom w:val="single" w:sz="4" w:space="0" w:color="auto"/>
              <w:right w:val="single" w:sz="4" w:space="0" w:color="auto"/>
            </w:tcBorders>
            <w:shd w:val="clear" w:color="000000" w:fill="FFFF99"/>
            <w:noWrap/>
            <w:vAlign w:val="center"/>
            <w:hideMark/>
          </w:tcPr>
          <w:p w:rsidR="004D3DFA" w:rsidRPr="004D3DFA" w:rsidRDefault="004D3DFA" w:rsidP="004D3DFA">
            <w:pPr>
              <w:spacing w:after="0" w:line="240" w:lineRule="auto"/>
              <w:jc w:val="center"/>
              <w:rPr>
                <w:rFonts w:ascii="Calibri" w:eastAsia="Times New Roman" w:hAnsi="Calibri" w:cs="Times New Roman"/>
                <w:color w:val="000000"/>
                <w:sz w:val="16"/>
                <w:szCs w:val="16"/>
                <w:lang w:eastAsia="en-GB"/>
              </w:rPr>
            </w:pPr>
            <w:r w:rsidRPr="004D3DFA">
              <w:rPr>
                <w:rFonts w:ascii="Calibri" w:eastAsia="Times New Roman" w:hAnsi="Calibri" w:cs="Times New Roman"/>
                <w:color w:val="000000"/>
                <w:sz w:val="16"/>
                <w:szCs w:val="16"/>
                <w:lang w:eastAsia="en-GB"/>
              </w:rPr>
              <w:t>14.0%</w:t>
            </w:r>
          </w:p>
        </w:tc>
        <w:tc>
          <w:tcPr>
            <w:tcW w:w="235" w:type="pct"/>
            <w:tcBorders>
              <w:top w:val="nil"/>
              <w:left w:val="nil"/>
              <w:bottom w:val="single" w:sz="4" w:space="0" w:color="auto"/>
              <w:right w:val="single" w:sz="4" w:space="0" w:color="auto"/>
            </w:tcBorders>
            <w:shd w:val="clear" w:color="000000" w:fill="FFFF99"/>
            <w:noWrap/>
            <w:vAlign w:val="center"/>
            <w:hideMark/>
          </w:tcPr>
          <w:p w:rsidR="004D3DFA" w:rsidRPr="004D3DFA" w:rsidRDefault="004D3DFA" w:rsidP="004D3DFA">
            <w:pPr>
              <w:spacing w:after="0" w:line="240" w:lineRule="auto"/>
              <w:jc w:val="center"/>
              <w:rPr>
                <w:rFonts w:ascii="Calibri" w:eastAsia="Times New Roman" w:hAnsi="Calibri" w:cs="Times New Roman"/>
                <w:color w:val="000000"/>
                <w:sz w:val="16"/>
                <w:szCs w:val="16"/>
                <w:lang w:eastAsia="en-GB"/>
              </w:rPr>
            </w:pPr>
            <w:r w:rsidRPr="004D3DFA">
              <w:rPr>
                <w:rFonts w:ascii="Calibri" w:eastAsia="Times New Roman" w:hAnsi="Calibri" w:cs="Times New Roman"/>
                <w:color w:val="000000"/>
                <w:sz w:val="16"/>
                <w:szCs w:val="16"/>
                <w:lang w:eastAsia="en-GB"/>
              </w:rPr>
              <w:t>13,721</w:t>
            </w:r>
          </w:p>
        </w:tc>
        <w:tc>
          <w:tcPr>
            <w:tcW w:w="256" w:type="pct"/>
            <w:tcBorders>
              <w:top w:val="nil"/>
              <w:left w:val="nil"/>
              <w:bottom w:val="single" w:sz="4" w:space="0" w:color="auto"/>
              <w:right w:val="single" w:sz="4" w:space="0" w:color="auto"/>
            </w:tcBorders>
            <w:shd w:val="clear" w:color="000000" w:fill="FFFF99"/>
            <w:noWrap/>
            <w:vAlign w:val="center"/>
            <w:hideMark/>
          </w:tcPr>
          <w:p w:rsidR="004D3DFA" w:rsidRPr="004D3DFA" w:rsidRDefault="004D3DFA" w:rsidP="004D3DFA">
            <w:pPr>
              <w:spacing w:after="0" w:line="240" w:lineRule="auto"/>
              <w:jc w:val="center"/>
              <w:rPr>
                <w:rFonts w:ascii="Calibri" w:eastAsia="Times New Roman" w:hAnsi="Calibri" w:cs="Times New Roman"/>
                <w:color w:val="000000"/>
                <w:sz w:val="16"/>
                <w:szCs w:val="16"/>
                <w:lang w:eastAsia="en-GB"/>
              </w:rPr>
            </w:pPr>
            <w:r w:rsidRPr="004D3DFA">
              <w:rPr>
                <w:rFonts w:ascii="Calibri" w:eastAsia="Times New Roman" w:hAnsi="Calibri" w:cs="Times New Roman"/>
                <w:color w:val="000000"/>
                <w:sz w:val="16"/>
                <w:szCs w:val="16"/>
                <w:lang w:eastAsia="en-GB"/>
              </w:rPr>
              <w:t>11.3%</w:t>
            </w:r>
          </w:p>
        </w:tc>
        <w:tc>
          <w:tcPr>
            <w:tcW w:w="256" w:type="pct"/>
            <w:tcBorders>
              <w:top w:val="nil"/>
              <w:left w:val="nil"/>
              <w:bottom w:val="single" w:sz="4" w:space="0" w:color="auto"/>
              <w:right w:val="single" w:sz="4" w:space="0" w:color="auto"/>
            </w:tcBorders>
            <w:shd w:val="clear" w:color="000000" w:fill="FFFFFF"/>
            <w:noWrap/>
            <w:vAlign w:val="center"/>
            <w:hideMark/>
          </w:tcPr>
          <w:p w:rsidR="004D3DFA" w:rsidRPr="004D3DFA" w:rsidRDefault="004D3DFA" w:rsidP="004D3DFA">
            <w:pPr>
              <w:spacing w:after="0" w:line="240" w:lineRule="auto"/>
              <w:jc w:val="center"/>
              <w:rPr>
                <w:rFonts w:ascii="Calibri" w:eastAsia="Times New Roman" w:hAnsi="Calibri" w:cs="Times New Roman"/>
                <w:color w:val="000000"/>
                <w:sz w:val="16"/>
                <w:szCs w:val="16"/>
                <w:lang w:eastAsia="en-GB"/>
              </w:rPr>
            </w:pPr>
            <w:r w:rsidRPr="004D3DFA">
              <w:rPr>
                <w:rFonts w:ascii="Calibri" w:eastAsia="Times New Roman" w:hAnsi="Calibri" w:cs="Times New Roman"/>
                <w:color w:val="000000"/>
                <w:sz w:val="16"/>
                <w:szCs w:val="16"/>
                <w:lang w:eastAsia="en-GB"/>
              </w:rPr>
              <w:t>6,496,890</w:t>
            </w:r>
          </w:p>
        </w:tc>
        <w:tc>
          <w:tcPr>
            <w:tcW w:w="254" w:type="pct"/>
            <w:tcBorders>
              <w:top w:val="nil"/>
              <w:left w:val="nil"/>
              <w:bottom w:val="single" w:sz="4" w:space="0" w:color="auto"/>
              <w:right w:val="single" w:sz="4" w:space="0" w:color="auto"/>
            </w:tcBorders>
            <w:shd w:val="clear" w:color="auto" w:fill="auto"/>
            <w:noWrap/>
            <w:vAlign w:val="center"/>
            <w:hideMark/>
          </w:tcPr>
          <w:p w:rsidR="004D3DFA" w:rsidRPr="004D3DFA" w:rsidRDefault="004D3DFA" w:rsidP="004D3DFA">
            <w:pPr>
              <w:spacing w:after="0" w:line="240" w:lineRule="auto"/>
              <w:jc w:val="center"/>
              <w:rPr>
                <w:rFonts w:ascii="Calibri" w:eastAsia="Times New Roman" w:hAnsi="Calibri" w:cs="Times New Roman"/>
                <w:color w:val="000000"/>
                <w:sz w:val="16"/>
                <w:szCs w:val="16"/>
                <w:lang w:eastAsia="en-GB"/>
              </w:rPr>
            </w:pPr>
            <w:r w:rsidRPr="004D3DFA">
              <w:rPr>
                <w:rFonts w:ascii="Calibri" w:eastAsia="Times New Roman" w:hAnsi="Calibri" w:cs="Times New Roman"/>
                <w:color w:val="000000"/>
                <w:sz w:val="16"/>
                <w:szCs w:val="16"/>
                <w:lang w:eastAsia="en-GB"/>
              </w:rPr>
              <w:t>14.9%</w:t>
            </w:r>
          </w:p>
        </w:tc>
      </w:tr>
      <w:tr w:rsidR="00C37A76" w:rsidRPr="00264F59" w:rsidTr="00C37A76">
        <w:trPr>
          <w:trHeight w:val="300"/>
        </w:trPr>
        <w:tc>
          <w:tcPr>
            <w:tcW w:w="598" w:type="pct"/>
            <w:tcBorders>
              <w:top w:val="nil"/>
              <w:left w:val="single" w:sz="4" w:space="0" w:color="auto"/>
              <w:bottom w:val="single" w:sz="4" w:space="0" w:color="auto"/>
              <w:right w:val="single" w:sz="4" w:space="0" w:color="auto"/>
            </w:tcBorders>
            <w:shd w:val="clear" w:color="auto" w:fill="auto"/>
            <w:noWrap/>
            <w:vAlign w:val="center"/>
            <w:hideMark/>
          </w:tcPr>
          <w:p w:rsidR="004D3DFA" w:rsidRPr="004D3DFA" w:rsidRDefault="004D3DFA" w:rsidP="004D3DFA">
            <w:pPr>
              <w:spacing w:after="0" w:line="240" w:lineRule="auto"/>
              <w:jc w:val="center"/>
              <w:rPr>
                <w:rFonts w:ascii="Calibri" w:eastAsia="Times New Roman" w:hAnsi="Calibri" w:cs="Times New Roman"/>
                <w:color w:val="000000"/>
                <w:sz w:val="16"/>
                <w:szCs w:val="16"/>
                <w:lang w:eastAsia="en-GB"/>
              </w:rPr>
            </w:pPr>
            <w:r w:rsidRPr="004D3DFA">
              <w:rPr>
                <w:rFonts w:ascii="Calibri" w:eastAsia="Times New Roman" w:hAnsi="Calibri" w:cs="Times New Roman"/>
                <w:color w:val="000000"/>
                <w:sz w:val="16"/>
                <w:szCs w:val="16"/>
                <w:lang w:eastAsia="en-GB"/>
              </w:rPr>
              <w:t>Directly age-standardised rate of admission episodes for alcohol-related conditions - Persons - 65+</w:t>
            </w:r>
          </w:p>
        </w:tc>
        <w:tc>
          <w:tcPr>
            <w:tcW w:w="256" w:type="pct"/>
            <w:tcBorders>
              <w:top w:val="nil"/>
              <w:left w:val="nil"/>
              <w:bottom w:val="single" w:sz="4" w:space="0" w:color="auto"/>
              <w:right w:val="single" w:sz="4" w:space="0" w:color="auto"/>
            </w:tcBorders>
            <w:shd w:val="clear" w:color="auto" w:fill="auto"/>
            <w:noWrap/>
            <w:vAlign w:val="center"/>
            <w:hideMark/>
          </w:tcPr>
          <w:p w:rsidR="004D3DFA" w:rsidRPr="004D3DFA" w:rsidRDefault="004D3DFA" w:rsidP="004D3DFA">
            <w:pPr>
              <w:spacing w:after="0" w:line="240" w:lineRule="auto"/>
              <w:jc w:val="center"/>
              <w:rPr>
                <w:rFonts w:ascii="Calibri" w:eastAsia="Times New Roman" w:hAnsi="Calibri" w:cs="Times New Roman"/>
                <w:color w:val="000000"/>
                <w:sz w:val="16"/>
                <w:szCs w:val="16"/>
                <w:lang w:eastAsia="en-GB"/>
              </w:rPr>
            </w:pPr>
            <w:r w:rsidRPr="004D3DFA">
              <w:rPr>
                <w:rFonts w:ascii="Calibri" w:eastAsia="Times New Roman" w:hAnsi="Calibri" w:cs="Times New Roman"/>
                <w:color w:val="000000"/>
                <w:sz w:val="16"/>
                <w:szCs w:val="16"/>
                <w:lang w:eastAsia="en-GB"/>
              </w:rPr>
              <w:t>2017-18</w:t>
            </w:r>
          </w:p>
        </w:tc>
        <w:tc>
          <w:tcPr>
            <w:tcW w:w="257" w:type="pct"/>
            <w:tcBorders>
              <w:top w:val="nil"/>
              <w:left w:val="nil"/>
              <w:bottom w:val="single" w:sz="4" w:space="0" w:color="auto"/>
              <w:right w:val="single" w:sz="4" w:space="0" w:color="auto"/>
            </w:tcBorders>
            <w:shd w:val="clear" w:color="000000" w:fill="EBF1DE"/>
            <w:noWrap/>
            <w:vAlign w:val="center"/>
            <w:hideMark/>
          </w:tcPr>
          <w:p w:rsidR="004D3DFA" w:rsidRPr="004D3DFA" w:rsidRDefault="004D3DFA" w:rsidP="004D3DFA">
            <w:pPr>
              <w:spacing w:after="0" w:line="240" w:lineRule="auto"/>
              <w:jc w:val="center"/>
              <w:rPr>
                <w:rFonts w:ascii="Calibri" w:eastAsia="Times New Roman" w:hAnsi="Calibri" w:cs="Times New Roman"/>
                <w:color w:val="000000"/>
                <w:sz w:val="16"/>
                <w:szCs w:val="16"/>
                <w:lang w:eastAsia="en-GB"/>
              </w:rPr>
            </w:pPr>
            <w:r w:rsidRPr="004D3DFA">
              <w:rPr>
                <w:rFonts w:ascii="Calibri" w:eastAsia="Times New Roman" w:hAnsi="Calibri" w:cs="Times New Roman"/>
                <w:color w:val="000000"/>
                <w:sz w:val="16"/>
                <w:szCs w:val="16"/>
                <w:lang w:eastAsia="en-GB"/>
              </w:rPr>
              <w:t>1,158</w:t>
            </w:r>
          </w:p>
        </w:tc>
        <w:tc>
          <w:tcPr>
            <w:tcW w:w="256" w:type="pct"/>
            <w:tcBorders>
              <w:top w:val="nil"/>
              <w:left w:val="nil"/>
              <w:bottom w:val="single" w:sz="4" w:space="0" w:color="auto"/>
              <w:right w:val="single" w:sz="4" w:space="0" w:color="auto"/>
            </w:tcBorders>
            <w:shd w:val="clear" w:color="000000" w:fill="EBF1DE"/>
            <w:noWrap/>
            <w:vAlign w:val="center"/>
            <w:hideMark/>
          </w:tcPr>
          <w:p w:rsidR="004D3DFA" w:rsidRPr="004D3DFA" w:rsidRDefault="004D3DFA" w:rsidP="004D3DFA">
            <w:pPr>
              <w:spacing w:after="0" w:line="240" w:lineRule="auto"/>
              <w:jc w:val="center"/>
              <w:rPr>
                <w:rFonts w:ascii="Calibri" w:eastAsia="Times New Roman" w:hAnsi="Calibri" w:cs="Times New Roman"/>
                <w:color w:val="000000"/>
                <w:sz w:val="16"/>
                <w:szCs w:val="16"/>
                <w:lang w:eastAsia="en-GB"/>
              </w:rPr>
            </w:pPr>
            <w:r w:rsidRPr="004D3DFA">
              <w:rPr>
                <w:rFonts w:ascii="Calibri" w:eastAsia="Times New Roman" w:hAnsi="Calibri" w:cs="Times New Roman"/>
                <w:color w:val="000000"/>
                <w:sz w:val="16"/>
                <w:szCs w:val="16"/>
                <w:lang w:eastAsia="en-GB"/>
              </w:rPr>
              <w:t>958</w:t>
            </w:r>
          </w:p>
        </w:tc>
        <w:tc>
          <w:tcPr>
            <w:tcW w:w="256" w:type="pct"/>
            <w:tcBorders>
              <w:top w:val="nil"/>
              <w:left w:val="nil"/>
              <w:bottom w:val="single" w:sz="4" w:space="0" w:color="auto"/>
              <w:right w:val="single" w:sz="4" w:space="0" w:color="auto"/>
            </w:tcBorders>
            <w:shd w:val="clear" w:color="000000" w:fill="FFFF99"/>
            <w:noWrap/>
            <w:vAlign w:val="center"/>
            <w:hideMark/>
          </w:tcPr>
          <w:p w:rsidR="004D3DFA" w:rsidRPr="004D3DFA" w:rsidRDefault="004D3DFA" w:rsidP="004D3DFA">
            <w:pPr>
              <w:spacing w:after="0" w:line="240" w:lineRule="auto"/>
              <w:jc w:val="center"/>
              <w:rPr>
                <w:rFonts w:ascii="Calibri" w:eastAsia="Times New Roman" w:hAnsi="Calibri" w:cs="Times New Roman"/>
                <w:color w:val="000000"/>
                <w:sz w:val="16"/>
                <w:szCs w:val="16"/>
                <w:lang w:eastAsia="en-GB"/>
              </w:rPr>
            </w:pPr>
            <w:r w:rsidRPr="004D3DFA">
              <w:rPr>
                <w:rFonts w:ascii="Calibri" w:eastAsia="Times New Roman" w:hAnsi="Calibri" w:cs="Times New Roman"/>
                <w:color w:val="000000"/>
                <w:sz w:val="16"/>
                <w:szCs w:val="16"/>
                <w:lang w:eastAsia="en-GB"/>
              </w:rPr>
              <w:t>266</w:t>
            </w:r>
          </w:p>
        </w:tc>
        <w:tc>
          <w:tcPr>
            <w:tcW w:w="257" w:type="pct"/>
            <w:tcBorders>
              <w:top w:val="nil"/>
              <w:left w:val="nil"/>
              <w:bottom w:val="single" w:sz="4" w:space="0" w:color="auto"/>
              <w:right w:val="single" w:sz="4" w:space="0" w:color="auto"/>
            </w:tcBorders>
            <w:shd w:val="clear" w:color="000000" w:fill="FFFF99"/>
            <w:noWrap/>
            <w:vAlign w:val="center"/>
            <w:hideMark/>
          </w:tcPr>
          <w:p w:rsidR="004D3DFA" w:rsidRPr="004D3DFA" w:rsidRDefault="004D3DFA" w:rsidP="004D3DFA">
            <w:pPr>
              <w:spacing w:after="0" w:line="240" w:lineRule="auto"/>
              <w:jc w:val="center"/>
              <w:rPr>
                <w:rFonts w:ascii="Calibri" w:eastAsia="Times New Roman" w:hAnsi="Calibri" w:cs="Times New Roman"/>
                <w:color w:val="000000"/>
                <w:sz w:val="16"/>
                <w:szCs w:val="16"/>
                <w:lang w:eastAsia="en-GB"/>
              </w:rPr>
            </w:pPr>
            <w:r w:rsidRPr="004D3DFA">
              <w:rPr>
                <w:rFonts w:ascii="Calibri" w:eastAsia="Times New Roman" w:hAnsi="Calibri" w:cs="Times New Roman"/>
                <w:color w:val="000000"/>
                <w:sz w:val="16"/>
                <w:szCs w:val="16"/>
                <w:lang w:eastAsia="en-GB"/>
              </w:rPr>
              <w:t>920</w:t>
            </w:r>
          </w:p>
        </w:tc>
        <w:tc>
          <w:tcPr>
            <w:tcW w:w="256" w:type="pct"/>
            <w:tcBorders>
              <w:top w:val="nil"/>
              <w:left w:val="nil"/>
              <w:bottom w:val="single" w:sz="4" w:space="0" w:color="auto"/>
              <w:right w:val="single" w:sz="4" w:space="0" w:color="auto"/>
            </w:tcBorders>
            <w:shd w:val="clear" w:color="000000" w:fill="FFFF99"/>
            <w:noWrap/>
            <w:vAlign w:val="center"/>
            <w:hideMark/>
          </w:tcPr>
          <w:p w:rsidR="004D3DFA" w:rsidRPr="004D3DFA" w:rsidRDefault="004D3DFA" w:rsidP="004D3DFA">
            <w:pPr>
              <w:spacing w:after="0" w:line="240" w:lineRule="auto"/>
              <w:jc w:val="center"/>
              <w:rPr>
                <w:rFonts w:ascii="Calibri" w:eastAsia="Times New Roman" w:hAnsi="Calibri" w:cs="Times New Roman"/>
                <w:color w:val="000000"/>
                <w:sz w:val="16"/>
                <w:szCs w:val="16"/>
                <w:lang w:eastAsia="en-GB"/>
              </w:rPr>
            </w:pPr>
            <w:r w:rsidRPr="004D3DFA">
              <w:rPr>
                <w:rFonts w:ascii="Calibri" w:eastAsia="Times New Roman" w:hAnsi="Calibri" w:cs="Times New Roman"/>
                <w:color w:val="000000"/>
                <w:sz w:val="16"/>
                <w:szCs w:val="16"/>
                <w:lang w:eastAsia="en-GB"/>
              </w:rPr>
              <w:t>171</w:t>
            </w:r>
          </w:p>
        </w:tc>
        <w:tc>
          <w:tcPr>
            <w:tcW w:w="257" w:type="pct"/>
            <w:tcBorders>
              <w:top w:val="nil"/>
              <w:left w:val="nil"/>
              <w:bottom w:val="single" w:sz="4" w:space="0" w:color="auto"/>
              <w:right w:val="single" w:sz="4" w:space="0" w:color="auto"/>
            </w:tcBorders>
            <w:shd w:val="clear" w:color="000000" w:fill="FFFF99"/>
            <w:noWrap/>
            <w:vAlign w:val="center"/>
            <w:hideMark/>
          </w:tcPr>
          <w:p w:rsidR="004D3DFA" w:rsidRPr="004D3DFA" w:rsidRDefault="004D3DFA" w:rsidP="004D3DFA">
            <w:pPr>
              <w:spacing w:after="0" w:line="240" w:lineRule="auto"/>
              <w:jc w:val="center"/>
              <w:rPr>
                <w:rFonts w:ascii="Calibri" w:eastAsia="Times New Roman" w:hAnsi="Calibri" w:cs="Times New Roman"/>
                <w:color w:val="000000"/>
                <w:sz w:val="16"/>
                <w:szCs w:val="16"/>
                <w:lang w:eastAsia="en-GB"/>
              </w:rPr>
            </w:pPr>
            <w:r w:rsidRPr="004D3DFA">
              <w:rPr>
                <w:rFonts w:ascii="Calibri" w:eastAsia="Times New Roman" w:hAnsi="Calibri" w:cs="Times New Roman"/>
                <w:color w:val="000000"/>
                <w:sz w:val="16"/>
                <w:szCs w:val="16"/>
                <w:lang w:eastAsia="en-GB"/>
              </w:rPr>
              <w:t>1,102</w:t>
            </w:r>
          </w:p>
        </w:tc>
        <w:tc>
          <w:tcPr>
            <w:tcW w:w="256" w:type="pct"/>
            <w:tcBorders>
              <w:top w:val="nil"/>
              <w:left w:val="nil"/>
              <w:bottom w:val="single" w:sz="4" w:space="0" w:color="auto"/>
              <w:right w:val="single" w:sz="4" w:space="0" w:color="auto"/>
            </w:tcBorders>
            <w:shd w:val="clear" w:color="000000" w:fill="FFFF99"/>
            <w:noWrap/>
            <w:vAlign w:val="center"/>
            <w:hideMark/>
          </w:tcPr>
          <w:p w:rsidR="004D3DFA" w:rsidRPr="004D3DFA" w:rsidRDefault="004D3DFA" w:rsidP="004D3DFA">
            <w:pPr>
              <w:spacing w:after="0" w:line="240" w:lineRule="auto"/>
              <w:jc w:val="center"/>
              <w:rPr>
                <w:rFonts w:ascii="Calibri" w:eastAsia="Times New Roman" w:hAnsi="Calibri" w:cs="Times New Roman"/>
                <w:color w:val="000000"/>
                <w:sz w:val="16"/>
                <w:szCs w:val="16"/>
                <w:lang w:eastAsia="en-GB"/>
              </w:rPr>
            </w:pPr>
            <w:r w:rsidRPr="004D3DFA">
              <w:rPr>
                <w:rFonts w:ascii="Calibri" w:eastAsia="Times New Roman" w:hAnsi="Calibri" w:cs="Times New Roman"/>
                <w:color w:val="000000"/>
                <w:sz w:val="16"/>
                <w:szCs w:val="16"/>
                <w:lang w:eastAsia="en-GB"/>
              </w:rPr>
              <w:t>156</w:t>
            </w:r>
          </w:p>
        </w:tc>
        <w:tc>
          <w:tcPr>
            <w:tcW w:w="257" w:type="pct"/>
            <w:tcBorders>
              <w:top w:val="nil"/>
              <w:left w:val="nil"/>
              <w:bottom w:val="single" w:sz="4" w:space="0" w:color="auto"/>
              <w:right w:val="single" w:sz="4" w:space="0" w:color="auto"/>
            </w:tcBorders>
            <w:shd w:val="clear" w:color="000000" w:fill="FFFF99"/>
            <w:noWrap/>
            <w:vAlign w:val="center"/>
            <w:hideMark/>
          </w:tcPr>
          <w:p w:rsidR="004D3DFA" w:rsidRPr="004D3DFA" w:rsidRDefault="004D3DFA" w:rsidP="004D3DFA">
            <w:pPr>
              <w:spacing w:after="0" w:line="240" w:lineRule="auto"/>
              <w:jc w:val="center"/>
              <w:rPr>
                <w:rFonts w:ascii="Calibri" w:eastAsia="Times New Roman" w:hAnsi="Calibri" w:cs="Times New Roman"/>
                <w:color w:val="000000"/>
                <w:sz w:val="16"/>
                <w:szCs w:val="16"/>
                <w:lang w:eastAsia="en-GB"/>
              </w:rPr>
            </w:pPr>
            <w:r w:rsidRPr="004D3DFA">
              <w:rPr>
                <w:rFonts w:ascii="Calibri" w:eastAsia="Times New Roman" w:hAnsi="Calibri" w:cs="Times New Roman"/>
                <w:color w:val="000000"/>
                <w:sz w:val="16"/>
                <w:szCs w:val="16"/>
                <w:lang w:eastAsia="en-GB"/>
              </w:rPr>
              <w:t>883</w:t>
            </w:r>
          </w:p>
        </w:tc>
        <w:tc>
          <w:tcPr>
            <w:tcW w:w="256" w:type="pct"/>
            <w:tcBorders>
              <w:top w:val="nil"/>
              <w:left w:val="nil"/>
              <w:bottom w:val="single" w:sz="4" w:space="0" w:color="auto"/>
              <w:right w:val="single" w:sz="4" w:space="0" w:color="auto"/>
            </w:tcBorders>
            <w:shd w:val="clear" w:color="000000" w:fill="FFFF99"/>
            <w:noWrap/>
            <w:vAlign w:val="center"/>
            <w:hideMark/>
          </w:tcPr>
          <w:p w:rsidR="004D3DFA" w:rsidRPr="004D3DFA" w:rsidRDefault="004D3DFA" w:rsidP="004D3DFA">
            <w:pPr>
              <w:spacing w:after="0" w:line="240" w:lineRule="auto"/>
              <w:jc w:val="center"/>
              <w:rPr>
                <w:rFonts w:ascii="Calibri" w:eastAsia="Times New Roman" w:hAnsi="Calibri" w:cs="Times New Roman"/>
                <w:color w:val="000000"/>
                <w:sz w:val="16"/>
                <w:szCs w:val="16"/>
                <w:lang w:eastAsia="en-GB"/>
              </w:rPr>
            </w:pPr>
            <w:r w:rsidRPr="004D3DFA">
              <w:rPr>
                <w:rFonts w:ascii="Calibri" w:eastAsia="Times New Roman" w:hAnsi="Calibri" w:cs="Times New Roman"/>
                <w:color w:val="000000"/>
                <w:sz w:val="16"/>
                <w:szCs w:val="16"/>
                <w:lang w:eastAsia="en-GB"/>
              </w:rPr>
              <w:t>243</w:t>
            </w:r>
          </w:p>
        </w:tc>
        <w:tc>
          <w:tcPr>
            <w:tcW w:w="257" w:type="pct"/>
            <w:tcBorders>
              <w:top w:val="nil"/>
              <w:left w:val="nil"/>
              <w:bottom w:val="single" w:sz="4" w:space="0" w:color="auto"/>
              <w:right w:val="single" w:sz="4" w:space="0" w:color="auto"/>
            </w:tcBorders>
            <w:shd w:val="clear" w:color="000000" w:fill="FFFF99"/>
            <w:noWrap/>
            <w:vAlign w:val="center"/>
            <w:hideMark/>
          </w:tcPr>
          <w:p w:rsidR="004D3DFA" w:rsidRPr="004D3DFA" w:rsidRDefault="004D3DFA" w:rsidP="004D3DFA">
            <w:pPr>
              <w:spacing w:after="0" w:line="240" w:lineRule="auto"/>
              <w:jc w:val="center"/>
              <w:rPr>
                <w:rFonts w:ascii="Calibri" w:eastAsia="Times New Roman" w:hAnsi="Calibri" w:cs="Times New Roman"/>
                <w:color w:val="000000"/>
                <w:sz w:val="16"/>
                <w:szCs w:val="16"/>
                <w:lang w:eastAsia="en-GB"/>
              </w:rPr>
            </w:pPr>
            <w:r w:rsidRPr="004D3DFA">
              <w:rPr>
                <w:rFonts w:ascii="Calibri" w:eastAsia="Times New Roman" w:hAnsi="Calibri" w:cs="Times New Roman"/>
                <w:color w:val="000000"/>
                <w:sz w:val="16"/>
                <w:szCs w:val="16"/>
                <w:lang w:eastAsia="en-GB"/>
              </w:rPr>
              <w:t>1,074</w:t>
            </w:r>
          </w:p>
        </w:tc>
        <w:tc>
          <w:tcPr>
            <w:tcW w:w="299" w:type="pct"/>
            <w:tcBorders>
              <w:top w:val="nil"/>
              <w:left w:val="nil"/>
              <w:bottom w:val="single" w:sz="4" w:space="0" w:color="auto"/>
              <w:right w:val="single" w:sz="4" w:space="0" w:color="auto"/>
            </w:tcBorders>
            <w:shd w:val="clear" w:color="000000" w:fill="EBF1DE"/>
            <w:noWrap/>
            <w:vAlign w:val="center"/>
            <w:hideMark/>
          </w:tcPr>
          <w:p w:rsidR="004D3DFA" w:rsidRPr="004D3DFA" w:rsidRDefault="004D3DFA" w:rsidP="004D3DFA">
            <w:pPr>
              <w:spacing w:after="0" w:line="240" w:lineRule="auto"/>
              <w:jc w:val="center"/>
              <w:rPr>
                <w:rFonts w:ascii="Calibri" w:eastAsia="Times New Roman" w:hAnsi="Calibri" w:cs="Times New Roman"/>
                <w:color w:val="000000"/>
                <w:sz w:val="16"/>
                <w:szCs w:val="16"/>
                <w:lang w:eastAsia="en-GB"/>
              </w:rPr>
            </w:pPr>
            <w:r w:rsidRPr="004D3DFA">
              <w:rPr>
                <w:rFonts w:ascii="Calibri" w:eastAsia="Times New Roman" w:hAnsi="Calibri" w:cs="Times New Roman"/>
                <w:color w:val="000000"/>
                <w:sz w:val="16"/>
                <w:szCs w:val="16"/>
                <w:lang w:eastAsia="en-GB"/>
              </w:rPr>
              <w:t>312</w:t>
            </w:r>
          </w:p>
        </w:tc>
        <w:tc>
          <w:tcPr>
            <w:tcW w:w="281" w:type="pct"/>
            <w:tcBorders>
              <w:top w:val="nil"/>
              <w:left w:val="nil"/>
              <w:bottom w:val="single" w:sz="4" w:space="0" w:color="auto"/>
              <w:right w:val="single" w:sz="4" w:space="0" w:color="auto"/>
            </w:tcBorders>
            <w:shd w:val="clear" w:color="000000" w:fill="EBF1DE"/>
            <w:noWrap/>
            <w:vAlign w:val="center"/>
            <w:hideMark/>
          </w:tcPr>
          <w:p w:rsidR="004D3DFA" w:rsidRPr="004D3DFA" w:rsidRDefault="004D3DFA" w:rsidP="004D3DFA">
            <w:pPr>
              <w:spacing w:after="0" w:line="240" w:lineRule="auto"/>
              <w:jc w:val="center"/>
              <w:rPr>
                <w:rFonts w:ascii="Calibri" w:eastAsia="Times New Roman" w:hAnsi="Calibri" w:cs="Times New Roman"/>
                <w:color w:val="000000"/>
                <w:sz w:val="16"/>
                <w:szCs w:val="16"/>
                <w:lang w:eastAsia="en-GB"/>
              </w:rPr>
            </w:pPr>
            <w:r w:rsidRPr="004D3DFA">
              <w:rPr>
                <w:rFonts w:ascii="Calibri" w:eastAsia="Times New Roman" w:hAnsi="Calibri" w:cs="Times New Roman"/>
                <w:color w:val="000000"/>
                <w:sz w:val="16"/>
                <w:szCs w:val="16"/>
                <w:lang w:eastAsia="en-GB"/>
              </w:rPr>
              <w:t>902</w:t>
            </w:r>
          </w:p>
        </w:tc>
        <w:tc>
          <w:tcPr>
            <w:tcW w:w="235" w:type="pct"/>
            <w:tcBorders>
              <w:top w:val="nil"/>
              <w:left w:val="nil"/>
              <w:bottom w:val="single" w:sz="4" w:space="0" w:color="auto"/>
              <w:right w:val="single" w:sz="4" w:space="0" w:color="auto"/>
            </w:tcBorders>
            <w:shd w:val="clear" w:color="000000" w:fill="FFFF99"/>
            <w:noWrap/>
            <w:vAlign w:val="center"/>
            <w:hideMark/>
          </w:tcPr>
          <w:p w:rsidR="004D3DFA" w:rsidRPr="004D3DFA" w:rsidRDefault="004D3DFA" w:rsidP="004D3DFA">
            <w:pPr>
              <w:spacing w:after="0" w:line="240" w:lineRule="auto"/>
              <w:jc w:val="center"/>
              <w:rPr>
                <w:rFonts w:ascii="Calibri" w:eastAsia="Times New Roman" w:hAnsi="Calibri" w:cs="Times New Roman"/>
                <w:color w:val="000000"/>
                <w:sz w:val="16"/>
                <w:szCs w:val="16"/>
                <w:lang w:eastAsia="en-GB"/>
              </w:rPr>
            </w:pPr>
            <w:r w:rsidRPr="004D3DFA">
              <w:rPr>
                <w:rFonts w:ascii="Calibri" w:eastAsia="Times New Roman" w:hAnsi="Calibri" w:cs="Times New Roman"/>
                <w:color w:val="000000"/>
                <w:sz w:val="16"/>
                <w:szCs w:val="16"/>
                <w:lang w:eastAsia="en-GB"/>
              </w:rPr>
              <w:t>276</w:t>
            </w:r>
          </w:p>
        </w:tc>
        <w:tc>
          <w:tcPr>
            <w:tcW w:w="256" w:type="pct"/>
            <w:tcBorders>
              <w:top w:val="nil"/>
              <w:left w:val="nil"/>
              <w:bottom w:val="single" w:sz="4" w:space="0" w:color="auto"/>
              <w:right w:val="single" w:sz="4" w:space="0" w:color="auto"/>
            </w:tcBorders>
            <w:shd w:val="clear" w:color="000000" w:fill="FFFF99"/>
            <w:noWrap/>
            <w:vAlign w:val="center"/>
            <w:hideMark/>
          </w:tcPr>
          <w:p w:rsidR="004D3DFA" w:rsidRPr="004D3DFA" w:rsidRDefault="004D3DFA" w:rsidP="004D3DFA">
            <w:pPr>
              <w:spacing w:after="0" w:line="240" w:lineRule="auto"/>
              <w:jc w:val="center"/>
              <w:rPr>
                <w:rFonts w:ascii="Calibri" w:eastAsia="Times New Roman" w:hAnsi="Calibri" w:cs="Times New Roman"/>
                <w:color w:val="000000"/>
                <w:sz w:val="16"/>
                <w:szCs w:val="16"/>
                <w:lang w:eastAsia="en-GB"/>
              </w:rPr>
            </w:pPr>
            <w:r w:rsidRPr="004D3DFA">
              <w:rPr>
                <w:rFonts w:ascii="Calibri" w:eastAsia="Times New Roman" w:hAnsi="Calibri" w:cs="Times New Roman"/>
                <w:color w:val="000000"/>
                <w:sz w:val="16"/>
                <w:szCs w:val="16"/>
                <w:lang w:eastAsia="en-GB"/>
              </w:rPr>
              <w:t>917</w:t>
            </w:r>
          </w:p>
        </w:tc>
        <w:tc>
          <w:tcPr>
            <w:tcW w:w="256" w:type="pct"/>
            <w:tcBorders>
              <w:top w:val="nil"/>
              <w:left w:val="nil"/>
              <w:bottom w:val="single" w:sz="4" w:space="0" w:color="auto"/>
              <w:right w:val="single" w:sz="4" w:space="0" w:color="auto"/>
            </w:tcBorders>
            <w:shd w:val="clear" w:color="000000" w:fill="FFFFFF"/>
            <w:noWrap/>
            <w:vAlign w:val="center"/>
            <w:hideMark/>
          </w:tcPr>
          <w:p w:rsidR="004D3DFA" w:rsidRPr="004D3DFA" w:rsidRDefault="004D3DFA" w:rsidP="004D3DFA">
            <w:pPr>
              <w:spacing w:after="0" w:line="240" w:lineRule="auto"/>
              <w:jc w:val="center"/>
              <w:rPr>
                <w:rFonts w:ascii="Calibri" w:eastAsia="Times New Roman" w:hAnsi="Calibri" w:cs="Times New Roman"/>
                <w:color w:val="000000"/>
                <w:sz w:val="16"/>
                <w:szCs w:val="16"/>
                <w:lang w:eastAsia="en-GB"/>
              </w:rPr>
            </w:pPr>
            <w:r w:rsidRPr="004D3DFA">
              <w:rPr>
                <w:rFonts w:ascii="Calibri" w:eastAsia="Times New Roman" w:hAnsi="Calibri" w:cs="Times New Roman"/>
                <w:color w:val="000000"/>
                <w:sz w:val="16"/>
                <w:szCs w:val="16"/>
                <w:lang w:eastAsia="en-GB"/>
              </w:rPr>
              <w:t>102,145</w:t>
            </w:r>
          </w:p>
        </w:tc>
        <w:tc>
          <w:tcPr>
            <w:tcW w:w="254" w:type="pct"/>
            <w:tcBorders>
              <w:top w:val="nil"/>
              <w:left w:val="nil"/>
              <w:bottom w:val="single" w:sz="4" w:space="0" w:color="auto"/>
              <w:right w:val="single" w:sz="4" w:space="0" w:color="auto"/>
            </w:tcBorders>
            <w:shd w:val="clear" w:color="auto" w:fill="auto"/>
            <w:noWrap/>
            <w:vAlign w:val="center"/>
            <w:hideMark/>
          </w:tcPr>
          <w:p w:rsidR="004D3DFA" w:rsidRPr="004D3DFA" w:rsidRDefault="004D3DFA" w:rsidP="004D3DFA">
            <w:pPr>
              <w:spacing w:after="0" w:line="240" w:lineRule="auto"/>
              <w:jc w:val="center"/>
              <w:rPr>
                <w:rFonts w:ascii="Calibri" w:eastAsia="Times New Roman" w:hAnsi="Calibri" w:cs="Times New Roman"/>
                <w:color w:val="000000"/>
                <w:sz w:val="16"/>
                <w:szCs w:val="16"/>
                <w:lang w:eastAsia="en-GB"/>
              </w:rPr>
            </w:pPr>
            <w:r w:rsidRPr="004D3DFA">
              <w:rPr>
                <w:rFonts w:ascii="Calibri" w:eastAsia="Times New Roman" w:hAnsi="Calibri" w:cs="Times New Roman"/>
                <w:color w:val="000000"/>
                <w:sz w:val="16"/>
                <w:szCs w:val="16"/>
                <w:lang w:eastAsia="en-GB"/>
              </w:rPr>
              <w:t>1,016</w:t>
            </w:r>
          </w:p>
        </w:tc>
      </w:tr>
      <w:tr w:rsidR="00C37A76" w:rsidRPr="00264F59" w:rsidTr="00C37A76">
        <w:trPr>
          <w:trHeight w:val="300"/>
        </w:trPr>
        <w:tc>
          <w:tcPr>
            <w:tcW w:w="598" w:type="pct"/>
            <w:tcBorders>
              <w:top w:val="nil"/>
              <w:left w:val="single" w:sz="4" w:space="0" w:color="auto"/>
              <w:bottom w:val="single" w:sz="4" w:space="0" w:color="auto"/>
              <w:right w:val="single" w:sz="4" w:space="0" w:color="auto"/>
            </w:tcBorders>
            <w:shd w:val="clear" w:color="auto" w:fill="auto"/>
            <w:noWrap/>
            <w:vAlign w:val="center"/>
            <w:hideMark/>
          </w:tcPr>
          <w:p w:rsidR="004D3DFA" w:rsidRPr="004D3DFA" w:rsidRDefault="004D3DFA" w:rsidP="004D3DFA">
            <w:pPr>
              <w:spacing w:after="0" w:line="240" w:lineRule="auto"/>
              <w:jc w:val="center"/>
              <w:rPr>
                <w:rFonts w:ascii="Calibri" w:eastAsia="Times New Roman" w:hAnsi="Calibri" w:cs="Times New Roman"/>
                <w:color w:val="000000"/>
                <w:sz w:val="16"/>
                <w:szCs w:val="16"/>
                <w:lang w:eastAsia="en-GB"/>
              </w:rPr>
            </w:pPr>
            <w:r w:rsidRPr="004D3DFA">
              <w:rPr>
                <w:rFonts w:ascii="Calibri" w:eastAsia="Times New Roman" w:hAnsi="Calibri" w:cs="Times New Roman"/>
                <w:color w:val="000000"/>
                <w:sz w:val="16"/>
                <w:szCs w:val="16"/>
                <w:lang w:eastAsia="en-GB"/>
              </w:rPr>
              <w:t>Directly age-standardised rate of admission episodes for alcohol-related conditions - Male - 65+</w:t>
            </w:r>
          </w:p>
        </w:tc>
        <w:tc>
          <w:tcPr>
            <w:tcW w:w="256" w:type="pct"/>
            <w:tcBorders>
              <w:top w:val="nil"/>
              <w:left w:val="nil"/>
              <w:bottom w:val="single" w:sz="4" w:space="0" w:color="auto"/>
              <w:right w:val="single" w:sz="4" w:space="0" w:color="auto"/>
            </w:tcBorders>
            <w:shd w:val="clear" w:color="auto" w:fill="auto"/>
            <w:noWrap/>
            <w:vAlign w:val="center"/>
            <w:hideMark/>
          </w:tcPr>
          <w:p w:rsidR="004D3DFA" w:rsidRPr="004D3DFA" w:rsidRDefault="004D3DFA" w:rsidP="004D3DFA">
            <w:pPr>
              <w:spacing w:after="0" w:line="240" w:lineRule="auto"/>
              <w:jc w:val="center"/>
              <w:rPr>
                <w:rFonts w:ascii="Calibri" w:eastAsia="Times New Roman" w:hAnsi="Calibri" w:cs="Times New Roman"/>
                <w:color w:val="000000"/>
                <w:sz w:val="16"/>
                <w:szCs w:val="16"/>
                <w:lang w:eastAsia="en-GB"/>
              </w:rPr>
            </w:pPr>
            <w:r w:rsidRPr="004D3DFA">
              <w:rPr>
                <w:rFonts w:ascii="Calibri" w:eastAsia="Times New Roman" w:hAnsi="Calibri" w:cs="Times New Roman"/>
                <w:color w:val="000000"/>
                <w:sz w:val="16"/>
                <w:szCs w:val="16"/>
                <w:lang w:eastAsia="en-GB"/>
              </w:rPr>
              <w:t>2017-18</w:t>
            </w:r>
          </w:p>
        </w:tc>
        <w:tc>
          <w:tcPr>
            <w:tcW w:w="257" w:type="pct"/>
            <w:tcBorders>
              <w:top w:val="nil"/>
              <w:left w:val="nil"/>
              <w:bottom w:val="single" w:sz="4" w:space="0" w:color="auto"/>
              <w:right w:val="single" w:sz="4" w:space="0" w:color="auto"/>
            </w:tcBorders>
            <w:shd w:val="clear" w:color="000000" w:fill="EBF1DE"/>
            <w:noWrap/>
            <w:vAlign w:val="center"/>
            <w:hideMark/>
          </w:tcPr>
          <w:p w:rsidR="004D3DFA" w:rsidRPr="004D3DFA" w:rsidRDefault="004D3DFA" w:rsidP="004D3DFA">
            <w:pPr>
              <w:spacing w:after="0" w:line="240" w:lineRule="auto"/>
              <w:jc w:val="center"/>
              <w:rPr>
                <w:rFonts w:ascii="Calibri" w:eastAsia="Times New Roman" w:hAnsi="Calibri" w:cs="Times New Roman"/>
                <w:color w:val="000000"/>
                <w:sz w:val="16"/>
                <w:szCs w:val="16"/>
                <w:lang w:eastAsia="en-GB"/>
              </w:rPr>
            </w:pPr>
            <w:r w:rsidRPr="004D3DFA">
              <w:rPr>
                <w:rFonts w:ascii="Calibri" w:eastAsia="Times New Roman" w:hAnsi="Calibri" w:cs="Times New Roman"/>
                <w:color w:val="000000"/>
                <w:sz w:val="16"/>
                <w:szCs w:val="16"/>
                <w:lang w:eastAsia="en-GB"/>
              </w:rPr>
              <w:t>727</w:t>
            </w:r>
          </w:p>
        </w:tc>
        <w:tc>
          <w:tcPr>
            <w:tcW w:w="256" w:type="pct"/>
            <w:tcBorders>
              <w:top w:val="nil"/>
              <w:left w:val="nil"/>
              <w:bottom w:val="single" w:sz="4" w:space="0" w:color="auto"/>
              <w:right w:val="single" w:sz="4" w:space="0" w:color="auto"/>
            </w:tcBorders>
            <w:shd w:val="clear" w:color="000000" w:fill="EBF1DE"/>
            <w:noWrap/>
            <w:vAlign w:val="center"/>
            <w:hideMark/>
          </w:tcPr>
          <w:p w:rsidR="004D3DFA" w:rsidRPr="004D3DFA" w:rsidRDefault="004D3DFA" w:rsidP="004D3DFA">
            <w:pPr>
              <w:spacing w:after="0" w:line="240" w:lineRule="auto"/>
              <w:jc w:val="center"/>
              <w:rPr>
                <w:rFonts w:ascii="Calibri" w:eastAsia="Times New Roman" w:hAnsi="Calibri" w:cs="Times New Roman"/>
                <w:color w:val="000000"/>
                <w:sz w:val="16"/>
                <w:szCs w:val="16"/>
                <w:lang w:eastAsia="en-GB"/>
              </w:rPr>
            </w:pPr>
            <w:r w:rsidRPr="004D3DFA">
              <w:rPr>
                <w:rFonts w:ascii="Calibri" w:eastAsia="Times New Roman" w:hAnsi="Calibri" w:cs="Times New Roman"/>
                <w:color w:val="000000"/>
                <w:sz w:val="16"/>
                <w:szCs w:val="16"/>
                <w:lang w:eastAsia="en-GB"/>
              </w:rPr>
              <w:t>1,311</w:t>
            </w:r>
          </w:p>
        </w:tc>
        <w:tc>
          <w:tcPr>
            <w:tcW w:w="256" w:type="pct"/>
            <w:tcBorders>
              <w:top w:val="nil"/>
              <w:left w:val="nil"/>
              <w:bottom w:val="single" w:sz="4" w:space="0" w:color="auto"/>
              <w:right w:val="single" w:sz="4" w:space="0" w:color="auto"/>
            </w:tcBorders>
            <w:shd w:val="clear" w:color="000000" w:fill="FFFF99"/>
            <w:noWrap/>
            <w:vAlign w:val="center"/>
            <w:hideMark/>
          </w:tcPr>
          <w:p w:rsidR="004D3DFA" w:rsidRPr="004D3DFA" w:rsidRDefault="004D3DFA" w:rsidP="004D3DFA">
            <w:pPr>
              <w:spacing w:after="0" w:line="240" w:lineRule="auto"/>
              <w:jc w:val="center"/>
              <w:rPr>
                <w:rFonts w:ascii="Calibri" w:eastAsia="Times New Roman" w:hAnsi="Calibri" w:cs="Times New Roman"/>
                <w:color w:val="000000"/>
                <w:sz w:val="16"/>
                <w:szCs w:val="16"/>
                <w:lang w:eastAsia="en-GB"/>
              </w:rPr>
            </w:pPr>
            <w:r w:rsidRPr="004D3DFA">
              <w:rPr>
                <w:rFonts w:ascii="Calibri" w:eastAsia="Times New Roman" w:hAnsi="Calibri" w:cs="Times New Roman"/>
                <w:color w:val="000000"/>
                <w:sz w:val="16"/>
                <w:szCs w:val="16"/>
                <w:lang w:eastAsia="en-GB"/>
              </w:rPr>
              <w:t>177</w:t>
            </w:r>
          </w:p>
        </w:tc>
        <w:tc>
          <w:tcPr>
            <w:tcW w:w="257" w:type="pct"/>
            <w:tcBorders>
              <w:top w:val="nil"/>
              <w:left w:val="nil"/>
              <w:bottom w:val="single" w:sz="4" w:space="0" w:color="auto"/>
              <w:right w:val="single" w:sz="4" w:space="0" w:color="auto"/>
            </w:tcBorders>
            <w:shd w:val="clear" w:color="000000" w:fill="FFFF99"/>
            <w:noWrap/>
            <w:vAlign w:val="center"/>
            <w:hideMark/>
          </w:tcPr>
          <w:p w:rsidR="004D3DFA" w:rsidRPr="004D3DFA" w:rsidRDefault="004D3DFA" w:rsidP="004D3DFA">
            <w:pPr>
              <w:spacing w:after="0" w:line="240" w:lineRule="auto"/>
              <w:jc w:val="center"/>
              <w:rPr>
                <w:rFonts w:ascii="Calibri" w:eastAsia="Times New Roman" w:hAnsi="Calibri" w:cs="Times New Roman"/>
                <w:color w:val="000000"/>
                <w:sz w:val="16"/>
                <w:szCs w:val="16"/>
                <w:lang w:eastAsia="en-GB"/>
              </w:rPr>
            </w:pPr>
            <w:r w:rsidRPr="004D3DFA">
              <w:rPr>
                <w:rFonts w:ascii="Calibri" w:eastAsia="Times New Roman" w:hAnsi="Calibri" w:cs="Times New Roman"/>
                <w:color w:val="000000"/>
                <w:sz w:val="16"/>
                <w:szCs w:val="16"/>
                <w:lang w:eastAsia="en-GB"/>
              </w:rPr>
              <w:t>1,349</w:t>
            </w:r>
          </w:p>
        </w:tc>
        <w:tc>
          <w:tcPr>
            <w:tcW w:w="256" w:type="pct"/>
            <w:tcBorders>
              <w:top w:val="nil"/>
              <w:left w:val="nil"/>
              <w:bottom w:val="single" w:sz="4" w:space="0" w:color="auto"/>
              <w:right w:val="single" w:sz="4" w:space="0" w:color="auto"/>
            </w:tcBorders>
            <w:shd w:val="clear" w:color="000000" w:fill="FFFF99"/>
            <w:noWrap/>
            <w:vAlign w:val="center"/>
            <w:hideMark/>
          </w:tcPr>
          <w:p w:rsidR="004D3DFA" w:rsidRPr="004D3DFA" w:rsidRDefault="004D3DFA" w:rsidP="004D3DFA">
            <w:pPr>
              <w:spacing w:after="0" w:line="240" w:lineRule="auto"/>
              <w:jc w:val="center"/>
              <w:rPr>
                <w:rFonts w:ascii="Calibri" w:eastAsia="Times New Roman" w:hAnsi="Calibri" w:cs="Times New Roman"/>
                <w:color w:val="000000"/>
                <w:sz w:val="16"/>
                <w:szCs w:val="16"/>
                <w:lang w:eastAsia="en-GB"/>
              </w:rPr>
            </w:pPr>
            <w:r w:rsidRPr="004D3DFA">
              <w:rPr>
                <w:rFonts w:ascii="Calibri" w:eastAsia="Times New Roman" w:hAnsi="Calibri" w:cs="Times New Roman"/>
                <w:color w:val="000000"/>
                <w:sz w:val="16"/>
                <w:szCs w:val="16"/>
                <w:lang w:eastAsia="en-GB"/>
              </w:rPr>
              <w:t>114</w:t>
            </w:r>
          </w:p>
        </w:tc>
        <w:tc>
          <w:tcPr>
            <w:tcW w:w="257" w:type="pct"/>
            <w:tcBorders>
              <w:top w:val="nil"/>
              <w:left w:val="nil"/>
              <w:bottom w:val="single" w:sz="4" w:space="0" w:color="auto"/>
              <w:right w:val="single" w:sz="4" w:space="0" w:color="auto"/>
            </w:tcBorders>
            <w:shd w:val="clear" w:color="000000" w:fill="FFFF99"/>
            <w:noWrap/>
            <w:vAlign w:val="center"/>
            <w:hideMark/>
          </w:tcPr>
          <w:p w:rsidR="004D3DFA" w:rsidRPr="004D3DFA" w:rsidRDefault="004D3DFA" w:rsidP="004D3DFA">
            <w:pPr>
              <w:spacing w:after="0" w:line="240" w:lineRule="auto"/>
              <w:jc w:val="center"/>
              <w:rPr>
                <w:rFonts w:ascii="Calibri" w:eastAsia="Times New Roman" w:hAnsi="Calibri" w:cs="Times New Roman"/>
                <w:color w:val="000000"/>
                <w:sz w:val="16"/>
                <w:szCs w:val="16"/>
                <w:lang w:eastAsia="en-GB"/>
              </w:rPr>
            </w:pPr>
            <w:r w:rsidRPr="004D3DFA">
              <w:rPr>
                <w:rFonts w:ascii="Calibri" w:eastAsia="Times New Roman" w:hAnsi="Calibri" w:cs="Times New Roman"/>
                <w:color w:val="000000"/>
                <w:sz w:val="16"/>
                <w:szCs w:val="16"/>
                <w:lang w:eastAsia="en-GB"/>
              </w:rPr>
              <w:t>1,604</w:t>
            </w:r>
          </w:p>
        </w:tc>
        <w:tc>
          <w:tcPr>
            <w:tcW w:w="256" w:type="pct"/>
            <w:tcBorders>
              <w:top w:val="nil"/>
              <w:left w:val="nil"/>
              <w:bottom w:val="single" w:sz="4" w:space="0" w:color="auto"/>
              <w:right w:val="single" w:sz="4" w:space="0" w:color="auto"/>
            </w:tcBorders>
            <w:shd w:val="clear" w:color="000000" w:fill="FFFF99"/>
            <w:noWrap/>
            <w:vAlign w:val="center"/>
            <w:hideMark/>
          </w:tcPr>
          <w:p w:rsidR="004D3DFA" w:rsidRPr="004D3DFA" w:rsidRDefault="004D3DFA" w:rsidP="004D3DFA">
            <w:pPr>
              <w:spacing w:after="0" w:line="240" w:lineRule="auto"/>
              <w:jc w:val="center"/>
              <w:rPr>
                <w:rFonts w:ascii="Calibri" w:eastAsia="Times New Roman" w:hAnsi="Calibri" w:cs="Times New Roman"/>
                <w:color w:val="000000"/>
                <w:sz w:val="16"/>
                <w:szCs w:val="16"/>
                <w:lang w:eastAsia="en-GB"/>
              </w:rPr>
            </w:pPr>
            <w:r w:rsidRPr="004D3DFA">
              <w:rPr>
                <w:rFonts w:ascii="Calibri" w:eastAsia="Times New Roman" w:hAnsi="Calibri" w:cs="Times New Roman"/>
                <w:color w:val="000000"/>
                <w:sz w:val="16"/>
                <w:szCs w:val="16"/>
                <w:lang w:eastAsia="en-GB"/>
              </w:rPr>
              <w:t>99</w:t>
            </w:r>
          </w:p>
        </w:tc>
        <w:tc>
          <w:tcPr>
            <w:tcW w:w="257" w:type="pct"/>
            <w:tcBorders>
              <w:top w:val="nil"/>
              <w:left w:val="nil"/>
              <w:bottom w:val="single" w:sz="4" w:space="0" w:color="auto"/>
              <w:right w:val="single" w:sz="4" w:space="0" w:color="auto"/>
            </w:tcBorders>
            <w:shd w:val="clear" w:color="000000" w:fill="FFFF99"/>
            <w:noWrap/>
            <w:vAlign w:val="center"/>
            <w:hideMark/>
          </w:tcPr>
          <w:p w:rsidR="004D3DFA" w:rsidRPr="004D3DFA" w:rsidRDefault="004D3DFA" w:rsidP="004D3DFA">
            <w:pPr>
              <w:spacing w:after="0" w:line="240" w:lineRule="auto"/>
              <w:jc w:val="center"/>
              <w:rPr>
                <w:rFonts w:ascii="Calibri" w:eastAsia="Times New Roman" w:hAnsi="Calibri" w:cs="Times New Roman"/>
                <w:color w:val="000000"/>
                <w:sz w:val="16"/>
                <w:szCs w:val="16"/>
                <w:lang w:eastAsia="en-GB"/>
              </w:rPr>
            </w:pPr>
            <w:r w:rsidRPr="004D3DFA">
              <w:rPr>
                <w:rFonts w:ascii="Calibri" w:eastAsia="Times New Roman" w:hAnsi="Calibri" w:cs="Times New Roman"/>
                <w:color w:val="000000"/>
                <w:sz w:val="16"/>
                <w:szCs w:val="16"/>
                <w:lang w:eastAsia="en-GB"/>
              </w:rPr>
              <w:t>1,228</w:t>
            </w:r>
          </w:p>
        </w:tc>
        <w:tc>
          <w:tcPr>
            <w:tcW w:w="256" w:type="pct"/>
            <w:tcBorders>
              <w:top w:val="nil"/>
              <w:left w:val="nil"/>
              <w:bottom w:val="single" w:sz="4" w:space="0" w:color="auto"/>
              <w:right w:val="single" w:sz="4" w:space="0" w:color="auto"/>
            </w:tcBorders>
            <w:shd w:val="clear" w:color="000000" w:fill="FFFF99"/>
            <w:noWrap/>
            <w:vAlign w:val="center"/>
            <w:hideMark/>
          </w:tcPr>
          <w:p w:rsidR="004D3DFA" w:rsidRPr="004D3DFA" w:rsidRDefault="004D3DFA" w:rsidP="004D3DFA">
            <w:pPr>
              <w:spacing w:after="0" w:line="240" w:lineRule="auto"/>
              <w:jc w:val="center"/>
              <w:rPr>
                <w:rFonts w:ascii="Calibri" w:eastAsia="Times New Roman" w:hAnsi="Calibri" w:cs="Times New Roman"/>
                <w:color w:val="000000"/>
                <w:sz w:val="16"/>
                <w:szCs w:val="16"/>
                <w:lang w:eastAsia="en-GB"/>
              </w:rPr>
            </w:pPr>
            <w:r w:rsidRPr="004D3DFA">
              <w:rPr>
                <w:rFonts w:ascii="Calibri" w:eastAsia="Times New Roman" w:hAnsi="Calibri" w:cs="Times New Roman"/>
                <w:color w:val="000000"/>
                <w:sz w:val="16"/>
                <w:szCs w:val="16"/>
                <w:lang w:eastAsia="en-GB"/>
              </w:rPr>
              <w:t>161</w:t>
            </w:r>
          </w:p>
        </w:tc>
        <w:tc>
          <w:tcPr>
            <w:tcW w:w="257" w:type="pct"/>
            <w:tcBorders>
              <w:top w:val="nil"/>
              <w:left w:val="nil"/>
              <w:bottom w:val="single" w:sz="4" w:space="0" w:color="auto"/>
              <w:right w:val="single" w:sz="4" w:space="0" w:color="auto"/>
            </w:tcBorders>
            <w:shd w:val="clear" w:color="000000" w:fill="FFFF99"/>
            <w:noWrap/>
            <w:vAlign w:val="center"/>
            <w:hideMark/>
          </w:tcPr>
          <w:p w:rsidR="004D3DFA" w:rsidRPr="004D3DFA" w:rsidRDefault="004D3DFA" w:rsidP="004D3DFA">
            <w:pPr>
              <w:spacing w:after="0" w:line="240" w:lineRule="auto"/>
              <w:jc w:val="center"/>
              <w:rPr>
                <w:rFonts w:ascii="Calibri" w:eastAsia="Times New Roman" w:hAnsi="Calibri" w:cs="Times New Roman"/>
                <w:color w:val="000000"/>
                <w:sz w:val="16"/>
                <w:szCs w:val="16"/>
                <w:lang w:eastAsia="en-GB"/>
              </w:rPr>
            </w:pPr>
            <w:r w:rsidRPr="004D3DFA">
              <w:rPr>
                <w:rFonts w:ascii="Calibri" w:eastAsia="Times New Roman" w:hAnsi="Calibri" w:cs="Times New Roman"/>
                <w:color w:val="000000"/>
                <w:sz w:val="16"/>
                <w:szCs w:val="16"/>
                <w:lang w:eastAsia="en-GB"/>
              </w:rPr>
              <w:t>1,539</w:t>
            </w:r>
          </w:p>
        </w:tc>
        <w:tc>
          <w:tcPr>
            <w:tcW w:w="299" w:type="pct"/>
            <w:tcBorders>
              <w:top w:val="nil"/>
              <w:left w:val="nil"/>
              <w:bottom w:val="single" w:sz="4" w:space="0" w:color="auto"/>
              <w:right w:val="single" w:sz="4" w:space="0" w:color="auto"/>
            </w:tcBorders>
            <w:shd w:val="clear" w:color="000000" w:fill="EBF1DE"/>
            <w:noWrap/>
            <w:vAlign w:val="center"/>
            <w:hideMark/>
          </w:tcPr>
          <w:p w:rsidR="004D3DFA" w:rsidRPr="004D3DFA" w:rsidRDefault="004D3DFA" w:rsidP="004D3DFA">
            <w:pPr>
              <w:spacing w:after="0" w:line="240" w:lineRule="auto"/>
              <w:jc w:val="center"/>
              <w:rPr>
                <w:rFonts w:ascii="Calibri" w:eastAsia="Times New Roman" w:hAnsi="Calibri" w:cs="Times New Roman"/>
                <w:color w:val="000000"/>
                <w:sz w:val="16"/>
                <w:szCs w:val="16"/>
                <w:lang w:eastAsia="en-GB"/>
              </w:rPr>
            </w:pPr>
            <w:r w:rsidRPr="004D3DFA">
              <w:rPr>
                <w:rFonts w:ascii="Calibri" w:eastAsia="Times New Roman" w:hAnsi="Calibri" w:cs="Times New Roman"/>
                <w:color w:val="000000"/>
                <w:sz w:val="16"/>
                <w:szCs w:val="16"/>
                <w:lang w:eastAsia="en-GB"/>
              </w:rPr>
              <w:t>200</w:t>
            </w:r>
          </w:p>
        </w:tc>
        <w:tc>
          <w:tcPr>
            <w:tcW w:w="281" w:type="pct"/>
            <w:tcBorders>
              <w:top w:val="nil"/>
              <w:left w:val="nil"/>
              <w:bottom w:val="single" w:sz="4" w:space="0" w:color="auto"/>
              <w:right w:val="single" w:sz="4" w:space="0" w:color="auto"/>
            </w:tcBorders>
            <w:shd w:val="clear" w:color="000000" w:fill="EBF1DE"/>
            <w:noWrap/>
            <w:vAlign w:val="center"/>
            <w:hideMark/>
          </w:tcPr>
          <w:p w:rsidR="004D3DFA" w:rsidRPr="004D3DFA" w:rsidRDefault="004D3DFA" w:rsidP="004D3DFA">
            <w:pPr>
              <w:spacing w:after="0" w:line="240" w:lineRule="auto"/>
              <w:jc w:val="center"/>
              <w:rPr>
                <w:rFonts w:ascii="Calibri" w:eastAsia="Times New Roman" w:hAnsi="Calibri" w:cs="Times New Roman"/>
                <w:color w:val="000000"/>
                <w:sz w:val="16"/>
                <w:szCs w:val="16"/>
                <w:lang w:eastAsia="en-GB"/>
              </w:rPr>
            </w:pPr>
            <w:r w:rsidRPr="004D3DFA">
              <w:rPr>
                <w:rFonts w:ascii="Calibri" w:eastAsia="Times New Roman" w:hAnsi="Calibri" w:cs="Times New Roman"/>
                <w:color w:val="000000"/>
                <w:sz w:val="16"/>
                <w:szCs w:val="16"/>
                <w:lang w:eastAsia="en-GB"/>
              </w:rPr>
              <w:t>1,260</w:t>
            </w:r>
          </w:p>
        </w:tc>
        <w:tc>
          <w:tcPr>
            <w:tcW w:w="235" w:type="pct"/>
            <w:tcBorders>
              <w:top w:val="nil"/>
              <w:left w:val="nil"/>
              <w:bottom w:val="single" w:sz="4" w:space="0" w:color="auto"/>
              <w:right w:val="single" w:sz="4" w:space="0" w:color="auto"/>
            </w:tcBorders>
            <w:shd w:val="clear" w:color="000000" w:fill="EBF1DE"/>
            <w:noWrap/>
            <w:vAlign w:val="center"/>
            <w:hideMark/>
          </w:tcPr>
          <w:p w:rsidR="004D3DFA" w:rsidRPr="004D3DFA" w:rsidRDefault="004D3DFA" w:rsidP="004D3DFA">
            <w:pPr>
              <w:spacing w:after="0" w:line="240" w:lineRule="auto"/>
              <w:jc w:val="center"/>
              <w:rPr>
                <w:rFonts w:ascii="Calibri" w:eastAsia="Times New Roman" w:hAnsi="Calibri" w:cs="Times New Roman"/>
                <w:color w:val="000000"/>
                <w:sz w:val="16"/>
                <w:szCs w:val="16"/>
                <w:lang w:eastAsia="en-GB"/>
              </w:rPr>
            </w:pPr>
            <w:r w:rsidRPr="004D3DFA">
              <w:rPr>
                <w:rFonts w:ascii="Calibri" w:eastAsia="Times New Roman" w:hAnsi="Calibri" w:cs="Times New Roman"/>
                <w:color w:val="000000"/>
                <w:sz w:val="16"/>
                <w:szCs w:val="16"/>
                <w:lang w:eastAsia="en-GB"/>
              </w:rPr>
              <w:t>154</w:t>
            </w:r>
          </w:p>
        </w:tc>
        <w:tc>
          <w:tcPr>
            <w:tcW w:w="256" w:type="pct"/>
            <w:tcBorders>
              <w:top w:val="nil"/>
              <w:left w:val="nil"/>
              <w:bottom w:val="single" w:sz="4" w:space="0" w:color="auto"/>
              <w:right w:val="single" w:sz="4" w:space="0" w:color="auto"/>
            </w:tcBorders>
            <w:shd w:val="clear" w:color="000000" w:fill="EBF1DE"/>
            <w:noWrap/>
            <w:vAlign w:val="center"/>
            <w:hideMark/>
          </w:tcPr>
          <w:p w:rsidR="004D3DFA" w:rsidRPr="004D3DFA" w:rsidRDefault="004D3DFA" w:rsidP="004D3DFA">
            <w:pPr>
              <w:spacing w:after="0" w:line="240" w:lineRule="auto"/>
              <w:jc w:val="center"/>
              <w:rPr>
                <w:rFonts w:ascii="Calibri" w:eastAsia="Times New Roman" w:hAnsi="Calibri" w:cs="Times New Roman"/>
                <w:color w:val="000000"/>
                <w:sz w:val="16"/>
                <w:szCs w:val="16"/>
                <w:lang w:eastAsia="en-GB"/>
              </w:rPr>
            </w:pPr>
            <w:r w:rsidRPr="004D3DFA">
              <w:rPr>
                <w:rFonts w:ascii="Calibri" w:eastAsia="Times New Roman" w:hAnsi="Calibri" w:cs="Times New Roman"/>
                <w:color w:val="000000"/>
                <w:sz w:val="16"/>
                <w:szCs w:val="16"/>
                <w:lang w:eastAsia="en-GB"/>
              </w:rPr>
              <w:t>1,124</w:t>
            </w:r>
          </w:p>
        </w:tc>
        <w:tc>
          <w:tcPr>
            <w:tcW w:w="256" w:type="pct"/>
            <w:tcBorders>
              <w:top w:val="nil"/>
              <w:left w:val="nil"/>
              <w:bottom w:val="single" w:sz="4" w:space="0" w:color="auto"/>
              <w:right w:val="single" w:sz="4" w:space="0" w:color="auto"/>
            </w:tcBorders>
            <w:shd w:val="clear" w:color="000000" w:fill="FFFFFF"/>
            <w:noWrap/>
            <w:vAlign w:val="center"/>
            <w:hideMark/>
          </w:tcPr>
          <w:p w:rsidR="004D3DFA" w:rsidRPr="004D3DFA" w:rsidRDefault="004D3DFA" w:rsidP="004D3DFA">
            <w:pPr>
              <w:spacing w:after="0" w:line="240" w:lineRule="auto"/>
              <w:jc w:val="center"/>
              <w:rPr>
                <w:rFonts w:ascii="Calibri" w:eastAsia="Times New Roman" w:hAnsi="Calibri" w:cs="Times New Roman"/>
                <w:color w:val="000000"/>
                <w:sz w:val="16"/>
                <w:szCs w:val="16"/>
                <w:lang w:eastAsia="en-GB"/>
              </w:rPr>
            </w:pPr>
            <w:r w:rsidRPr="004D3DFA">
              <w:rPr>
                <w:rFonts w:ascii="Calibri" w:eastAsia="Times New Roman" w:hAnsi="Calibri" w:cs="Times New Roman"/>
                <w:color w:val="000000"/>
                <w:sz w:val="16"/>
                <w:szCs w:val="16"/>
                <w:lang w:eastAsia="en-GB"/>
              </w:rPr>
              <w:t>66,182</w:t>
            </w:r>
          </w:p>
        </w:tc>
        <w:tc>
          <w:tcPr>
            <w:tcW w:w="254" w:type="pct"/>
            <w:tcBorders>
              <w:top w:val="nil"/>
              <w:left w:val="nil"/>
              <w:bottom w:val="single" w:sz="4" w:space="0" w:color="auto"/>
              <w:right w:val="single" w:sz="4" w:space="0" w:color="auto"/>
            </w:tcBorders>
            <w:shd w:val="clear" w:color="auto" w:fill="auto"/>
            <w:noWrap/>
            <w:vAlign w:val="center"/>
            <w:hideMark/>
          </w:tcPr>
          <w:p w:rsidR="004D3DFA" w:rsidRPr="004D3DFA" w:rsidRDefault="004D3DFA" w:rsidP="004D3DFA">
            <w:pPr>
              <w:spacing w:after="0" w:line="240" w:lineRule="auto"/>
              <w:jc w:val="center"/>
              <w:rPr>
                <w:rFonts w:ascii="Calibri" w:eastAsia="Times New Roman" w:hAnsi="Calibri" w:cs="Times New Roman"/>
                <w:color w:val="000000"/>
                <w:sz w:val="16"/>
                <w:szCs w:val="16"/>
                <w:lang w:eastAsia="en-GB"/>
              </w:rPr>
            </w:pPr>
            <w:r w:rsidRPr="004D3DFA">
              <w:rPr>
                <w:rFonts w:ascii="Calibri" w:eastAsia="Times New Roman" w:hAnsi="Calibri" w:cs="Times New Roman"/>
                <w:color w:val="000000"/>
                <w:sz w:val="16"/>
                <w:szCs w:val="16"/>
                <w:lang w:eastAsia="en-GB"/>
              </w:rPr>
              <w:t>1,459</w:t>
            </w:r>
          </w:p>
        </w:tc>
      </w:tr>
      <w:tr w:rsidR="00C37A76" w:rsidRPr="00264F59" w:rsidTr="00C37A76">
        <w:trPr>
          <w:trHeight w:val="300"/>
        </w:trPr>
        <w:tc>
          <w:tcPr>
            <w:tcW w:w="598" w:type="pct"/>
            <w:tcBorders>
              <w:top w:val="nil"/>
              <w:left w:val="single" w:sz="4" w:space="0" w:color="auto"/>
              <w:bottom w:val="single" w:sz="4" w:space="0" w:color="auto"/>
              <w:right w:val="single" w:sz="4" w:space="0" w:color="auto"/>
            </w:tcBorders>
            <w:shd w:val="clear" w:color="auto" w:fill="auto"/>
            <w:noWrap/>
            <w:vAlign w:val="center"/>
            <w:hideMark/>
          </w:tcPr>
          <w:p w:rsidR="004D3DFA" w:rsidRPr="004D3DFA" w:rsidRDefault="004D3DFA" w:rsidP="004D3DFA">
            <w:pPr>
              <w:spacing w:after="0" w:line="240" w:lineRule="auto"/>
              <w:jc w:val="center"/>
              <w:rPr>
                <w:rFonts w:ascii="Calibri" w:eastAsia="Times New Roman" w:hAnsi="Calibri" w:cs="Times New Roman"/>
                <w:color w:val="000000"/>
                <w:sz w:val="16"/>
                <w:szCs w:val="16"/>
                <w:lang w:eastAsia="en-GB"/>
              </w:rPr>
            </w:pPr>
            <w:r w:rsidRPr="004D3DFA">
              <w:rPr>
                <w:rFonts w:ascii="Calibri" w:eastAsia="Times New Roman" w:hAnsi="Calibri" w:cs="Times New Roman"/>
                <w:color w:val="000000"/>
                <w:sz w:val="16"/>
                <w:szCs w:val="16"/>
                <w:lang w:eastAsia="en-GB"/>
              </w:rPr>
              <w:t>Directly age-standardised rate of admission episodes for alcohol-related conditions - Female - 65+</w:t>
            </w:r>
          </w:p>
        </w:tc>
        <w:tc>
          <w:tcPr>
            <w:tcW w:w="256" w:type="pct"/>
            <w:tcBorders>
              <w:top w:val="nil"/>
              <w:left w:val="nil"/>
              <w:bottom w:val="single" w:sz="4" w:space="0" w:color="auto"/>
              <w:right w:val="single" w:sz="4" w:space="0" w:color="auto"/>
            </w:tcBorders>
            <w:shd w:val="clear" w:color="auto" w:fill="auto"/>
            <w:noWrap/>
            <w:vAlign w:val="center"/>
            <w:hideMark/>
          </w:tcPr>
          <w:p w:rsidR="004D3DFA" w:rsidRPr="004D3DFA" w:rsidRDefault="004D3DFA" w:rsidP="004D3DFA">
            <w:pPr>
              <w:spacing w:after="0" w:line="240" w:lineRule="auto"/>
              <w:jc w:val="center"/>
              <w:rPr>
                <w:rFonts w:ascii="Calibri" w:eastAsia="Times New Roman" w:hAnsi="Calibri" w:cs="Times New Roman"/>
                <w:color w:val="000000"/>
                <w:sz w:val="16"/>
                <w:szCs w:val="16"/>
                <w:lang w:eastAsia="en-GB"/>
              </w:rPr>
            </w:pPr>
            <w:r w:rsidRPr="004D3DFA">
              <w:rPr>
                <w:rFonts w:ascii="Calibri" w:eastAsia="Times New Roman" w:hAnsi="Calibri" w:cs="Times New Roman"/>
                <w:color w:val="000000"/>
                <w:sz w:val="16"/>
                <w:szCs w:val="16"/>
                <w:lang w:eastAsia="en-GB"/>
              </w:rPr>
              <w:t>2017-18</w:t>
            </w:r>
          </w:p>
        </w:tc>
        <w:tc>
          <w:tcPr>
            <w:tcW w:w="257" w:type="pct"/>
            <w:tcBorders>
              <w:top w:val="nil"/>
              <w:left w:val="nil"/>
              <w:bottom w:val="single" w:sz="4" w:space="0" w:color="auto"/>
              <w:right w:val="single" w:sz="4" w:space="0" w:color="auto"/>
            </w:tcBorders>
            <w:shd w:val="clear" w:color="000000" w:fill="FFFF99"/>
            <w:noWrap/>
            <w:vAlign w:val="center"/>
            <w:hideMark/>
          </w:tcPr>
          <w:p w:rsidR="004D3DFA" w:rsidRPr="004D3DFA" w:rsidRDefault="004D3DFA" w:rsidP="004D3DFA">
            <w:pPr>
              <w:spacing w:after="0" w:line="240" w:lineRule="auto"/>
              <w:jc w:val="center"/>
              <w:rPr>
                <w:rFonts w:ascii="Calibri" w:eastAsia="Times New Roman" w:hAnsi="Calibri" w:cs="Times New Roman"/>
                <w:color w:val="000000"/>
                <w:sz w:val="16"/>
                <w:szCs w:val="16"/>
                <w:lang w:eastAsia="en-GB"/>
              </w:rPr>
            </w:pPr>
            <w:r w:rsidRPr="004D3DFA">
              <w:rPr>
                <w:rFonts w:ascii="Calibri" w:eastAsia="Times New Roman" w:hAnsi="Calibri" w:cs="Times New Roman"/>
                <w:color w:val="000000"/>
                <w:sz w:val="16"/>
                <w:szCs w:val="16"/>
                <w:lang w:eastAsia="en-GB"/>
              </w:rPr>
              <w:t>432</w:t>
            </w:r>
          </w:p>
        </w:tc>
        <w:tc>
          <w:tcPr>
            <w:tcW w:w="256" w:type="pct"/>
            <w:tcBorders>
              <w:top w:val="nil"/>
              <w:left w:val="nil"/>
              <w:bottom w:val="single" w:sz="4" w:space="0" w:color="auto"/>
              <w:right w:val="single" w:sz="4" w:space="0" w:color="auto"/>
            </w:tcBorders>
            <w:shd w:val="clear" w:color="000000" w:fill="FFFF99"/>
            <w:noWrap/>
            <w:vAlign w:val="center"/>
            <w:hideMark/>
          </w:tcPr>
          <w:p w:rsidR="004D3DFA" w:rsidRPr="004D3DFA" w:rsidRDefault="004D3DFA" w:rsidP="004D3DFA">
            <w:pPr>
              <w:spacing w:after="0" w:line="240" w:lineRule="auto"/>
              <w:jc w:val="center"/>
              <w:rPr>
                <w:rFonts w:ascii="Calibri" w:eastAsia="Times New Roman" w:hAnsi="Calibri" w:cs="Times New Roman"/>
                <w:color w:val="000000"/>
                <w:sz w:val="16"/>
                <w:szCs w:val="16"/>
                <w:lang w:eastAsia="en-GB"/>
              </w:rPr>
            </w:pPr>
            <w:r w:rsidRPr="004D3DFA">
              <w:rPr>
                <w:rFonts w:ascii="Calibri" w:eastAsia="Times New Roman" w:hAnsi="Calibri" w:cs="Times New Roman"/>
                <w:color w:val="000000"/>
                <w:sz w:val="16"/>
                <w:szCs w:val="16"/>
                <w:lang w:eastAsia="en-GB"/>
              </w:rPr>
              <w:t>667</w:t>
            </w:r>
          </w:p>
        </w:tc>
        <w:tc>
          <w:tcPr>
            <w:tcW w:w="256" w:type="pct"/>
            <w:tcBorders>
              <w:top w:val="nil"/>
              <w:left w:val="nil"/>
              <w:bottom w:val="single" w:sz="4" w:space="0" w:color="auto"/>
              <w:right w:val="single" w:sz="4" w:space="0" w:color="auto"/>
            </w:tcBorders>
            <w:shd w:val="clear" w:color="000000" w:fill="FFFF99"/>
            <w:noWrap/>
            <w:vAlign w:val="center"/>
            <w:hideMark/>
          </w:tcPr>
          <w:p w:rsidR="004D3DFA" w:rsidRPr="004D3DFA" w:rsidRDefault="004D3DFA" w:rsidP="004D3DFA">
            <w:pPr>
              <w:spacing w:after="0" w:line="240" w:lineRule="auto"/>
              <w:jc w:val="center"/>
              <w:rPr>
                <w:rFonts w:ascii="Calibri" w:eastAsia="Times New Roman" w:hAnsi="Calibri" w:cs="Times New Roman"/>
                <w:color w:val="000000"/>
                <w:sz w:val="16"/>
                <w:szCs w:val="16"/>
                <w:lang w:eastAsia="en-GB"/>
              </w:rPr>
            </w:pPr>
            <w:r w:rsidRPr="004D3DFA">
              <w:rPr>
                <w:rFonts w:ascii="Calibri" w:eastAsia="Times New Roman" w:hAnsi="Calibri" w:cs="Times New Roman"/>
                <w:color w:val="000000"/>
                <w:sz w:val="16"/>
                <w:szCs w:val="16"/>
                <w:lang w:eastAsia="en-GB"/>
              </w:rPr>
              <w:t>88</w:t>
            </w:r>
          </w:p>
        </w:tc>
        <w:tc>
          <w:tcPr>
            <w:tcW w:w="257" w:type="pct"/>
            <w:tcBorders>
              <w:top w:val="nil"/>
              <w:left w:val="nil"/>
              <w:bottom w:val="single" w:sz="4" w:space="0" w:color="auto"/>
              <w:right w:val="single" w:sz="4" w:space="0" w:color="auto"/>
            </w:tcBorders>
            <w:shd w:val="clear" w:color="000000" w:fill="FFFF99"/>
            <w:noWrap/>
            <w:vAlign w:val="center"/>
            <w:hideMark/>
          </w:tcPr>
          <w:p w:rsidR="004D3DFA" w:rsidRPr="004D3DFA" w:rsidRDefault="004D3DFA" w:rsidP="004D3DFA">
            <w:pPr>
              <w:spacing w:after="0" w:line="240" w:lineRule="auto"/>
              <w:jc w:val="center"/>
              <w:rPr>
                <w:rFonts w:ascii="Calibri" w:eastAsia="Times New Roman" w:hAnsi="Calibri" w:cs="Times New Roman"/>
                <w:color w:val="000000"/>
                <w:sz w:val="16"/>
                <w:szCs w:val="16"/>
                <w:lang w:eastAsia="en-GB"/>
              </w:rPr>
            </w:pPr>
            <w:r w:rsidRPr="004D3DFA">
              <w:rPr>
                <w:rFonts w:ascii="Calibri" w:eastAsia="Times New Roman" w:hAnsi="Calibri" w:cs="Times New Roman"/>
                <w:color w:val="000000"/>
                <w:sz w:val="16"/>
                <w:szCs w:val="16"/>
                <w:lang w:eastAsia="en-GB"/>
              </w:rPr>
              <w:t>562</w:t>
            </w:r>
          </w:p>
        </w:tc>
        <w:tc>
          <w:tcPr>
            <w:tcW w:w="256" w:type="pct"/>
            <w:tcBorders>
              <w:top w:val="nil"/>
              <w:left w:val="nil"/>
              <w:bottom w:val="single" w:sz="4" w:space="0" w:color="auto"/>
              <w:right w:val="single" w:sz="4" w:space="0" w:color="auto"/>
            </w:tcBorders>
            <w:shd w:val="clear" w:color="000000" w:fill="FFFF99"/>
            <w:noWrap/>
            <w:vAlign w:val="center"/>
            <w:hideMark/>
          </w:tcPr>
          <w:p w:rsidR="004D3DFA" w:rsidRPr="004D3DFA" w:rsidRDefault="004D3DFA" w:rsidP="004D3DFA">
            <w:pPr>
              <w:spacing w:after="0" w:line="240" w:lineRule="auto"/>
              <w:jc w:val="center"/>
              <w:rPr>
                <w:rFonts w:ascii="Calibri" w:eastAsia="Times New Roman" w:hAnsi="Calibri" w:cs="Times New Roman"/>
                <w:color w:val="000000"/>
                <w:sz w:val="16"/>
                <w:szCs w:val="16"/>
                <w:lang w:eastAsia="en-GB"/>
              </w:rPr>
            </w:pPr>
            <w:r w:rsidRPr="004D3DFA">
              <w:rPr>
                <w:rFonts w:ascii="Calibri" w:eastAsia="Times New Roman" w:hAnsi="Calibri" w:cs="Times New Roman"/>
                <w:color w:val="000000"/>
                <w:sz w:val="16"/>
                <w:szCs w:val="16"/>
                <w:lang w:eastAsia="en-GB"/>
              </w:rPr>
              <w:t>58</w:t>
            </w:r>
          </w:p>
        </w:tc>
        <w:tc>
          <w:tcPr>
            <w:tcW w:w="257" w:type="pct"/>
            <w:tcBorders>
              <w:top w:val="nil"/>
              <w:left w:val="nil"/>
              <w:bottom w:val="single" w:sz="4" w:space="0" w:color="auto"/>
              <w:right w:val="single" w:sz="4" w:space="0" w:color="auto"/>
            </w:tcBorders>
            <w:shd w:val="clear" w:color="000000" w:fill="FFFF99"/>
            <w:noWrap/>
            <w:vAlign w:val="center"/>
            <w:hideMark/>
          </w:tcPr>
          <w:p w:rsidR="004D3DFA" w:rsidRPr="004D3DFA" w:rsidRDefault="004D3DFA" w:rsidP="004D3DFA">
            <w:pPr>
              <w:spacing w:after="0" w:line="240" w:lineRule="auto"/>
              <w:jc w:val="center"/>
              <w:rPr>
                <w:rFonts w:ascii="Calibri" w:eastAsia="Times New Roman" w:hAnsi="Calibri" w:cs="Times New Roman"/>
                <w:color w:val="000000"/>
                <w:sz w:val="16"/>
                <w:szCs w:val="16"/>
                <w:lang w:eastAsia="en-GB"/>
              </w:rPr>
            </w:pPr>
            <w:r w:rsidRPr="004D3DFA">
              <w:rPr>
                <w:rFonts w:ascii="Calibri" w:eastAsia="Times New Roman" w:hAnsi="Calibri" w:cs="Times New Roman"/>
                <w:color w:val="000000"/>
                <w:sz w:val="16"/>
                <w:szCs w:val="16"/>
                <w:lang w:eastAsia="en-GB"/>
              </w:rPr>
              <w:t>677</w:t>
            </w:r>
          </w:p>
        </w:tc>
        <w:tc>
          <w:tcPr>
            <w:tcW w:w="256" w:type="pct"/>
            <w:tcBorders>
              <w:top w:val="nil"/>
              <w:left w:val="nil"/>
              <w:bottom w:val="single" w:sz="4" w:space="0" w:color="auto"/>
              <w:right w:val="single" w:sz="4" w:space="0" w:color="auto"/>
            </w:tcBorders>
            <w:shd w:val="clear" w:color="000000" w:fill="FFFF99"/>
            <w:noWrap/>
            <w:vAlign w:val="center"/>
            <w:hideMark/>
          </w:tcPr>
          <w:p w:rsidR="004D3DFA" w:rsidRPr="004D3DFA" w:rsidRDefault="004D3DFA" w:rsidP="004D3DFA">
            <w:pPr>
              <w:spacing w:after="0" w:line="240" w:lineRule="auto"/>
              <w:jc w:val="center"/>
              <w:rPr>
                <w:rFonts w:ascii="Calibri" w:eastAsia="Times New Roman" w:hAnsi="Calibri" w:cs="Times New Roman"/>
                <w:color w:val="000000"/>
                <w:sz w:val="16"/>
                <w:szCs w:val="16"/>
                <w:lang w:eastAsia="en-GB"/>
              </w:rPr>
            </w:pPr>
            <w:r w:rsidRPr="004D3DFA">
              <w:rPr>
                <w:rFonts w:ascii="Calibri" w:eastAsia="Times New Roman" w:hAnsi="Calibri" w:cs="Times New Roman"/>
                <w:color w:val="000000"/>
                <w:sz w:val="16"/>
                <w:szCs w:val="16"/>
                <w:lang w:eastAsia="en-GB"/>
              </w:rPr>
              <w:t>57</w:t>
            </w:r>
          </w:p>
        </w:tc>
        <w:tc>
          <w:tcPr>
            <w:tcW w:w="257" w:type="pct"/>
            <w:tcBorders>
              <w:top w:val="nil"/>
              <w:left w:val="nil"/>
              <w:bottom w:val="single" w:sz="4" w:space="0" w:color="auto"/>
              <w:right w:val="single" w:sz="4" w:space="0" w:color="auto"/>
            </w:tcBorders>
            <w:shd w:val="clear" w:color="000000" w:fill="FFFF99"/>
            <w:noWrap/>
            <w:vAlign w:val="center"/>
            <w:hideMark/>
          </w:tcPr>
          <w:p w:rsidR="004D3DFA" w:rsidRPr="004D3DFA" w:rsidRDefault="004D3DFA" w:rsidP="004D3DFA">
            <w:pPr>
              <w:spacing w:after="0" w:line="240" w:lineRule="auto"/>
              <w:jc w:val="center"/>
              <w:rPr>
                <w:rFonts w:ascii="Calibri" w:eastAsia="Times New Roman" w:hAnsi="Calibri" w:cs="Times New Roman"/>
                <w:color w:val="000000"/>
                <w:sz w:val="16"/>
                <w:szCs w:val="16"/>
                <w:lang w:eastAsia="en-GB"/>
              </w:rPr>
            </w:pPr>
            <w:r w:rsidRPr="004D3DFA">
              <w:rPr>
                <w:rFonts w:ascii="Calibri" w:eastAsia="Times New Roman" w:hAnsi="Calibri" w:cs="Times New Roman"/>
                <w:color w:val="000000"/>
                <w:sz w:val="16"/>
                <w:szCs w:val="16"/>
                <w:lang w:eastAsia="en-GB"/>
              </w:rPr>
              <w:t>607</w:t>
            </w:r>
          </w:p>
        </w:tc>
        <w:tc>
          <w:tcPr>
            <w:tcW w:w="256" w:type="pct"/>
            <w:tcBorders>
              <w:top w:val="nil"/>
              <w:left w:val="nil"/>
              <w:bottom w:val="single" w:sz="4" w:space="0" w:color="auto"/>
              <w:right w:val="single" w:sz="4" w:space="0" w:color="auto"/>
            </w:tcBorders>
            <w:shd w:val="clear" w:color="000000" w:fill="FFFF99"/>
            <w:noWrap/>
            <w:vAlign w:val="center"/>
            <w:hideMark/>
          </w:tcPr>
          <w:p w:rsidR="004D3DFA" w:rsidRPr="004D3DFA" w:rsidRDefault="004D3DFA" w:rsidP="004D3DFA">
            <w:pPr>
              <w:spacing w:after="0" w:line="240" w:lineRule="auto"/>
              <w:jc w:val="center"/>
              <w:rPr>
                <w:rFonts w:ascii="Calibri" w:eastAsia="Times New Roman" w:hAnsi="Calibri" w:cs="Times New Roman"/>
                <w:color w:val="000000"/>
                <w:sz w:val="16"/>
                <w:szCs w:val="16"/>
                <w:lang w:eastAsia="en-GB"/>
              </w:rPr>
            </w:pPr>
            <w:r w:rsidRPr="004D3DFA">
              <w:rPr>
                <w:rFonts w:ascii="Calibri" w:eastAsia="Times New Roman" w:hAnsi="Calibri" w:cs="Times New Roman"/>
                <w:color w:val="000000"/>
                <w:sz w:val="16"/>
                <w:szCs w:val="16"/>
                <w:lang w:eastAsia="en-GB"/>
              </w:rPr>
              <w:t>83</w:t>
            </w:r>
          </w:p>
        </w:tc>
        <w:tc>
          <w:tcPr>
            <w:tcW w:w="257" w:type="pct"/>
            <w:tcBorders>
              <w:top w:val="nil"/>
              <w:left w:val="nil"/>
              <w:bottom w:val="single" w:sz="4" w:space="0" w:color="auto"/>
              <w:right w:val="single" w:sz="4" w:space="0" w:color="auto"/>
            </w:tcBorders>
            <w:shd w:val="clear" w:color="000000" w:fill="FFFF99"/>
            <w:noWrap/>
            <w:vAlign w:val="center"/>
            <w:hideMark/>
          </w:tcPr>
          <w:p w:rsidR="004D3DFA" w:rsidRPr="004D3DFA" w:rsidRDefault="004D3DFA" w:rsidP="004D3DFA">
            <w:pPr>
              <w:spacing w:after="0" w:line="240" w:lineRule="auto"/>
              <w:jc w:val="center"/>
              <w:rPr>
                <w:rFonts w:ascii="Calibri" w:eastAsia="Times New Roman" w:hAnsi="Calibri" w:cs="Times New Roman"/>
                <w:color w:val="000000"/>
                <w:sz w:val="16"/>
                <w:szCs w:val="16"/>
                <w:lang w:eastAsia="en-GB"/>
              </w:rPr>
            </w:pPr>
            <w:r w:rsidRPr="004D3DFA">
              <w:rPr>
                <w:rFonts w:ascii="Calibri" w:eastAsia="Times New Roman" w:hAnsi="Calibri" w:cs="Times New Roman"/>
                <w:color w:val="000000"/>
                <w:sz w:val="16"/>
                <w:szCs w:val="16"/>
                <w:lang w:eastAsia="en-GB"/>
              </w:rPr>
              <w:t>687</w:t>
            </w:r>
          </w:p>
        </w:tc>
        <w:tc>
          <w:tcPr>
            <w:tcW w:w="299" w:type="pct"/>
            <w:tcBorders>
              <w:top w:val="nil"/>
              <w:left w:val="nil"/>
              <w:bottom w:val="single" w:sz="4" w:space="0" w:color="auto"/>
              <w:right w:val="single" w:sz="4" w:space="0" w:color="auto"/>
            </w:tcBorders>
            <w:shd w:val="clear" w:color="000000" w:fill="FFFF99"/>
            <w:noWrap/>
            <w:vAlign w:val="center"/>
            <w:hideMark/>
          </w:tcPr>
          <w:p w:rsidR="004D3DFA" w:rsidRPr="004D3DFA" w:rsidRDefault="004D3DFA" w:rsidP="004D3DFA">
            <w:pPr>
              <w:spacing w:after="0" w:line="240" w:lineRule="auto"/>
              <w:jc w:val="center"/>
              <w:rPr>
                <w:rFonts w:ascii="Calibri" w:eastAsia="Times New Roman" w:hAnsi="Calibri" w:cs="Times New Roman"/>
                <w:color w:val="000000"/>
                <w:sz w:val="16"/>
                <w:szCs w:val="16"/>
                <w:lang w:eastAsia="en-GB"/>
              </w:rPr>
            </w:pPr>
            <w:r w:rsidRPr="004D3DFA">
              <w:rPr>
                <w:rFonts w:ascii="Calibri" w:eastAsia="Times New Roman" w:hAnsi="Calibri" w:cs="Times New Roman"/>
                <w:color w:val="000000"/>
                <w:sz w:val="16"/>
                <w:szCs w:val="16"/>
                <w:lang w:eastAsia="en-GB"/>
              </w:rPr>
              <w:t>113</w:t>
            </w:r>
          </w:p>
        </w:tc>
        <w:tc>
          <w:tcPr>
            <w:tcW w:w="281" w:type="pct"/>
            <w:tcBorders>
              <w:top w:val="nil"/>
              <w:left w:val="nil"/>
              <w:bottom w:val="single" w:sz="4" w:space="0" w:color="auto"/>
              <w:right w:val="single" w:sz="4" w:space="0" w:color="auto"/>
            </w:tcBorders>
            <w:shd w:val="clear" w:color="000000" w:fill="FFFF99"/>
            <w:noWrap/>
            <w:vAlign w:val="center"/>
            <w:hideMark/>
          </w:tcPr>
          <w:p w:rsidR="004D3DFA" w:rsidRPr="004D3DFA" w:rsidRDefault="004D3DFA" w:rsidP="004D3DFA">
            <w:pPr>
              <w:spacing w:after="0" w:line="240" w:lineRule="auto"/>
              <w:jc w:val="center"/>
              <w:rPr>
                <w:rFonts w:ascii="Calibri" w:eastAsia="Times New Roman" w:hAnsi="Calibri" w:cs="Times New Roman"/>
                <w:color w:val="000000"/>
                <w:sz w:val="16"/>
                <w:szCs w:val="16"/>
                <w:lang w:eastAsia="en-GB"/>
              </w:rPr>
            </w:pPr>
            <w:r w:rsidRPr="004D3DFA">
              <w:rPr>
                <w:rFonts w:ascii="Calibri" w:eastAsia="Times New Roman" w:hAnsi="Calibri" w:cs="Times New Roman"/>
                <w:color w:val="000000"/>
                <w:sz w:val="16"/>
                <w:szCs w:val="16"/>
                <w:lang w:eastAsia="en-GB"/>
              </w:rPr>
              <w:t>607</w:t>
            </w:r>
          </w:p>
        </w:tc>
        <w:tc>
          <w:tcPr>
            <w:tcW w:w="235" w:type="pct"/>
            <w:tcBorders>
              <w:top w:val="nil"/>
              <w:left w:val="nil"/>
              <w:bottom w:val="single" w:sz="4" w:space="0" w:color="auto"/>
              <w:right w:val="single" w:sz="4" w:space="0" w:color="auto"/>
            </w:tcBorders>
            <w:shd w:val="clear" w:color="000000" w:fill="FFFF99"/>
            <w:noWrap/>
            <w:vAlign w:val="center"/>
            <w:hideMark/>
          </w:tcPr>
          <w:p w:rsidR="004D3DFA" w:rsidRPr="004D3DFA" w:rsidRDefault="004D3DFA" w:rsidP="004D3DFA">
            <w:pPr>
              <w:spacing w:after="0" w:line="240" w:lineRule="auto"/>
              <w:jc w:val="center"/>
              <w:rPr>
                <w:rFonts w:ascii="Calibri" w:eastAsia="Times New Roman" w:hAnsi="Calibri" w:cs="Times New Roman"/>
                <w:color w:val="000000"/>
                <w:sz w:val="16"/>
                <w:szCs w:val="16"/>
                <w:lang w:eastAsia="en-GB"/>
              </w:rPr>
            </w:pPr>
            <w:r w:rsidRPr="004D3DFA">
              <w:rPr>
                <w:rFonts w:ascii="Calibri" w:eastAsia="Times New Roman" w:hAnsi="Calibri" w:cs="Times New Roman"/>
                <w:color w:val="000000"/>
                <w:sz w:val="16"/>
                <w:szCs w:val="16"/>
                <w:lang w:eastAsia="en-GB"/>
              </w:rPr>
              <w:t>121</w:t>
            </w:r>
          </w:p>
        </w:tc>
        <w:tc>
          <w:tcPr>
            <w:tcW w:w="256" w:type="pct"/>
            <w:tcBorders>
              <w:top w:val="nil"/>
              <w:left w:val="nil"/>
              <w:bottom w:val="single" w:sz="4" w:space="0" w:color="auto"/>
              <w:right w:val="single" w:sz="4" w:space="0" w:color="auto"/>
            </w:tcBorders>
            <w:shd w:val="clear" w:color="000000" w:fill="FFFF99"/>
            <w:noWrap/>
            <w:vAlign w:val="center"/>
            <w:hideMark/>
          </w:tcPr>
          <w:p w:rsidR="004D3DFA" w:rsidRPr="004D3DFA" w:rsidRDefault="004D3DFA" w:rsidP="004D3DFA">
            <w:pPr>
              <w:spacing w:after="0" w:line="240" w:lineRule="auto"/>
              <w:jc w:val="center"/>
              <w:rPr>
                <w:rFonts w:ascii="Calibri" w:eastAsia="Times New Roman" w:hAnsi="Calibri" w:cs="Times New Roman"/>
                <w:color w:val="000000"/>
                <w:sz w:val="16"/>
                <w:szCs w:val="16"/>
                <w:lang w:eastAsia="en-GB"/>
              </w:rPr>
            </w:pPr>
            <w:r w:rsidRPr="004D3DFA">
              <w:rPr>
                <w:rFonts w:ascii="Calibri" w:eastAsia="Times New Roman" w:hAnsi="Calibri" w:cs="Times New Roman"/>
                <w:color w:val="000000"/>
                <w:sz w:val="16"/>
                <w:szCs w:val="16"/>
                <w:lang w:eastAsia="en-GB"/>
              </w:rPr>
              <w:t>755</w:t>
            </w:r>
          </w:p>
        </w:tc>
        <w:tc>
          <w:tcPr>
            <w:tcW w:w="256" w:type="pct"/>
            <w:tcBorders>
              <w:top w:val="nil"/>
              <w:left w:val="nil"/>
              <w:bottom w:val="single" w:sz="4" w:space="0" w:color="auto"/>
              <w:right w:val="single" w:sz="4" w:space="0" w:color="auto"/>
            </w:tcBorders>
            <w:shd w:val="clear" w:color="auto" w:fill="auto"/>
            <w:noWrap/>
            <w:vAlign w:val="center"/>
            <w:hideMark/>
          </w:tcPr>
          <w:p w:rsidR="004D3DFA" w:rsidRPr="004D3DFA" w:rsidRDefault="004D3DFA" w:rsidP="004D3DFA">
            <w:pPr>
              <w:spacing w:after="0" w:line="240" w:lineRule="auto"/>
              <w:jc w:val="center"/>
              <w:rPr>
                <w:rFonts w:ascii="Calibri" w:eastAsia="Times New Roman" w:hAnsi="Calibri" w:cs="Times New Roman"/>
                <w:color w:val="000000"/>
                <w:sz w:val="16"/>
                <w:szCs w:val="16"/>
                <w:lang w:eastAsia="en-GB"/>
              </w:rPr>
            </w:pPr>
            <w:r w:rsidRPr="004D3DFA">
              <w:rPr>
                <w:rFonts w:ascii="Calibri" w:eastAsia="Times New Roman" w:hAnsi="Calibri" w:cs="Times New Roman"/>
                <w:color w:val="000000"/>
                <w:sz w:val="16"/>
                <w:szCs w:val="16"/>
                <w:lang w:eastAsia="en-GB"/>
              </w:rPr>
              <w:t>35,964</w:t>
            </w:r>
          </w:p>
        </w:tc>
        <w:tc>
          <w:tcPr>
            <w:tcW w:w="254" w:type="pct"/>
            <w:tcBorders>
              <w:top w:val="nil"/>
              <w:left w:val="nil"/>
              <w:bottom w:val="single" w:sz="4" w:space="0" w:color="auto"/>
              <w:right w:val="single" w:sz="4" w:space="0" w:color="auto"/>
            </w:tcBorders>
            <w:shd w:val="clear" w:color="auto" w:fill="auto"/>
            <w:noWrap/>
            <w:vAlign w:val="center"/>
            <w:hideMark/>
          </w:tcPr>
          <w:p w:rsidR="004D3DFA" w:rsidRPr="004D3DFA" w:rsidRDefault="004D3DFA" w:rsidP="004D3DFA">
            <w:pPr>
              <w:spacing w:after="0" w:line="240" w:lineRule="auto"/>
              <w:jc w:val="center"/>
              <w:rPr>
                <w:rFonts w:ascii="Calibri" w:eastAsia="Times New Roman" w:hAnsi="Calibri" w:cs="Times New Roman"/>
                <w:color w:val="000000"/>
                <w:sz w:val="16"/>
                <w:szCs w:val="16"/>
                <w:lang w:eastAsia="en-GB"/>
              </w:rPr>
            </w:pPr>
            <w:r w:rsidRPr="004D3DFA">
              <w:rPr>
                <w:rFonts w:ascii="Calibri" w:eastAsia="Times New Roman" w:hAnsi="Calibri" w:cs="Times New Roman"/>
                <w:color w:val="000000"/>
                <w:sz w:val="16"/>
                <w:szCs w:val="16"/>
                <w:lang w:eastAsia="en-GB"/>
              </w:rPr>
              <w:t>658</w:t>
            </w:r>
          </w:p>
        </w:tc>
      </w:tr>
    </w:tbl>
    <w:p w:rsidR="004D3DFA" w:rsidRDefault="004D3DFA"/>
    <w:tbl>
      <w:tblPr>
        <w:tblW w:w="1707" w:type="pct"/>
        <w:tblLook w:val="04A0" w:firstRow="1" w:lastRow="0" w:firstColumn="1" w:lastColumn="0" w:noHBand="0" w:noVBand="1"/>
      </w:tblPr>
      <w:tblGrid>
        <w:gridCol w:w="3394"/>
        <w:gridCol w:w="1859"/>
      </w:tblGrid>
      <w:tr w:rsidR="00A43BF3" w:rsidRPr="00A43BF3" w:rsidTr="00C37A76">
        <w:trPr>
          <w:trHeight w:val="300"/>
        </w:trPr>
        <w:tc>
          <w:tcPr>
            <w:tcW w:w="500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3BF3" w:rsidRPr="00A43BF3" w:rsidRDefault="00A43BF3" w:rsidP="00166E43">
            <w:pPr>
              <w:spacing w:after="0" w:line="240" w:lineRule="auto"/>
              <w:jc w:val="center"/>
              <w:rPr>
                <w:rFonts w:ascii="Calibri" w:eastAsia="Times New Roman" w:hAnsi="Calibri" w:cs="Times New Roman"/>
                <w:b/>
                <w:bCs/>
                <w:color w:val="000000"/>
                <w:sz w:val="16"/>
                <w:szCs w:val="16"/>
                <w:lang w:eastAsia="en-GB"/>
              </w:rPr>
            </w:pPr>
            <w:r w:rsidRPr="00A43BF3">
              <w:rPr>
                <w:rFonts w:ascii="Calibri" w:eastAsia="Times New Roman" w:hAnsi="Calibri" w:cs="Times New Roman"/>
                <w:b/>
                <w:bCs/>
                <w:color w:val="000000"/>
                <w:sz w:val="16"/>
                <w:szCs w:val="16"/>
                <w:lang w:eastAsia="en-GB"/>
              </w:rPr>
              <w:t>Key</w:t>
            </w:r>
          </w:p>
        </w:tc>
      </w:tr>
      <w:tr w:rsidR="00A43BF3" w:rsidRPr="00A43BF3" w:rsidTr="00C37A76">
        <w:trPr>
          <w:trHeight w:val="300"/>
        </w:trPr>
        <w:tc>
          <w:tcPr>
            <w:tcW w:w="3231" w:type="pct"/>
            <w:tcBorders>
              <w:top w:val="nil"/>
              <w:left w:val="single" w:sz="4" w:space="0" w:color="auto"/>
              <w:bottom w:val="single" w:sz="4" w:space="0" w:color="auto"/>
              <w:right w:val="single" w:sz="4" w:space="0" w:color="auto"/>
            </w:tcBorders>
            <w:shd w:val="clear" w:color="000000" w:fill="EBF1DE"/>
            <w:noWrap/>
            <w:vAlign w:val="center"/>
            <w:hideMark/>
          </w:tcPr>
          <w:p w:rsidR="00A43BF3" w:rsidRPr="00A43BF3" w:rsidRDefault="00A43BF3" w:rsidP="00166E43">
            <w:pPr>
              <w:spacing w:after="0" w:line="240" w:lineRule="auto"/>
              <w:jc w:val="center"/>
              <w:rPr>
                <w:rFonts w:ascii="Calibri" w:eastAsia="Times New Roman" w:hAnsi="Calibri" w:cs="Times New Roman"/>
                <w:color w:val="000000"/>
                <w:sz w:val="16"/>
                <w:szCs w:val="16"/>
                <w:lang w:eastAsia="en-GB"/>
              </w:rPr>
            </w:pPr>
            <w:r w:rsidRPr="00A43BF3">
              <w:rPr>
                <w:rFonts w:ascii="Calibri" w:eastAsia="Times New Roman" w:hAnsi="Calibri" w:cs="Times New Roman"/>
                <w:color w:val="000000"/>
                <w:sz w:val="16"/>
                <w:szCs w:val="16"/>
                <w:lang w:eastAsia="en-GB"/>
              </w:rPr>
              <w:t>Statistically significantly better than benchmark</w:t>
            </w:r>
          </w:p>
        </w:tc>
        <w:tc>
          <w:tcPr>
            <w:tcW w:w="1769" w:type="pct"/>
            <w:tcBorders>
              <w:top w:val="nil"/>
              <w:left w:val="nil"/>
              <w:bottom w:val="single" w:sz="4" w:space="0" w:color="auto"/>
              <w:right w:val="single" w:sz="4" w:space="0" w:color="auto"/>
            </w:tcBorders>
            <w:shd w:val="clear" w:color="000000" w:fill="FDE9D9"/>
            <w:noWrap/>
            <w:vAlign w:val="center"/>
            <w:hideMark/>
          </w:tcPr>
          <w:p w:rsidR="00A43BF3" w:rsidRPr="00A43BF3" w:rsidRDefault="00A43BF3" w:rsidP="00166E43">
            <w:pPr>
              <w:spacing w:after="0" w:line="240" w:lineRule="auto"/>
              <w:jc w:val="center"/>
              <w:rPr>
                <w:rFonts w:ascii="Calibri" w:eastAsia="Times New Roman" w:hAnsi="Calibri" w:cs="Times New Roman"/>
                <w:sz w:val="16"/>
                <w:szCs w:val="16"/>
                <w:lang w:eastAsia="en-GB"/>
              </w:rPr>
            </w:pPr>
            <w:r w:rsidRPr="00A43BF3">
              <w:rPr>
                <w:rFonts w:ascii="Calibri" w:eastAsia="Times New Roman" w:hAnsi="Calibri" w:cs="Times New Roman"/>
                <w:sz w:val="16"/>
                <w:szCs w:val="16"/>
                <w:lang w:eastAsia="en-GB"/>
              </w:rPr>
              <w:t>In best quintile</w:t>
            </w:r>
          </w:p>
        </w:tc>
      </w:tr>
      <w:tr w:rsidR="00A43BF3" w:rsidRPr="00A43BF3" w:rsidTr="00C37A76">
        <w:trPr>
          <w:trHeight w:val="300"/>
        </w:trPr>
        <w:tc>
          <w:tcPr>
            <w:tcW w:w="3231" w:type="pct"/>
            <w:tcBorders>
              <w:top w:val="nil"/>
              <w:left w:val="single" w:sz="4" w:space="0" w:color="auto"/>
              <w:bottom w:val="single" w:sz="4" w:space="0" w:color="auto"/>
              <w:right w:val="single" w:sz="4" w:space="0" w:color="auto"/>
            </w:tcBorders>
            <w:shd w:val="clear" w:color="000000" w:fill="FFFF99"/>
            <w:noWrap/>
            <w:vAlign w:val="center"/>
            <w:hideMark/>
          </w:tcPr>
          <w:p w:rsidR="00A43BF3" w:rsidRPr="00A43BF3" w:rsidRDefault="00A43BF3" w:rsidP="00166E43">
            <w:pPr>
              <w:spacing w:after="0" w:line="240" w:lineRule="auto"/>
              <w:jc w:val="center"/>
              <w:rPr>
                <w:rFonts w:ascii="Calibri" w:eastAsia="Times New Roman" w:hAnsi="Calibri" w:cs="Times New Roman"/>
                <w:color w:val="000000"/>
                <w:sz w:val="16"/>
                <w:szCs w:val="16"/>
                <w:lang w:eastAsia="en-GB"/>
              </w:rPr>
            </w:pPr>
            <w:r w:rsidRPr="00A43BF3">
              <w:rPr>
                <w:rFonts w:ascii="Calibri" w:eastAsia="Times New Roman" w:hAnsi="Calibri" w:cs="Times New Roman"/>
                <w:color w:val="000000"/>
                <w:sz w:val="16"/>
                <w:szCs w:val="16"/>
                <w:lang w:eastAsia="en-GB"/>
              </w:rPr>
              <w:t>Statistically similar to benchmark</w:t>
            </w:r>
          </w:p>
        </w:tc>
        <w:tc>
          <w:tcPr>
            <w:tcW w:w="1769" w:type="pct"/>
            <w:tcBorders>
              <w:top w:val="nil"/>
              <w:left w:val="nil"/>
              <w:bottom w:val="single" w:sz="4" w:space="0" w:color="auto"/>
              <w:right w:val="single" w:sz="4" w:space="0" w:color="auto"/>
            </w:tcBorders>
            <w:shd w:val="clear" w:color="000000" w:fill="FCD5B4"/>
            <w:noWrap/>
            <w:vAlign w:val="center"/>
            <w:hideMark/>
          </w:tcPr>
          <w:p w:rsidR="00A43BF3" w:rsidRPr="00A43BF3" w:rsidRDefault="00A43BF3" w:rsidP="00166E43">
            <w:pPr>
              <w:spacing w:after="0" w:line="240" w:lineRule="auto"/>
              <w:jc w:val="center"/>
              <w:rPr>
                <w:rFonts w:ascii="Calibri" w:eastAsia="Times New Roman" w:hAnsi="Calibri" w:cs="Times New Roman"/>
                <w:color w:val="000000"/>
                <w:sz w:val="16"/>
                <w:szCs w:val="16"/>
                <w:lang w:eastAsia="en-GB"/>
              </w:rPr>
            </w:pPr>
            <w:r w:rsidRPr="00A43BF3">
              <w:rPr>
                <w:rFonts w:ascii="Calibri" w:eastAsia="Times New Roman" w:hAnsi="Calibri" w:cs="Times New Roman"/>
                <w:color w:val="000000"/>
                <w:sz w:val="16"/>
                <w:szCs w:val="16"/>
                <w:lang w:eastAsia="en-GB"/>
              </w:rPr>
              <w:t>In second best quintile</w:t>
            </w:r>
          </w:p>
        </w:tc>
      </w:tr>
      <w:tr w:rsidR="00A43BF3" w:rsidRPr="00A43BF3" w:rsidTr="00C37A76">
        <w:trPr>
          <w:trHeight w:val="300"/>
        </w:trPr>
        <w:tc>
          <w:tcPr>
            <w:tcW w:w="3231" w:type="pct"/>
            <w:tcBorders>
              <w:top w:val="nil"/>
              <w:left w:val="single" w:sz="4" w:space="0" w:color="auto"/>
              <w:bottom w:val="single" w:sz="4" w:space="0" w:color="auto"/>
              <w:right w:val="single" w:sz="4" w:space="0" w:color="auto"/>
            </w:tcBorders>
            <w:shd w:val="clear" w:color="000000" w:fill="420000"/>
            <w:noWrap/>
            <w:vAlign w:val="center"/>
            <w:hideMark/>
          </w:tcPr>
          <w:p w:rsidR="00A43BF3" w:rsidRPr="00A43BF3" w:rsidRDefault="00A43BF3" w:rsidP="00166E43">
            <w:pPr>
              <w:spacing w:after="0" w:line="240" w:lineRule="auto"/>
              <w:jc w:val="center"/>
              <w:rPr>
                <w:rFonts w:ascii="Calibri" w:eastAsia="Times New Roman" w:hAnsi="Calibri" w:cs="Times New Roman"/>
                <w:color w:val="FFFFFF"/>
                <w:sz w:val="16"/>
                <w:szCs w:val="16"/>
                <w:lang w:eastAsia="en-GB"/>
              </w:rPr>
            </w:pPr>
            <w:r w:rsidRPr="00A43BF3">
              <w:rPr>
                <w:rFonts w:ascii="Calibri" w:eastAsia="Times New Roman" w:hAnsi="Calibri" w:cs="Times New Roman"/>
                <w:color w:val="FFFFFF"/>
                <w:sz w:val="16"/>
                <w:szCs w:val="16"/>
                <w:lang w:eastAsia="en-GB"/>
              </w:rPr>
              <w:t>Statistically significantly lower than benchmark</w:t>
            </w:r>
          </w:p>
        </w:tc>
        <w:tc>
          <w:tcPr>
            <w:tcW w:w="1769" w:type="pct"/>
            <w:tcBorders>
              <w:top w:val="nil"/>
              <w:left w:val="nil"/>
              <w:bottom w:val="single" w:sz="4" w:space="0" w:color="auto"/>
              <w:right w:val="single" w:sz="4" w:space="0" w:color="auto"/>
            </w:tcBorders>
            <w:shd w:val="clear" w:color="000000" w:fill="FABF8F"/>
            <w:noWrap/>
            <w:vAlign w:val="center"/>
            <w:hideMark/>
          </w:tcPr>
          <w:p w:rsidR="00A43BF3" w:rsidRPr="00A43BF3" w:rsidRDefault="00A43BF3" w:rsidP="00166E43">
            <w:pPr>
              <w:spacing w:after="0" w:line="240" w:lineRule="auto"/>
              <w:jc w:val="center"/>
              <w:rPr>
                <w:rFonts w:ascii="Calibri" w:eastAsia="Times New Roman" w:hAnsi="Calibri" w:cs="Times New Roman"/>
                <w:color w:val="000000"/>
                <w:sz w:val="16"/>
                <w:szCs w:val="16"/>
                <w:lang w:eastAsia="en-GB"/>
              </w:rPr>
            </w:pPr>
            <w:r w:rsidRPr="00A43BF3">
              <w:rPr>
                <w:rFonts w:ascii="Calibri" w:eastAsia="Times New Roman" w:hAnsi="Calibri" w:cs="Times New Roman"/>
                <w:color w:val="000000"/>
                <w:sz w:val="16"/>
                <w:szCs w:val="16"/>
                <w:lang w:eastAsia="en-GB"/>
              </w:rPr>
              <w:t>In third quintile</w:t>
            </w:r>
          </w:p>
        </w:tc>
      </w:tr>
      <w:tr w:rsidR="00A43BF3" w:rsidRPr="00A43BF3" w:rsidTr="00C37A76">
        <w:trPr>
          <w:trHeight w:val="300"/>
        </w:trPr>
        <w:tc>
          <w:tcPr>
            <w:tcW w:w="3231" w:type="pct"/>
            <w:tcBorders>
              <w:top w:val="nil"/>
              <w:left w:val="single" w:sz="4" w:space="0" w:color="auto"/>
              <w:bottom w:val="single" w:sz="4" w:space="0" w:color="auto"/>
              <w:right w:val="single" w:sz="4" w:space="0" w:color="auto"/>
            </w:tcBorders>
            <w:shd w:val="clear" w:color="000000" w:fill="DCE6F1"/>
            <w:noWrap/>
            <w:vAlign w:val="center"/>
            <w:hideMark/>
          </w:tcPr>
          <w:p w:rsidR="00A43BF3" w:rsidRPr="00A43BF3" w:rsidRDefault="00A43BF3" w:rsidP="00166E43">
            <w:pPr>
              <w:spacing w:after="0" w:line="240" w:lineRule="auto"/>
              <w:jc w:val="center"/>
              <w:rPr>
                <w:rFonts w:ascii="Calibri" w:eastAsia="Times New Roman" w:hAnsi="Calibri" w:cs="Times New Roman"/>
                <w:color w:val="000000"/>
                <w:sz w:val="16"/>
                <w:szCs w:val="16"/>
                <w:lang w:eastAsia="en-GB"/>
              </w:rPr>
            </w:pPr>
            <w:r w:rsidRPr="00A43BF3">
              <w:rPr>
                <w:rFonts w:ascii="Calibri" w:eastAsia="Times New Roman" w:hAnsi="Calibri" w:cs="Times New Roman"/>
                <w:color w:val="000000"/>
                <w:sz w:val="16"/>
                <w:szCs w:val="16"/>
                <w:lang w:eastAsia="en-GB"/>
              </w:rPr>
              <w:t>Statistically significantly higher than benchmark</w:t>
            </w:r>
          </w:p>
        </w:tc>
        <w:tc>
          <w:tcPr>
            <w:tcW w:w="1769" w:type="pct"/>
            <w:tcBorders>
              <w:top w:val="nil"/>
              <w:left w:val="nil"/>
              <w:bottom w:val="single" w:sz="4" w:space="0" w:color="auto"/>
              <w:right w:val="single" w:sz="4" w:space="0" w:color="auto"/>
            </w:tcBorders>
            <w:shd w:val="clear" w:color="000000" w:fill="E26B0A"/>
            <w:noWrap/>
            <w:vAlign w:val="center"/>
            <w:hideMark/>
          </w:tcPr>
          <w:p w:rsidR="00A43BF3" w:rsidRPr="00A43BF3" w:rsidRDefault="00A43BF3" w:rsidP="00166E43">
            <w:pPr>
              <w:spacing w:after="0" w:line="240" w:lineRule="auto"/>
              <w:jc w:val="center"/>
              <w:rPr>
                <w:rFonts w:ascii="Calibri" w:eastAsia="Times New Roman" w:hAnsi="Calibri" w:cs="Times New Roman"/>
                <w:color w:val="FFFFFF"/>
                <w:sz w:val="16"/>
                <w:szCs w:val="16"/>
                <w:lang w:eastAsia="en-GB"/>
              </w:rPr>
            </w:pPr>
            <w:r w:rsidRPr="00A43BF3">
              <w:rPr>
                <w:rFonts w:ascii="Calibri" w:eastAsia="Times New Roman" w:hAnsi="Calibri" w:cs="Times New Roman"/>
                <w:color w:val="FFFFFF"/>
                <w:sz w:val="16"/>
                <w:szCs w:val="16"/>
                <w:lang w:eastAsia="en-GB"/>
              </w:rPr>
              <w:t>In second worst quintile</w:t>
            </w:r>
          </w:p>
        </w:tc>
      </w:tr>
      <w:tr w:rsidR="00A43BF3" w:rsidRPr="00A43BF3" w:rsidTr="00C37A76">
        <w:trPr>
          <w:trHeight w:val="300"/>
        </w:trPr>
        <w:tc>
          <w:tcPr>
            <w:tcW w:w="3231" w:type="pct"/>
            <w:tcBorders>
              <w:top w:val="nil"/>
              <w:left w:val="single" w:sz="4" w:space="0" w:color="auto"/>
              <w:bottom w:val="single" w:sz="4" w:space="0" w:color="auto"/>
              <w:right w:val="single" w:sz="4" w:space="0" w:color="auto"/>
            </w:tcBorders>
            <w:shd w:val="clear" w:color="000000" w:fill="0070C0"/>
            <w:noWrap/>
            <w:vAlign w:val="center"/>
            <w:hideMark/>
          </w:tcPr>
          <w:p w:rsidR="00A43BF3" w:rsidRPr="00A43BF3" w:rsidRDefault="00A43BF3" w:rsidP="00166E43">
            <w:pPr>
              <w:spacing w:after="0" w:line="240" w:lineRule="auto"/>
              <w:jc w:val="center"/>
              <w:rPr>
                <w:rFonts w:ascii="Calibri" w:eastAsia="Times New Roman" w:hAnsi="Calibri" w:cs="Times New Roman"/>
                <w:color w:val="FFFFFF"/>
                <w:sz w:val="16"/>
                <w:szCs w:val="16"/>
                <w:lang w:eastAsia="en-GB"/>
              </w:rPr>
            </w:pPr>
            <w:r w:rsidRPr="00A43BF3">
              <w:rPr>
                <w:rFonts w:ascii="Calibri" w:eastAsia="Times New Roman" w:hAnsi="Calibri" w:cs="Times New Roman"/>
                <w:color w:val="FFFFFF"/>
                <w:sz w:val="16"/>
                <w:szCs w:val="16"/>
                <w:lang w:eastAsia="en-GB"/>
              </w:rPr>
              <w:t>Statistically significantly lower than benchmark</w:t>
            </w:r>
          </w:p>
        </w:tc>
        <w:tc>
          <w:tcPr>
            <w:tcW w:w="1769" w:type="pct"/>
            <w:tcBorders>
              <w:top w:val="nil"/>
              <w:left w:val="nil"/>
              <w:bottom w:val="single" w:sz="4" w:space="0" w:color="auto"/>
              <w:right w:val="single" w:sz="4" w:space="0" w:color="auto"/>
            </w:tcBorders>
            <w:shd w:val="clear" w:color="000000" w:fill="974706"/>
            <w:noWrap/>
            <w:vAlign w:val="center"/>
            <w:hideMark/>
          </w:tcPr>
          <w:p w:rsidR="00A43BF3" w:rsidRPr="00A43BF3" w:rsidRDefault="00A43BF3" w:rsidP="00166E43">
            <w:pPr>
              <w:spacing w:after="0" w:line="240" w:lineRule="auto"/>
              <w:jc w:val="center"/>
              <w:rPr>
                <w:rFonts w:ascii="Calibri" w:eastAsia="Times New Roman" w:hAnsi="Calibri" w:cs="Times New Roman"/>
                <w:color w:val="FFFFFF"/>
                <w:sz w:val="16"/>
                <w:szCs w:val="16"/>
                <w:lang w:eastAsia="en-GB"/>
              </w:rPr>
            </w:pPr>
            <w:r w:rsidRPr="00A43BF3">
              <w:rPr>
                <w:rFonts w:ascii="Calibri" w:eastAsia="Times New Roman" w:hAnsi="Calibri" w:cs="Times New Roman"/>
                <w:color w:val="FFFFFF"/>
                <w:sz w:val="16"/>
                <w:szCs w:val="16"/>
                <w:lang w:eastAsia="en-GB"/>
              </w:rPr>
              <w:t>In worst quintile</w:t>
            </w:r>
          </w:p>
        </w:tc>
      </w:tr>
    </w:tbl>
    <w:p w:rsidR="00A43BF3" w:rsidRDefault="00A43BF3" w:rsidP="00051664"/>
    <w:p w:rsidR="00BF4D81" w:rsidRDefault="000A7BB1" w:rsidP="00E63BB6">
      <w:r>
        <w:lastRenderedPageBreak/>
        <w:t xml:space="preserve">Within the table above, the majority of ‘optimising health and reducing risks early’ indicators show Cambridgeshire and Peterborough areas to be statistically similar or statistically significantly better than England averages. </w:t>
      </w:r>
      <w:r w:rsidR="006E0ACB">
        <w:t>However, there are some observed areas of note with relation to life expectancy at 65 in males and inequalities in life expectancy at age 65 in both males and females.</w:t>
      </w:r>
    </w:p>
    <w:p w:rsidR="00B675EC" w:rsidRDefault="00B675EC" w:rsidP="006E0ACB">
      <w:pPr>
        <w:rPr>
          <w:b/>
        </w:rPr>
      </w:pPr>
      <w:r>
        <w:rPr>
          <w:b/>
        </w:rPr>
        <w:t>Figure 5</w:t>
      </w:r>
      <w:r w:rsidR="006E0ACB" w:rsidRPr="002E16E6">
        <w:rPr>
          <w:b/>
        </w:rPr>
        <w:t xml:space="preserve">: </w:t>
      </w:r>
      <w:r w:rsidR="006E0ACB">
        <w:rPr>
          <w:b/>
        </w:rPr>
        <w:t>Life expectancy at 65 (male),</w:t>
      </w:r>
      <w:r w:rsidR="00544B02">
        <w:rPr>
          <w:b/>
        </w:rPr>
        <w:t xml:space="preserve"> Peterborough,</w:t>
      </w:r>
      <w:r w:rsidR="006E0ACB">
        <w:rPr>
          <w:b/>
        </w:rPr>
        <w:t xml:space="preserve"> 2001-03 – 2015-17</w:t>
      </w:r>
      <w:r w:rsidR="006E0ACB">
        <w:rPr>
          <w:noProof/>
          <w:lang w:eastAsia="en-GB"/>
        </w:rPr>
        <w:drawing>
          <wp:inline distT="0" distB="0" distL="0" distR="0" wp14:anchorId="1F750DB0" wp14:editId="17FB69FC">
            <wp:extent cx="7034530" cy="21145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7034530" cy="2114550"/>
                    </a:xfrm>
                    <a:prstGeom prst="rect">
                      <a:avLst/>
                    </a:prstGeom>
                  </pic:spPr>
                </pic:pic>
              </a:graphicData>
            </a:graphic>
          </wp:inline>
        </w:drawing>
      </w:r>
    </w:p>
    <w:p w:rsidR="006E0ACB" w:rsidRPr="00544B02" w:rsidRDefault="006E0ACB" w:rsidP="006E0ACB">
      <w:pPr>
        <w:rPr>
          <w:b/>
        </w:rPr>
      </w:pPr>
      <w:r w:rsidRPr="002E16E6">
        <w:rPr>
          <w:b/>
        </w:rPr>
        <w:t xml:space="preserve"> </w:t>
      </w:r>
      <w:r w:rsidRPr="006E0ACB">
        <w:rPr>
          <w:b/>
          <w:sz w:val="16"/>
          <w:szCs w:val="16"/>
        </w:rPr>
        <w:t>Source: Public Health England</w:t>
      </w:r>
    </w:p>
    <w:p w:rsidR="00BF4D81" w:rsidRDefault="00544B02">
      <w:r>
        <w:t>Between 2012-14 and 2014-16, male life expectancy at 65 in Peterborough was statistically similar to England. However, in 2015-17, male life expectancy at 65 in Peterborough fell to 18.2 years which is now statistically significantly worse than the England value which has remained 18.8 years.</w:t>
      </w:r>
    </w:p>
    <w:p w:rsidR="00A43BF3" w:rsidRDefault="00A43BF3"/>
    <w:p w:rsidR="00C37A76" w:rsidRDefault="00C37A76"/>
    <w:p w:rsidR="00C37A76" w:rsidRDefault="00C37A76"/>
    <w:p w:rsidR="00C37A76" w:rsidRDefault="00C37A76"/>
    <w:p w:rsidR="00C37A76" w:rsidRDefault="00C37A76"/>
    <w:p w:rsidR="00C37A76" w:rsidRDefault="00C37A76"/>
    <w:p w:rsidR="00C37A76" w:rsidRDefault="00C37A76"/>
    <w:p w:rsidR="00C37A76" w:rsidRDefault="00C37A76"/>
    <w:p w:rsidR="00FF7E4E" w:rsidRDefault="00FF7E4E"/>
    <w:p w:rsidR="00C37A76" w:rsidRDefault="00C37A76"/>
    <w:p w:rsidR="00544B02" w:rsidRDefault="00B675EC">
      <w:r>
        <w:rPr>
          <w:b/>
        </w:rPr>
        <w:t>Figure 6</w:t>
      </w:r>
      <w:r w:rsidR="00544B02" w:rsidRPr="002E16E6">
        <w:rPr>
          <w:b/>
        </w:rPr>
        <w:t xml:space="preserve">: </w:t>
      </w:r>
      <w:r w:rsidR="00544B02">
        <w:rPr>
          <w:b/>
        </w:rPr>
        <w:t>Life expectancy at 65 (male), Fenland, 2001-03 – 2015-17</w:t>
      </w:r>
    </w:p>
    <w:p w:rsidR="00BF4D81" w:rsidRDefault="00544B02">
      <w:r>
        <w:rPr>
          <w:noProof/>
          <w:lang w:eastAsia="en-GB"/>
        </w:rPr>
        <w:drawing>
          <wp:inline distT="0" distB="0" distL="0" distR="0" wp14:anchorId="673227E2" wp14:editId="2D4DF957">
            <wp:extent cx="7034530" cy="282638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7034530" cy="2826385"/>
                    </a:xfrm>
                    <a:prstGeom prst="rect">
                      <a:avLst/>
                    </a:prstGeom>
                  </pic:spPr>
                </pic:pic>
              </a:graphicData>
            </a:graphic>
          </wp:inline>
        </w:drawing>
      </w:r>
    </w:p>
    <w:p w:rsidR="00544B02" w:rsidRDefault="00544B02">
      <w:r w:rsidRPr="006E0ACB">
        <w:rPr>
          <w:b/>
          <w:sz w:val="16"/>
          <w:szCs w:val="16"/>
        </w:rPr>
        <w:t>Source: Public Health England</w:t>
      </w:r>
    </w:p>
    <w:p w:rsidR="00BF4D81" w:rsidRDefault="00544B02">
      <w:r>
        <w:t xml:space="preserve">Male life expectancy in Fenland is statistically significantly worse than England in 2015-17, the first time this has been the case since 2001-03. </w:t>
      </w:r>
    </w:p>
    <w:p w:rsidR="00BF4D81" w:rsidRDefault="00544B02">
      <w:r w:rsidRPr="00544B02">
        <w:t>Of additional note within the table above are high levels of observed variation across Cambridgeshire and Peterborough with regards to inequality in life expectancy at 65 for both males and females in Cambridge and in Peterborough. This is calculated as a comparison of life expectancy values in each area between the most deprived decile and the least deprived decile</w:t>
      </w:r>
      <w:r w:rsidR="00C01C15">
        <w:t xml:space="preserve"> in each area</w:t>
      </w:r>
      <w:r w:rsidRPr="00544B02">
        <w:t>. In</w:t>
      </w:r>
      <w:r w:rsidR="00E63BB6">
        <w:t xml:space="preserve"> Cambridge, this difference i</w:t>
      </w:r>
      <w:r w:rsidRPr="00544B02">
        <w:t xml:space="preserve">s 8.4 years for males and 8.8 years for females, placing </w:t>
      </w:r>
      <w:r w:rsidR="00C01C15">
        <w:t>Cambridge within the fifth (worst</w:t>
      </w:r>
      <w:r w:rsidRPr="00544B02">
        <w:t>) quintile in England for this indicator</w:t>
      </w:r>
      <w:r w:rsidR="00137505">
        <w:t xml:space="preserve"> for districts</w:t>
      </w:r>
      <w:r w:rsidRPr="00544B02">
        <w:t>. In Peterborough, the observed difference is 5.1 years for males between the most deprived decile and the least deprived decile and 4.7 years for females; Peterborough is resulta</w:t>
      </w:r>
      <w:r w:rsidR="00C01C15">
        <w:t>ntly in the fourth (second worst</w:t>
      </w:r>
      <w:r w:rsidRPr="00544B02">
        <w:t>) quintile in England for this indicator</w:t>
      </w:r>
      <w:r w:rsidR="00137505">
        <w:t xml:space="preserve"> for local authorities</w:t>
      </w:r>
      <w:r w:rsidRPr="00544B02">
        <w:t>.</w:t>
      </w:r>
    </w:p>
    <w:p w:rsidR="00A43BF3" w:rsidRDefault="00A43BF3"/>
    <w:p w:rsidR="00C37A76" w:rsidRDefault="00C37A76"/>
    <w:p w:rsidR="00C37A76" w:rsidRDefault="00C37A76"/>
    <w:p w:rsidR="00C37A76" w:rsidRDefault="00C37A76"/>
    <w:p w:rsidR="00C37A76" w:rsidRDefault="00C37A76"/>
    <w:p w:rsidR="00FF7E4E" w:rsidRDefault="00FF7E4E"/>
    <w:p w:rsidR="00834592" w:rsidRDefault="00834592" w:rsidP="00834592">
      <w:pPr>
        <w:pStyle w:val="Heading2"/>
        <w:numPr>
          <w:ilvl w:val="0"/>
          <w:numId w:val="3"/>
        </w:numPr>
      </w:pPr>
      <w:bookmarkStart w:id="4" w:name="_Toc13125210"/>
      <w:r w:rsidRPr="00A82D39">
        <w:t>Improving wellbeing and wider determinants of health indicators</w:t>
      </w:r>
      <w:bookmarkEnd w:id="4"/>
    </w:p>
    <w:p w:rsidR="00834592" w:rsidRDefault="00834592"/>
    <w:p w:rsidR="00BF4D81" w:rsidRDefault="00B675EC" w:rsidP="00BF4D81">
      <w:pPr>
        <w:rPr>
          <w:b/>
        </w:rPr>
      </w:pPr>
      <w:r>
        <w:rPr>
          <w:b/>
        </w:rPr>
        <w:t>Figure 7</w:t>
      </w:r>
      <w:r w:rsidR="00BF4D81" w:rsidRPr="00E14C74">
        <w:rPr>
          <w:b/>
        </w:rPr>
        <w:t xml:space="preserve">: </w:t>
      </w:r>
      <w:r w:rsidR="00834592">
        <w:rPr>
          <w:b/>
        </w:rPr>
        <w:t>Improving</w:t>
      </w:r>
      <w:r w:rsidR="002E16E6">
        <w:rPr>
          <w:b/>
        </w:rPr>
        <w:t xml:space="preserve"> wellbeing &amp; wider determinants of health i</w:t>
      </w:r>
      <w:r w:rsidR="00BF4D81">
        <w:rPr>
          <w:b/>
        </w:rPr>
        <w:t>ndicators:</w:t>
      </w:r>
    </w:p>
    <w:tbl>
      <w:tblPr>
        <w:tblW w:w="5389" w:type="pct"/>
        <w:tblInd w:w="-572" w:type="dxa"/>
        <w:tblLayout w:type="fixed"/>
        <w:tblLook w:val="04A0" w:firstRow="1" w:lastRow="0" w:firstColumn="1" w:lastColumn="0" w:noHBand="0" w:noVBand="1"/>
      </w:tblPr>
      <w:tblGrid>
        <w:gridCol w:w="1985"/>
        <w:gridCol w:w="711"/>
        <w:gridCol w:w="850"/>
        <w:gridCol w:w="853"/>
        <w:gridCol w:w="850"/>
        <w:gridCol w:w="852"/>
        <w:gridCol w:w="849"/>
        <w:gridCol w:w="852"/>
        <w:gridCol w:w="849"/>
        <w:gridCol w:w="852"/>
        <w:gridCol w:w="849"/>
        <w:gridCol w:w="852"/>
        <w:gridCol w:w="852"/>
        <w:gridCol w:w="988"/>
        <w:gridCol w:w="789"/>
        <w:gridCol w:w="915"/>
        <w:gridCol w:w="988"/>
        <w:gridCol w:w="849"/>
      </w:tblGrid>
      <w:tr w:rsidR="00C37A76" w:rsidRPr="00BF4D81" w:rsidTr="0085747D">
        <w:trPr>
          <w:trHeight w:val="300"/>
        </w:trPr>
        <w:tc>
          <w:tcPr>
            <w:tcW w:w="598"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F4D81" w:rsidRPr="00BF4D81" w:rsidRDefault="00BF4D81" w:rsidP="00BF4D81">
            <w:pPr>
              <w:spacing w:after="0" w:line="240" w:lineRule="auto"/>
              <w:jc w:val="center"/>
              <w:rPr>
                <w:rFonts w:ascii="Calibri" w:eastAsia="Times New Roman" w:hAnsi="Calibri" w:cs="Times New Roman"/>
                <w:color w:val="000000"/>
                <w:sz w:val="16"/>
                <w:szCs w:val="16"/>
                <w:lang w:eastAsia="en-GB"/>
              </w:rPr>
            </w:pPr>
            <w:r w:rsidRPr="00BF4D81">
              <w:rPr>
                <w:rFonts w:ascii="Calibri" w:eastAsia="Times New Roman" w:hAnsi="Calibri" w:cs="Times New Roman"/>
                <w:color w:val="000000"/>
                <w:sz w:val="16"/>
                <w:szCs w:val="16"/>
                <w:lang w:eastAsia="en-GB"/>
              </w:rPr>
              <w:t>Indicator</w:t>
            </w:r>
          </w:p>
        </w:tc>
        <w:tc>
          <w:tcPr>
            <w:tcW w:w="214"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F4D81" w:rsidRPr="00BF4D81" w:rsidRDefault="00BF4D81" w:rsidP="00BF4D81">
            <w:pPr>
              <w:spacing w:after="0" w:line="240" w:lineRule="auto"/>
              <w:jc w:val="center"/>
              <w:rPr>
                <w:rFonts w:ascii="Calibri" w:eastAsia="Times New Roman" w:hAnsi="Calibri" w:cs="Times New Roman"/>
                <w:color w:val="000000"/>
                <w:sz w:val="16"/>
                <w:szCs w:val="16"/>
                <w:lang w:eastAsia="en-GB"/>
              </w:rPr>
            </w:pPr>
            <w:r w:rsidRPr="00BF4D81">
              <w:rPr>
                <w:rFonts w:ascii="Calibri" w:eastAsia="Times New Roman" w:hAnsi="Calibri" w:cs="Times New Roman"/>
                <w:color w:val="000000"/>
                <w:sz w:val="16"/>
                <w:szCs w:val="16"/>
                <w:lang w:eastAsia="en-GB"/>
              </w:rPr>
              <w:t>Time Period</w:t>
            </w:r>
          </w:p>
        </w:tc>
        <w:tc>
          <w:tcPr>
            <w:tcW w:w="4187" w:type="pct"/>
            <w:gridSpan w:val="16"/>
            <w:tcBorders>
              <w:top w:val="single" w:sz="4" w:space="0" w:color="auto"/>
              <w:left w:val="nil"/>
              <w:bottom w:val="single" w:sz="4" w:space="0" w:color="auto"/>
              <w:right w:val="single" w:sz="4" w:space="0" w:color="auto"/>
            </w:tcBorders>
            <w:shd w:val="clear" w:color="auto" w:fill="auto"/>
            <w:noWrap/>
            <w:vAlign w:val="center"/>
            <w:hideMark/>
          </w:tcPr>
          <w:p w:rsidR="00BF4D81" w:rsidRPr="00BF4D81" w:rsidRDefault="00BF4D81" w:rsidP="00BF4D81">
            <w:pPr>
              <w:spacing w:after="0" w:line="240" w:lineRule="auto"/>
              <w:jc w:val="center"/>
              <w:rPr>
                <w:rFonts w:ascii="Calibri" w:eastAsia="Times New Roman" w:hAnsi="Calibri" w:cs="Times New Roman"/>
                <w:color w:val="000000"/>
                <w:sz w:val="16"/>
                <w:szCs w:val="16"/>
                <w:lang w:eastAsia="en-GB"/>
              </w:rPr>
            </w:pPr>
            <w:r w:rsidRPr="00BF4D81">
              <w:rPr>
                <w:rFonts w:ascii="Calibri" w:eastAsia="Times New Roman" w:hAnsi="Calibri" w:cs="Times New Roman"/>
                <w:color w:val="000000"/>
                <w:sz w:val="16"/>
                <w:szCs w:val="16"/>
                <w:lang w:eastAsia="en-GB"/>
              </w:rPr>
              <w:t>Area</w:t>
            </w:r>
          </w:p>
        </w:tc>
      </w:tr>
      <w:tr w:rsidR="00C37A76" w:rsidRPr="00BF4D81" w:rsidTr="0085747D">
        <w:trPr>
          <w:trHeight w:val="300"/>
        </w:trPr>
        <w:tc>
          <w:tcPr>
            <w:tcW w:w="598" w:type="pct"/>
            <w:vMerge/>
            <w:tcBorders>
              <w:top w:val="single" w:sz="4" w:space="0" w:color="auto"/>
              <w:left w:val="single" w:sz="4" w:space="0" w:color="auto"/>
              <w:bottom w:val="single" w:sz="4" w:space="0" w:color="000000"/>
              <w:right w:val="single" w:sz="4" w:space="0" w:color="auto"/>
            </w:tcBorders>
            <w:vAlign w:val="center"/>
            <w:hideMark/>
          </w:tcPr>
          <w:p w:rsidR="00BF4D81" w:rsidRPr="00BF4D81" w:rsidRDefault="00BF4D81" w:rsidP="00BF4D81">
            <w:pPr>
              <w:spacing w:after="0" w:line="240" w:lineRule="auto"/>
              <w:rPr>
                <w:rFonts w:ascii="Calibri" w:eastAsia="Times New Roman" w:hAnsi="Calibri" w:cs="Times New Roman"/>
                <w:color w:val="000000"/>
                <w:sz w:val="16"/>
                <w:szCs w:val="16"/>
                <w:lang w:eastAsia="en-GB"/>
              </w:rPr>
            </w:pPr>
          </w:p>
        </w:tc>
        <w:tc>
          <w:tcPr>
            <w:tcW w:w="214" w:type="pct"/>
            <w:vMerge/>
            <w:tcBorders>
              <w:top w:val="single" w:sz="4" w:space="0" w:color="auto"/>
              <w:left w:val="single" w:sz="4" w:space="0" w:color="auto"/>
              <w:bottom w:val="single" w:sz="4" w:space="0" w:color="000000"/>
              <w:right w:val="single" w:sz="4" w:space="0" w:color="auto"/>
            </w:tcBorders>
            <w:vAlign w:val="center"/>
            <w:hideMark/>
          </w:tcPr>
          <w:p w:rsidR="00BF4D81" w:rsidRPr="00BF4D81" w:rsidRDefault="00BF4D81" w:rsidP="00BF4D81">
            <w:pPr>
              <w:spacing w:after="0" w:line="240" w:lineRule="auto"/>
              <w:rPr>
                <w:rFonts w:ascii="Calibri" w:eastAsia="Times New Roman" w:hAnsi="Calibri" w:cs="Times New Roman"/>
                <w:color w:val="000000"/>
                <w:sz w:val="16"/>
                <w:szCs w:val="16"/>
                <w:lang w:eastAsia="en-GB"/>
              </w:rPr>
            </w:pPr>
          </w:p>
        </w:tc>
        <w:tc>
          <w:tcPr>
            <w:tcW w:w="513" w:type="pct"/>
            <w:gridSpan w:val="2"/>
            <w:tcBorders>
              <w:top w:val="single" w:sz="4" w:space="0" w:color="auto"/>
              <w:left w:val="nil"/>
              <w:bottom w:val="single" w:sz="4" w:space="0" w:color="auto"/>
              <w:right w:val="single" w:sz="4" w:space="0" w:color="auto"/>
            </w:tcBorders>
            <w:shd w:val="clear" w:color="auto" w:fill="auto"/>
            <w:noWrap/>
            <w:vAlign w:val="center"/>
            <w:hideMark/>
          </w:tcPr>
          <w:p w:rsidR="00BF4D81" w:rsidRPr="00BF4D81" w:rsidRDefault="00BF4D81" w:rsidP="00BF4D81">
            <w:pPr>
              <w:spacing w:after="0" w:line="240" w:lineRule="auto"/>
              <w:jc w:val="center"/>
              <w:rPr>
                <w:rFonts w:ascii="Calibri" w:eastAsia="Times New Roman" w:hAnsi="Calibri" w:cs="Times New Roman"/>
                <w:color w:val="000000"/>
                <w:sz w:val="16"/>
                <w:szCs w:val="16"/>
                <w:lang w:eastAsia="en-GB"/>
              </w:rPr>
            </w:pPr>
            <w:r w:rsidRPr="00BF4D81">
              <w:rPr>
                <w:rFonts w:ascii="Calibri" w:eastAsia="Times New Roman" w:hAnsi="Calibri" w:cs="Times New Roman"/>
                <w:color w:val="000000"/>
                <w:sz w:val="16"/>
                <w:szCs w:val="16"/>
                <w:lang w:eastAsia="en-GB"/>
              </w:rPr>
              <w:t>Cambridgeshire</w:t>
            </w:r>
          </w:p>
        </w:tc>
        <w:tc>
          <w:tcPr>
            <w:tcW w:w="513" w:type="pct"/>
            <w:gridSpan w:val="2"/>
            <w:tcBorders>
              <w:top w:val="single" w:sz="4" w:space="0" w:color="auto"/>
              <w:left w:val="nil"/>
              <w:bottom w:val="single" w:sz="4" w:space="0" w:color="auto"/>
              <w:right w:val="single" w:sz="4" w:space="0" w:color="auto"/>
            </w:tcBorders>
            <w:shd w:val="clear" w:color="auto" w:fill="auto"/>
            <w:noWrap/>
            <w:vAlign w:val="center"/>
            <w:hideMark/>
          </w:tcPr>
          <w:p w:rsidR="00BF4D81" w:rsidRPr="00BF4D81" w:rsidRDefault="00BF4D81" w:rsidP="00BF4D81">
            <w:pPr>
              <w:spacing w:after="0" w:line="240" w:lineRule="auto"/>
              <w:jc w:val="center"/>
              <w:rPr>
                <w:rFonts w:ascii="Calibri" w:eastAsia="Times New Roman" w:hAnsi="Calibri" w:cs="Times New Roman"/>
                <w:color w:val="000000"/>
                <w:sz w:val="16"/>
                <w:szCs w:val="16"/>
                <w:lang w:eastAsia="en-GB"/>
              </w:rPr>
            </w:pPr>
            <w:r w:rsidRPr="00BF4D81">
              <w:rPr>
                <w:rFonts w:ascii="Calibri" w:eastAsia="Times New Roman" w:hAnsi="Calibri" w:cs="Times New Roman"/>
                <w:color w:val="000000"/>
                <w:sz w:val="16"/>
                <w:szCs w:val="16"/>
                <w:lang w:eastAsia="en-GB"/>
              </w:rPr>
              <w:t>Peterborough</w:t>
            </w:r>
          </w:p>
        </w:tc>
        <w:tc>
          <w:tcPr>
            <w:tcW w:w="513" w:type="pct"/>
            <w:gridSpan w:val="2"/>
            <w:tcBorders>
              <w:top w:val="single" w:sz="4" w:space="0" w:color="auto"/>
              <w:left w:val="nil"/>
              <w:bottom w:val="single" w:sz="4" w:space="0" w:color="auto"/>
              <w:right w:val="single" w:sz="4" w:space="0" w:color="auto"/>
            </w:tcBorders>
            <w:shd w:val="clear" w:color="auto" w:fill="auto"/>
            <w:noWrap/>
            <w:vAlign w:val="center"/>
            <w:hideMark/>
          </w:tcPr>
          <w:p w:rsidR="00BF4D81" w:rsidRPr="00BF4D81" w:rsidRDefault="00BF4D81" w:rsidP="00BF4D81">
            <w:pPr>
              <w:spacing w:after="0" w:line="240" w:lineRule="auto"/>
              <w:jc w:val="center"/>
              <w:rPr>
                <w:rFonts w:ascii="Calibri" w:eastAsia="Times New Roman" w:hAnsi="Calibri" w:cs="Times New Roman"/>
                <w:color w:val="000000"/>
                <w:sz w:val="16"/>
                <w:szCs w:val="16"/>
                <w:lang w:eastAsia="en-GB"/>
              </w:rPr>
            </w:pPr>
            <w:r w:rsidRPr="00BF4D81">
              <w:rPr>
                <w:rFonts w:ascii="Calibri" w:eastAsia="Times New Roman" w:hAnsi="Calibri" w:cs="Times New Roman"/>
                <w:color w:val="000000"/>
                <w:sz w:val="16"/>
                <w:szCs w:val="16"/>
                <w:lang w:eastAsia="en-GB"/>
              </w:rPr>
              <w:t>Cambridge</w:t>
            </w:r>
          </w:p>
        </w:tc>
        <w:tc>
          <w:tcPr>
            <w:tcW w:w="513" w:type="pct"/>
            <w:gridSpan w:val="2"/>
            <w:tcBorders>
              <w:top w:val="single" w:sz="4" w:space="0" w:color="auto"/>
              <w:left w:val="nil"/>
              <w:bottom w:val="single" w:sz="4" w:space="0" w:color="auto"/>
              <w:right w:val="single" w:sz="4" w:space="0" w:color="auto"/>
            </w:tcBorders>
            <w:shd w:val="clear" w:color="auto" w:fill="auto"/>
            <w:noWrap/>
            <w:vAlign w:val="center"/>
            <w:hideMark/>
          </w:tcPr>
          <w:p w:rsidR="00BF4D81" w:rsidRPr="00BF4D81" w:rsidRDefault="00BF4D81" w:rsidP="00BF4D81">
            <w:pPr>
              <w:spacing w:after="0" w:line="240" w:lineRule="auto"/>
              <w:jc w:val="center"/>
              <w:rPr>
                <w:rFonts w:ascii="Calibri" w:eastAsia="Times New Roman" w:hAnsi="Calibri" w:cs="Times New Roman"/>
                <w:color w:val="000000"/>
                <w:sz w:val="16"/>
                <w:szCs w:val="16"/>
                <w:lang w:eastAsia="en-GB"/>
              </w:rPr>
            </w:pPr>
            <w:r w:rsidRPr="00BF4D81">
              <w:rPr>
                <w:rFonts w:ascii="Calibri" w:eastAsia="Times New Roman" w:hAnsi="Calibri" w:cs="Times New Roman"/>
                <w:color w:val="000000"/>
                <w:sz w:val="16"/>
                <w:szCs w:val="16"/>
                <w:lang w:eastAsia="en-GB"/>
              </w:rPr>
              <w:t>East Cambridgeshire</w:t>
            </w:r>
          </w:p>
        </w:tc>
        <w:tc>
          <w:tcPr>
            <w:tcW w:w="513" w:type="pct"/>
            <w:gridSpan w:val="2"/>
            <w:tcBorders>
              <w:top w:val="single" w:sz="4" w:space="0" w:color="auto"/>
              <w:left w:val="nil"/>
              <w:bottom w:val="single" w:sz="4" w:space="0" w:color="auto"/>
              <w:right w:val="single" w:sz="4" w:space="0" w:color="auto"/>
            </w:tcBorders>
            <w:shd w:val="clear" w:color="auto" w:fill="auto"/>
            <w:noWrap/>
            <w:vAlign w:val="center"/>
            <w:hideMark/>
          </w:tcPr>
          <w:p w:rsidR="00BF4D81" w:rsidRPr="00BF4D81" w:rsidRDefault="00BF4D81" w:rsidP="00BF4D81">
            <w:pPr>
              <w:spacing w:after="0" w:line="240" w:lineRule="auto"/>
              <w:jc w:val="center"/>
              <w:rPr>
                <w:rFonts w:ascii="Calibri" w:eastAsia="Times New Roman" w:hAnsi="Calibri" w:cs="Times New Roman"/>
                <w:color w:val="000000"/>
                <w:sz w:val="16"/>
                <w:szCs w:val="16"/>
                <w:lang w:eastAsia="en-GB"/>
              </w:rPr>
            </w:pPr>
            <w:r w:rsidRPr="00BF4D81">
              <w:rPr>
                <w:rFonts w:ascii="Calibri" w:eastAsia="Times New Roman" w:hAnsi="Calibri" w:cs="Times New Roman"/>
                <w:color w:val="000000"/>
                <w:sz w:val="16"/>
                <w:szCs w:val="16"/>
                <w:lang w:eastAsia="en-GB"/>
              </w:rPr>
              <w:t>Fenland</w:t>
            </w:r>
          </w:p>
        </w:tc>
        <w:tc>
          <w:tcPr>
            <w:tcW w:w="555" w:type="pct"/>
            <w:gridSpan w:val="2"/>
            <w:tcBorders>
              <w:top w:val="single" w:sz="4" w:space="0" w:color="auto"/>
              <w:left w:val="nil"/>
              <w:bottom w:val="single" w:sz="4" w:space="0" w:color="auto"/>
              <w:right w:val="single" w:sz="4" w:space="0" w:color="auto"/>
            </w:tcBorders>
            <w:shd w:val="clear" w:color="auto" w:fill="auto"/>
            <w:noWrap/>
            <w:vAlign w:val="center"/>
            <w:hideMark/>
          </w:tcPr>
          <w:p w:rsidR="00BF4D81" w:rsidRPr="00BF4D81" w:rsidRDefault="00BF4D81" w:rsidP="00BF4D81">
            <w:pPr>
              <w:spacing w:after="0" w:line="240" w:lineRule="auto"/>
              <w:jc w:val="center"/>
              <w:rPr>
                <w:rFonts w:ascii="Calibri" w:eastAsia="Times New Roman" w:hAnsi="Calibri" w:cs="Times New Roman"/>
                <w:color w:val="000000"/>
                <w:sz w:val="16"/>
                <w:szCs w:val="16"/>
                <w:lang w:eastAsia="en-GB"/>
              </w:rPr>
            </w:pPr>
            <w:r w:rsidRPr="00BF4D81">
              <w:rPr>
                <w:rFonts w:ascii="Calibri" w:eastAsia="Times New Roman" w:hAnsi="Calibri" w:cs="Times New Roman"/>
                <w:color w:val="000000"/>
                <w:sz w:val="16"/>
                <w:szCs w:val="16"/>
                <w:lang w:eastAsia="en-GB"/>
              </w:rPr>
              <w:t>Huntingdonshire</w:t>
            </w:r>
          </w:p>
        </w:tc>
        <w:tc>
          <w:tcPr>
            <w:tcW w:w="514" w:type="pct"/>
            <w:gridSpan w:val="2"/>
            <w:tcBorders>
              <w:top w:val="single" w:sz="4" w:space="0" w:color="auto"/>
              <w:left w:val="nil"/>
              <w:bottom w:val="single" w:sz="4" w:space="0" w:color="auto"/>
              <w:right w:val="single" w:sz="4" w:space="0" w:color="auto"/>
            </w:tcBorders>
            <w:shd w:val="clear" w:color="auto" w:fill="auto"/>
            <w:noWrap/>
            <w:vAlign w:val="center"/>
            <w:hideMark/>
          </w:tcPr>
          <w:p w:rsidR="00BF4D81" w:rsidRPr="00BF4D81" w:rsidRDefault="00BF4D81" w:rsidP="00BF4D81">
            <w:pPr>
              <w:spacing w:after="0" w:line="240" w:lineRule="auto"/>
              <w:jc w:val="center"/>
              <w:rPr>
                <w:rFonts w:ascii="Calibri" w:eastAsia="Times New Roman" w:hAnsi="Calibri" w:cs="Times New Roman"/>
                <w:color w:val="000000"/>
                <w:sz w:val="16"/>
                <w:szCs w:val="16"/>
                <w:lang w:eastAsia="en-GB"/>
              </w:rPr>
            </w:pPr>
            <w:r w:rsidRPr="00BF4D81">
              <w:rPr>
                <w:rFonts w:ascii="Calibri" w:eastAsia="Times New Roman" w:hAnsi="Calibri" w:cs="Times New Roman"/>
                <w:color w:val="000000"/>
                <w:sz w:val="16"/>
                <w:szCs w:val="16"/>
                <w:lang w:eastAsia="en-GB"/>
              </w:rPr>
              <w:t>South Cambridgeshire</w:t>
            </w:r>
          </w:p>
        </w:tc>
        <w:tc>
          <w:tcPr>
            <w:tcW w:w="554" w:type="pct"/>
            <w:gridSpan w:val="2"/>
            <w:tcBorders>
              <w:top w:val="single" w:sz="4" w:space="0" w:color="auto"/>
              <w:left w:val="nil"/>
              <w:bottom w:val="single" w:sz="4" w:space="0" w:color="auto"/>
              <w:right w:val="single" w:sz="4" w:space="0" w:color="auto"/>
            </w:tcBorders>
            <w:shd w:val="clear" w:color="auto" w:fill="auto"/>
            <w:noWrap/>
            <w:vAlign w:val="center"/>
            <w:hideMark/>
          </w:tcPr>
          <w:p w:rsidR="00BF4D81" w:rsidRPr="00BF4D81" w:rsidRDefault="00BF4D81" w:rsidP="00BF4D81">
            <w:pPr>
              <w:spacing w:after="0" w:line="240" w:lineRule="auto"/>
              <w:jc w:val="center"/>
              <w:rPr>
                <w:rFonts w:ascii="Calibri" w:eastAsia="Times New Roman" w:hAnsi="Calibri" w:cs="Times New Roman"/>
                <w:color w:val="000000"/>
                <w:sz w:val="16"/>
                <w:szCs w:val="16"/>
                <w:lang w:eastAsia="en-GB"/>
              </w:rPr>
            </w:pPr>
            <w:r w:rsidRPr="00BF4D81">
              <w:rPr>
                <w:rFonts w:ascii="Calibri" w:eastAsia="Times New Roman" w:hAnsi="Calibri" w:cs="Times New Roman"/>
                <w:color w:val="000000"/>
                <w:sz w:val="16"/>
                <w:szCs w:val="16"/>
                <w:lang w:eastAsia="en-GB"/>
              </w:rPr>
              <w:t>England</w:t>
            </w:r>
          </w:p>
        </w:tc>
      </w:tr>
      <w:tr w:rsidR="00C37A76" w:rsidRPr="00BF4D81" w:rsidTr="0085747D">
        <w:trPr>
          <w:trHeight w:val="300"/>
        </w:trPr>
        <w:tc>
          <w:tcPr>
            <w:tcW w:w="598" w:type="pct"/>
            <w:vMerge/>
            <w:tcBorders>
              <w:top w:val="single" w:sz="4" w:space="0" w:color="auto"/>
              <w:left w:val="single" w:sz="4" w:space="0" w:color="auto"/>
              <w:bottom w:val="single" w:sz="4" w:space="0" w:color="000000"/>
              <w:right w:val="single" w:sz="4" w:space="0" w:color="auto"/>
            </w:tcBorders>
            <w:vAlign w:val="center"/>
            <w:hideMark/>
          </w:tcPr>
          <w:p w:rsidR="00BF4D81" w:rsidRPr="00BF4D81" w:rsidRDefault="00BF4D81" w:rsidP="00BF4D81">
            <w:pPr>
              <w:spacing w:after="0" w:line="240" w:lineRule="auto"/>
              <w:rPr>
                <w:rFonts w:ascii="Calibri" w:eastAsia="Times New Roman" w:hAnsi="Calibri" w:cs="Times New Roman"/>
                <w:color w:val="000000"/>
                <w:sz w:val="16"/>
                <w:szCs w:val="16"/>
                <w:lang w:eastAsia="en-GB"/>
              </w:rPr>
            </w:pPr>
          </w:p>
        </w:tc>
        <w:tc>
          <w:tcPr>
            <w:tcW w:w="214" w:type="pct"/>
            <w:vMerge/>
            <w:tcBorders>
              <w:top w:val="single" w:sz="4" w:space="0" w:color="auto"/>
              <w:left w:val="single" w:sz="4" w:space="0" w:color="auto"/>
              <w:bottom w:val="single" w:sz="4" w:space="0" w:color="000000"/>
              <w:right w:val="single" w:sz="4" w:space="0" w:color="auto"/>
            </w:tcBorders>
            <w:vAlign w:val="center"/>
            <w:hideMark/>
          </w:tcPr>
          <w:p w:rsidR="00BF4D81" w:rsidRPr="00BF4D81" w:rsidRDefault="00BF4D81" w:rsidP="00BF4D81">
            <w:pPr>
              <w:spacing w:after="0" w:line="240" w:lineRule="auto"/>
              <w:rPr>
                <w:rFonts w:ascii="Calibri" w:eastAsia="Times New Roman" w:hAnsi="Calibri" w:cs="Times New Roman"/>
                <w:color w:val="000000"/>
                <w:sz w:val="16"/>
                <w:szCs w:val="16"/>
                <w:lang w:eastAsia="en-GB"/>
              </w:rPr>
            </w:pPr>
          </w:p>
        </w:tc>
        <w:tc>
          <w:tcPr>
            <w:tcW w:w="256" w:type="pct"/>
            <w:tcBorders>
              <w:top w:val="nil"/>
              <w:left w:val="nil"/>
              <w:bottom w:val="single" w:sz="4" w:space="0" w:color="auto"/>
              <w:right w:val="single" w:sz="4" w:space="0" w:color="auto"/>
            </w:tcBorders>
            <w:shd w:val="clear" w:color="auto" w:fill="auto"/>
            <w:noWrap/>
            <w:vAlign w:val="center"/>
            <w:hideMark/>
          </w:tcPr>
          <w:p w:rsidR="00BF4D81" w:rsidRPr="00BF4D81" w:rsidRDefault="00BF4D81" w:rsidP="00BF4D81">
            <w:pPr>
              <w:spacing w:after="0" w:line="240" w:lineRule="auto"/>
              <w:jc w:val="center"/>
              <w:rPr>
                <w:rFonts w:ascii="Calibri" w:eastAsia="Times New Roman" w:hAnsi="Calibri" w:cs="Times New Roman"/>
                <w:color w:val="000000"/>
                <w:sz w:val="16"/>
                <w:szCs w:val="16"/>
                <w:lang w:eastAsia="en-GB"/>
              </w:rPr>
            </w:pPr>
            <w:r w:rsidRPr="00BF4D81">
              <w:rPr>
                <w:rFonts w:ascii="Calibri" w:eastAsia="Times New Roman" w:hAnsi="Calibri" w:cs="Times New Roman"/>
                <w:color w:val="000000"/>
                <w:sz w:val="16"/>
                <w:szCs w:val="16"/>
                <w:lang w:eastAsia="en-GB"/>
              </w:rPr>
              <w:t>Number</w:t>
            </w:r>
          </w:p>
        </w:tc>
        <w:tc>
          <w:tcPr>
            <w:tcW w:w="257" w:type="pct"/>
            <w:tcBorders>
              <w:top w:val="nil"/>
              <w:left w:val="nil"/>
              <w:bottom w:val="single" w:sz="4" w:space="0" w:color="auto"/>
              <w:right w:val="single" w:sz="4" w:space="0" w:color="auto"/>
            </w:tcBorders>
            <w:shd w:val="clear" w:color="auto" w:fill="auto"/>
            <w:noWrap/>
            <w:vAlign w:val="center"/>
            <w:hideMark/>
          </w:tcPr>
          <w:p w:rsidR="00BF4D81" w:rsidRPr="00BF4D81" w:rsidRDefault="00BF4D81" w:rsidP="00BF4D81">
            <w:pPr>
              <w:spacing w:after="0" w:line="240" w:lineRule="auto"/>
              <w:jc w:val="center"/>
              <w:rPr>
                <w:rFonts w:ascii="Calibri" w:eastAsia="Times New Roman" w:hAnsi="Calibri" w:cs="Times New Roman"/>
                <w:color w:val="000000"/>
                <w:sz w:val="16"/>
                <w:szCs w:val="16"/>
                <w:lang w:eastAsia="en-GB"/>
              </w:rPr>
            </w:pPr>
            <w:r w:rsidRPr="00BF4D81">
              <w:rPr>
                <w:rFonts w:ascii="Calibri" w:eastAsia="Times New Roman" w:hAnsi="Calibri" w:cs="Times New Roman"/>
                <w:color w:val="000000"/>
                <w:sz w:val="16"/>
                <w:szCs w:val="16"/>
                <w:lang w:eastAsia="en-GB"/>
              </w:rPr>
              <w:t>Indicator Value</w:t>
            </w:r>
          </w:p>
        </w:tc>
        <w:tc>
          <w:tcPr>
            <w:tcW w:w="256" w:type="pct"/>
            <w:tcBorders>
              <w:top w:val="nil"/>
              <w:left w:val="nil"/>
              <w:bottom w:val="single" w:sz="4" w:space="0" w:color="auto"/>
              <w:right w:val="single" w:sz="4" w:space="0" w:color="auto"/>
            </w:tcBorders>
            <w:shd w:val="clear" w:color="auto" w:fill="auto"/>
            <w:noWrap/>
            <w:vAlign w:val="center"/>
            <w:hideMark/>
          </w:tcPr>
          <w:p w:rsidR="00BF4D81" w:rsidRPr="00BF4D81" w:rsidRDefault="00BF4D81" w:rsidP="00BF4D81">
            <w:pPr>
              <w:spacing w:after="0" w:line="240" w:lineRule="auto"/>
              <w:jc w:val="center"/>
              <w:rPr>
                <w:rFonts w:ascii="Calibri" w:eastAsia="Times New Roman" w:hAnsi="Calibri" w:cs="Times New Roman"/>
                <w:color w:val="000000"/>
                <w:sz w:val="16"/>
                <w:szCs w:val="16"/>
                <w:lang w:eastAsia="en-GB"/>
              </w:rPr>
            </w:pPr>
            <w:r w:rsidRPr="00BF4D81">
              <w:rPr>
                <w:rFonts w:ascii="Calibri" w:eastAsia="Times New Roman" w:hAnsi="Calibri" w:cs="Times New Roman"/>
                <w:color w:val="000000"/>
                <w:sz w:val="16"/>
                <w:szCs w:val="16"/>
                <w:lang w:eastAsia="en-GB"/>
              </w:rPr>
              <w:t>Number</w:t>
            </w:r>
          </w:p>
        </w:tc>
        <w:tc>
          <w:tcPr>
            <w:tcW w:w="257" w:type="pct"/>
            <w:tcBorders>
              <w:top w:val="nil"/>
              <w:left w:val="nil"/>
              <w:bottom w:val="single" w:sz="4" w:space="0" w:color="auto"/>
              <w:right w:val="single" w:sz="4" w:space="0" w:color="auto"/>
            </w:tcBorders>
            <w:shd w:val="clear" w:color="auto" w:fill="auto"/>
            <w:noWrap/>
            <w:vAlign w:val="center"/>
            <w:hideMark/>
          </w:tcPr>
          <w:p w:rsidR="00BF4D81" w:rsidRPr="00BF4D81" w:rsidRDefault="00BF4D81" w:rsidP="00BF4D81">
            <w:pPr>
              <w:spacing w:after="0" w:line="240" w:lineRule="auto"/>
              <w:jc w:val="center"/>
              <w:rPr>
                <w:rFonts w:ascii="Calibri" w:eastAsia="Times New Roman" w:hAnsi="Calibri" w:cs="Times New Roman"/>
                <w:color w:val="000000"/>
                <w:sz w:val="16"/>
                <w:szCs w:val="16"/>
                <w:lang w:eastAsia="en-GB"/>
              </w:rPr>
            </w:pPr>
            <w:r w:rsidRPr="00BF4D81">
              <w:rPr>
                <w:rFonts w:ascii="Calibri" w:eastAsia="Times New Roman" w:hAnsi="Calibri" w:cs="Times New Roman"/>
                <w:color w:val="000000"/>
                <w:sz w:val="16"/>
                <w:szCs w:val="16"/>
                <w:lang w:eastAsia="en-GB"/>
              </w:rPr>
              <w:t>Indicator Value</w:t>
            </w:r>
          </w:p>
        </w:tc>
        <w:tc>
          <w:tcPr>
            <w:tcW w:w="256" w:type="pct"/>
            <w:tcBorders>
              <w:top w:val="nil"/>
              <w:left w:val="nil"/>
              <w:bottom w:val="single" w:sz="4" w:space="0" w:color="auto"/>
              <w:right w:val="single" w:sz="4" w:space="0" w:color="auto"/>
            </w:tcBorders>
            <w:shd w:val="clear" w:color="auto" w:fill="auto"/>
            <w:noWrap/>
            <w:vAlign w:val="center"/>
            <w:hideMark/>
          </w:tcPr>
          <w:p w:rsidR="00BF4D81" w:rsidRPr="00BF4D81" w:rsidRDefault="00BF4D81" w:rsidP="00BF4D81">
            <w:pPr>
              <w:spacing w:after="0" w:line="240" w:lineRule="auto"/>
              <w:jc w:val="center"/>
              <w:rPr>
                <w:rFonts w:ascii="Calibri" w:eastAsia="Times New Roman" w:hAnsi="Calibri" w:cs="Times New Roman"/>
                <w:color w:val="000000"/>
                <w:sz w:val="16"/>
                <w:szCs w:val="16"/>
                <w:lang w:eastAsia="en-GB"/>
              </w:rPr>
            </w:pPr>
            <w:r w:rsidRPr="00BF4D81">
              <w:rPr>
                <w:rFonts w:ascii="Calibri" w:eastAsia="Times New Roman" w:hAnsi="Calibri" w:cs="Times New Roman"/>
                <w:color w:val="000000"/>
                <w:sz w:val="16"/>
                <w:szCs w:val="16"/>
                <w:lang w:eastAsia="en-GB"/>
              </w:rPr>
              <w:t>Number</w:t>
            </w:r>
          </w:p>
        </w:tc>
        <w:tc>
          <w:tcPr>
            <w:tcW w:w="257" w:type="pct"/>
            <w:tcBorders>
              <w:top w:val="nil"/>
              <w:left w:val="nil"/>
              <w:bottom w:val="single" w:sz="4" w:space="0" w:color="auto"/>
              <w:right w:val="single" w:sz="4" w:space="0" w:color="auto"/>
            </w:tcBorders>
            <w:shd w:val="clear" w:color="auto" w:fill="auto"/>
            <w:noWrap/>
            <w:vAlign w:val="center"/>
            <w:hideMark/>
          </w:tcPr>
          <w:p w:rsidR="00BF4D81" w:rsidRPr="00BF4D81" w:rsidRDefault="00BF4D81" w:rsidP="00BF4D81">
            <w:pPr>
              <w:spacing w:after="0" w:line="240" w:lineRule="auto"/>
              <w:jc w:val="center"/>
              <w:rPr>
                <w:rFonts w:ascii="Calibri" w:eastAsia="Times New Roman" w:hAnsi="Calibri" w:cs="Times New Roman"/>
                <w:color w:val="000000"/>
                <w:sz w:val="16"/>
                <w:szCs w:val="16"/>
                <w:lang w:eastAsia="en-GB"/>
              </w:rPr>
            </w:pPr>
            <w:r w:rsidRPr="00BF4D81">
              <w:rPr>
                <w:rFonts w:ascii="Calibri" w:eastAsia="Times New Roman" w:hAnsi="Calibri" w:cs="Times New Roman"/>
                <w:color w:val="000000"/>
                <w:sz w:val="16"/>
                <w:szCs w:val="16"/>
                <w:lang w:eastAsia="en-GB"/>
              </w:rPr>
              <w:t>Indicator Value</w:t>
            </w:r>
          </w:p>
        </w:tc>
        <w:tc>
          <w:tcPr>
            <w:tcW w:w="256" w:type="pct"/>
            <w:tcBorders>
              <w:top w:val="nil"/>
              <w:left w:val="nil"/>
              <w:bottom w:val="single" w:sz="4" w:space="0" w:color="auto"/>
              <w:right w:val="single" w:sz="4" w:space="0" w:color="auto"/>
            </w:tcBorders>
            <w:shd w:val="clear" w:color="auto" w:fill="auto"/>
            <w:noWrap/>
            <w:vAlign w:val="center"/>
            <w:hideMark/>
          </w:tcPr>
          <w:p w:rsidR="00BF4D81" w:rsidRPr="00BF4D81" w:rsidRDefault="00BF4D81" w:rsidP="00BF4D81">
            <w:pPr>
              <w:spacing w:after="0" w:line="240" w:lineRule="auto"/>
              <w:jc w:val="center"/>
              <w:rPr>
                <w:rFonts w:ascii="Calibri" w:eastAsia="Times New Roman" w:hAnsi="Calibri" w:cs="Times New Roman"/>
                <w:color w:val="000000"/>
                <w:sz w:val="16"/>
                <w:szCs w:val="16"/>
                <w:lang w:eastAsia="en-GB"/>
              </w:rPr>
            </w:pPr>
            <w:r w:rsidRPr="00BF4D81">
              <w:rPr>
                <w:rFonts w:ascii="Calibri" w:eastAsia="Times New Roman" w:hAnsi="Calibri" w:cs="Times New Roman"/>
                <w:color w:val="000000"/>
                <w:sz w:val="16"/>
                <w:szCs w:val="16"/>
                <w:lang w:eastAsia="en-GB"/>
              </w:rPr>
              <w:t>Number</w:t>
            </w:r>
          </w:p>
        </w:tc>
        <w:tc>
          <w:tcPr>
            <w:tcW w:w="257" w:type="pct"/>
            <w:tcBorders>
              <w:top w:val="nil"/>
              <w:left w:val="nil"/>
              <w:bottom w:val="single" w:sz="4" w:space="0" w:color="auto"/>
              <w:right w:val="single" w:sz="4" w:space="0" w:color="auto"/>
            </w:tcBorders>
            <w:shd w:val="clear" w:color="auto" w:fill="auto"/>
            <w:noWrap/>
            <w:vAlign w:val="center"/>
            <w:hideMark/>
          </w:tcPr>
          <w:p w:rsidR="00BF4D81" w:rsidRPr="00BF4D81" w:rsidRDefault="00BF4D81" w:rsidP="00BF4D81">
            <w:pPr>
              <w:spacing w:after="0" w:line="240" w:lineRule="auto"/>
              <w:jc w:val="center"/>
              <w:rPr>
                <w:rFonts w:ascii="Calibri" w:eastAsia="Times New Roman" w:hAnsi="Calibri" w:cs="Times New Roman"/>
                <w:color w:val="000000"/>
                <w:sz w:val="16"/>
                <w:szCs w:val="16"/>
                <w:lang w:eastAsia="en-GB"/>
              </w:rPr>
            </w:pPr>
            <w:r w:rsidRPr="00BF4D81">
              <w:rPr>
                <w:rFonts w:ascii="Calibri" w:eastAsia="Times New Roman" w:hAnsi="Calibri" w:cs="Times New Roman"/>
                <w:color w:val="000000"/>
                <w:sz w:val="16"/>
                <w:szCs w:val="16"/>
                <w:lang w:eastAsia="en-GB"/>
              </w:rPr>
              <w:t>Indicator Value</w:t>
            </w:r>
          </w:p>
        </w:tc>
        <w:tc>
          <w:tcPr>
            <w:tcW w:w="256" w:type="pct"/>
            <w:tcBorders>
              <w:top w:val="nil"/>
              <w:left w:val="nil"/>
              <w:bottom w:val="single" w:sz="4" w:space="0" w:color="auto"/>
              <w:right w:val="single" w:sz="4" w:space="0" w:color="auto"/>
            </w:tcBorders>
            <w:shd w:val="clear" w:color="auto" w:fill="auto"/>
            <w:noWrap/>
            <w:vAlign w:val="center"/>
            <w:hideMark/>
          </w:tcPr>
          <w:p w:rsidR="00BF4D81" w:rsidRPr="00BF4D81" w:rsidRDefault="00BF4D81" w:rsidP="00BF4D81">
            <w:pPr>
              <w:spacing w:after="0" w:line="240" w:lineRule="auto"/>
              <w:jc w:val="center"/>
              <w:rPr>
                <w:rFonts w:ascii="Calibri" w:eastAsia="Times New Roman" w:hAnsi="Calibri" w:cs="Times New Roman"/>
                <w:color w:val="000000"/>
                <w:sz w:val="16"/>
                <w:szCs w:val="16"/>
                <w:lang w:eastAsia="en-GB"/>
              </w:rPr>
            </w:pPr>
            <w:r w:rsidRPr="00BF4D81">
              <w:rPr>
                <w:rFonts w:ascii="Calibri" w:eastAsia="Times New Roman" w:hAnsi="Calibri" w:cs="Times New Roman"/>
                <w:color w:val="000000"/>
                <w:sz w:val="16"/>
                <w:szCs w:val="16"/>
                <w:lang w:eastAsia="en-GB"/>
              </w:rPr>
              <w:t>Number</w:t>
            </w:r>
          </w:p>
        </w:tc>
        <w:tc>
          <w:tcPr>
            <w:tcW w:w="257" w:type="pct"/>
            <w:tcBorders>
              <w:top w:val="nil"/>
              <w:left w:val="nil"/>
              <w:bottom w:val="single" w:sz="4" w:space="0" w:color="auto"/>
              <w:right w:val="single" w:sz="4" w:space="0" w:color="auto"/>
            </w:tcBorders>
            <w:shd w:val="clear" w:color="auto" w:fill="auto"/>
            <w:noWrap/>
            <w:vAlign w:val="center"/>
            <w:hideMark/>
          </w:tcPr>
          <w:p w:rsidR="00BF4D81" w:rsidRPr="00BF4D81" w:rsidRDefault="00BF4D81" w:rsidP="00BF4D81">
            <w:pPr>
              <w:spacing w:after="0" w:line="240" w:lineRule="auto"/>
              <w:jc w:val="center"/>
              <w:rPr>
                <w:rFonts w:ascii="Calibri" w:eastAsia="Times New Roman" w:hAnsi="Calibri" w:cs="Times New Roman"/>
                <w:color w:val="000000"/>
                <w:sz w:val="16"/>
                <w:szCs w:val="16"/>
                <w:lang w:eastAsia="en-GB"/>
              </w:rPr>
            </w:pPr>
            <w:r w:rsidRPr="00BF4D81">
              <w:rPr>
                <w:rFonts w:ascii="Calibri" w:eastAsia="Times New Roman" w:hAnsi="Calibri" w:cs="Times New Roman"/>
                <w:color w:val="000000"/>
                <w:sz w:val="16"/>
                <w:szCs w:val="16"/>
                <w:lang w:eastAsia="en-GB"/>
              </w:rPr>
              <w:t>Indicator Value</w:t>
            </w:r>
          </w:p>
        </w:tc>
        <w:tc>
          <w:tcPr>
            <w:tcW w:w="257" w:type="pct"/>
            <w:tcBorders>
              <w:top w:val="nil"/>
              <w:left w:val="nil"/>
              <w:bottom w:val="single" w:sz="4" w:space="0" w:color="auto"/>
              <w:right w:val="single" w:sz="4" w:space="0" w:color="auto"/>
            </w:tcBorders>
            <w:shd w:val="clear" w:color="auto" w:fill="auto"/>
            <w:noWrap/>
            <w:vAlign w:val="center"/>
            <w:hideMark/>
          </w:tcPr>
          <w:p w:rsidR="00BF4D81" w:rsidRPr="00BF4D81" w:rsidRDefault="00BF4D81" w:rsidP="00BF4D81">
            <w:pPr>
              <w:spacing w:after="0" w:line="240" w:lineRule="auto"/>
              <w:jc w:val="center"/>
              <w:rPr>
                <w:rFonts w:ascii="Calibri" w:eastAsia="Times New Roman" w:hAnsi="Calibri" w:cs="Times New Roman"/>
                <w:color w:val="000000"/>
                <w:sz w:val="16"/>
                <w:szCs w:val="16"/>
                <w:lang w:eastAsia="en-GB"/>
              </w:rPr>
            </w:pPr>
            <w:r w:rsidRPr="00BF4D81">
              <w:rPr>
                <w:rFonts w:ascii="Calibri" w:eastAsia="Times New Roman" w:hAnsi="Calibri" w:cs="Times New Roman"/>
                <w:color w:val="000000"/>
                <w:sz w:val="16"/>
                <w:szCs w:val="16"/>
                <w:lang w:eastAsia="en-GB"/>
              </w:rPr>
              <w:t>Number</w:t>
            </w:r>
          </w:p>
        </w:tc>
        <w:tc>
          <w:tcPr>
            <w:tcW w:w="298" w:type="pct"/>
            <w:tcBorders>
              <w:top w:val="nil"/>
              <w:left w:val="nil"/>
              <w:bottom w:val="single" w:sz="4" w:space="0" w:color="auto"/>
              <w:right w:val="single" w:sz="4" w:space="0" w:color="auto"/>
            </w:tcBorders>
            <w:shd w:val="clear" w:color="auto" w:fill="auto"/>
            <w:noWrap/>
            <w:vAlign w:val="center"/>
            <w:hideMark/>
          </w:tcPr>
          <w:p w:rsidR="00BF4D81" w:rsidRPr="00BF4D81" w:rsidRDefault="00BF4D81" w:rsidP="00BF4D81">
            <w:pPr>
              <w:spacing w:after="0" w:line="240" w:lineRule="auto"/>
              <w:jc w:val="center"/>
              <w:rPr>
                <w:rFonts w:ascii="Calibri" w:eastAsia="Times New Roman" w:hAnsi="Calibri" w:cs="Times New Roman"/>
                <w:color w:val="000000"/>
                <w:sz w:val="16"/>
                <w:szCs w:val="16"/>
                <w:lang w:eastAsia="en-GB"/>
              </w:rPr>
            </w:pPr>
            <w:r w:rsidRPr="00BF4D81">
              <w:rPr>
                <w:rFonts w:ascii="Calibri" w:eastAsia="Times New Roman" w:hAnsi="Calibri" w:cs="Times New Roman"/>
                <w:color w:val="000000"/>
                <w:sz w:val="16"/>
                <w:szCs w:val="16"/>
                <w:lang w:eastAsia="en-GB"/>
              </w:rPr>
              <w:t>Indicator Value</w:t>
            </w:r>
          </w:p>
        </w:tc>
        <w:tc>
          <w:tcPr>
            <w:tcW w:w="238" w:type="pct"/>
            <w:tcBorders>
              <w:top w:val="nil"/>
              <w:left w:val="nil"/>
              <w:bottom w:val="single" w:sz="4" w:space="0" w:color="auto"/>
              <w:right w:val="single" w:sz="4" w:space="0" w:color="auto"/>
            </w:tcBorders>
            <w:shd w:val="clear" w:color="auto" w:fill="auto"/>
            <w:noWrap/>
            <w:vAlign w:val="center"/>
            <w:hideMark/>
          </w:tcPr>
          <w:p w:rsidR="00BF4D81" w:rsidRPr="00BF4D81" w:rsidRDefault="00BF4D81" w:rsidP="00BF4D81">
            <w:pPr>
              <w:spacing w:after="0" w:line="240" w:lineRule="auto"/>
              <w:jc w:val="center"/>
              <w:rPr>
                <w:rFonts w:ascii="Calibri" w:eastAsia="Times New Roman" w:hAnsi="Calibri" w:cs="Times New Roman"/>
                <w:color w:val="000000"/>
                <w:sz w:val="16"/>
                <w:szCs w:val="16"/>
                <w:lang w:eastAsia="en-GB"/>
              </w:rPr>
            </w:pPr>
            <w:r w:rsidRPr="00BF4D81">
              <w:rPr>
                <w:rFonts w:ascii="Calibri" w:eastAsia="Times New Roman" w:hAnsi="Calibri" w:cs="Times New Roman"/>
                <w:color w:val="000000"/>
                <w:sz w:val="16"/>
                <w:szCs w:val="16"/>
                <w:lang w:eastAsia="en-GB"/>
              </w:rPr>
              <w:t>Number</w:t>
            </w:r>
          </w:p>
        </w:tc>
        <w:tc>
          <w:tcPr>
            <w:tcW w:w="276" w:type="pct"/>
            <w:tcBorders>
              <w:top w:val="nil"/>
              <w:left w:val="nil"/>
              <w:bottom w:val="single" w:sz="4" w:space="0" w:color="auto"/>
              <w:right w:val="single" w:sz="4" w:space="0" w:color="auto"/>
            </w:tcBorders>
            <w:shd w:val="clear" w:color="auto" w:fill="auto"/>
            <w:noWrap/>
            <w:vAlign w:val="center"/>
            <w:hideMark/>
          </w:tcPr>
          <w:p w:rsidR="00BF4D81" w:rsidRPr="00BF4D81" w:rsidRDefault="00BF4D81" w:rsidP="00BF4D81">
            <w:pPr>
              <w:spacing w:after="0" w:line="240" w:lineRule="auto"/>
              <w:jc w:val="center"/>
              <w:rPr>
                <w:rFonts w:ascii="Calibri" w:eastAsia="Times New Roman" w:hAnsi="Calibri" w:cs="Times New Roman"/>
                <w:color w:val="000000"/>
                <w:sz w:val="16"/>
                <w:szCs w:val="16"/>
                <w:lang w:eastAsia="en-GB"/>
              </w:rPr>
            </w:pPr>
            <w:r w:rsidRPr="00BF4D81">
              <w:rPr>
                <w:rFonts w:ascii="Calibri" w:eastAsia="Times New Roman" w:hAnsi="Calibri" w:cs="Times New Roman"/>
                <w:color w:val="000000"/>
                <w:sz w:val="16"/>
                <w:szCs w:val="16"/>
                <w:lang w:eastAsia="en-GB"/>
              </w:rPr>
              <w:t>Indicator Value</w:t>
            </w:r>
          </w:p>
        </w:tc>
        <w:tc>
          <w:tcPr>
            <w:tcW w:w="298" w:type="pct"/>
            <w:tcBorders>
              <w:top w:val="nil"/>
              <w:left w:val="nil"/>
              <w:bottom w:val="single" w:sz="4" w:space="0" w:color="auto"/>
              <w:right w:val="single" w:sz="4" w:space="0" w:color="auto"/>
            </w:tcBorders>
            <w:shd w:val="clear" w:color="auto" w:fill="auto"/>
            <w:noWrap/>
            <w:vAlign w:val="center"/>
            <w:hideMark/>
          </w:tcPr>
          <w:p w:rsidR="00BF4D81" w:rsidRPr="00BF4D81" w:rsidRDefault="00BF4D81" w:rsidP="00BF4D81">
            <w:pPr>
              <w:spacing w:after="0" w:line="240" w:lineRule="auto"/>
              <w:jc w:val="center"/>
              <w:rPr>
                <w:rFonts w:ascii="Calibri" w:eastAsia="Times New Roman" w:hAnsi="Calibri" w:cs="Times New Roman"/>
                <w:color w:val="000000"/>
                <w:sz w:val="16"/>
                <w:szCs w:val="16"/>
                <w:lang w:eastAsia="en-GB"/>
              </w:rPr>
            </w:pPr>
            <w:r w:rsidRPr="00BF4D81">
              <w:rPr>
                <w:rFonts w:ascii="Calibri" w:eastAsia="Times New Roman" w:hAnsi="Calibri" w:cs="Times New Roman"/>
                <w:color w:val="000000"/>
                <w:sz w:val="16"/>
                <w:szCs w:val="16"/>
                <w:lang w:eastAsia="en-GB"/>
              </w:rPr>
              <w:t>Number</w:t>
            </w:r>
          </w:p>
        </w:tc>
        <w:tc>
          <w:tcPr>
            <w:tcW w:w="256" w:type="pct"/>
            <w:tcBorders>
              <w:top w:val="nil"/>
              <w:left w:val="nil"/>
              <w:bottom w:val="single" w:sz="4" w:space="0" w:color="auto"/>
              <w:right w:val="single" w:sz="4" w:space="0" w:color="auto"/>
            </w:tcBorders>
            <w:shd w:val="clear" w:color="auto" w:fill="auto"/>
            <w:noWrap/>
            <w:vAlign w:val="center"/>
            <w:hideMark/>
          </w:tcPr>
          <w:p w:rsidR="00BF4D81" w:rsidRPr="00BF4D81" w:rsidRDefault="00BF4D81" w:rsidP="00BF4D81">
            <w:pPr>
              <w:spacing w:after="0" w:line="240" w:lineRule="auto"/>
              <w:jc w:val="center"/>
              <w:rPr>
                <w:rFonts w:ascii="Calibri" w:eastAsia="Times New Roman" w:hAnsi="Calibri" w:cs="Times New Roman"/>
                <w:color w:val="000000"/>
                <w:sz w:val="16"/>
                <w:szCs w:val="16"/>
                <w:lang w:eastAsia="en-GB"/>
              </w:rPr>
            </w:pPr>
            <w:r w:rsidRPr="00BF4D81">
              <w:rPr>
                <w:rFonts w:ascii="Calibri" w:eastAsia="Times New Roman" w:hAnsi="Calibri" w:cs="Times New Roman"/>
                <w:color w:val="000000"/>
                <w:sz w:val="16"/>
                <w:szCs w:val="16"/>
                <w:lang w:eastAsia="en-GB"/>
              </w:rPr>
              <w:t>Indicator Value</w:t>
            </w:r>
          </w:p>
        </w:tc>
      </w:tr>
      <w:tr w:rsidR="00C37A76" w:rsidRPr="00BF4D81" w:rsidTr="0085747D">
        <w:trPr>
          <w:trHeight w:val="300"/>
        </w:trPr>
        <w:tc>
          <w:tcPr>
            <w:tcW w:w="598" w:type="pct"/>
            <w:tcBorders>
              <w:top w:val="nil"/>
              <w:left w:val="single" w:sz="4" w:space="0" w:color="auto"/>
              <w:bottom w:val="single" w:sz="4" w:space="0" w:color="auto"/>
              <w:right w:val="single" w:sz="4" w:space="0" w:color="auto"/>
            </w:tcBorders>
            <w:shd w:val="clear" w:color="auto" w:fill="auto"/>
            <w:noWrap/>
            <w:vAlign w:val="center"/>
            <w:hideMark/>
          </w:tcPr>
          <w:p w:rsidR="00CE6AE2" w:rsidRPr="00BF4D81" w:rsidRDefault="00CE6AE2" w:rsidP="00CE6AE2">
            <w:pPr>
              <w:spacing w:after="0" w:line="240" w:lineRule="auto"/>
              <w:jc w:val="center"/>
              <w:rPr>
                <w:rFonts w:ascii="Calibri" w:eastAsia="Times New Roman" w:hAnsi="Calibri" w:cs="Times New Roman"/>
                <w:color w:val="000000"/>
                <w:sz w:val="16"/>
                <w:szCs w:val="16"/>
                <w:lang w:eastAsia="en-GB"/>
              </w:rPr>
            </w:pPr>
            <w:r w:rsidRPr="00BF4D81">
              <w:rPr>
                <w:rFonts w:ascii="Calibri" w:eastAsia="Times New Roman" w:hAnsi="Calibri" w:cs="Times New Roman"/>
                <w:color w:val="000000"/>
                <w:sz w:val="16"/>
                <w:szCs w:val="16"/>
                <w:lang w:eastAsia="en-GB"/>
              </w:rPr>
              <w:t>IDAOPI</w:t>
            </w:r>
          </w:p>
        </w:tc>
        <w:tc>
          <w:tcPr>
            <w:tcW w:w="214" w:type="pct"/>
            <w:tcBorders>
              <w:top w:val="nil"/>
              <w:left w:val="nil"/>
              <w:bottom w:val="single" w:sz="4" w:space="0" w:color="auto"/>
              <w:right w:val="single" w:sz="4" w:space="0" w:color="auto"/>
            </w:tcBorders>
            <w:shd w:val="clear" w:color="auto" w:fill="auto"/>
            <w:noWrap/>
            <w:vAlign w:val="center"/>
            <w:hideMark/>
          </w:tcPr>
          <w:p w:rsidR="00CE6AE2" w:rsidRPr="00BF4D81" w:rsidRDefault="00CE6AE2" w:rsidP="00CE6AE2">
            <w:pPr>
              <w:spacing w:after="0" w:line="240" w:lineRule="auto"/>
              <w:jc w:val="center"/>
              <w:rPr>
                <w:rFonts w:ascii="Calibri" w:eastAsia="Times New Roman" w:hAnsi="Calibri" w:cs="Times New Roman"/>
                <w:color w:val="000000"/>
                <w:sz w:val="16"/>
                <w:szCs w:val="16"/>
                <w:lang w:eastAsia="en-GB"/>
              </w:rPr>
            </w:pPr>
            <w:r w:rsidRPr="00BF4D81">
              <w:rPr>
                <w:rFonts w:ascii="Calibri" w:eastAsia="Times New Roman" w:hAnsi="Calibri" w:cs="Times New Roman"/>
                <w:color w:val="000000"/>
                <w:sz w:val="16"/>
                <w:szCs w:val="16"/>
                <w:lang w:eastAsia="en-GB"/>
              </w:rPr>
              <w:t>2015</w:t>
            </w:r>
          </w:p>
        </w:tc>
        <w:tc>
          <w:tcPr>
            <w:tcW w:w="256" w:type="pct"/>
            <w:tcBorders>
              <w:top w:val="nil"/>
              <w:left w:val="nil"/>
              <w:bottom w:val="single" w:sz="4" w:space="0" w:color="auto"/>
              <w:right w:val="single" w:sz="4" w:space="0" w:color="auto"/>
            </w:tcBorders>
            <w:shd w:val="clear" w:color="000000" w:fill="FDE9D9"/>
            <w:noWrap/>
            <w:vAlign w:val="center"/>
            <w:hideMark/>
          </w:tcPr>
          <w:p w:rsidR="00CE6AE2" w:rsidRPr="00BF4D81" w:rsidRDefault="00CE6AE2" w:rsidP="00CE6AE2">
            <w:pPr>
              <w:spacing w:after="0" w:line="240" w:lineRule="auto"/>
              <w:jc w:val="center"/>
              <w:rPr>
                <w:rFonts w:ascii="Calibri" w:eastAsia="Times New Roman" w:hAnsi="Calibri" w:cs="Times New Roman"/>
                <w:color w:val="000000"/>
                <w:sz w:val="16"/>
                <w:szCs w:val="16"/>
                <w:lang w:eastAsia="en-GB"/>
              </w:rPr>
            </w:pPr>
            <w:r w:rsidRPr="00BF4D81">
              <w:rPr>
                <w:rFonts w:ascii="Calibri" w:eastAsia="Times New Roman" w:hAnsi="Calibri" w:cs="Times New Roman"/>
                <w:color w:val="000000"/>
                <w:sz w:val="16"/>
                <w:szCs w:val="16"/>
                <w:lang w:eastAsia="en-GB"/>
              </w:rPr>
              <w:t>-</w:t>
            </w:r>
          </w:p>
        </w:tc>
        <w:tc>
          <w:tcPr>
            <w:tcW w:w="257" w:type="pct"/>
            <w:tcBorders>
              <w:top w:val="nil"/>
              <w:left w:val="nil"/>
              <w:bottom w:val="single" w:sz="4" w:space="0" w:color="auto"/>
              <w:right w:val="single" w:sz="4" w:space="0" w:color="auto"/>
            </w:tcBorders>
            <w:shd w:val="clear" w:color="000000" w:fill="FDE9D9"/>
            <w:noWrap/>
            <w:vAlign w:val="center"/>
            <w:hideMark/>
          </w:tcPr>
          <w:p w:rsidR="00CE6AE2" w:rsidRPr="00BF4D81" w:rsidRDefault="00CE6AE2" w:rsidP="00CE6AE2">
            <w:pPr>
              <w:spacing w:after="0" w:line="240" w:lineRule="auto"/>
              <w:jc w:val="center"/>
              <w:rPr>
                <w:rFonts w:ascii="Calibri" w:eastAsia="Times New Roman" w:hAnsi="Calibri" w:cs="Times New Roman"/>
                <w:color w:val="000000"/>
                <w:sz w:val="16"/>
                <w:szCs w:val="16"/>
                <w:lang w:eastAsia="en-GB"/>
              </w:rPr>
            </w:pPr>
            <w:r w:rsidRPr="00BF4D81">
              <w:rPr>
                <w:rFonts w:ascii="Calibri" w:eastAsia="Times New Roman" w:hAnsi="Calibri" w:cs="Times New Roman"/>
                <w:color w:val="000000"/>
                <w:sz w:val="16"/>
                <w:szCs w:val="16"/>
                <w:lang w:eastAsia="en-GB"/>
              </w:rPr>
              <w:t>11.3%</w:t>
            </w:r>
            <w:r w:rsidR="002116AC">
              <w:rPr>
                <w:rFonts w:ascii="Calibri" w:eastAsia="Times New Roman" w:hAnsi="Calibri" w:cs="Times New Roman"/>
                <w:color w:val="000000"/>
                <w:sz w:val="16"/>
                <w:szCs w:val="16"/>
                <w:lang w:eastAsia="en-GB"/>
              </w:rPr>
              <w:t xml:space="preserve"> (1)</w:t>
            </w:r>
          </w:p>
        </w:tc>
        <w:tc>
          <w:tcPr>
            <w:tcW w:w="256" w:type="pct"/>
            <w:tcBorders>
              <w:top w:val="nil"/>
              <w:left w:val="nil"/>
              <w:bottom w:val="single" w:sz="4" w:space="0" w:color="auto"/>
              <w:right w:val="single" w:sz="4" w:space="0" w:color="auto"/>
            </w:tcBorders>
            <w:shd w:val="clear" w:color="000000" w:fill="FABF8F"/>
            <w:noWrap/>
            <w:vAlign w:val="center"/>
            <w:hideMark/>
          </w:tcPr>
          <w:p w:rsidR="00CE6AE2" w:rsidRPr="00BF4D81" w:rsidRDefault="00CE6AE2" w:rsidP="00CE6AE2">
            <w:pPr>
              <w:spacing w:after="0" w:line="240" w:lineRule="auto"/>
              <w:jc w:val="center"/>
              <w:rPr>
                <w:rFonts w:ascii="Calibri" w:eastAsia="Times New Roman" w:hAnsi="Calibri" w:cs="Times New Roman"/>
                <w:color w:val="000000"/>
                <w:sz w:val="16"/>
                <w:szCs w:val="16"/>
                <w:lang w:eastAsia="en-GB"/>
              </w:rPr>
            </w:pPr>
            <w:r w:rsidRPr="00BF4D81">
              <w:rPr>
                <w:rFonts w:ascii="Calibri" w:eastAsia="Times New Roman" w:hAnsi="Calibri" w:cs="Times New Roman"/>
                <w:color w:val="000000"/>
                <w:sz w:val="16"/>
                <w:szCs w:val="16"/>
                <w:lang w:eastAsia="en-GB"/>
              </w:rPr>
              <w:t>-</w:t>
            </w:r>
          </w:p>
        </w:tc>
        <w:tc>
          <w:tcPr>
            <w:tcW w:w="257" w:type="pct"/>
            <w:tcBorders>
              <w:top w:val="nil"/>
              <w:left w:val="nil"/>
              <w:bottom w:val="single" w:sz="4" w:space="0" w:color="auto"/>
              <w:right w:val="single" w:sz="4" w:space="0" w:color="auto"/>
            </w:tcBorders>
            <w:shd w:val="clear" w:color="000000" w:fill="FABF8F"/>
            <w:noWrap/>
            <w:vAlign w:val="center"/>
            <w:hideMark/>
          </w:tcPr>
          <w:p w:rsidR="00CE6AE2" w:rsidRPr="00BF4D81" w:rsidRDefault="00CE6AE2" w:rsidP="00CE6AE2">
            <w:pPr>
              <w:spacing w:after="0" w:line="240" w:lineRule="auto"/>
              <w:jc w:val="center"/>
              <w:rPr>
                <w:rFonts w:ascii="Calibri" w:eastAsia="Times New Roman" w:hAnsi="Calibri" w:cs="Times New Roman"/>
                <w:color w:val="000000"/>
                <w:sz w:val="16"/>
                <w:szCs w:val="16"/>
                <w:lang w:eastAsia="en-GB"/>
              </w:rPr>
            </w:pPr>
            <w:r w:rsidRPr="00BF4D81">
              <w:rPr>
                <w:rFonts w:ascii="Calibri" w:eastAsia="Times New Roman" w:hAnsi="Calibri" w:cs="Times New Roman"/>
                <w:color w:val="000000"/>
                <w:sz w:val="16"/>
                <w:szCs w:val="16"/>
                <w:lang w:eastAsia="en-GB"/>
              </w:rPr>
              <w:t>18.5%</w:t>
            </w:r>
            <w:r w:rsidR="002116AC">
              <w:rPr>
                <w:rFonts w:ascii="Calibri" w:eastAsia="Times New Roman" w:hAnsi="Calibri" w:cs="Times New Roman"/>
                <w:color w:val="000000"/>
                <w:sz w:val="16"/>
                <w:szCs w:val="16"/>
                <w:lang w:eastAsia="en-GB"/>
              </w:rPr>
              <w:t xml:space="preserve"> (3)</w:t>
            </w:r>
          </w:p>
        </w:tc>
        <w:tc>
          <w:tcPr>
            <w:tcW w:w="256" w:type="pct"/>
            <w:tcBorders>
              <w:top w:val="nil"/>
              <w:left w:val="nil"/>
              <w:bottom w:val="single" w:sz="4" w:space="0" w:color="auto"/>
              <w:right w:val="single" w:sz="4" w:space="0" w:color="auto"/>
            </w:tcBorders>
            <w:shd w:val="clear" w:color="000000" w:fill="FABF8F"/>
            <w:noWrap/>
            <w:vAlign w:val="center"/>
            <w:hideMark/>
          </w:tcPr>
          <w:p w:rsidR="00CE6AE2" w:rsidRPr="00BF4D81" w:rsidRDefault="00CE6AE2" w:rsidP="00CE6AE2">
            <w:pPr>
              <w:spacing w:after="0" w:line="240" w:lineRule="auto"/>
              <w:jc w:val="center"/>
              <w:rPr>
                <w:rFonts w:ascii="Calibri" w:eastAsia="Times New Roman" w:hAnsi="Calibri" w:cs="Times New Roman"/>
                <w:color w:val="000000"/>
                <w:sz w:val="16"/>
                <w:szCs w:val="16"/>
                <w:lang w:eastAsia="en-GB"/>
              </w:rPr>
            </w:pPr>
            <w:r w:rsidRPr="00BF4D81">
              <w:rPr>
                <w:rFonts w:ascii="Calibri" w:eastAsia="Times New Roman" w:hAnsi="Calibri" w:cs="Times New Roman"/>
                <w:color w:val="000000"/>
                <w:sz w:val="16"/>
                <w:szCs w:val="16"/>
                <w:lang w:eastAsia="en-GB"/>
              </w:rPr>
              <w:t>-</w:t>
            </w:r>
          </w:p>
        </w:tc>
        <w:tc>
          <w:tcPr>
            <w:tcW w:w="257" w:type="pct"/>
            <w:tcBorders>
              <w:top w:val="nil"/>
              <w:left w:val="nil"/>
              <w:bottom w:val="single" w:sz="4" w:space="0" w:color="auto"/>
              <w:right w:val="single" w:sz="4" w:space="0" w:color="auto"/>
            </w:tcBorders>
            <w:shd w:val="clear" w:color="000000" w:fill="FABF8F"/>
            <w:noWrap/>
            <w:vAlign w:val="center"/>
            <w:hideMark/>
          </w:tcPr>
          <w:p w:rsidR="00CE6AE2" w:rsidRPr="00BF4D81" w:rsidRDefault="00CE6AE2" w:rsidP="00CE6AE2">
            <w:pPr>
              <w:spacing w:after="0" w:line="240" w:lineRule="auto"/>
              <w:jc w:val="center"/>
              <w:rPr>
                <w:rFonts w:ascii="Calibri" w:eastAsia="Times New Roman" w:hAnsi="Calibri" w:cs="Times New Roman"/>
                <w:color w:val="000000"/>
                <w:sz w:val="16"/>
                <w:szCs w:val="16"/>
                <w:lang w:eastAsia="en-GB"/>
              </w:rPr>
            </w:pPr>
            <w:r w:rsidRPr="00BF4D81">
              <w:rPr>
                <w:rFonts w:ascii="Calibri" w:eastAsia="Times New Roman" w:hAnsi="Calibri" w:cs="Times New Roman"/>
                <w:color w:val="000000"/>
                <w:sz w:val="16"/>
                <w:szCs w:val="16"/>
                <w:lang w:eastAsia="en-GB"/>
              </w:rPr>
              <w:t>11.7%</w:t>
            </w:r>
            <w:r w:rsidR="002116AC">
              <w:rPr>
                <w:rFonts w:ascii="Calibri" w:eastAsia="Times New Roman" w:hAnsi="Calibri" w:cs="Times New Roman"/>
                <w:color w:val="000000"/>
                <w:sz w:val="16"/>
                <w:szCs w:val="16"/>
                <w:lang w:eastAsia="en-GB"/>
              </w:rPr>
              <w:t xml:space="preserve"> (3)</w:t>
            </w:r>
          </w:p>
        </w:tc>
        <w:tc>
          <w:tcPr>
            <w:tcW w:w="256" w:type="pct"/>
            <w:tcBorders>
              <w:top w:val="nil"/>
              <w:left w:val="nil"/>
              <w:bottom w:val="single" w:sz="4" w:space="0" w:color="auto"/>
              <w:right w:val="single" w:sz="4" w:space="0" w:color="auto"/>
            </w:tcBorders>
            <w:shd w:val="clear" w:color="000000" w:fill="FCD5B4"/>
            <w:noWrap/>
            <w:vAlign w:val="center"/>
            <w:hideMark/>
          </w:tcPr>
          <w:p w:rsidR="00CE6AE2" w:rsidRPr="00BF4D81" w:rsidRDefault="00CE6AE2" w:rsidP="00CE6AE2">
            <w:pPr>
              <w:spacing w:after="0" w:line="240" w:lineRule="auto"/>
              <w:jc w:val="center"/>
              <w:rPr>
                <w:rFonts w:ascii="Calibri" w:eastAsia="Times New Roman" w:hAnsi="Calibri" w:cs="Times New Roman"/>
                <w:color w:val="000000"/>
                <w:sz w:val="16"/>
                <w:szCs w:val="16"/>
                <w:lang w:eastAsia="en-GB"/>
              </w:rPr>
            </w:pPr>
            <w:r w:rsidRPr="00BF4D81">
              <w:rPr>
                <w:rFonts w:ascii="Calibri" w:eastAsia="Times New Roman" w:hAnsi="Calibri" w:cs="Times New Roman"/>
                <w:color w:val="000000"/>
                <w:sz w:val="16"/>
                <w:szCs w:val="16"/>
                <w:lang w:eastAsia="en-GB"/>
              </w:rPr>
              <w:t>-</w:t>
            </w:r>
          </w:p>
        </w:tc>
        <w:tc>
          <w:tcPr>
            <w:tcW w:w="257" w:type="pct"/>
            <w:tcBorders>
              <w:top w:val="nil"/>
              <w:left w:val="nil"/>
              <w:bottom w:val="single" w:sz="4" w:space="0" w:color="auto"/>
              <w:right w:val="single" w:sz="4" w:space="0" w:color="auto"/>
            </w:tcBorders>
            <w:shd w:val="clear" w:color="000000" w:fill="FCD5B4"/>
            <w:noWrap/>
            <w:vAlign w:val="center"/>
            <w:hideMark/>
          </w:tcPr>
          <w:p w:rsidR="00CE6AE2" w:rsidRPr="00BF4D81" w:rsidRDefault="00CE6AE2" w:rsidP="00CE6AE2">
            <w:pPr>
              <w:spacing w:after="0" w:line="240" w:lineRule="auto"/>
              <w:jc w:val="center"/>
              <w:rPr>
                <w:rFonts w:ascii="Calibri" w:eastAsia="Times New Roman" w:hAnsi="Calibri" w:cs="Times New Roman"/>
                <w:color w:val="000000"/>
                <w:sz w:val="16"/>
                <w:szCs w:val="16"/>
                <w:lang w:eastAsia="en-GB"/>
              </w:rPr>
            </w:pPr>
            <w:r w:rsidRPr="00BF4D81">
              <w:rPr>
                <w:rFonts w:ascii="Calibri" w:eastAsia="Times New Roman" w:hAnsi="Calibri" w:cs="Times New Roman"/>
                <w:color w:val="000000"/>
                <w:sz w:val="16"/>
                <w:szCs w:val="16"/>
                <w:lang w:eastAsia="en-GB"/>
              </w:rPr>
              <w:t>11.7%</w:t>
            </w:r>
            <w:r w:rsidR="002116AC">
              <w:rPr>
                <w:rFonts w:ascii="Calibri" w:eastAsia="Times New Roman" w:hAnsi="Calibri" w:cs="Times New Roman"/>
                <w:color w:val="000000"/>
                <w:sz w:val="16"/>
                <w:szCs w:val="16"/>
                <w:lang w:eastAsia="en-GB"/>
              </w:rPr>
              <w:t xml:space="preserve"> (2)</w:t>
            </w:r>
          </w:p>
        </w:tc>
        <w:tc>
          <w:tcPr>
            <w:tcW w:w="256" w:type="pct"/>
            <w:tcBorders>
              <w:top w:val="nil"/>
              <w:left w:val="nil"/>
              <w:bottom w:val="single" w:sz="4" w:space="0" w:color="auto"/>
              <w:right w:val="single" w:sz="4" w:space="0" w:color="auto"/>
            </w:tcBorders>
            <w:shd w:val="clear" w:color="000000" w:fill="E26B0A"/>
            <w:noWrap/>
            <w:vAlign w:val="center"/>
            <w:hideMark/>
          </w:tcPr>
          <w:p w:rsidR="00CE6AE2" w:rsidRPr="00BF4D81" w:rsidRDefault="00CE6AE2" w:rsidP="00CE6AE2">
            <w:pPr>
              <w:spacing w:after="0" w:line="240" w:lineRule="auto"/>
              <w:jc w:val="center"/>
              <w:rPr>
                <w:rFonts w:ascii="Calibri" w:eastAsia="Times New Roman" w:hAnsi="Calibri" w:cs="Times New Roman"/>
                <w:color w:val="FFFFFF"/>
                <w:sz w:val="16"/>
                <w:szCs w:val="16"/>
                <w:lang w:eastAsia="en-GB"/>
              </w:rPr>
            </w:pPr>
            <w:r w:rsidRPr="00BF4D81">
              <w:rPr>
                <w:rFonts w:ascii="Calibri" w:eastAsia="Times New Roman" w:hAnsi="Calibri" w:cs="Times New Roman"/>
                <w:color w:val="FFFFFF"/>
                <w:sz w:val="16"/>
                <w:szCs w:val="16"/>
                <w:lang w:eastAsia="en-GB"/>
              </w:rPr>
              <w:t>-</w:t>
            </w:r>
          </w:p>
        </w:tc>
        <w:tc>
          <w:tcPr>
            <w:tcW w:w="257" w:type="pct"/>
            <w:tcBorders>
              <w:top w:val="nil"/>
              <w:left w:val="nil"/>
              <w:bottom w:val="single" w:sz="4" w:space="0" w:color="auto"/>
              <w:right w:val="single" w:sz="4" w:space="0" w:color="auto"/>
            </w:tcBorders>
            <w:shd w:val="clear" w:color="000000" w:fill="E26B0A"/>
            <w:noWrap/>
            <w:vAlign w:val="center"/>
            <w:hideMark/>
          </w:tcPr>
          <w:p w:rsidR="00CE6AE2" w:rsidRPr="00BF4D81" w:rsidRDefault="00CE6AE2" w:rsidP="00CE6AE2">
            <w:pPr>
              <w:spacing w:after="0" w:line="240" w:lineRule="auto"/>
              <w:jc w:val="center"/>
              <w:rPr>
                <w:rFonts w:ascii="Calibri" w:eastAsia="Times New Roman" w:hAnsi="Calibri" w:cs="Times New Roman"/>
                <w:color w:val="FFFFFF"/>
                <w:sz w:val="16"/>
                <w:szCs w:val="16"/>
                <w:lang w:eastAsia="en-GB"/>
              </w:rPr>
            </w:pPr>
            <w:r w:rsidRPr="00BF4D81">
              <w:rPr>
                <w:rFonts w:ascii="Calibri" w:eastAsia="Times New Roman" w:hAnsi="Calibri" w:cs="Times New Roman"/>
                <w:color w:val="FFFFFF"/>
                <w:sz w:val="16"/>
                <w:szCs w:val="16"/>
                <w:lang w:eastAsia="en-GB"/>
              </w:rPr>
              <w:t>16.4%</w:t>
            </w:r>
            <w:r w:rsidR="002116AC">
              <w:rPr>
                <w:rFonts w:ascii="Calibri" w:eastAsia="Times New Roman" w:hAnsi="Calibri" w:cs="Times New Roman"/>
                <w:color w:val="FFFFFF"/>
                <w:sz w:val="16"/>
                <w:szCs w:val="16"/>
                <w:lang w:eastAsia="en-GB"/>
              </w:rPr>
              <w:t xml:space="preserve"> (4)</w:t>
            </w:r>
          </w:p>
        </w:tc>
        <w:tc>
          <w:tcPr>
            <w:tcW w:w="257" w:type="pct"/>
            <w:tcBorders>
              <w:top w:val="nil"/>
              <w:left w:val="nil"/>
              <w:bottom w:val="single" w:sz="4" w:space="0" w:color="auto"/>
              <w:right w:val="single" w:sz="4" w:space="0" w:color="auto"/>
            </w:tcBorders>
            <w:shd w:val="clear" w:color="000000" w:fill="FDE9D9"/>
            <w:noWrap/>
            <w:vAlign w:val="center"/>
            <w:hideMark/>
          </w:tcPr>
          <w:p w:rsidR="00CE6AE2" w:rsidRPr="00BF4D81" w:rsidRDefault="00CE6AE2" w:rsidP="00CE6AE2">
            <w:pPr>
              <w:spacing w:after="0" w:line="240" w:lineRule="auto"/>
              <w:jc w:val="center"/>
              <w:rPr>
                <w:rFonts w:ascii="Calibri" w:eastAsia="Times New Roman" w:hAnsi="Calibri" w:cs="Times New Roman"/>
                <w:sz w:val="16"/>
                <w:szCs w:val="16"/>
                <w:lang w:eastAsia="en-GB"/>
              </w:rPr>
            </w:pPr>
            <w:r w:rsidRPr="00BF4D81">
              <w:rPr>
                <w:rFonts w:ascii="Calibri" w:eastAsia="Times New Roman" w:hAnsi="Calibri" w:cs="Times New Roman"/>
                <w:sz w:val="16"/>
                <w:szCs w:val="16"/>
                <w:lang w:eastAsia="en-GB"/>
              </w:rPr>
              <w:t>-</w:t>
            </w:r>
          </w:p>
        </w:tc>
        <w:tc>
          <w:tcPr>
            <w:tcW w:w="298" w:type="pct"/>
            <w:tcBorders>
              <w:top w:val="nil"/>
              <w:left w:val="nil"/>
              <w:bottom w:val="single" w:sz="4" w:space="0" w:color="auto"/>
              <w:right w:val="single" w:sz="4" w:space="0" w:color="auto"/>
            </w:tcBorders>
            <w:shd w:val="clear" w:color="000000" w:fill="FDE9D9"/>
            <w:noWrap/>
            <w:vAlign w:val="center"/>
            <w:hideMark/>
          </w:tcPr>
          <w:p w:rsidR="00CE6AE2" w:rsidRPr="00BF4D81" w:rsidRDefault="00CE6AE2" w:rsidP="00CE6AE2">
            <w:pPr>
              <w:spacing w:after="0" w:line="240" w:lineRule="auto"/>
              <w:jc w:val="center"/>
              <w:rPr>
                <w:rFonts w:ascii="Calibri" w:eastAsia="Times New Roman" w:hAnsi="Calibri" w:cs="Times New Roman"/>
                <w:color w:val="000000"/>
                <w:sz w:val="16"/>
                <w:szCs w:val="16"/>
                <w:lang w:eastAsia="en-GB"/>
              </w:rPr>
            </w:pPr>
            <w:r w:rsidRPr="00BF4D81">
              <w:rPr>
                <w:rFonts w:ascii="Calibri" w:eastAsia="Times New Roman" w:hAnsi="Calibri" w:cs="Times New Roman"/>
                <w:color w:val="000000"/>
                <w:sz w:val="16"/>
                <w:szCs w:val="16"/>
                <w:lang w:eastAsia="en-GB"/>
              </w:rPr>
              <w:t>9.6%</w:t>
            </w:r>
            <w:r w:rsidR="002116AC">
              <w:rPr>
                <w:rFonts w:ascii="Calibri" w:eastAsia="Times New Roman" w:hAnsi="Calibri" w:cs="Times New Roman"/>
                <w:color w:val="000000"/>
                <w:sz w:val="16"/>
                <w:szCs w:val="16"/>
                <w:lang w:eastAsia="en-GB"/>
              </w:rPr>
              <w:t xml:space="preserve"> (1)</w:t>
            </w:r>
          </w:p>
        </w:tc>
        <w:tc>
          <w:tcPr>
            <w:tcW w:w="238" w:type="pct"/>
            <w:tcBorders>
              <w:top w:val="nil"/>
              <w:left w:val="nil"/>
              <w:bottom w:val="single" w:sz="4" w:space="0" w:color="auto"/>
              <w:right w:val="single" w:sz="4" w:space="0" w:color="auto"/>
            </w:tcBorders>
            <w:shd w:val="clear" w:color="000000" w:fill="FDE9D9"/>
            <w:noWrap/>
            <w:vAlign w:val="center"/>
            <w:hideMark/>
          </w:tcPr>
          <w:p w:rsidR="00CE6AE2" w:rsidRPr="00BF4D81" w:rsidRDefault="00CE6AE2" w:rsidP="00CE6AE2">
            <w:pPr>
              <w:spacing w:after="0" w:line="240" w:lineRule="auto"/>
              <w:jc w:val="center"/>
              <w:rPr>
                <w:rFonts w:ascii="Calibri" w:eastAsia="Times New Roman" w:hAnsi="Calibri" w:cs="Times New Roman"/>
                <w:color w:val="000000"/>
                <w:sz w:val="16"/>
                <w:szCs w:val="16"/>
                <w:lang w:eastAsia="en-GB"/>
              </w:rPr>
            </w:pPr>
            <w:r w:rsidRPr="00BF4D81">
              <w:rPr>
                <w:rFonts w:ascii="Calibri" w:eastAsia="Times New Roman" w:hAnsi="Calibri" w:cs="Times New Roman"/>
                <w:color w:val="000000"/>
                <w:sz w:val="16"/>
                <w:szCs w:val="16"/>
                <w:lang w:eastAsia="en-GB"/>
              </w:rPr>
              <w:t>-</w:t>
            </w:r>
          </w:p>
        </w:tc>
        <w:tc>
          <w:tcPr>
            <w:tcW w:w="276" w:type="pct"/>
            <w:tcBorders>
              <w:top w:val="nil"/>
              <w:left w:val="nil"/>
              <w:bottom w:val="single" w:sz="4" w:space="0" w:color="auto"/>
              <w:right w:val="single" w:sz="4" w:space="0" w:color="auto"/>
            </w:tcBorders>
            <w:shd w:val="clear" w:color="000000" w:fill="FDE9D9"/>
            <w:noWrap/>
            <w:vAlign w:val="center"/>
            <w:hideMark/>
          </w:tcPr>
          <w:p w:rsidR="00CE6AE2" w:rsidRPr="00BF4D81" w:rsidRDefault="00CE6AE2" w:rsidP="00CE6AE2">
            <w:pPr>
              <w:spacing w:after="0" w:line="240" w:lineRule="auto"/>
              <w:jc w:val="center"/>
              <w:rPr>
                <w:rFonts w:ascii="Calibri" w:eastAsia="Times New Roman" w:hAnsi="Calibri" w:cs="Times New Roman"/>
                <w:color w:val="000000"/>
                <w:sz w:val="16"/>
                <w:szCs w:val="16"/>
                <w:lang w:eastAsia="en-GB"/>
              </w:rPr>
            </w:pPr>
            <w:r w:rsidRPr="00BF4D81">
              <w:rPr>
                <w:rFonts w:ascii="Calibri" w:eastAsia="Times New Roman" w:hAnsi="Calibri" w:cs="Times New Roman"/>
                <w:color w:val="000000"/>
                <w:sz w:val="16"/>
                <w:szCs w:val="16"/>
                <w:lang w:eastAsia="en-GB"/>
              </w:rPr>
              <w:t>8.4%</w:t>
            </w:r>
            <w:r w:rsidR="002116AC">
              <w:rPr>
                <w:rFonts w:ascii="Calibri" w:eastAsia="Times New Roman" w:hAnsi="Calibri" w:cs="Times New Roman"/>
                <w:color w:val="000000"/>
                <w:sz w:val="16"/>
                <w:szCs w:val="16"/>
                <w:lang w:eastAsia="en-GB"/>
              </w:rPr>
              <w:t xml:space="preserve"> (1)</w:t>
            </w:r>
          </w:p>
        </w:tc>
        <w:tc>
          <w:tcPr>
            <w:tcW w:w="298" w:type="pct"/>
            <w:tcBorders>
              <w:top w:val="nil"/>
              <w:left w:val="nil"/>
              <w:bottom w:val="single" w:sz="4" w:space="0" w:color="auto"/>
              <w:right w:val="single" w:sz="4" w:space="0" w:color="auto"/>
            </w:tcBorders>
            <w:shd w:val="clear" w:color="auto" w:fill="auto"/>
            <w:noWrap/>
            <w:vAlign w:val="center"/>
            <w:hideMark/>
          </w:tcPr>
          <w:p w:rsidR="00CE6AE2" w:rsidRPr="00BF4D81" w:rsidRDefault="00CE6AE2" w:rsidP="00CE6AE2">
            <w:pPr>
              <w:spacing w:after="0" w:line="240" w:lineRule="auto"/>
              <w:jc w:val="center"/>
              <w:rPr>
                <w:rFonts w:ascii="Calibri" w:eastAsia="Times New Roman" w:hAnsi="Calibri" w:cs="Times New Roman"/>
                <w:color w:val="000000"/>
                <w:sz w:val="16"/>
                <w:szCs w:val="16"/>
                <w:lang w:eastAsia="en-GB"/>
              </w:rPr>
            </w:pPr>
            <w:r w:rsidRPr="00BF4D81">
              <w:rPr>
                <w:rFonts w:ascii="Calibri" w:eastAsia="Times New Roman" w:hAnsi="Calibri" w:cs="Times New Roman"/>
                <w:color w:val="000000"/>
                <w:sz w:val="16"/>
                <w:szCs w:val="16"/>
                <w:lang w:eastAsia="en-GB"/>
              </w:rPr>
              <w:t>-</w:t>
            </w:r>
          </w:p>
        </w:tc>
        <w:tc>
          <w:tcPr>
            <w:tcW w:w="256" w:type="pct"/>
            <w:tcBorders>
              <w:top w:val="nil"/>
              <w:left w:val="nil"/>
              <w:bottom w:val="single" w:sz="4" w:space="0" w:color="auto"/>
              <w:right w:val="single" w:sz="4" w:space="0" w:color="auto"/>
            </w:tcBorders>
            <w:shd w:val="clear" w:color="auto" w:fill="auto"/>
            <w:noWrap/>
            <w:vAlign w:val="center"/>
            <w:hideMark/>
          </w:tcPr>
          <w:p w:rsidR="00CE6AE2" w:rsidRPr="00BF4D81" w:rsidRDefault="00CE6AE2" w:rsidP="00CE6AE2">
            <w:pPr>
              <w:spacing w:after="0" w:line="240" w:lineRule="auto"/>
              <w:jc w:val="center"/>
              <w:rPr>
                <w:rFonts w:ascii="Calibri" w:eastAsia="Times New Roman" w:hAnsi="Calibri" w:cs="Times New Roman"/>
                <w:color w:val="000000"/>
                <w:sz w:val="16"/>
                <w:szCs w:val="16"/>
                <w:lang w:eastAsia="en-GB"/>
              </w:rPr>
            </w:pPr>
            <w:r w:rsidRPr="00BF4D81">
              <w:rPr>
                <w:rFonts w:ascii="Calibri" w:eastAsia="Times New Roman" w:hAnsi="Calibri" w:cs="Times New Roman"/>
                <w:color w:val="000000"/>
                <w:sz w:val="16"/>
                <w:szCs w:val="16"/>
                <w:lang w:eastAsia="en-GB"/>
              </w:rPr>
              <w:t>17.8%</w:t>
            </w:r>
          </w:p>
        </w:tc>
      </w:tr>
      <w:tr w:rsidR="00C37A76" w:rsidRPr="00BF4D81" w:rsidTr="0085747D">
        <w:trPr>
          <w:trHeight w:val="300"/>
        </w:trPr>
        <w:tc>
          <w:tcPr>
            <w:tcW w:w="598" w:type="pct"/>
            <w:tcBorders>
              <w:top w:val="nil"/>
              <w:left w:val="single" w:sz="4" w:space="0" w:color="auto"/>
              <w:bottom w:val="single" w:sz="4" w:space="0" w:color="auto"/>
              <w:right w:val="single" w:sz="4" w:space="0" w:color="auto"/>
            </w:tcBorders>
            <w:shd w:val="clear" w:color="auto" w:fill="auto"/>
            <w:noWrap/>
            <w:vAlign w:val="center"/>
            <w:hideMark/>
          </w:tcPr>
          <w:p w:rsidR="00BF4D81" w:rsidRPr="00BF4D81" w:rsidRDefault="00BF4D81" w:rsidP="00BF4D81">
            <w:pPr>
              <w:spacing w:after="0" w:line="240" w:lineRule="auto"/>
              <w:jc w:val="center"/>
              <w:rPr>
                <w:rFonts w:ascii="Calibri" w:eastAsia="Times New Roman" w:hAnsi="Calibri" w:cs="Times New Roman"/>
                <w:color w:val="000000"/>
                <w:sz w:val="16"/>
                <w:szCs w:val="16"/>
                <w:lang w:eastAsia="en-GB"/>
              </w:rPr>
            </w:pPr>
            <w:r w:rsidRPr="00BF4D81">
              <w:rPr>
                <w:rFonts w:ascii="Calibri" w:eastAsia="Times New Roman" w:hAnsi="Calibri" w:cs="Times New Roman"/>
                <w:color w:val="000000"/>
                <w:sz w:val="16"/>
                <w:szCs w:val="16"/>
                <w:lang w:eastAsia="en-GB"/>
              </w:rPr>
              <w:t>Fuel poverty (no statistical significance calculated for this indicator)</w:t>
            </w:r>
          </w:p>
        </w:tc>
        <w:tc>
          <w:tcPr>
            <w:tcW w:w="214" w:type="pct"/>
            <w:tcBorders>
              <w:top w:val="nil"/>
              <w:left w:val="nil"/>
              <w:bottom w:val="single" w:sz="4" w:space="0" w:color="auto"/>
              <w:right w:val="single" w:sz="4" w:space="0" w:color="auto"/>
            </w:tcBorders>
            <w:shd w:val="clear" w:color="auto" w:fill="auto"/>
            <w:noWrap/>
            <w:vAlign w:val="center"/>
            <w:hideMark/>
          </w:tcPr>
          <w:p w:rsidR="00BF4D81" w:rsidRPr="00BF4D81" w:rsidRDefault="00BF4D81" w:rsidP="00BF4D81">
            <w:pPr>
              <w:spacing w:after="0" w:line="240" w:lineRule="auto"/>
              <w:jc w:val="center"/>
              <w:rPr>
                <w:rFonts w:ascii="Calibri" w:eastAsia="Times New Roman" w:hAnsi="Calibri" w:cs="Times New Roman"/>
                <w:color w:val="000000"/>
                <w:sz w:val="16"/>
                <w:szCs w:val="16"/>
                <w:lang w:eastAsia="en-GB"/>
              </w:rPr>
            </w:pPr>
            <w:r w:rsidRPr="00BF4D81">
              <w:rPr>
                <w:rFonts w:ascii="Calibri" w:eastAsia="Times New Roman" w:hAnsi="Calibri" w:cs="Times New Roman"/>
                <w:color w:val="000000"/>
                <w:sz w:val="16"/>
                <w:szCs w:val="16"/>
                <w:lang w:eastAsia="en-GB"/>
              </w:rPr>
              <w:t>2016</w:t>
            </w:r>
          </w:p>
        </w:tc>
        <w:tc>
          <w:tcPr>
            <w:tcW w:w="256" w:type="pct"/>
            <w:tcBorders>
              <w:top w:val="nil"/>
              <w:left w:val="nil"/>
              <w:bottom w:val="single" w:sz="4" w:space="0" w:color="auto"/>
              <w:right w:val="single" w:sz="4" w:space="0" w:color="auto"/>
            </w:tcBorders>
            <w:shd w:val="clear" w:color="auto" w:fill="auto"/>
            <w:noWrap/>
            <w:vAlign w:val="center"/>
            <w:hideMark/>
          </w:tcPr>
          <w:p w:rsidR="00BF4D81" w:rsidRPr="00BF4D81" w:rsidRDefault="00BF4D81" w:rsidP="00BF4D81">
            <w:pPr>
              <w:spacing w:after="0" w:line="240" w:lineRule="auto"/>
              <w:jc w:val="center"/>
              <w:rPr>
                <w:rFonts w:ascii="Calibri" w:eastAsia="Times New Roman" w:hAnsi="Calibri" w:cs="Times New Roman"/>
                <w:color w:val="000000"/>
                <w:sz w:val="16"/>
                <w:szCs w:val="16"/>
                <w:lang w:eastAsia="en-GB"/>
              </w:rPr>
            </w:pPr>
            <w:r w:rsidRPr="00BF4D81">
              <w:rPr>
                <w:rFonts w:ascii="Calibri" w:eastAsia="Times New Roman" w:hAnsi="Calibri" w:cs="Times New Roman"/>
                <w:color w:val="000000"/>
                <w:sz w:val="16"/>
                <w:szCs w:val="16"/>
                <w:lang w:eastAsia="en-GB"/>
              </w:rPr>
              <w:t>24,412</w:t>
            </w:r>
          </w:p>
        </w:tc>
        <w:tc>
          <w:tcPr>
            <w:tcW w:w="257" w:type="pct"/>
            <w:tcBorders>
              <w:top w:val="nil"/>
              <w:left w:val="nil"/>
              <w:bottom w:val="single" w:sz="4" w:space="0" w:color="auto"/>
              <w:right w:val="single" w:sz="4" w:space="0" w:color="auto"/>
            </w:tcBorders>
            <w:shd w:val="clear" w:color="auto" w:fill="auto"/>
            <w:noWrap/>
            <w:vAlign w:val="center"/>
            <w:hideMark/>
          </w:tcPr>
          <w:p w:rsidR="00BF4D81" w:rsidRPr="00BF4D81" w:rsidRDefault="00BF4D81" w:rsidP="00BF4D81">
            <w:pPr>
              <w:spacing w:after="0" w:line="240" w:lineRule="auto"/>
              <w:jc w:val="center"/>
              <w:rPr>
                <w:rFonts w:ascii="Calibri" w:eastAsia="Times New Roman" w:hAnsi="Calibri" w:cs="Times New Roman"/>
                <w:color w:val="000000"/>
                <w:sz w:val="16"/>
                <w:szCs w:val="16"/>
                <w:lang w:eastAsia="en-GB"/>
              </w:rPr>
            </w:pPr>
            <w:r w:rsidRPr="00BF4D81">
              <w:rPr>
                <w:rFonts w:ascii="Calibri" w:eastAsia="Times New Roman" w:hAnsi="Calibri" w:cs="Times New Roman"/>
                <w:color w:val="000000"/>
                <w:sz w:val="16"/>
                <w:szCs w:val="16"/>
                <w:lang w:eastAsia="en-GB"/>
              </w:rPr>
              <w:t>9.3%</w:t>
            </w:r>
          </w:p>
        </w:tc>
        <w:tc>
          <w:tcPr>
            <w:tcW w:w="256" w:type="pct"/>
            <w:tcBorders>
              <w:top w:val="nil"/>
              <w:left w:val="nil"/>
              <w:bottom w:val="single" w:sz="4" w:space="0" w:color="auto"/>
              <w:right w:val="single" w:sz="4" w:space="0" w:color="auto"/>
            </w:tcBorders>
            <w:shd w:val="clear" w:color="auto" w:fill="auto"/>
            <w:noWrap/>
            <w:vAlign w:val="center"/>
            <w:hideMark/>
          </w:tcPr>
          <w:p w:rsidR="00BF4D81" w:rsidRPr="00BF4D81" w:rsidRDefault="00BF4D81" w:rsidP="00BF4D81">
            <w:pPr>
              <w:spacing w:after="0" w:line="240" w:lineRule="auto"/>
              <w:jc w:val="center"/>
              <w:rPr>
                <w:rFonts w:ascii="Calibri" w:eastAsia="Times New Roman" w:hAnsi="Calibri" w:cs="Times New Roman"/>
                <w:color w:val="000000"/>
                <w:sz w:val="16"/>
                <w:szCs w:val="16"/>
                <w:lang w:eastAsia="en-GB"/>
              </w:rPr>
            </w:pPr>
            <w:r w:rsidRPr="00BF4D81">
              <w:rPr>
                <w:rFonts w:ascii="Calibri" w:eastAsia="Times New Roman" w:hAnsi="Calibri" w:cs="Times New Roman"/>
                <w:color w:val="000000"/>
                <w:sz w:val="16"/>
                <w:szCs w:val="16"/>
                <w:lang w:eastAsia="en-GB"/>
              </w:rPr>
              <w:t>8,235</w:t>
            </w:r>
          </w:p>
        </w:tc>
        <w:tc>
          <w:tcPr>
            <w:tcW w:w="257" w:type="pct"/>
            <w:tcBorders>
              <w:top w:val="nil"/>
              <w:left w:val="nil"/>
              <w:bottom w:val="single" w:sz="4" w:space="0" w:color="auto"/>
              <w:right w:val="single" w:sz="4" w:space="0" w:color="auto"/>
            </w:tcBorders>
            <w:shd w:val="clear" w:color="auto" w:fill="auto"/>
            <w:noWrap/>
            <w:vAlign w:val="center"/>
            <w:hideMark/>
          </w:tcPr>
          <w:p w:rsidR="00BF4D81" w:rsidRPr="00BF4D81" w:rsidRDefault="00BF4D81" w:rsidP="00BF4D81">
            <w:pPr>
              <w:spacing w:after="0" w:line="240" w:lineRule="auto"/>
              <w:jc w:val="center"/>
              <w:rPr>
                <w:rFonts w:ascii="Calibri" w:eastAsia="Times New Roman" w:hAnsi="Calibri" w:cs="Times New Roman"/>
                <w:color w:val="000000"/>
                <w:sz w:val="16"/>
                <w:szCs w:val="16"/>
                <w:lang w:eastAsia="en-GB"/>
              </w:rPr>
            </w:pPr>
            <w:r w:rsidRPr="00BF4D81">
              <w:rPr>
                <w:rFonts w:ascii="Calibri" w:eastAsia="Times New Roman" w:hAnsi="Calibri" w:cs="Times New Roman"/>
                <w:color w:val="000000"/>
                <w:sz w:val="16"/>
                <w:szCs w:val="16"/>
                <w:lang w:eastAsia="en-GB"/>
              </w:rPr>
              <w:t>10.6%</w:t>
            </w:r>
          </w:p>
        </w:tc>
        <w:tc>
          <w:tcPr>
            <w:tcW w:w="256" w:type="pct"/>
            <w:tcBorders>
              <w:top w:val="nil"/>
              <w:left w:val="nil"/>
              <w:bottom w:val="single" w:sz="4" w:space="0" w:color="auto"/>
              <w:right w:val="single" w:sz="4" w:space="0" w:color="auto"/>
            </w:tcBorders>
            <w:shd w:val="clear" w:color="auto" w:fill="auto"/>
            <w:noWrap/>
            <w:vAlign w:val="center"/>
            <w:hideMark/>
          </w:tcPr>
          <w:p w:rsidR="00BF4D81" w:rsidRPr="00BF4D81" w:rsidRDefault="00BF4D81" w:rsidP="00BF4D81">
            <w:pPr>
              <w:spacing w:after="0" w:line="240" w:lineRule="auto"/>
              <w:jc w:val="center"/>
              <w:rPr>
                <w:rFonts w:ascii="Calibri" w:eastAsia="Times New Roman" w:hAnsi="Calibri" w:cs="Times New Roman"/>
                <w:color w:val="000000"/>
                <w:sz w:val="16"/>
                <w:szCs w:val="16"/>
                <w:lang w:eastAsia="en-GB"/>
              </w:rPr>
            </w:pPr>
            <w:r w:rsidRPr="00BF4D81">
              <w:rPr>
                <w:rFonts w:ascii="Calibri" w:eastAsia="Times New Roman" w:hAnsi="Calibri" w:cs="Times New Roman"/>
                <w:color w:val="000000"/>
                <w:sz w:val="16"/>
                <w:szCs w:val="16"/>
                <w:lang w:eastAsia="en-GB"/>
              </w:rPr>
              <w:t>5,632</w:t>
            </w:r>
          </w:p>
        </w:tc>
        <w:tc>
          <w:tcPr>
            <w:tcW w:w="257" w:type="pct"/>
            <w:tcBorders>
              <w:top w:val="nil"/>
              <w:left w:val="nil"/>
              <w:bottom w:val="single" w:sz="4" w:space="0" w:color="auto"/>
              <w:right w:val="single" w:sz="4" w:space="0" w:color="auto"/>
            </w:tcBorders>
            <w:shd w:val="clear" w:color="auto" w:fill="auto"/>
            <w:noWrap/>
            <w:vAlign w:val="center"/>
            <w:hideMark/>
          </w:tcPr>
          <w:p w:rsidR="00BF4D81" w:rsidRPr="00BF4D81" w:rsidRDefault="00BF4D81" w:rsidP="00BF4D81">
            <w:pPr>
              <w:spacing w:after="0" w:line="240" w:lineRule="auto"/>
              <w:jc w:val="center"/>
              <w:rPr>
                <w:rFonts w:ascii="Calibri" w:eastAsia="Times New Roman" w:hAnsi="Calibri" w:cs="Times New Roman"/>
                <w:color w:val="000000"/>
                <w:sz w:val="16"/>
                <w:szCs w:val="16"/>
                <w:lang w:eastAsia="en-GB"/>
              </w:rPr>
            </w:pPr>
            <w:r w:rsidRPr="00BF4D81">
              <w:rPr>
                <w:rFonts w:ascii="Calibri" w:eastAsia="Times New Roman" w:hAnsi="Calibri" w:cs="Times New Roman"/>
                <w:color w:val="000000"/>
                <w:sz w:val="16"/>
                <w:szCs w:val="16"/>
                <w:lang w:eastAsia="en-GB"/>
              </w:rPr>
              <w:t>11.5%</w:t>
            </w:r>
          </w:p>
        </w:tc>
        <w:tc>
          <w:tcPr>
            <w:tcW w:w="256" w:type="pct"/>
            <w:tcBorders>
              <w:top w:val="nil"/>
              <w:left w:val="nil"/>
              <w:bottom w:val="single" w:sz="4" w:space="0" w:color="auto"/>
              <w:right w:val="single" w:sz="4" w:space="0" w:color="auto"/>
            </w:tcBorders>
            <w:shd w:val="clear" w:color="auto" w:fill="auto"/>
            <w:noWrap/>
            <w:vAlign w:val="center"/>
            <w:hideMark/>
          </w:tcPr>
          <w:p w:rsidR="00BF4D81" w:rsidRPr="00BF4D81" w:rsidRDefault="00BF4D81" w:rsidP="00BF4D81">
            <w:pPr>
              <w:spacing w:after="0" w:line="240" w:lineRule="auto"/>
              <w:jc w:val="center"/>
              <w:rPr>
                <w:rFonts w:ascii="Calibri" w:eastAsia="Times New Roman" w:hAnsi="Calibri" w:cs="Times New Roman"/>
                <w:color w:val="000000"/>
                <w:sz w:val="16"/>
                <w:szCs w:val="16"/>
                <w:lang w:eastAsia="en-GB"/>
              </w:rPr>
            </w:pPr>
            <w:r w:rsidRPr="00BF4D81">
              <w:rPr>
                <w:rFonts w:ascii="Calibri" w:eastAsia="Times New Roman" w:hAnsi="Calibri" w:cs="Times New Roman"/>
                <w:color w:val="000000"/>
                <w:sz w:val="16"/>
                <w:szCs w:val="16"/>
                <w:lang w:eastAsia="en-GB"/>
              </w:rPr>
              <w:t>3,097</w:t>
            </w:r>
          </w:p>
        </w:tc>
        <w:tc>
          <w:tcPr>
            <w:tcW w:w="257" w:type="pct"/>
            <w:tcBorders>
              <w:top w:val="nil"/>
              <w:left w:val="nil"/>
              <w:bottom w:val="single" w:sz="4" w:space="0" w:color="auto"/>
              <w:right w:val="single" w:sz="4" w:space="0" w:color="auto"/>
            </w:tcBorders>
            <w:shd w:val="clear" w:color="auto" w:fill="auto"/>
            <w:noWrap/>
            <w:vAlign w:val="center"/>
            <w:hideMark/>
          </w:tcPr>
          <w:p w:rsidR="00BF4D81" w:rsidRPr="00BF4D81" w:rsidRDefault="00BF4D81" w:rsidP="00BF4D81">
            <w:pPr>
              <w:spacing w:after="0" w:line="240" w:lineRule="auto"/>
              <w:jc w:val="center"/>
              <w:rPr>
                <w:rFonts w:ascii="Calibri" w:eastAsia="Times New Roman" w:hAnsi="Calibri" w:cs="Times New Roman"/>
                <w:color w:val="000000"/>
                <w:sz w:val="16"/>
                <w:szCs w:val="16"/>
                <w:lang w:eastAsia="en-GB"/>
              </w:rPr>
            </w:pPr>
            <w:r w:rsidRPr="00BF4D81">
              <w:rPr>
                <w:rFonts w:ascii="Calibri" w:eastAsia="Times New Roman" w:hAnsi="Calibri" w:cs="Times New Roman"/>
                <w:color w:val="000000"/>
                <w:sz w:val="16"/>
                <w:szCs w:val="16"/>
                <w:lang w:eastAsia="en-GB"/>
              </w:rPr>
              <w:t>8.5%</w:t>
            </w:r>
          </w:p>
        </w:tc>
        <w:tc>
          <w:tcPr>
            <w:tcW w:w="256" w:type="pct"/>
            <w:tcBorders>
              <w:top w:val="nil"/>
              <w:left w:val="nil"/>
              <w:bottom w:val="single" w:sz="4" w:space="0" w:color="auto"/>
              <w:right w:val="single" w:sz="4" w:space="0" w:color="auto"/>
            </w:tcBorders>
            <w:shd w:val="clear" w:color="auto" w:fill="auto"/>
            <w:noWrap/>
            <w:vAlign w:val="center"/>
            <w:hideMark/>
          </w:tcPr>
          <w:p w:rsidR="00BF4D81" w:rsidRPr="00BF4D81" w:rsidRDefault="00BF4D81" w:rsidP="00BF4D81">
            <w:pPr>
              <w:spacing w:after="0" w:line="240" w:lineRule="auto"/>
              <w:jc w:val="center"/>
              <w:rPr>
                <w:rFonts w:ascii="Calibri" w:eastAsia="Times New Roman" w:hAnsi="Calibri" w:cs="Times New Roman"/>
                <w:color w:val="000000"/>
                <w:sz w:val="16"/>
                <w:szCs w:val="16"/>
                <w:lang w:eastAsia="en-GB"/>
              </w:rPr>
            </w:pPr>
            <w:r w:rsidRPr="00BF4D81">
              <w:rPr>
                <w:rFonts w:ascii="Calibri" w:eastAsia="Times New Roman" w:hAnsi="Calibri" w:cs="Times New Roman"/>
                <w:color w:val="000000"/>
                <w:sz w:val="16"/>
                <w:szCs w:val="16"/>
                <w:lang w:eastAsia="en-GB"/>
              </w:rPr>
              <w:t>4,585</w:t>
            </w:r>
          </w:p>
        </w:tc>
        <w:tc>
          <w:tcPr>
            <w:tcW w:w="257" w:type="pct"/>
            <w:tcBorders>
              <w:top w:val="nil"/>
              <w:left w:val="nil"/>
              <w:bottom w:val="single" w:sz="4" w:space="0" w:color="auto"/>
              <w:right w:val="single" w:sz="4" w:space="0" w:color="auto"/>
            </w:tcBorders>
            <w:shd w:val="clear" w:color="auto" w:fill="auto"/>
            <w:noWrap/>
            <w:vAlign w:val="center"/>
            <w:hideMark/>
          </w:tcPr>
          <w:p w:rsidR="00BF4D81" w:rsidRPr="00BF4D81" w:rsidRDefault="00BF4D81" w:rsidP="00BF4D81">
            <w:pPr>
              <w:spacing w:after="0" w:line="240" w:lineRule="auto"/>
              <w:jc w:val="center"/>
              <w:rPr>
                <w:rFonts w:ascii="Calibri" w:eastAsia="Times New Roman" w:hAnsi="Calibri" w:cs="Times New Roman"/>
                <w:color w:val="000000"/>
                <w:sz w:val="16"/>
                <w:szCs w:val="16"/>
                <w:lang w:eastAsia="en-GB"/>
              </w:rPr>
            </w:pPr>
            <w:r w:rsidRPr="00BF4D81">
              <w:rPr>
                <w:rFonts w:ascii="Calibri" w:eastAsia="Times New Roman" w:hAnsi="Calibri" w:cs="Times New Roman"/>
                <w:color w:val="000000"/>
                <w:sz w:val="16"/>
                <w:szCs w:val="16"/>
                <w:lang w:eastAsia="en-GB"/>
              </w:rPr>
              <w:t>10.8%</w:t>
            </w:r>
          </w:p>
        </w:tc>
        <w:tc>
          <w:tcPr>
            <w:tcW w:w="257" w:type="pct"/>
            <w:tcBorders>
              <w:top w:val="nil"/>
              <w:left w:val="nil"/>
              <w:bottom w:val="single" w:sz="4" w:space="0" w:color="auto"/>
              <w:right w:val="single" w:sz="4" w:space="0" w:color="auto"/>
            </w:tcBorders>
            <w:shd w:val="clear" w:color="auto" w:fill="auto"/>
            <w:noWrap/>
            <w:vAlign w:val="center"/>
            <w:hideMark/>
          </w:tcPr>
          <w:p w:rsidR="00BF4D81" w:rsidRPr="00BF4D81" w:rsidRDefault="00BF4D81" w:rsidP="00BF4D81">
            <w:pPr>
              <w:spacing w:after="0" w:line="240" w:lineRule="auto"/>
              <w:jc w:val="center"/>
              <w:rPr>
                <w:rFonts w:ascii="Calibri" w:eastAsia="Times New Roman" w:hAnsi="Calibri" w:cs="Times New Roman"/>
                <w:color w:val="000000"/>
                <w:sz w:val="16"/>
                <w:szCs w:val="16"/>
                <w:lang w:eastAsia="en-GB"/>
              </w:rPr>
            </w:pPr>
            <w:r w:rsidRPr="00BF4D81">
              <w:rPr>
                <w:rFonts w:ascii="Calibri" w:eastAsia="Times New Roman" w:hAnsi="Calibri" w:cs="Times New Roman"/>
                <w:color w:val="000000"/>
                <w:sz w:val="16"/>
                <w:szCs w:val="16"/>
                <w:lang w:eastAsia="en-GB"/>
              </w:rPr>
              <w:t>6,067</w:t>
            </w:r>
          </w:p>
        </w:tc>
        <w:tc>
          <w:tcPr>
            <w:tcW w:w="298" w:type="pct"/>
            <w:tcBorders>
              <w:top w:val="nil"/>
              <w:left w:val="nil"/>
              <w:bottom w:val="single" w:sz="4" w:space="0" w:color="auto"/>
              <w:right w:val="single" w:sz="4" w:space="0" w:color="auto"/>
            </w:tcBorders>
            <w:shd w:val="clear" w:color="auto" w:fill="auto"/>
            <w:noWrap/>
            <w:vAlign w:val="center"/>
            <w:hideMark/>
          </w:tcPr>
          <w:p w:rsidR="00BF4D81" w:rsidRPr="00BF4D81" w:rsidRDefault="00BF4D81" w:rsidP="00BF4D81">
            <w:pPr>
              <w:spacing w:after="0" w:line="240" w:lineRule="auto"/>
              <w:jc w:val="center"/>
              <w:rPr>
                <w:rFonts w:ascii="Calibri" w:eastAsia="Times New Roman" w:hAnsi="Calibri" w:cs="Times New Roman"/>
                <w:color w:val="000000"/>
                <w:sz w:val="16"/>
                <w:szCs w:val="16"/>
                <w:lang w:eastAsia="en-GB"/>
              </w:rPr>
            </w:pPr>
            <w:r w:rsidRPr="00BF4D81">
              <w:rPr>
                <w:rFonts w:ascii="Calibri" w:eastAsia="Times New Roman" w:hAnsi="Calibri" w:cs="Times New Roman"/>
                <w:color w:val="000000"/>
                <w:sz w:val="16"/>
                <w:szCs w:val="16"/>
                <w:lang w:eastAsia="en-GB"/>
              </w:rPr>
              <w:t>8.3%</w:t>
            </w:r>
          </w:p>
        </w:tc>
        <w:tc>
          <w:tcPr>
            <w:tcW w:w="238" w:type="pct"/>
            <w:tcBorders>
              <w:top w:val="nil"/>
              <w:left w:val="nil"/>
              <w:bottom w:val="single" w:sz="4" w:space="0" w:color="auto"/>
              <w:right w:val="single" w:sz="4" w:space="0" w:color="auto"/>
            </w:tcBorders>
            <w:shd w:val="clear" w:color="auto" w:fill="auto"/>
            <w:noWrap/>
            <w:vAlign w:val="center"/>
            <w:hideMark/>
          </w:tcPr>
          <w:p w:rsidR="00BF4D81" w:rsidRPr="00BF4D81" w:rsidRDefault="00BF4D81" w:rsidP="00BF4D81">
            <w:pPr>
              <w:spacing w:after="0" w:line="240" w:lineRule="auto"/>
              <w:jc w:val="center"/>
              <w:rPr>
                <w:rFonts w:ascii="Calibri" w:eastAsia="Times New Roman" w:hAnsi="Calibri" w:cs="Times New Roman"/>
                <w:color w:val="000000"/>
                <w:sz w:val="16"/>
                <w:szCs w:val="16"/>
                <w:lang w:eastAsia="en-GB"/>
              </w:rPr>
            </w:pPr>
            <w:r w:rsidRPr="00BF4D81">
              <w:rPr>
                <w:rFonts w:ascii="Calibri" w:eastAsia="Times New Roman" w:hAnsi="Calibri" w:cs="Times New Roman"/>
                <w:color w:val="000000"/>
                <w:sz w:val="16"/>
                <w:szCs w:val="16"/>
                <w:lang w:eastAsia="en-GB"/>
              </w:rPr>
              <w:t>5,031</w:t>
            </w:r>
          </w:p>
        </w:tc>
        <w:tc>
          <w:tcPr>
            <w:tcW w:w="276" w:type="pct"/>
            <w:tcBorders>
              <w:top w:val="nil"/>
              <w:left w:val="nil"/>
              <w:bottom w:val="single" w:sz="4" w:space="0" w:color="auto"/>
              <w:right w:val="single" w:sz="4" w:space="0" w:color="auto"/>
            </w:tcBorders>
            <w:shd w:val="clear" w:color="auto" w:fill="auto"/>
            <w:noWrap/>
            <w:vAlign w:val="center"/>
            <w:hideMark/>
          </w:tcPr>
          <w:p w:rsidR="00BF4D81" w:rsidRPr="00BF4D81" w:rsidRDefault="00BF4D81" w:rsidP="00BF4D81">
            <w:pPr>
              <w:spacing w:after="0" w:line="240" w:lineRule="auto"/>
              <w:jc w:val="center"/>
              <w:rPr>
                <w:rFonts w:ascii="Calibri" w:eastAsia="Times New Roman" w:hAnsi="Calibri" w:cs="Times New Roman"/>
                <w:color w:val="000000"/>
                <w:sz w:val="16"/>
                <w:szCs w:val="16"/>
                <w:lang w:eastAsia="en-GB"/>
              </w:rPr>
            </w:pPr>
            <w:r w:rsidRPr="00BF4D81">
              <w:rPr>
                <w:rFonts w:ascii="Calibri" w:eastAsia="Times New Roman" w:hAnsi="Calibri" w:cs="Times New Roman"/>
                <w:color w:val="000000"/>
                <w:sz w:val="16"/>
                <w:szCs w:val="16"/>
                <w:lang w:eastAsia="en-GB"/>
              </w:rPr>
              <w:t>8.0%</w:t>
            </w:r>
          </w:p>
        </w:tc>
        <w:tc>
          <w:tcPr>
            <w:tcW w:w="298" w:type="pct"/>
            <w:tcBorders>
              <w:top w:val="nil"/>
              <w:left w:val="nil"/>
              <w:bottom w:val="single" w:sz="4" w:space="0" w:color="auto"/>
              <w:right w:val="single" w:sz="4" w:space="0" w:color="auto"/>
            </w:tcBorders>
            <w:shd w:val="clear" w:color="auto" w:fill="auto"/>
            <w:noWrap/>
            <w:vAlign w:val="center"/>
            <w:hideMark/>
          </w:tcPr>
          <w:p w:rsidR="00BF4D81" w:rsidRPr="00BF4D81" w:rsidRDefault="00BF4D81" w:rsidP="00BF4D81">
            <w:pPr>
              <w:spacing w:after="0" w:line="240" w:lineRule="auto"/>
              <w:jc w:val="center"/>
              <w:rPr>
                <w:rFonts w:ascii="Calibri" w:eastAsia="Times New Roman" w:hAnsi="Calibri" w:cs="Times New Roman"/>
                <w:color w:val="000000"/>
                <w:sz w:val="16"/>
                <w:szCs w:val="16"/>
                <w:lang w:eastAsia="en-GB"/>
              </w:rPr>
            </w:pPr>
            <w:r w:rsidRPr="00BF4D81">
              <w:rPr>
                <w:rFonts w:ascii="Calibri" w:eastAsia="Times New Roman" w:hAnsi="Calibri" w:cs="Times New Roman"/>
                <w:color w:val="000000"/>
                <w:sz w:val="16"/>
                <w:szCs w:val="16"/>
                <w:lang w:eastAsia="en-GB"/>
              </w:rPr>
              <w:t>2,550,565</w:t>
            </w:r>
          </w:p>
        </w:tc>
        <w:tc>
          <w:tcPr>
            <w:tcW w:w="256" w:type="pct"/>
            <w:tcBorders>
              <w:top w:val="nil"/>
              <w:left w:val="nil"/>
              <w:bottom w:val="single" w:sz="4" w:space="0" w:color="auto"/>
              <w:right w:val="single" w:sz="4" w:space="0" w:color="auto"/>
            </w:tcBorders>
            <w:shd w:val="clear" w:color="auto" w:fill="auto"/>
            <w:noWrap/>
            <w:vAlign w:val="center"/>
            <w:hideMark/>
          </w:tcPr>
          <w:p w:rsidR="00BF4D81" w:rsidRPr="00BF4D81" w:rsidRDefault="00BF4D81" w:rsidP="00BF4D81">
            <w:pPr>
              <w:spacing w:after="0" w:line="240" w:lineRule="auto"/>
              <w:jc w:val="center"/>
              <w:rPr>
                <w:rFonts w:ascii="Calibri" w:eastAsia="Times New Roman" w:hAnsi="Calibri" w:cs="Times New Roman"/>
                <w:color w:val="000000"/>
                <w:sz w:val="16"/>
                <w:szCs w:val="16"/>
                <w:lang w:eastAsia="en-GB"/>
              </w:rPr>
            </w:pPr>
            <w:r w:rsidRPr="00BF4D81">
              <w:rPr>
                <w:rFonts w:ascii="Calibri" w:eastAsia="Times New Roman" w:hAnsi="Calibri" w:cs="Times New Roman"/>
                <w:color w:val="000000"/>
                <w:sz w:val="16"/>
                <w:szCs w:val="16"/>
                <w:lang w:eastAsia="en-GB"/>
              </w:rPr>
              <w:t>11.1%</w:t>
            </w:r>
          </w:p>
        </w:tc>
      </w:tr>
      <w:tr w:rsidR="00C37A76" w:rsidRPr="00BF4D81" w:rsidTr="0085747D">
        <w:trPr>
          <w:trHeight w:val="300"/>
        </w:trPr>
        <w:tc>
          <w:tcPr>
            <w:tcW w:w="598" w:type="pct"/>
            <w:tcBorders>
              <w:top w:val="nil"/>
              <w:left w:val="single" w:sz="4" w:space="0" w:color="auto"/>
              <w:bottom w:val="single" w:sz="4" w:space="0" w:color="auto"/>
              <w:right w:val="single" w:sz="4" w:space="0" w:color="auto"/>
            </w:tcBorders>
            <w:shd w:val="clear" w:color="auto" w:fill="auto"/>
            <w:noWrap/>
            <w:vAlign w:val="center"/>
            <w:hideMark/>
          </w:tcPr>
          <w:p w:rsidR="00BF4D81" w:rsidRPr="00BF4D81" w:rsidRDefault="00BF4D81" w:rsidP="00BF4D81">
            <w:pPr>
              <w:spacing w:after="0" w:line="240" w:lineRule="auto"/>
              <w:jc w:val="center"/>
              <w:rPr>
                <w:rFonts w:ascii="Calibri" w:eastAsia="Times New Roman" w:hAnsi="Calibri" w:cs="Times New Roman"/>
                <w:color w:val="000000"/>
                <w:sz w:val="16"/>
                <w:szCs w:val="16"/>
                <w:lang w:eastAsia="en-GB"/>
              </w:rPr>
            </w:pPr>
            <w:r w:rsidRPr="00BF4D81">
              <w:rPr>
                <w:rFonts w:ascii="Calibri" w:eastAsia="Times New Roman" w:hAnsi="Calibri" w:cs="Times New Roman"/>
                <w:color w:val="000000"/>
                <w:sz w:val="16"/>
                <w:szCs w:val="16"/>
                <w:lang w:eastAsia="en-GB"/>
              </w:rPr>
              <w:t>Access to healthy assets and hazards index</w:t>
            </w:r>
          </w:p>
        </w:tc>
        <w:tc>
          <w:tcPr>
            <w:tcW w:w="214" w:type="pct"/>
            <w:tcBorders>
              <w:top w:val="nil"/>
              <w:left w:val="nil"/>
              <w:bottom w:val="single" w:sz="4" w:space="0" w:color="auto"/>
              <w:right w:val="single" w:sz="4" w:space="0" w:color="auto"/>
            </w:tcBorders>
            <w:shd w:val="clear" w:color="auto" w:fill="auto"/>
            <w:noWrap/>
            <w:vAlign w:val="center"/>
            <w:hideMark/>
          </w:tcPr>
          <w:p w:rsidR="00BF4D81" w:rsidRPr="00BF4D81" w:rsidRDefault="00BF4D81" w:rsidP="00BF4D81">
            <w:pPr>
              <w:spacing w:after="0" w:line="240" w:lineRule="auto"/>
              <w:jc w:val="center"/>
              <w:rPr>
                <w:rFonts w:ascii="Calibri" w:eastAsia="Times New Roman" w:hAnsi="Calibri" w:cs="Times New Roman"/>
                <w:color w:val="000000"/>
                <w:sz w:val="16"/>
                <w:szCs w:val="16"/>
                <w:lang w:eastAsia="en-GB"/>
              </w:rPr>
            </w:pPr>
            <w:r w:rsidRPr="00BF4D81">
              <w:rPr>
                <w:rFonts w:ascii="Calibri" w:eastAsia="Times New Roman" w:hAnsi="Calibri" w:cs="Times New Roman"/>
                <w:color w:val="000000"/>
                <w:sz w:val="16"/>
                <w:szCs w:val="16"/>
                <w:lang w:eastAsia="en-GB"/>
              </w:rPr>
              <w:t>2016</w:t>
            </w:r>
          </w:p>
        </w:tc>
        <w:tc>
          <w:tcPr>
            <w:tcW w:w="256" w:type="pct"/>
            <w:tcBorders>
              <w:top w:val="nil"/>
              <w:left w:val="nil"/>
              <w:bottom w:val="single" w:sz="4" w:space="0" w:color="auto"/>
              <w:right w:val="single" w:sz="4" w:space="0" w:color="auto"/>
            </w:tcBorders>
            <w:shd w:val="clear" w:color="000000" w:fill="FABF8F"/>
            <w:noWrap/>
            <w:vAlign w:val="center"/>
            <w:hideMark/>
          </w:tcPr>
          <w:p w:rsidR="00BF4D81" w:rsidRPr="00BF4D81" w:rsidRDefault="00BF4D81" w:rsidP="00BF4D81">
            <w:pPr>
              <w:spacing w:after="0" w:line="240" w:lineRule="auto"/>
              <w:jc w:val="center"/>
              <w:rPr>
                <w:rFonts w:ascii="Calibri" w:eastAsia="Times New Roman" w:hAnsi="Calibri" w:cs="Times New Roman"/>
                <w:color w:val="000000"/>
                <w:sz w:val="16"/>
                <w:szCs w:val="16"/>
                <w:lang w:eastAsia="en-GB"/>
              </w:rPr>
            </w:pPr>
            <w:r w:rsidRPr="00BF4D81">
              <w:rPr>
                <w:rFonts w:ascii="Calibri" w:eastAsia="Times New Roman" w:hAnsi="Calibri" w:cs="Times New Roman"/>
                <w:color w:val="000000"/>
                <w:sz w:val="16"/>
                <w:szCs w:val="16"/>
                <w:lang w:eastAsia="en-GB"/>
              </w:rPr>
              <w:t>90,362</w:t>
            </w:r>
          </w:p>
        </w:tc>
        <w:tc>
          <w:tcPr>
            <w:tcW w:w="257" w:type="pct"/>
            <w:tcBorders>
              <w:top w:val="nil"/>
              <w:left w:val="nil"/>
              <w:bottom w:val="single" w:sz="4" w:space="0" w:color="auto"/>
              <w:right w:val="single" w:sz="4" w:space="0" w:color="auto"/>
            </w:tcBorders>
            <w:shd w:val="clear" w:color="000000" w:fill="FABF8F"/>
            <w:noWrap/>
            <w:vAlign w:val="center"/>
            <w:hideMark/>
          </w:tcPr>
          <w:p w:rsidR="00BF4D81" w:rsidRPr="00BF4D81" w:rsidRDefault="00BF4D81" w:rsidP="00BF4D81">
            <w:pPr>
              <w:spacing w:after="0" w:line="240" w:lineRule="auto"/>
              <w:jc w:val="center"/>
              <w:rPr>
                <w:rFonts w:ascii="Calibri" w:eastAsia="Times New Roman" w:hAnsi="Calibri" w:cs="Times New Roman"/>
                <w:color w:val="000000"/>
                <w:sz w:val="16"/>
                <w:szCs w:val="16"/>
                <w:lang w:eastAsia="en-GB"/>
              </w:rPr>
            </w:pPr>
            <w:r w:rsidRPr="00BF4D81">
              <w:rPr>
                <w:rFonts w:ascii="Calibri" w:eastAsia="Times New Roman" w:hAnsi="Calibri" w:cs="Times New Roman"/>
                <w:color w:val="000000"/>
                <w:sz w:val="16"/>
                <w:szCs w:val="16"/>
                <w:lang w:eastAsia="en-GB"/>
              </w:rPr>
              <w:t>14.0%</w:t>
            </w:r>
            <w:r w:rsidR="00F968F4">
              <w:rPr>
                <w:rFonts w:ascii="Calibri" w:eastAsia="Times New Roman" w:hAnsi="Calibri" w:cs="Times New Roman"/>
                <w:color w:val="000000"/>
                <w:sz w:val="16"/>
                <w:szCs w:val="16"/>
                <w:lang w:eastAsia="en-GB"/>
              </w:rPr>
              <w:t xml:space="preserve"> (3)</w:t>
            </w:r>
          </w:p>
        </w:tc>
        <w:tc>
          <w:tcPr>
            <w:tcW w:w="256" w:type="pct"/>
            <w:tcBorders>
              <w:top w:val="nil"/>
              <w:left w:val="nil"/>
              <w:bottom w:val="single" w:sz="4" w:space="0" w:color="auto"/>
              <w:right w:val="single" w:sz="4" w:space="0" w:color="auto"/>
            </w:tcBorders>
            <w:shd w:val="clear" w:color="000000" w:fill="FABF8F"/>
            <w:noWrap/>
            <w:vAlign w:val="center"/>
            <w:hideMark/>
          </w:tcPr>
          <w:p w:rsidR="00BF4D81" w:rsidRPr="00BF4D81" w:rsidRDefault="00BF4D81" w:rsidP="00BF4D81">
            <w:pPr>
              <w:spacing w:after="0" w:line="240" w:lineRule="auto"/>
              <w:jc w:val="center"/>
              <w:rPr>
                <w:rFonts w:ascii="Calibri" w:eastAsia="Times New Roman" w:hAnsi="Calibri" w:cs="Times New Roman"/>
                <w:color w:val="000000"/>
                <w:sz w:val="16"/>
                <w:szCs w:val="16"/>
                <w:lang w:eastAsia="en-GB"/>
              </w:rPr>
            </w:pPr>
            <w:r w:rsidRPr="00BF4D81">
              <w:rPr>
                <w:rFonts w:ascii="Calibri" w:eastAsia="Times New Roman" w:hAnsi="Calibri" w:cs="Times New Roman"/>
                <w:color w:val="000000"/>
                <w:sz w:val="16"/>
                <w:szCs w:val="16"/>
                <w:lang w:eastAsia="en-GB"/>
              </w:rPr>
              <w:t>17,388</w:t>
            </w:r>
          </w:p>
        </w:tc>
        <w:tc>
          <w:tcPr>
            <w:tcW w:w="257" w:type="pct"/>
            <w:tcBorders>
              <w:top w:val="nil"/>
              <w:left w:val="nil"/>
              <w:bottom w:val="single" w:sz="4" w:space="0" w:color="auto"/>
              <w:right w:val="single" w:sz="4" w:space="0" w:color="auto"/>
            </w:tcBorders>
            <w:shd w:val="clear" w:color="000000" w:fill="FABF8F"/>
            <w:noWrap/>
            <w:vAlign w:val="center"/>
            <w:hideMark/>
          </w:tcPr>
          <w:p w:rsidR="00BF4D81" w:rsidRPr="00BF4D81" w:rsidRDefault="00BF4D81" w:rsidP="00BF4D81">
            <w:pPr>
              <w:spacing w:after="0" w:line="240" w:lineRule="auto"/>
              <w:jc w:val="center"/>
              <w:rPr>
                <w:rFonts w:ascii="Calibri" w:eastAsia="Times New Roman" w:hAnsi="Calibri" w:cs="Times New Roman"/>
                <w:color w:val="000000"/>
                <w:sz w:val="16"/>
                <w:szCs w:val="16"/>
                <w:lang w:eastAsia="en-GB"/>
              </w:rPr>
            </w:pPr>
            <w:r w:rsidRPr="00BF4D81">
              <w:rPr>
                <w:rFonts w:ascii="Calibri" w:eastAsia="Times New Roman" w:hAnsi="Calibri" w:cs="Times New Roman"/>
                <w:color w:val="000000"/>
                <w:sz w:val="16"/>
                <w:szCs w:val="16"/>
                <w:lang w:eastAsia="en-GB"/>
              </w:rPr>
              <w:t>9.0%</w:t>
            </w:r>
            <w:r w:rsidR="00F968F4">
              <w:rPr>
                <w:rFonts w:ascii="Calibri" w:eastAsia="Times New Roman" w:hAnsi="Calibri" w:cs="Times New Roman"/>
                <w:color w:val="000000"/>
                <w:sz w:val="16"/>
                <w:szCs w:val="16"/>
                <w:lang w:eastAsia="en-GB"/>
              </w:rPr>
              <w:t xml:space="preserve"> (3)</w:t>
            </w:r>
          </w:p>
        </w:tc>
        <w:tc>
          <w:tcPr>
            <w:tcW w:w="256" w:type="pct"/>
            <w:tcBorders>
              <w:top w:val="nil"/>
              <w:left w:val="nil"/>
              <w:bottom w:val="single" w:sz="4" w:space="0" w:color="auto"/>
              <w:right w:val="single" w:sz="4" w:space="0" w:color="auto"/>
            </w:tcBorders>
            <w:shd w:val="clear" w:color="000000" w:fill="FABF8F"/>
            <w:noWrap/>
            <w:vAlign w:val="center"/>
            <w:hideMark/>
          </w:tcPr>
          <w:p w:rsidR="00BF4D81" w:rsidRPr="00BF4D81" w:rsidRDefault="00BF4D81" w:rsidP="00BF4D81">
            <w:pPr>
              <w:spacing w:after="0" w:line="240" w:lineRule="auto"/>
              <w:jc w:val="center"/>
              <w:rPr>
                <w:rFonts w:ascii="Calibri" w:eastAsia="Times New Roman" w:hAnsi="Calibri" w:cs="Times New Roman"/>
                <w:color w:val="000000"/>
                <w:sz w:val="16"/>
                <w:szCs w:val="16"/>
                <w:lang w:eastAsia="en-GB"/>
              </w:rPr>
            </w:pPr>
            <w:r w:rsidRPr="00BF4D81">
              <w:rPr>
                <w:rFonts w:ascii="Calibri" w:eastAsia="Times New Roman" w:hAnsi="Calibri" w:cs="Times New Roman"/>
                <w:color w:val="000000"/>
                <w:sz w:val="16"/>
                <w:szCs w:val="16"/>
                <w:lang w:eastAsia="en-GB"/>
              </w:rPr>
              <w:t>8,491</w:t>
            </w:r>
          </w:p>
        </w:tc>
        <w:tc>
          <w:tcPr>
            <w:tcW w:w="257" w:type="pct"/>
            <w:tcBorders>
              <w:top w:val="nil"/>
              <w:left w:val="nil"/>
              <w:bottom w:val="single" w:sz="4" w:space="0" w:color="auto"/>
              <w:right w:val="single" w:sz="4" w:space="0" w:color="auto"/>
            </w:tcBorders>
            <w:shd w:val="clear" w:color="000000" w:fill="FABF8F"/>
            <w:noWrap/>
            <w:vAlign w:val="center"/>
            <w:hideMark/>
          </w:tcPr>
          <w:p w:rsidR="00BF4D81" w:rsidRPr="00BF4D81" w:rsidRDefault="00BF4D81" w:rsidP="00BF4D81">
            <w:pPr>
              <w:spacing w:after="0" w:line="240" w:lineRule="auto"/>
              <w:jc w:val="center"/>
              <w:rPr>
                <w:rFonts w:ascii="Calibri" w:eastAsia="Times New Roman" w:hAnsi="Calibri" w:cs="Times New Roman"/>
                <w:color w:val="000000"/>
                <w:sz w:val="16"/>
                <w:szCs w:val="16"/>
                <w:lang w:eastAsia="en-GB"/>
              </w:rPr>
            </w:pPr>
            <w:r w:rsidRPr="00BF4D81">
              <w:rPr>
                <w:rFonts w:ascii="Calibri" w:eastAsia="Times New Roman" w:hAnsi="Calibri" w:cs="Times New Roman"/>
                <w:color w:val="000000"/>
                <w:sz w:val="16"/>
                <w:szCs w:val="16"/>
                <w:lang w:eastAsia="en-GB"/>
              </w:rPr>
              <w:t>6.5%</w:t>
            </w:r>
            <w:r w:rsidR="00F968F4">
              <w:rPr>
                <w:rFonts w:ascii="Calibri" w:eastAsia="Times New Roman" w:hAnsi="Calibri" w:cs="Times New Roman"/>
                <w:color w:val="000000"/>
                <w:sz w:val="16"/>
                <w:szCs w:val="16"/>
                <w:lang w:eastAsia="en-GB"/>
              </w:rPr>
              <w:t xml:space="preserve"> (3)</w:t>
            </w:r>
          </w:p>
        </w:tc>
        <w:tc>
          <w:tcPr>
            <w:tcW w:w="256" w:type="pct"/>
            <w:tcBorders>
              <w:top w:val="nil"/>
              <w:left w:val="nil"/>
              <w:bottom w:val="single" w:sz="4" w:space="0" w:color="auto"/>
              <w:right w:val="single" w:sz="4" w:space="0" w:color="auto"/>
            </w:tcBorders>
            <w:shd w:val="clear" w:color="000000" w:fill="E26B0A"/>
            <w:noWrap/>
            <w:vAlign w:val="center"/>
            <w:hideMark/>
          </w:tcPr>
          <w:p w:rsidR="00BF4D81" w:rsidRPr="00BF4D81" w:rsidRDefault="00BF4D81" w:rsidP="00BF4D81">
            <w:pPr>
              <w:spacing w:after="0" w:line="240" w:lineRule="auto"/>
              <w:jc w:val="center"/>
              <w:rPr>
                <w:rFonts w:ascii="Calibri" w:eastAsia="Times New Roman" w:hAnsi="Calibri" w:cs="Times New Roman"/>
                <w:color w:val="FFFFFF"/>
                <w:sz w:val="16"/>
                <w:szCs w:val="16"/>
                <w:lang w:eastAsia="en-GB"/>
              </w:rPr>
            </w:pPr>
            <w:r w:rsidRPr="00BF4D81">
              <w:rPr>
                <w:rFonts w:ascii="Calibri" w:eastAsia="Times New Roman" w:hAnsi="Calibri" w:cs="Times New Roman"/>
                <w:color w:val="FFFFFF"/>
                <w:sz w:val="16"/>
                <w:szCs w:val="16"/>
                <w:lang w:eastAsia="en-GB"/>
              </w:rPr>
              <w:t>18,093</w:t>
            </w:r>
          </w:p>
        </w:tc>
        <w:tc>
          <w:tcPr>
            <w:tcW w:w="257" w:type="pct"/>
            <w:tcBorders>
              <w:top w:val="nil"/>
              <w:left w:val="nil"/>
              <w:bottom w:val="single" w:sz="4" w:space="0" w:color="auto"/>
              <w:right w:val="single" w:sz="4" w:space="0" w:color="auto"/>
            </w:tcBorders>
            <w:shd w:val="clear" w:color="000000" w:fill="E26B0A"/>
            <w:noWrap/>
            <w:vAlign w:val="center"/>
            <w:hideMark/>
          </w:tcPr>
          <w:p w:rsidR="00BF4D81" w:rsidRPr="00BF4D81" w:rsidRDefault="00BF4D81" w:rsidP="00BF4D81">
            <w:pPr>
              <w:spacing w:after="0" w:line="240" w:lineRule="auto"/>
              <w:jc w:val="center"/>
              <w:rPr>
                <w:rFonts w:ascii="Calibri" w:eastAsia="Times New Roman" w:hAnsi="Calibri" w:cs="Times New Roman"/>
                <w:color w:val="FFFFFF"/>
                <w:sz w:val="16"/>
                <w:szCs w:val="16"/>
                <w:lang w:eastAsia="en-GB"/>
              </w:rPr>
            </w:pPr>
            <w:r w:rsidRPr="00BF4D81">
              <w:rPr>
                <w:rFonts w:ascii="Calibri" w:eastAsia="Times New Roman" w:hAnsi="Calibri" w:cs="Times New Roman"/>
                <w:color w:val="FFFFFF"/>
                <w:sz w:val="16"/>
                <w:szCs w:val="16"/>
                <w:lang w:eastAsia="en-GB"/>
              </w:rPr>
              <w:t>20.7%</w:t>
            </w:r>
            <w:r w:rsidR="00F968F4">
              <w:rPr>
                <w:rFonts w:ascii="Calibri" w:eastAsia="Times New Roman" w:hAnsi="Calibri" w:cs="Times New Roman"/>
                <w:color w:val="FFFFFF"/>
                <w:sz w:val="16"/>
                <w:szCs w:val="16"/>
                <w:lang w:eastAsia="en-GB"/>
              </w:rPr>
              <w:t xml:space="preserve"> (4)</w:t>
            </w:r>
          </w:p>
        </w:tc>
        <w:tc>
          <w:tcPr>
            <w:tcW w:w="256" w:type="pct"/>
            <w:tcBorders>
              <w:top w:val="nil"/>
              <w:left w:val="nil"/>
              <w:bottom w:val="single" w:sz="4" w:space="0" w:color="auto"/>
              <w:right w:val="single" w:sz="4" w:space="0" w:color="auto"/>
            </w:tcBorders>
            <w:shd w:val="clear" w:color="000000" w:fill="974706"/>
            <w:noWrap/>
            <w:vAlign w:val="center"/>
            <w:hideMark/>
          </w:tcPr>
          <w:p w:rsidR="00BF4D81" w:rsidRPr="00BF4D81" w:rsidRDefault="00BF4D81" w:rsidP="00BF4D81">
            <w:pPr>
              <w:spacing w:after="0" w:line="240" w:lineRule="auto"/>
              <w:jc w:val="center"/>
              <w:rPr>
                <w:rFonts w:ascii="Calibri" w:eastAsia="Times New Roman" w:hAnsi="Calibri" w:cs="Times New Roman"/>
                <w:color w:val="FFFFFF"/>
                <w:sz w:val="16"/>
                <w:szCs w:val="16"/>
                <w:lang w:eastAsia="en-GB"/>
              </w:rPr>
            </w:pPr>
            <w:r w:rsidRPr="00BF4D81">
              <w:rPr>
                <w:rFonts w:ascii="Calibri" w:eastAsia="Times New Roman" w:hAnsi="Calibri" w:cs="Times New Roman"/>
                <w:color w:val="FFFFFF"/>
                <w:sz w:val="16"/>
                <w:szCs w:val="16"/>
                <w:lang w:eastAsia="en-GB"/>
              </w:rPr>
              <w:t>48,097</w:t>
            </w:r>
          </w:p>
        </w:tc>
        <w:tc>
          <w:tcPr>
            <w:tcW w:w="257" w:type="pct"/>
            <w:tcBorders>
              <w:top w:val="nil"/>
              <w:left w:val="nil"/>
              <w:bottom w:val="single" w:sz="4" w:space="0" w:color="auto"/>
              <w:right w:val="single" w:sz="4" w:space="0" w:color="auto"/>
            </w:tcBorders>
            <w:shd w:val="clear" w:color="000000" w:fill="974706"/>
            <w:noWrap/>
            <w:vAlign w:val="center"/>
            <w:hideMark/>
          </w:tcPr>
          <w:p w:rsidR="00BF4D81" w:rsidRPr="00BF4D81" w:rsidRDefault="00BF4D81" w:rsidP="00BF4D81">
            <w:pPr>
              <w:spacing w:after="0" w:line="240" w:lineRule="auto"/>
              <w:jc w:val="center"/>
              <w:rPr>
                <w:rFonts w:ascii="Calibri" w:eastAsia="Times New Roman" w:hAnsi="Calibri" w:cs="Times New Roman"/>
                <w:color w:val="FFFFFF"/>
                <w:sz w:val="16"/>
                <w:szCs w:val="16"/>
                <w:lang w:eastAsia="en-GB"/>
              </w:rPr>
            </w:pPr>
            <w:r w:rsidRPr="00BF4D81">
              <w:rPr>
                <w:rFonts w:ascii="Calibri" w:eastAsia="Times New Roman" w:hAnsi="Calibri" w:cs="Times New Roman"/>
                <w:color w:val="FFFFFF"/>
                <w:sz w:val="16"/>
                <w:szCs w:val="16"/>
                <w:lang w:eastAsia="en-GB"/>
              </w:rPr>
              <w:t>48.5%</w:t>
            </w:r>
            <w:r w:rsidR="00F968F4">
              <w:rPr>
                <w:rFonts w:ascii="Calibri" w:eastAsia="Times New Roman" w:hAnsi="Calibri" w:cs="Times New Roman"/>
                <w:color w:val="FFFFFF"/>
                <w:sz w:val="16"/>
                <w:szCs w:val="16"/>
                <w:lang w:eastAsia="en-GB"/>
              </w:rPr>
              <w:t xml:space="preserve"> (5)</w:t>
            </w:r>
          </w:p>
        </w:tc>
        <w:tc>
          <w:tcPr>
            <w:tcW w:w="257" w:type="pct"/>
            <w:tcBorders>
              <w:top w:val="nil"/>
              <w:left w:val="nil"/>
              <w:bottom w:val="single" w:sz="4" w:space="0" w:color="auto"/>
              <w:right w:val="single" w:sz="4" w:space="0" w:color="auto"/>
            </w:tcBorders>
            <w:shd w:val="clear" w:color="000000" w:fill="FCD5B4"/>
            <w:noWrap/>
            <w:vAlign w:val="center"/>
            <w:hideMark/>
          </w:tcPr>
          <w:p w:rsidR="00BF4D81" w:rsidRPr="00BF4D81" w:rsidRDefault="00BF4D81" w:rsidP="00BF4D81">
            <w:pPr>
              <w:spacing w:after="0" w:line="240" w:lineRule="auto"/>
              <w:jc w:val="center"/>
              <w:rPr>
                <w:rFonts w:ascii="Calibri" w:eastAsia="Times New Roman" w:hAnsi="Calibri" w:cs="Times New Roman"/>
                <w:color w:val="000000"/>
                <w:sz w:val="16"/>
                <w:szCs w:val="16"/>
                <w:lang w:eastAsia="en-GB"/>
              </w:rPr>
            </w:pPr>
            <w:r w:rsidRPr="00BF4D81">
              <w:rPr>
                <w:rFonts w:ascii="Calibri" w:eastAsia="Times New Roman" w:hAnsi="Calibri" w:cs="Times New Roman"/>
                <w:color w:val="000000"/>
                <w:sz w:val="16"/>
                <w:szCs w:val="16"/>
                <w:lang w:eastAsia="en-GB"/>
              </w:rPr>
              <w:t>8,103</w:t>
            </w:r>
          </w:p>
        </w:tc>
        <w:tc>
          <w:tcPr>
            <w:tcW w:w="298" w:type="pct"/>
            <w:tcBorders>
              <w:top w:val="nil"/>
              <w:left w:val="nil"/>
              <w:bottom w:val="single" w:sz="4" w:space="0" w:color="auto"/>
              <w:right w:val="single" w:sz="4" w:space="0" w:color="auto"/>
            </w:tcBorders>
            <w:shd w:val="clear" w:color="000000" w:fill="FCD5B4"/>
            <w:noWrap/>
            <w:vAlign w:val="center"/>
            <w:hideMark/>
          </w:tcPr>
          <w:p w:rsidR="00BF4D81" w:rsidRPr="00BF4D81" w:rsidRDefault="00BF4D81" w:rsidP="00BF4D81">
            <w:pPr>
              <w:spacing w:after="0" w:line="240" w:lineRule="auto"/>
              <w:jc w:val="center"/>
              <w:rPr>
                <w:rFonts w:ascii="Calibri" w:eastAsia="Times New Roman" w:hAnsi="Calibri" w:cs="Times New Roman"/>
                <w:color w:val="000000"/>
                <w:sz w:val="16"/>
                <w:szCs w:val="16"/>
                <w:lang w:eastAsia="en-GB"/>
              </w:rPr>
            </w:pPr>
            <w:r w:rsidRPr="00BF4D81">
              <w:rPr>
                <w:rFonts w:ascii="Calibri" w:eastAsia="Times New Roman" w:hAnsi="Calibri" w:cs="Times New Roman"/>
                <w:color w:val="000000"/>
                <w:sz w:val="16"/>
                <w:szCs w:val="16"/>
                <w:lang w:eastAsia="en-GB"/>
              </w:rPr>
              <w:t>4.6%</w:t>
            </w:r>
            <w:r w:rsidR="00F968F4">
              <w:rPr>
                <w:rFonts w:ascii="Calibri" w:eastAsia="Times New Roman" w:hAnsi="Calibri" w:cs="Times New Roman"/>
                <w:color w:val="000000"/>
                <w:sz w:val="16"/>
                <w:szCs w:val="16"/>
                <w:lang w:eastAsia="en-GB"/>
              </w:rPr>
              <w:t xml:space="preserve"> (2)</w:t>
            </w:r>
          </w:p>
        </w:tc>
        <w:tc>
          <w:tcPr>
            <w:tcW w:w="238" w:type="pct"/>
            <w:tcBorders>
              <w:top w:val="nil"/>
              <w:left w:val="nil"/>
              <w:bottom w:val="single" w:sz="4" w:space="0" w:color="auto"/>
              <w:right w:val="single" w:sz="4" w:space="0" w:color="auto"/>
            </w:tcBorders>
            <w:shd w:val="clear" w:color="000000" w:fill="FCD5B4"/>
            <w:noWrap/>
            <w:vAlign w:val="center"/>
            <w:hideMark/>
          </w:tcPr>
          <w:p w:rsidR="00BF4D81" w:rsidRPr="00BF4D81" w:rsidRDefault="00BF4D81" w:rsidP="00BF4D81">
            <w:pPr>
              <w:spacing w:after="0" w:line="240" w:lineRule="auto"/>
              <w:jc w:val="center"/>
              <w:rPr>
                <w:rFonts w:ascii="Calibri" w:eastAsia="Times New Roman" w:hAnsi="Calibri" w:cs="Times New Roman"/>
                <w:color w:val="000000"/>
                <w:sz w:val="16"/>
                <w:szCs w:val="16"/>
                <w:lang w:eastAsia="en-GB"/>
              </w:rPr>
            </w:pPr>
            <w:r w:rsidRPr="00BF4D81">
              <w:rPr>
                <w:rFonts w:ascii="Calibri" w:eastAsia="Times New Roman" w:hAnsi="Calibri" w:cs="Times New Roman"/>
                <w:color w:val="000000"/>
                <w:sz w:val="16"/>
                <w:szCs w:val="16"/>
                <w:lang w:eastAsia="en-GB"/>
              </w:rPr>
              <w:t>7,578</w:t>
            </w:r>
          </w:p>
        </w:tc>
        <w:tc>
          <w:tcPr>
            <w:tcW w:w="276" w:type="pct"/>
            <w:tcBorders>
              <w:top w:val="nil"/>
              <w:left w:val="nil"/>
              <w:bottom w:val="single" w:sz="4" w:space="0" w:color="auto"/>
              <w:right w:val="single" w:sz="4" w:space="0" w:color="auto"/>
            </w:tcBorders>
            <w:shd w:val="clear" w:color="000000" w:fill="FCD5B4"/>
            <w:noWrap/>
            <w:vAlign w:val="center"/>
            <w:hideMark/>
          </w:tcPr>
          <w:p w:rsidR="00BF4D81" w:rsidRPr="00BF4D81" w:rsidRDefault="00BF4D81" w:rsidP="00BF4D81">
            <w:pPr>
              <w:spacing w:after="0" w:line="240" w:lineRule="auto"/>
              <w:jc w:val="center"/>
              <w:rPr>
                <w:rFonts w:ascii="Calibri" w:eastAsia="Times New Roman" w:hAnsi="Calibri" w:cs="Times New Roman"/>
                <w:color w:val="000000"/>
                <w:sz w:val="16"/>
                <w:szCs w:val="16"/>
                <w:lang w:eastAsia="en-GB"/>
              </w:rPr>
            </w:pPr>
            <w:r w:rsidRPr="00BF4D81">
              <w:rPr>
                <w:rFonts w:ascii="Calibri" w:eastAsia="Times New Roman" w:hAnsi="Calibri" w:cs="Times New Roman"/>
                <w:color w:val="000000"/>
                <w:sz w:val="16"/>
                <w:szCs w:val="16"/>
                <w:lang w:eastAsia="en-GB"/>
              </w:rPr>
              <w:t>4.9%</w:t>
            </w:r>
            <w:r w:rsidR="00F968F4">
              <w:rPr>
                <w:rFonts w:ascii="Calibri" w:eastAsia="Times New Roman" w:hAnsi="Calibri" w:cs="Times New Roman"/>
                <w:color w:val="000000"/>
                <w:sz w:val="16"/>
                <w:szCs w:val="16"/>
                <w:lang w:eastAsia="en-GB"/>
              </w:rPr>
              <w:t xml:space="preserve"> (2)</w:t>
            </w:r>
          </w:p>
        </w:tc>
        <w:tc>
          <w:tcPr>
            <w:tcW w:w="298" w:type="pct"/>
            <w:tcBorders>
              <w:top w:val="nil"/>
              <w:left w:val="nil"/>
              <w:bottom w:val="single" w:sz="4" w:space="0" w:color="auto"/>
              <w:right w:val="single" w:sz="4" w:space="0" w:color="auto"/>
            </w:tcBorders>
            <w:shd w:val="clear" w:color="auto" w:fill="auto"/>
            <w:noWrap/>
            <w:vAlign w:val="center"/>
            <w:hideMark/>
          </w:tcPr>
          <w:p w:rsidR="00BF4D81" w:rsidRPr="00BF4D81" w:rsidRDefault="00BF4D81" w:rsidP="00BF4D81">
            <w:pPr>
              <w:spacing w:after="0" w:line="240" w:lineRule="auto"/>
              <w:jc w:val="center"/>
              <w:rPr>
                <w:rFonts w:ascii="Calibri" w:eastAsia="Times New Roman" w:hAnsi="Calibri" w:cs="Times New Roman"/>
                <w:color w:val="000000"/>
                <w:sz w:val="16"/>
                <w:szCs w:val="16"/>
                <w:lang w:eastAsia="en-GB"/>
              </w:rPr>
            </w:pPr>
            <w:r w:rsidRPr="00BF4D81">
              <w:rPr>
                <w:rFonts w:ascii="Calibri" w:eastAsia="Times New Roman" w:hAnsi="Calibri" w:cs="Times New Roman"/>
                <w:color w:val="000000"/>
                <w:sz w:val="16"/>
                <w:szCs w:val="16"/>
                <w:lang w:eastAsia="en-GB"/>
              </w:rPr>
              <w:t>11,590,179</w:t>
            </w:r>
          </w:p>
        </w:tc>
        <w:tc>
          <w:tcPr>
            <w:tcW w:w="256" w:type="pct"/>
            <w:tcBorders>
              <w:top w:val="nil"/>
              <w:left w:val="nil"/>
              <w:bottom w:val="single" w:sz="4" w:space="0" w:color="auto"/>
              <w:right w:val="single" w:sz="4" w:space="0" w:color="auto"/>
            </w:tcBorders>
            <w:shd w:val="clear" w:color="auto" w:fill="auto"/>
            <w:noWrap/>
            <w:vAlign w:val="center"/>
            <w:hideMark/>
          </w:tcPr>
          <w:p w:rsidR="00BF4D81" w:rsidRPr="00BF4D81" w:rsidRDefault="00BF4D81" w:rsidP="00BF4D81">
            <w:pPr>
              <w:spacing w:after="0" w:line="240" w:lineRule="auto"/>
              <w:jc w:val="center"/>
              <w:rPr>
                <w:rFonts w:ascii="Calibri" w:eastAsia="Times New Roman" w:hAnsi="Calibri" w:cs="Times New Roman"/>
                <w:color w:val="000000"/>
                <w:sz w:val="16"/>
                <w:szCs w:val="16"/>
                <w:lang w:eastAsia="en-GB"/>
              </w:rPr>
            </w:pPr>
            <w:r w:rsidRPr="00BF4D81">
              <w:rPr>
                <w:rFonts w:ascii="Calibri" w:eastAsia="Times New Roman" w:hAnsi="Calibri" w:cs="Times New Roman"/>
                <w:color w:val="000000"/>
                <w:sz w:val="16"/>
                <w:szCs w:val="16"/>
                <w:lang w:eastAsia="en-GB"/>
              </w:rPr>
              <w:t>21.2%</w:t>
            </w:r>
          </w:p>
        </w:tc>
      </w:tr>
      <w:tr w:rsidR="00C37A76" w:rsidRPr="00BF4D81" w:rsidTr="0085747D">
        <w:trPr>
          <w:trHeight w:val="300"/>
        </w:trPr>
        <w:tc>
          <w:tcPr>
            <w:tcW w:w="598" w:type="pct"/>
            <w:tcBorders>
              <w:top w:val="nil"/>
              <w:left w:val="single" w:sz="4" w:space="0" w:color="auto"/>
              <w:bottom w:val="single" w:sz="4" w:space="0" w:color="auto"/>
              <w:right w:val="single" w:sz="4" w:space="0" w:color="auto"/>
            </w:tcBorders>
            <w:shd w:val="clear" w:color="auto" w:fill="auto"/>
            <w:noWrap/>
            <w:vAlign w:val="center"/>
            <w:hideMark/>
          </w:tcPr>
          <w:p w:rsidR="00BF4D81" w:rsidRPr="00BF4D81" w:rsidRDefault="00BF4D81" w:rsidP="00BF4D81">
            <w:pPr>
              <w:spacing w:after="0" w:line="240" w:lineRule="auto"/>
              <w:jc w:val="center"/>
              <w:rPr>
                <w:rFonts w:ascii="Calibri" w:eastAsia="Times New Roman" w:hAnsi="Calibri" w:cs="Times New Roman"/>
                <w:color w:val="000000"/>
                <w:sz w:val="16"/>
                <w:szCs w:val="16"/>
                <w:lang w:eastAsia="en-GB"/>
              </w:rPr>
            </w:pPr>
            <w:r w:rsidRPr="00BF4D81">
              <w:rPr>
                <w:rFonts w:ascii="Calibri" w:eastAsia="Times New Roman" w:hAnsi="Calibri" w:cs="Times New Roman"/>
                <w:color w:val="000000"/>
                <w:sz w:val="16"/>
                <w:szCs w:val="16"/>
                <w:lang w:eastAsia="en-GB"/>
              </w:rPr>
              <w:t>The rate of complaints about noise (crude rate per 1,000)</w:t>
            </w:r>
          </w:p>
        </w:tc>
        <w:tc>
          <w:tcPr>
            <w:tcW w:w="214" w:type="pct"/>
            <w:tcBorders>
              <w:top w:val="nil"/>
              <w:left w:val="nil"/>
              <w:bottom w:val="single" w:sz="4" w:space="0" w:color="auto"/>
              <w:right w:val="single" w:sz="4" w:space="0" w:color="auto"/>
            </w:tcBorders>
            <w:shd w:val="clear" w:color="auto" w:fill="auto"/>
            <w:noWrap/>
            <w:vAlign w:val="center"/>
            <w:hideMark/>
          </w:tcPr>
          <w:p w:rsidR="00BF4D81" w:rsidRPr="00BF4D81" w:rsidRDefault="00BF4D81" w:rsidP="00BF4D81">
            <w:pPr>
              <w:spacing w:after="0" w:line="240" w:lineRule="auto"/>
              <w:jc w:val="center"/>
              <w:rPr>
                <w:rFonts w:ascii="Calibri" w:eastAsia="Times New Roman" w:hAnsi="Calibri" w:cs="Times New Roman"/>
                <w:color w:val="000000"/>
                <w:sz w:val="16"/>
                <w:szCs w:val="16"/>
                <w:lang w:eastAsia="en-GB"/>
              </w:rPr>
            </w:pPr>
            <w:r w:rsidRPr="00BF4D81">
              <w:rPr>
                <w:rFonts w:ascii="Calibri" w:eastAsia="Times New Roman" w:hAnsi="Calibri" w:cs="Times New Roman"/>
                <w:color w:val="000000"/>
                <w:sz w:val="16"/>
                <w:szCs w:val="16"/>
                <w:lang w:eastAsia="en-GB"/>
              </w:rPr>
              <w:t>2015-16</w:t>
            </w:r>
          </w:p>
        </w:tc>
        <w:tc>
          <w:tcPr>
            <w:tcW w:w="256" w:type="pct"/>
            <w:tcBorders>
              <w:top w:val="nil"/>
              <w:left w:val="nil"/>
              <w:bottom w:val="single" w:sz="4" w:space="0" w:color="auto"/>
              <w:right w:val="single" w:sz="4" w:space="0" w:color="auto"/>
            </w:tcBorders>
            <w:shd w:val="clear" w:color="000000" w:fill="EBF1DE"/>
            <w:noWrap/>
            <w:vAlign w:val="center"/>
            <w:hideMark/>
          </w:tcPr>
          <w:p w:rsidR="00BF4D81" w:rsidRPr="00BF4D81" w:rsidRDefault="00BF4D81" w:rsidP="00BF4D81">
            <w:pPr>
              <w:spacing w:after="0" w:line="240" w:lineRule="auto"/>
              <w:jc w:val="center"/>
              <w:rPr>
                <w:rFonts w:ascii="Calibri" w:eastAsia="Times New Roman" w:hAnsi="Calibri" w:cs="Times New Roman"/>
                <w:color w:val="000000"/>
                <w:sz w:val="16"/>
                <w:szCs w:val="16"/>
                <w:lang w:eastAsia="en-GB"/>
              </w:rPr>
            </w:pPr>
            <w:r w:rsidRPr="00BF4D81">
              <w:rPr>
                <w:rFonts w:ascii="Calibri" w:eastAsia="Times New Roman" w:hAnsi="Calibri" w:cs="Times New Roman"/>
                <w:color w:val="000000"/>
                <w:sz w:val="16"/>
                <w:szCs w:val="16"/>
                <w:lang w:eastAsia="en-GB"/>
              </w:rPr>
              <w:t>3,273</w:t>
            </w:r>
          </w:p>
        </w:tc>
        <w:tc>
          <w:tcPr>
            <w:tcW w:w="257" w:type="pct"/>
            <w:tcBorders>
              <w:top w:val="nil"/>
              <w:left w:val="nil"/>
              <w:bottom w:val="single" w:sz="4" w:space="0" w:color="auto"/>
              <w:right w:val="single" w:sz="4" w:space="0" w:color="auto"/>
            </w:tcBorders>
            <w:shd w:val="clear" w:color="000000" w:fill="EBF1DE"/>
            <w:noWrap/>
            <w:vAlign w:val="center"/>
            <w:hideMark/>
          </w:tcPr>
          <w:p w:rsidR="00BF4D81" w:rsidRPr="00BF4D81" w:rsidRDefault="00BF4D81" w:rsidP="00BF4D81">
            <w:pPr>
              <w:spacing w:after="0" w:line="240" w:lineRule="auto"/>
              <w:jc w:val="center"/>
              <w:rPr>
                <w:rFonts w:ascii="Calibri" w:eastAsia="Times New Roman" w:hAnsi="Calibri" w:cs="Times New Roman"/>
                <w:color w:val="000000"/>
                <w:sz w:val="16"/>
                <w:szCs w:val="16"/>
                <w:lang w:eastAsia="en-GB"/>
              </w:rPr>
            </w:pPr>
            <w:r w:rsidRPr="00BF4D81">
              <w:rPr>
                <w:rFonts w:ascii="Calibri" w:eastAsia="Times New Roman" w:hAnsi="Calibri" w:cs="Times New Roman"/>
                <w:color w:val="000000"/>
                <w:sz w:val="16"/>
                <w:szCs w:val="16"/>
                <w:lang w:eastAsia="en-GB"/>
              </w:rPr>
              <w:t>5.1%</w:t>
            </w:r>
          </w:p>
        </w:tc>
        <w:tc>
          <w:tcPr>
            <w:tcW w:w="256" w:type="pct"/>
            <w:tcBorders>
              <w:top w:val="nil"/>
              <w:left w:val="nil"/>
              <w:bottom w:val="single" w:sz="4" w:space="0" w:color="auto"/>
              <w:right w:val="single" w:sz="4" w:space="0" w:color="auto"/>
            </w:tcBorders>
            <w:shd w:val="clear" w:color="000000" w:fill="EBF1DE"/>
            <w:noWrap/>
            <w:vAlign w:val="center"/>
            <w:hideMark/>
          </w:tcPr>
          <w:p w:rsidR="00BF4D81" w:rsidRPr="00BF4D81" w:rsidRDefault="00BF4D81" w:rsidP="00BF4D81">
            <w:pPr>
              <w:spacing w:after="0" w:line="240" w:lineRule="auto"/>
              <w:jc w:val="center"/>
              <w:rPr>
                <w:rFonts w:ascii="Calibri" w:eastAsia="Times New Roman" w:hAnsi="Calibri" w:cs="Times New Roman"/>
                <w:color w:val="000000"/>
                <w:sz w:val="16"/>
                <w:szCs w:val="16"/>
                <w:lang w:eastAsia="en-GB"/>
              </w:rPr>
            </w:pPr>
            <w:r w:rsidRPr="00BF4D81">
              <w:rPr>
                <w:rFonts w:ascii="Calibri" w:eastAsia="Times New Roman" w:hAnsi="Calibri" w:cs="Times New Roman"/>
                <w:color w:val="000000"/>
                <w:sz w:val="16"/>
                <w:szCs w:val="16"/>
                <w:lang w:eastAsia="en-GB"/>
              </w:rPr>
              <w:t>857</w:t>
            </w:r>
          </w:p>
        </w:tc>
        <w:tc>
          <w:tcPr>
            <w:tcW w:w="257" w:type="pct"/>
            <w:tcBorders>
              <w:top w:val="nil"/>
              <w:left w:val="nil"/>
              <w:bottom w:val="single" w:sz="4" w:space="0" w:color="auto"/>
              <w:right w:val="single" w:sz="4" w:space="0" w:color="auto"/>
            </w:tcBorders>
            <w:shd w:val="clear" w:color="000000" w:fill="EBF1DE"/>
            <w:noWrap/>
            <w:vAlign w:val="center"/>
            <w:hideMark/>
          </w:tcPr>
          <w:p w:rsidR="00BF4D81" w:rsidRPr="00BF4D81" w:rsidRDefault="00BF4D81" w:rsidP="00BF4D81">
            <w:pPr>
              <w:spacing w:after="0" w:line="240" w:lineRule="auto"/>
              <w:jc w:val="center"/>
              <w:rPr>
                <w:rFonts w:ascii="Calibri" w:eastAsia="Times New Roman" w:hAnsi="Calibri" w:cs="Times New Roman"/>
                <w:color w:val="000000"/>
                <w:sz w:val="16"/>
                <w:szCs w:val="16"/>
                <w:lang w:eastAsia="en-GB"/>
              </w:rPr>
            </w:pPr>
            <w:r w:rsidRPr="00BF4D81">
              <w:rPr>
                <w:rFonts w:ascii="Calibri" w:eastAsia="Times New Roman" w:hAnsi="Calibri" w:cs="Times New Roman"/>
                <w:color w:val="000000"/>
                <w:sz w:val="16"/>
                <w:szCs w:val="16"/>
                <w:lang w:eastAsia="en-GB"/>
              </w:rPr>
              <w:t>4.4%</w:t>
            </w:r>
          </w:p>
        </w:tc>
        <w:tc>
          <w:tcPr>
            <w:tcW w:w="256" w:type="pct"/>
            <w:tcBorders>
              <w:top w:val="nil"/>
              <w:left w:val="nil"/>
              <w:bottom w:val="single" w:sz="4" w:space="0" w:color="auto"/>
              <w:right w:val="single" w:sz="4" w:space="0" w:color="auto"/>
            </w:tcBorders>
            <w:shd w:val="clear" w:color="000000" w:fill="420000"/>
            <w:noWrap/>
            <w:vAlign w:val="center"/>
            <w:hideMark/>
          </w:tcPr>
          <w:p w:rsidR="00BF4D81" w:rsidRPr="00BF4D81" w:rsidRDefault="00BF4D81" w:rsidP="00BF4D81">
            <w:pPr>
              <w:spacing w:after="0" w:line="240" w:lineRule="auto"/>
              <w:jc w:val="center"/>
              <w:rPr>
                <w:rFonts w:ascii="Calibri" w:eastAsia="Times New Roman" w:hAnsi="Calibri" w:cs="Times New Roman"/>
                <w:color w:val="FFFFFF"/>
                <w:sz w:val="16"/>
                <w:szCs w:val="16"/>
                <w:lang w:eastAsia="en-GB"/>
              </w:rPr>
            </w:pPr>
            <w:r w:rsidRPr="00BF4D81">
              <w:rPr>
                <w:rFonts w:ascii="Calibri" w:eastAsia="Times New Roman" w:hAnsi="Calibri" w:cs="Times New Roman"/>
                <w:color w:val="FFFFFF"/>
                <w:sz w:val="16"/>
                <w:szCs w:val="16"/>
                <w:lang w:eastAsia="en-GB"/>
              </w:rPr>
              <w:t>1,949</w:t>
            </w:r>
          </w:p>
        </w:tc>
        <w:tc>
          <w:tcPr>
            <w:tcW w:w="257" w:type="pct"/>
            <w:tcBorders>
              <w:top w:val="nil"/>
              <w:left w:val="nil"/>
              <w:bottom w:val="single" w:sz="4" w:space="0" w:color="auto"/>
              <w:right w:val="single" w:sz="4" w:space="0" w:color="auto"/>
            </w:tcBorders>
            <w:shd w:val="clear" w:color="000000" w:fill="420000"/>
            <w:noWrap/>
            <w:vAlign w:val="center"/>
            <w:hideMark/>
          </w:tcPr>
          <w:p w:rsidR="00BF4D81" w:rsidRPr="00BF4D81" w:rsidRDefault="00BF4D81" w:rsidP="00BF4D81">
            <w:pPr>
              <w:spacing w:after="0" w:line="240" w:lineRule="auto"/>
              <w:jc w:val="center"/>
              <w:rPr>
                <w:rFonts w:ascii="Calibri" w:eastAsia="Times New Roman" w:hAnsi="Calibri" w:cs="Times New Roman"/>
                <w:color w:val="FFFFFF"/>
                <w:sz w:val="16"/>
                <w:szCs w:val="16"/>
                <w:lang w:eastAsia="en-GB"/>
              </w:rPr>
            </w:pPr>
            <w:r w:rsidRPr="00BF4D81">
              <w:rPr>
                <w:rFonts w:ascii="Calibri" w:eastAsia="Times New Roman" w:hAnsi="Calibri" w:cs="Times New Roman"/>
                <w:color w:val="FFFFFF"/>
                <w:sz w:val="16"/>
                <w:szCs w:val="16"/>
                <w:lang w:eastAsia="en-GB"/>
              </w:rPr>
              <w:t>14.9%</w:t>
            </w:r>
          </w:p>
        </w:tc>
        <w:tc>
          <w:tcPr>
            <w:tcW w:w="256" w:type="pct"/>
            <w:tcBorders>
              <w:top w:val="nil"/>
              <w:left w:val="nil"/>
              <w:bottom w:val="single" w:sz="4" w:space="0" w:color="auto"/>
              <w:right w:val="single" w:sz="4" w:space="0" w:color="auto"/>
            </w:tcBorders>
            <w:shd w:val="clear" w:color="000000" w:fill="EBF1DE"/>
            <w:noWrap/>
            <w:vAlign w:val="center"/>
            <w:hideMark/>
          </w:tcPr>
          <w:p w:rsidR="00BF4D81" w:rsidRPr="00BF4D81" w:rsidRDefault="00BF4D81" w:rsidP="00BF4D81">
            <w:pPr>
              <w:spacing w:after="0" w:line="240" w:lineRule="auto"/>
              <w:jc w:val="center"/>
              <w:rPr>
                <w:rFonts w:ascii="Calibri" w:eastAsia="Times New Roman" w:hAnsi="Calibri" w:cs="Times New Roman"/>
                <w:sz w:val="16"/>
                <w:szCs w:val="16"/>
                <w:lang w:eastAsia="en-GB"/>
              </w:rPr>
            </w:pPr>
            <w:r w:rsidRPr="00BF4D81">
              <w:rPr>
                <w:rFonts w:ascii="Calibri" w:eastAsia="Times New Roman" w:hAnsi="Calibri" w:cs="Times New Roman"/>
                <w:sz w:val="16"/>
                <w:szCs w:val="16"/>
                <w:lang w:eastAsia="en-GB"/>
              </w:rPr>
              <w:t>182</w:t>
            </w:r>
          </w:p>
        </w:tc>
        <w:tc>
          <w:tcPr>
            <w:tcW w:w="257" w:type="pct"/>
            <w:tcBorders>
              <w:top w:val="nil"/>
              <w:left w:val="nil"/>
              <w:bottom w:val="single" w:sz="4" w:space="0" w:color="auto"/>
              <w:right w:val="single" w:sz="4" w:space="0" w:color="auto"/>
            </w:tcBorders>
            <w:shd w:val="clear" w:color="000000" w:fill="EBF1DE"/>
            <w:noWrap/>
            <w:vAlign w:val="center"/>
            <w:hideMark/>
          </w:tcPr>
          <w:p w:rsidR="00BF4D81" w:rsidRPr="00BF4D81" w:rsidRDefault="00BF4D81" w:rsidP="00BF4D81">
            <w:pPr>
              <w:spacing w:after="0" w:line="240" w:lineRule="auto"/>
              <w:jc w:val="center"/>
              <w:rPr>
                <w:rFonts w:ascii="Calibri" w:eastAsia="Times New Roman" w:hAnsi="Calibri" w:cs="Times New Roman"/>
                <w:color w:val="000000"/>
                <w:sz w:val="16"/>
                <w:szCs w:val="16"/>
                <w:lang w:eastAsia="en-GB"/>
              </w:rPr>
            </w:pPr>
            <w:r w:rsidRPr="00BF4D81">
              <w:rPr>
                <w:rFonts w:ascii="Calibri" w:eastAsia="Times New Roman" w:hAnsi="Calibri" w:cs="Times New Roman"/>
                <w:color w:val="000000"/>
                <w:sz w:val="16"/>
                <w:szCs w:val="16"/>
                <w:lang w:eastAsia="en-GB"/>
              </w:rPr>
              <w:t>2.1%</w:t>
            </w:r>
          </w:p>
        </w:tc>
        <w:tc>
          <w:tcPr>
            <w:tcW w:w="256" w:type="pct"/>
            <w:tcBorders>
              <w:top w:val="nil"/>
              <w:left w:val="nil"/>
              <w:bottom w:val="single" w:sz="4" w:space="0" w:color="auto"/>
              <w:right w:val="single" w:sz="4" w:space="0" w:color="auto"/>
            </w:tcBorders>
            <w:shd w:val="clear" w:color="000000" w:fill="EBF1DE"/>
            <w:noWrap/>
            <w:vAlign w:val="center"/>
            <w:hideMark/>
          </w:tcPr>
          <w:p w:rsidR="00BF4D81" w:rsidRPr="00BF4D81" w:rsidRDefault="00BF4D81" w:rsidP="00BF4D81">
            <w:pPr>
              <w:spacing w:after="0" w:line="240" w:lineRule="auto"/>
              <w:jc w:val="center"/>
              <w:rPr>
                <w:rFonts w:ascii="Calibri" w:eastAsia="Times New Roman" w:hAnsi="Calibri" w:cs="Times New Roman"/>
                <w:color w:val="000000"/>
                <w:sz w:val="16"/>
                <w:szCs w:val="16"/>
                <w:lang w:eastAsia="en-GB"/>
              </w:rPr>
            </w:pPr>
            <w:r w:rsidRPr="00BF4D81">
              <w:rPr>
                <w:rFonts w:ascii="Calibri" w:eastAsia="Times New Roman" w:hAnsi="Calibri" w:cs="Times New Roman"/>
                <w:color w:val="000000"/>
                <w:sz w:val="16"/>
                <w:szCs w:val="16"/>
                <w:lang w:eastAsia="en-GB"/>
              </w:rPr>
              <w:t>366</w:t>
            </w:r>
          </w:p>
        </w:tc>
        <w:tc>
          <w:tcPr>
            <w:tcW w:w="257" w:type="pct"/>
            <w:tcBorders>
              <w:top w:val="nil"/>
              <w:left w:val="nil"/>
              <w:bottom w:val="single" w:sz="4" w:space="0" w:color="auto"/>
              <w:right w:val="single" w:sz="4" w:space="0" w:color="auto"/>
            </w:tcBorders>
            <w:shd w:val="clear" w:color="000000" w:fill="EBF1DE"/>
            <w:noWrap/>
            <w:vAlign w:val="center"/>
            <w:hideMark/>
          </w:tcPr>
          <w:p w:rsidR="00BF4D81" w:rsidRPr="00BF4D81" w:rsidRDefault="00BF4D81" w:rsidP="00BF4D81">
            <w:pPr>
              <w:spacing w:after="0" w:line="240" w:lineRule="auto"/>
              <w:jc w:val="center"/>
              <w:rPr>
                <w:rFonts w:ascii="Calibri" w:eastAsia="Times New Roman" w:hAnsi="Calibri" w:cs="Times New Roman"/>
                <w:color w:val="000000"/>
                <w:sz w:val="16"/>
                <w:szCs w:val="16"/>
                <w:lang w:eastAsia="en-GB"/>
              </w:rPr>
            </w:pPr>
            <w:r w:rsidRPr="00BF4D81">
              <w:rPr>
                <w:rFonts w:ascii="Calibri" w:eastAsia="Times New Roman" w:hAnsi="Calibri" w:cs="Times New Roman"/>
                <w:color w:val="000000"/>
                <w:sz w:val="16"/>
                <w:szCs w:val="16"/>
                <w:lang w:eastAsia="en-GB"/>
              </w:rPr>
              <w:t>3.7%</w:t>
            </w:r>
          </w:p>
        </w:tc>
        <w:tc>
          <w:tcPr>
            <w:tcW w:w="257" w:type="pct"/>
            <w:tcBorders>
              <w:top w:val="nil"/>
              <w:left w:val="nil"/>
              <w:bottom w:val="single" w:sz="4" w:space="0" w:color="auto"/>
              <w:right w:val="single" w:sz="4" w:space="0" w:color="auto"/>
            </w:tcBorders>
            <w:shd w:val="clear" w:color="000000" w:fill="EBF1DE"/>
            <w:noWrap/>
            <w:vAlign w:val="center"/>
            <w:hideMark/>
          </w:tcPr>
          <w:p w:rsidR="00BF4D81" w:rsidRPr="00BF4D81" w:rsidRDefault="00BF4D81" w:rsidP="00BF4D81">
            <w:pPr>
              <w:spacing w:after="0" w:line="240" w:lineRule="auto"/>
              <w:jc w:val="center"/>
              <w:rPr>
                <w:rFonts w:ascii="Calibri" w:eastAsia="Times New Roman" w:hAnsi="Calibri" w:cs="Times New Roman"/>
                <w:color w:val="000000"/>
                <w:sz w:val="16"/>
                <w:szCs w:val="16"/>
                <w:lang w:eastAsia="en-GB"/>
              </w:rPr>
            </w:pPr>
            <w:r w:rsidRPr="00BF4D81">
              <w:rPr>
                <w:rFonts w:ascii="Calibri" w:eastAsia="Times New Roman" w:hAnsi="Calibri" w:cs="Times New Roman"/>
                <w:color w:val="000000"/>
                <w:sz w:val="16"/>
                <w:szCs w:val="16"/>
                <w:lang w:eastAsia="en-GB"/>
              </w:rPr>
              <w:t>496</w:t>
            </w:r>
          </w:p>
        </w:tc>
        <w:tc>
          <w:tcPr>
            <w:tcW w:w="298" w:type="pct"/>
            <w:tcBorders>
              <w:top w:val="nil"/>
              <w:left w:val="nil"/>
              <w:bottom w:val="single" w:sz="4" w:space="0" w:color="auto"/>
              <w:right w:val="single" w:sz="4" w:space="0" w:color="auto"/>
            </w:tcBorders>
            <w:shd w:val="clear" w:color="000000" w:fill="EBF1DE"/>
            <w:noWrap/>
            <w:vAlign w:val="center"/>
            <w:hideMark/>
          </w:tcPr>
          <w:p w:rsidR="00BF4D81" w:rsidRPr="00BF4D81" w:rsidRDefault="00BF4D81" w:rsidP="00BF4D81">
            <w:pPr>
              <w:spacing w:after="0" w:line="240" w:lineRule="auto"/>
              <w:jc w:val="center"/>
              <w:rPr>
                <w:rFonts w:ascii="Calibri" w:eastAsia="Times New Roman" w:hAnsi="Calibri" w:cs="Times New Roman"/>
                <w:color w:val="000000"/>
                <w:sz w:val="16"/>
                <w:szCs w:val="16"/>
                <w:lang w:eastAsia="en-GB"/>
              </w:rPr>
            </w:pPr>
            <w:r w:rsidRPr="00BF4D81">
              <w:rPr>
                <w:rFonts w:ascii="Calibri" w:eastAsia="Times New Roman" w:hAnsi="Calibri" w:cs="Times New Roman"/>
                <w:color w:val="000000"/>
                <w:sz w:val="16"/>
                <w:szCs w:val="16"/>
                <w:lang w:eastAsia="en-GB"/>
              </w:rPr>
              <w:t>2.8%</w:t>
            </w:r>
          </w:p>
        </w:tc>
        <w:tc>
          <w:tcPr>
            <w:tcW w:w="238" w:type="pct"/>
            <w:tcBorders>
              <w:top w:val="nil"/>
              <w:left w:val="nil"/>
              <w:bottom w:val="single" w:sz="4" w:space="0" w:color="auto"/>
              <w:right w:val="single" w:sz="4" w:space="0" w:color="auto"/>
            </w:tcBorders>
            <w:shd w:val="clear" w:color="000000" w:fill="EBF1DE"/>
            <w:noWrap/>
            <w:vAlign w:val="center"/>
            <w:hideMark/>
          </w:tcPr>
          <w:p w:rsidR="00BF4D81" w:rsidRPr="00BF4D81" w:rsidRDefault="00BF4D81" w:rsidP="00BF4D81">
            <w:pPr>
              <w:spacing w:after="0" w:line="240" w:lineRule="auto"/>
              <w:jc w:val="center"/>
              <w:rPr>
                <w:rFonts w:ascii="Calibri" w:eastAsia="Times New Roman" w:hAnsi="Calibri" w:cs="Times New Roman"/>
                <w:color w:val="000000"/>
                <w:sz w:val="16"/>
                <w:szCs w:val="16"/>
                <w:lang w:eastAsia="en-GB"/>
              </w:rPr>
            </w:pPr>
            <w:r w:rsidRPr="00BF4D81">
              <w:rPr>
                <w:rFonts w:ascii="Calibri" w:eastAsia="Times New Roman" w:hAnsi="Calibri" w:cs="Times New Roman"/>
                <w:color w:val="000000"/>
                <w:sz w:val="16"/>
                <w:szCs w:val="16"/>
                <w:lang w:eastAsia="en-GB"/>
              </w:rPr>
              <w:t>280</w:t>
            </w:r>
          </w:p>
        </w:tc>
        <w:tc>
          <w:tcPr>
            <w:tcW w:w="276" w:type="pct"/>
            <w:tcBorders>
              <w:top w:val="nil"/>
              <w:left w:val="nil"/>
              <w:bottom w:val="single" w:sz="4" w:space="0" w:color="auto"/>
              <w:right w:val="single" w:sz="4" w:space="0" w:color="auto"/>
            </w:tcBorders>
            <w:shd w:val="clear" w:color="000000" w:fill="EBF1DE"/>
            <w:noWrap/>
            <w:vAlign w:val="center"/>
            <w:hideMark/>
          </w:tcPr>
          <w:p w:rsidR="00BF4D81" w:rsidRPr="00BF4D81" w:rsidRDefault="00BF4D81" w:rsidP="00BF4D81">
            <w:pPr>
              <w:spacing w:after="0" w:line="240" w:lineRule="auto"/>
              <w:jc w:val="center"/>
              <w:rPr>
                <w:rFonts w:ascii="Calibri" w:eastAsia="Times New Roman" w:hAnsi="Calibri" w:cs="Times New Roman"/>
                <w:color w:val="000000"/>
                <w:sz w:val="16"/>
                <w:szCs w:val="16"/>
                <w:lang w:eastAsia="en-GB"/>
              </w:rPr>
            </w:pPr>
            <w:r w:rsidRPr="00BF4D81">
              <w:rPr>
                <w:rFonts w:ascii="Calibri" w:eastAsia="Times New Roman" w:hAnsi="Calibri" w:cs="Times New Roman"/>
                <w:color w:val="000000"/>
                <w:sz w:val="16"/>
                <w:szCs w:val="16"/>
                <w:lang w:eastAsia="en-GB"/>
              </w:rPr>
              <w:t>1.8%</w:t>
            </w:r>
          </w:p>
        </w:tc>
        <w:tc>
          <w:tcPr>
            <w:tcW w:w="298" w:type="pct"/>
            <w:tcBorders>
              <w:top w:val="nil"/>
              <w:left w:val="nil"/>
              <w:bottom w:val="single" w:sz="4" w:space="0" w:color="auto"/>
              <w:right w:val="single" w:sz="4" w:space="0" w:color="auto"/>
            </w:tcBorders>
            <w:shd w:val="clear" w:color="auto" w:fill="auto"/>
            <w:noWrap/>
            <w:vAlign w:val="center"/>
            <w:hideMark/>
          </w:tcPr>
          <w:p w:rsidR="00BF4D81" w:rsidRPr="00BF4D81" w:rsidRDefault="00BF4D81" w:rsidP="00BF4D81">
            <w:pPr>
              <w:spacing w:after="0" w:line="240" w:lineRule="auto"/>
              <w:jc w:val="center"/>
              <w:rPr>
                <w:rFonts w:ascii="Calibri" w:eastAsia="Times New Roman" w:hAnsi="Calibri" w:cs="Times New Roman"/>
                <w:color w:val="000000"/>
                <w:sz w:val="16"/>
                <w:szCs w:val="16"/>
                <w:lang w:eastAsia="en-GB"/>
              </w:rPr>
            </w:pPr>
            <w:r w:rsidRPr="00BF4D81">
              <w:rPr>
                <w:rFonts w:ascii="Calibri" w:eastAsia="Times New Roman" w:hAnsi="Calibri" w:cs="Times New Roman"/>
                <w:color w:val="000000"/>
                <w:sz w:val="16"/>
                <w:szCs w:val="16"/>
                <w:lang w:eastAsia="en-GB"/>
              </w:rPr>
              <w:t>347,144</w:t>
            </w:r>
          </w:p>
        </w:tc>
        <w:tc>
          <w:tcPr>
            <w:tcW w:w="256" w:type="pct"/>
            <w:tcBorders>
              <w:top w:val="nil"/>
              <w:left w:val="nil"/>
              <w:bottom w:val="single" w:sz="4" w:space="0" w:color="auto"/>
              <w:right w:val="single" w:sz="4" w:space="0" w:color="auto"/>
            </w:tcBorders>
            <w:shd w:val="clear" w:color="auto" w:fill="auto"/>
            <w:noWrap/>
            <w:vAlign w:val="center"/>
            <w:hideMark/>
          </w:tcPr>
          <w:p w:rsidR="00BF4D81" w:rsidRPr="00BF4D81" w:rsidRDefault="00BF4D81" w:rsidP="00BF4D81">
            <w:pPr>
              <w:spacing w:after="0" w:line="240" w:lineRule="auto"/>
              <w:jc w:val="center"/>
              <w:rPr>
                <w:rFonts w:ascii="Calibri" w:eastAsia="Times New Roman" w:hAnsi="Calibri" w:cs="Times New Roman"/>
                <w:color w:val="000000"/>
                <w:sz w:val="16"/>
                <w:szCs w:val="16"/>
                <w:lang w:eastAsia="en-GB"/>
              </w:rPr>
            </w:pPr>
            <w:r w:rsidRPr="00BF4D81">
              <w:rPr>
                <w:rFonts w:ascii="Calibri" w:eastAsia="Times New Roman" w:hAnsi="Calibri" w:cs="Times New Roman"/>
                <w:color w:val="000000"/>
                <w:sz w:val="16"/>
                <w:szCs w:val="16"/>
                <w:lang w:eastAsia="en-GB"/>
              </w:rPr>
              <w:t>6.3%</w:t>
            </w:r>
          </w:p>
        </w:tc>
      </w:tr>
      <w:tr w:rsidR="00C37A76" w:rsidRPr="00BF4D81" w:rsidTr="0085747D">
        <w:trPr>
          <w:trHeight w:val="300"/>
        </w:trPr>
        <w:tc>
          <w:tcPr>
            <w:tcW w:w="598" w:type="pct"/>
            <w:tcBorders>
              <w:top w:val="nil"/>
              <w:left w:val="single" w:sz="4" w:space="0" w:color="auto"/>
              <w:bottom w:val="single" w:sz="4" w:space="0" w:color="auto"/>
              <w:right w:val="single" w:sz="4" w:space="0" w:color="auto"/>
            </w:tcBorders>
            <w:shd w:val="clear" w:color="auto" w:fill="auto"/>
            <w:noWrap/>
            <w:vAlign w:val="center"/>
            <w:hideMark/>
          </w:tcPr>
          <w:p w:rsidR="00BF4D81" w:rsidRPr="00BF4D81" w:rsidRDefault="00BF4D81" w:rsidP="00BF4D81">
            <w:pPr>
              <w:spacing w:after="0" w:line="240" w:lineRule="auto"/>
              <w:jc w:val="center"/>
              <w:rPr>
                <w:rFonts w:ascii="Calibri" w:eastAsia="Times New Roman" w:hAnsi="Calibri" w:cs="Times New Roman"/>
                <w:color w:val="000000"/>
                <w:sz w:val="16"/>
                <w:szCs w:val="16"/>
                <w:lang w:eastAsia="en-GB"/>
              </w:rPr>
            </w:pPr>
            <w:r w:rsidRPr="00BF4D81">
              <w:rPr>
                <w:rFonts w:ascii="Calibri" w:eastAsia="Times New Roman" w:hAnsi="Calibri" w:cs="Times New Roman"/>
                <w:color w:val="000000"/>
                <w:sz w:val="16"/>
                <w:szCs w:val="16"/>
                <w:lang w:eastAsia="en-GB"/>
              </w:rPr>
              <w:t>Fraction of mortality attributable to particulate air pollution (no statistical significance calculated for this indicator)</w:t>
            </w:r>
          </w:p>
        </w:tc>
        <w:tc>
          <w:tcPr>
            <w:tcW w:w="214" w:type="pct"/>
            <w:tcBorders>
              <w:top w:val="nil"/>
              <w:left w:val="nil"/>
              <w:bottom w:val="single" w:sz="4" w:space="0" w:color="auto"/>
              <w:right w:val="single" w:sz="4" w:space="0" w:color="auto"/>
            </w:tcBorders>
            <w:shd w:val="clear" w:color="auto" w:fill="auto"/>
            <w:noWrap/>
            <w:vAlign w:val="center"/>
            <w:hideMark/>
          </w:tcPr>
          <w:p w:rsidR="00BF4D81" w:rsidRPr="00BF4D81" w:rsidRDefault="00BF4D81" w:rsidP="00BF4D81">
            <w:pPr>
              <w:spacing w:after="0" w:line="240" w:lineRule="auto"/>
              <w:jc w:val="center"/>
              <w:rPr>
                <w:rFonts w:ascii="Calibri" w:eastAsia="Times New Roman" w:hAnsi="Calibri" w:cs="Times New Roman"/>
                <w:color w:val="000000"/>
                <w:sz w:val="16"/>
                <w:szCs w:val="16"/>
                <w:lang w:eastAsia="en-GB"/>
              </w:rPr>
            </w:pPr>
            <w:r w:rsidRPr="00BF4D81">
              <w:rPr>
                <w:rFonts w:ascii="Calibri" w:eastAsia="Times New Roman" w:hAnsi="Calibri" w:cs="Times New Roman"/>
                <w:color w:val="000000"/>
                <w:sz w:val="16"/>
                <w:szCs w:val="16"/>
                <w:lang w:eastAsia="en-GB"/>
              </w:rPr>
              <w:t>2017</w:t>
            </w:r>
          </w:p>
        </w:tc>
        <w:tc>
          <w:tcPr>
            <w:tcW w:w="256" w:type="pct"/>
            <w:tcBorders>
              <w:top w:val="nil"/>
              <w:left w:val="nil"/>
              <w:bottom w:val="single" w:sz="4" w:space="0" w:color="auto"/>
              <w:right w:val="single" w:sz="4" w:space="0" w:color="auto"/>
            </w:tcBorders>
            <w:shd w:val="clear" w:color="auto" w:fill="auto"/>
            <w:noWrap/>
            <w:vAlign w:val="center"/>
            <w:hideMark/>
          </w:tcPr>
          <w:p w:rsidR="00BF4D81" w:rsidRPr="00BF4D81" w:rsidRDefault="00BF4D81" w:rsidP="00BF4D81">
            <w:pPr>
              <w:spacing w:after="0" w:line="240" w:lineRule="auto"/>
              <w:jc w:val="center"/>
              <w:rPr>
                <w:rFonts w:ascii="Calibri" w:eastAsia="Times New Roman" w:hAnsi="Calibri" w:cs="Times New Roman"/>
                <w:color w:val="000000"/>
                <w:sz w:val="16"/>
                <w:szCs w:val="16"/>
                <w:lang w:eastAsia="en-GB"/>
              </w:rPr>
            </w:pPr>
            <w:r w:rsidRPr="00BF4D81">
              <w:rPr>
                <w:rFonts w:ascii="Calibri" w:eastAsia="Times New Roman" w:hAnsi="Calibri" w:cs="Times New Roman"/>
                <w:color w:val="000000"/>
                <w:sz w:val="16"/>
                <w:szCs w:val="16"/>
                <w:lang w:eastAsia="en-GB"/>
              </w:rPr>
              <w:t>-</w:t>
            </w:r>
          </w:p>
        </w:tc>
        <w:tc>
          <w:tcPr>
            <w:tcW w:w="257" w:type="pct"/>
            <w:tcBorders>
              <w:top w:val="nil"/>
              <w:left w:val="nil"/>
              <w:bottom w:val="single" w:sz="4" w:space="0" w:color="auto"/>
              <w:right w:val="single" w:sz="4" w:space="0" w:color="auto"/>
            </w:tcBorders>
            <w:shd w:val="clear" w:color="auto" w:fill="auto"/>
            <w:noWrap/>
            <w:vAlign w:val="center"/>
            <w:hideMark/>
          </w:tcPr>
          <w:p w:rsidR="00BF4D81" w:rsidRPr="00BF4D81" w:rsidRDefault="00BF4D81" w:rsidP="00BF4D81">
            <w:pPr>
              <w:spacing w:after="0" w:line="240" w:lineRule="auto"/>
              <w:jc w:val="center"/>
              <w:rPr>
                <w:rFonts w:ascii="Calibri" w:eastAsia="Times New Roman" w:hAnsi="Calibri" w:cs="Times New Roman"/>
                <w:color w:val="000000"/>
                <w:sz w:val="16"/>
                <w:szCs w:val="16"/>
                <w:lang w:eastAsia="en-GB"/>
              </w:rPr>
            </w:pPr>
            <w:r w:rsidRPr="00BF4D81">
              <w:rPr>
                <w:rFonts w:ascii="Calibri" w:eastAsia="Times New Roman" w:hAnsi="Calibri" w:cs="Times New Roman"/>
                <w:color w:val="000000"/>
                <w:sz w:val="16"/>
                <w:szCs w:val="16"/>
                <w:lang w:eastAsia="en-GB"/>
              </w:rPr>
              <w:t>5.4%</w:t>
            </w:r>
          </w:p>
        </w:tc>
        <w:tc>
          <w:tcPr>
            <w:tcW w:w="256" w:type="pct"/>
            <w:tcBorders>
              <w:top w:val="nil"/>
              <w:left w:val="nil"/>
              <w:bottom w:val="single" w:sz="4" w:space="0" w:color="auto"/>
              <w:right w:val="single" w:sz="4" w:space="0" w:color="auto"/>
            </w:tcBorders>
            <w:shd w:val="clear" w:color="auto" w:fill="auto"/>
            <w:noWrap/>
            <w:vAlign w:val="center"/>
            <w:hideMark/>
          </w:tcPr>
          <w:p w:rsidR="00BF4D81" w:rsidRPr="00BF4D81" w:rsidRDefault="00BF4D81" w:rsidP="00BF4D81">
            <w:pPr>
              <w:spacing w:after="0" w:line="240" w:lineRule="auto"/>
              <w:jc w:val="center"/>
              <w:rPr>
                <w:rFonts w:ascii="Calibri" w:eastAsia="Times New Roman" w:hAnsi="Calibri" w:cs="Times New Roman"/>
                <w:color w:val="000000"/>
                <w:sz w:val="16"/>
                <w:szCs w:val="16"/>
                <w:lang w:eastAsia="en-GB"/>
              </w:rPr>
            </w:pPr>
            <w:r w:rsidRPr="00BF4D81">
              <w:rPr>
                <w:rFonts w:ascii="Calibri" w:eastAsia="Times New Roman" w:hAnsi="Calibri" w:cs="Times New Roman"/>
                <w:color w:val="000000"/>
                <w:sz w:val="16"/>
                <w:szCs w:val="16"/>
                <w:lang w:eastAsia="en-GB"/>
              </w:rPr>
              <w:t>-</w:t>
            </w:r>
          </w:p>
        </w:tc>
        <w:tc>
          <w:tcPr>
            <w:tcW w:w="257" w:type="pct"/>
            <w:tcBorders>
              <w:top w:val="nil"/>
              <w:left w:val="nil"/>
              <w:bottom w:val="single" w:sz="4" w:space="0" w:color="auto"/>
              <w:right w:val="single" w:sz="4" w:space="0" w:color="auto"/>
            </w:tcBorders>
            <w:shd w:val="clear" w:color="auto" w:fill="auto"/>
            <w:noWrap/>
            <w:vAlign w:val="center"/>
            <w:hideMark/>
          </w:tcPr>
          <w:p w:rsidR="00BF4D81" w:rsidRPr="00BF4D81" w:rsidRDefault="00BF4D81" w:rsidP="00BF4D81">
            <w:pPr>
              <w:spacing w:after="0" w:line="240" w:lineRule="auto"/>
              <w:jc w:val="center"/>
              <w:rPr>
                <w:rFonts w:ascii="Calibri" w:eastAsia="Times New Roman" w:hAnsi="Calibri" w:cs="Times New Roman"/>
                <w:color w:val="000000"/>
                <w:sz w:val="16"/>
                <w:szCs w:val="16"/>
                <w:lang w:eastAsia="en-GB"/>
              </w:rPr>
            </w:pPr>
            <w:r w:rsidRPr="00BF4D81">
              <w:rPr>
                <w:rFonts w:ascii="Calibri" w:eastAsia="Times New Roman" w:hAnsi="Calibri" w:cs="Times New Roman"/>
                <w:color w:val="000000"/>
                <w:sz w:val="16"/>
                <w:szCs w:val="16"/>
                <w:lang w:eastAsia="en-GB"/>
              </w:rPr>
              <w:t>5.3%</w:t>
            </w:r>
          </w:p>
        </w:tc>
        <w:tc>
          <w:tcPr>
            <w:tcW w:w="256" w:type="pct"/>
            <w:tcBorders>
              <w:top w:val="nil"/>
              <w:left w:val="nil"/>
              <w:bottom w:val="single" w:sz="4" w:space="0" w:color="auto"/>
              <w:right w:val="single" w:sz="4" w:space="0" w:color="auto"/>
            </w:tcBorders>
            <w:shd w:val="clear" w:color="auto" w:fill="auto"/>
            <w:noWrap/>
            <w:vAlign w:val="center"/>
            <w:hideMark/>
          </w:tcPr>
          <w:p w:rsidR="00BF4D81" w:rsidRPr="00BF4D81" w:rsidRDefault="00BF4D81" w:rsidP="00BF4D81">
            <w:pPr>
              <w:spacing w:after="0" w:line="240" w:lineRule="auto"/>
              <w:jc w:val="center"/>
              <w:rPr>
                <w:rFonts w:ascii="Calibri" w:eastAsia="Times New Roman" w:hAnsi="Calibri" w:cs="Times New Roman"/>
                <w:color w:val="000000"/>
                <w:sz w:val="16"/>
                <w:szCs w:val="16"/>
                <w:lang w:eastAsia="en-GB"/>
              </w:rPr>
            </w:pPr>
            <w:r w:rsidRPr="00BF4D81">
              <w:rPr>
                <w:rFonts w:ascii="Calibri" w:eastAsia="Times New Roman" w:hAnsi="Calibri" w:cs="Times New Roman"/>
                <w:color w:val="000000"/>
                <w:sz w:val="16"/>
                <w:szCs w:val="16"/>
                <w:lang w:eastAsia="en-GB"/>
              </w:rPr>
              <w:t>-</w:t>
            </w:r>
          </w:p>
        </w:tc>
        <w:tc>
          <w:tcPr>
            <w:tcW w:w="257" w:type="pct"/>
            <w:tcBorders>
              <w:top w:val="nil"/>
              <w:left w:val="nil"/>
              <w:bottom w:val="single" w:sz="4" w:space="0" w:color="auto"/>
              <w:right w:val="single" w:sz="4" w:space="0" w:color="auto"/>
            </w:tcBorders>
            <w:shd w:val="clear" w:color="auto" w:fill="auto"/>
            <w:noWrap/>
            <w:vAlign w:val="center"/>
            <w:hideMark/>
          </w:tcPr>
          <w:p w:rsidR="00BF4D81" w:rsidRPr="00BF4D81" w:rsidRDefault="00BF4D81" w:rsidP="00BF4D81">
            <w:pPr>
              <w:spacing w:after="0" w:line="240" w:lineRule="auto"/>
              <w:jc w:val="center"/>
              <w:rPr>
                <w:rFonts w:ascii="Calibri" w:eastAsia="Times New Roman" w:hAnsi="Calibri" w:cs="Times New Roman"/>
                <w:color w:val="000000"/>
                <w:sz w:val="16"/>
                <w:szCs w:val="16"/>
                <w:lang w:eastAsia="en-GB"/>
              </w:rPr>
            </w:pPr>
            <w:r w:rsidRPr="00BF4D81">
              <w:rPr>
                <w:rFonts w:ascii="Calibri" w:eastAsia="Times New Roman" w:hAnsi="Calibri" w:cs="Times New Roman"/>
                <w:color w:val="000000"/>
                <w:sz w:val="16"/>
                <w:szCs w:val="16"/>
                <w:lang w:eastAsia="en-GB"/>
              </w:rPr>
              <w:t>5.6%</w:t>
            </w:r>
          </w:p>
        </w:tc>
        <w:tc>
          <w:tcPr>
            <w:tcW w:w="256" w:type="pct"/>
            <w:tcBorders>
              <w:top w:val="nil"/>
              <w:left w:val="nil"/>
              <w:bottom w:val="single" w:sz="4" w:space="0" w:color="auto"/>
              <w:right w:val="single" w:sz="4" w:space="0" w:color="auto"/>
            </w:tcBorders>
            <w:shd w:val="clear" w:color="auto" w:fill="auto"/>
            <w:noWrap/>
            <w:vAlign w:val="center"/>
            <w:hideMark/>
          </w:tcPr>
          <w:p w:rsidR="00BF4D81" w:rsidRPr="00BF4D81" w:rsidRDefault="00BF4D81" w:rsidP="00BF4D81">
            <w:pPr>
              <w:spacing w:after="0" w:line="240" w:lineRule="auto"/>
              <w:jc w:val="center"/>
              <w:rPr>
                <w:rFonts w:ascii="Calibri" w:eastAsia="Times New Roman" w:hAnsi="Calibri" w:cs="Times New Roman"/>
                <w:color w:val="000000"/>
                <w:sz w:val="16"/>
                <w:szCs w:val="16"/>
                <w:lang w:eastAsia="en-GB"/>
              </w:rPr>
            </w:pPr>
            <w:r w:rsidRPr="00BF4D81">
              <w:rPr>
                <w:rFonts w:ascii="Calibri" w:eastAsia="Times New Roman" w:hAnsi="Calibri" w:cs="Times New Roman"/>
                <w:color w:val="000000"/>
                <w:sz w:val="16"/>
                <w:szCs w:val="16"/>
                <w:lang w:eastAsia="en-GB"/>
              </w:rPr>
              <w:t>-</w:t>
            </w:r>
          </w:p>
        </w:tc>
        <w:tc>
          <w:tcPr>
            <w:tcW w:w="257" w:type="pct"/>
            <w:tcBorders>
              <w:top w:val="nil"/>
              <w:left w:val="nil"/>
              <w:bottom w:val="single" w:sz="4" w:space="0" w:color="auto"/>
              <w:right w:val="single" w:sz="4" w:space="0" w:color="auto"/>
            </w:tcBorders>
            <w:shd w:val="clear" w:color="auto" w:fill="auto"/>
            <w:noWrap/>
            <w:vAlign w:val="center"/>
            <w:hideMark/>
          </w:tcPr>
          <w:p w:rsidR="00BF4D81" w:rsidRPr="00BF4D81" w:rsidRDefault="00BF4D81" w:rsidP="00BF4D81">
            <w:pPr>
              <w:spacing w:after="0" w:line="240" w:lineRule="auto"/>
              <w:jc w:val="center"/>
              <w:rPr>
                <w:rFonts w:ascii="Calibri" w:eastAsia="Times New Roman" w:hAnsi="Calibri" w:cs="Times New Roman"/>
                <w:color w:val="000000"/>
                <w:sz w:val="16"/>
                <w:szCs w:val="16"/>
                <w:lang w:eastAsia="en-GB"/>
              </w:rPr>
            </w:pPr>
            <w:r w:rsidRPr="00BF4D81">
              <w:rPr>
                <w:rFonts w:ascii="Calibri" w:eastAsia="Times New Roman" w:hAnsi="Calibri" w:cs="Times New Roman"/>
                <w:color w:val="000000"/>
                <w:sz w:val="16"/>
                <w:szCs w:val="16"/>
                <w:lang w:eastAsia="en-GB"/>
              </w:rPr>
              <w:t>5.2%</w:t>
            </w:r>
          </w:p>
        </w:tc>
        <w:tc>
          <w:tcPr>
            <w:tcW w:w="256" w:type="pct"/>
            <w:tcBorders>
              <w:top w:val="nil"/>
              <w:left w:val="nil"/>
              <w:bottom w:val="single" w:sz="4" w:space="0" w:color="auto"/>
              <w:right w:val="single" w:sz="4" w:space="0" w:color="auto"/>
            </w:tcBorders>
            <w:shd w:val="clear" w:color="auto" w:fill="auto"/>
            <w:noWrap/>
            <w:vAlign w:val="center"/>
            <w:hideMark/>
          </w:tcPr>
          <w:p w:rsidR="00BF4D81" w:rsidRPr="00BF4D81" w:rsidRDefault="00BF4D81" w:rsidP="00BF4D81">
            <w:pPr>
              <w:spacing w:after="0" w:line="240" w:lineRule="auto"/>
              <w:jc w:val="center"/>
              <w:rPr>
                <w:rFonts w:ascii="Calibri" w:eastAsia="Times New Roman" w:hAnsi="Calibri" w:cs="Times New Roman"/>
                <w:color w:val="000000"/>
                <w:sz w:val="16"/>
                <w:szCs w:val="16"/>
                <w:lang w:eastAsia="en-GB"/>
              </w:rPr>
            </w:pPr>
            <w:r w:rsidRPr="00BF4D81">
              <w:rPr>
                <w:rFonts w:ascii="Calibri" w:eastAsia="Times New Roman" w:hAnsi="Calibri" w:cs="Times New Roman"/>
                <w:color w:val="000000"/>
                <w:sz w:val="16"/>
                <w:szCs w:val="16"/>
                <w:lang w:eastAsia="en-GB"/>
              </w:rPr>
              <w:t>-</w:t>
            </w:r>
          </w:p>
        </w:tc>
        <w:tc>
          <w:tcPr>
            <w:tcW w:w="257" w:type="pct"/>
            <w:tcBorders>
              <w:top w:val="nil"/>
              <w:left w:val="nil"/>
              <w:bottom w:val="single" w:sz="4" w:space="0" w:color="auto"/>
              <w:right w:val="single" w:sz="4" w:space="0" w:color="auto"/>
            </w:tcBorders>
            <w:shd w:val="clear" w:color="auto" w:fill="auto"/>
            <w:noWrap/>
            <w:vAlign w:val="center"/>
            <w:hideMark/>
          </w:tcPr>
          <w:p w:rsidR="00BF4D81" w:rsidRPr="00BF4D81" w:rsidRDefault="00BF4D81" w:rsidP="00BF4D81">
            <w:pPr>
              <w:spacing w:after="0" w:line="240" w:lineRule="auto"/>
              <w:jc w:val="center"/>
              <w:rPr>
                <w:rFonts w:ascii="Calibri" w:eastAsia="Times New Roman" w:hAnsi="Calibri" w:cs="Times New Roman"/>
                <w:color w:val="000000"/>
                <w:sz w:val="16"/>
                <w:szCs w:val="16"/>
                <w:lang w:eastAsia="en-GB"/>
              </w:rPr>
            </w:pPr>
            <w:r w:rsidRPr="00BF4D81">
              <w:rPr>
                <w:rFonts w:ascii="Calibri" w:eastAsia="Times New Roman" w:hAnsi="Calibri" w:cs="Times New Roman"/>
                <w:color w:val="000000"/>
                <w:sz w:val="16"/>
                <w:szCs w:val="16"/>
                <w:lang w:eastAsia="en-GB"/>
              </w:rPr>
              <w:t>5.1%</w:t>
            </w:r>
          </w:p>
        </w:tc>
        <w:tc>
          <w:tcPr>
            <w:tcW w:w="257" w:type="pct"/>
            <w:tcBorders>
              <w:top w:val="nil"/>
              <w:left w:val="nil"/>
              <w:bottom w:val="single" w:sz="4" w:space="0" w:color="auto"/>
              <w:right w:val="single" w:sz="4" w:space="0" w:color="auto"/>
            </w:tcBorders>
            <w:shd w:val="clear" w:color="auto" w:fill="auto"/>
            <w:noWrap/>
            <w:vAlign w:val="center"/>
            <w:hideMark/>
          </w:tcPr>
          <w:p w:rsidR="00BF4D81" w:rsidRPr="00BF4D81" w:rsidRDefault="00BF4D81" w:rsidP="00BF4D81">
            <w:pPr>
              <w:spacing w:after="0" w:line="240" w:lineRule="auto"/>
              <w:jc w:val="center"/>
              <w:rPr>
                <w:rFonts w:ascii="Calibri" w:eastAsia="Times New Roman" w:hAnsi="Calibri" w:cs="Times New Roman"/>
                <w:color w:val="000000"/>
                <w:sz w:val="16"/>
                <w:szCs w:val="16"/>
                <w:lang w:eastAsia="en-GB"/>
              </w:rPr>
            </w:pPr>
            <w:r w:rsidRPr="00BF4D81">
              <w:rPr>
                <w:rFonts w:ascii="Calibri" w:eastAsia="Times New Roman" w:hAnsi="Calibri" w:cs="Times New Roman"/>
                <w:color w:val="000000"/>
                <w:sz w:val="16"/>
                <w:szCs w:val="16"/>
                <w:lang w:eastAsia="en-GB"/>
              </w:rPr>
              <w:t>-</w:t>
            </w:r>
          </w:p>
        </w:tc>
        <w:tc>
          <w:tcPr>
            <w:tcW w:w="298" w:type="pct"/>
            <w:tcBorders>
              <w:top w:val="nil"/>
              <w:left w:val="nil"/>
              <w:bottom w:val="single" w:sz="4" w:space="0" w:color="auto"/>
              <w:right w:val="single" w:sz="4" w:space="0" w:color="auto"/>
            </w:tcBorders>
            <w:shd w:val="clear" w:color="auto" w:fill="auto"/>
            <w:noWrap/>
            <w:vAlign w:val="center"/>
            <w:hideMark/>
          </w:tcPr>
          <w:p w:rsidR="00BF4D81" w:rsidRPr="00BF4D81" w:rsidRDefault="00BF4D81" w:rsidP="00BF4D81">
            <w:pPr>
              <w:spacing w:after="0" w:line="240" w:lineRule="auto"/>
              <w:jc w:val="center"/>
              <w:rPr>
                <w:rFonts w:ascii="Calibri" w:eastAsia="Times New Roman" w:hAnsi="Calibri" w:cs="Times New Roman"/>
                <w:color w:val="000000"/>
                <w:sz w:val="16"/>
                <w:szCs w:val="16"/>
                <w:lang w:eastAsia="en-GB"/>
              </w:rPr>
            </w:pPr>
            <w:r w:rsidRPr="00BF4D81">
              <w:rPr>
                <w:rFonts w:ascii="Calibri" w:eastAsia="Times New Roman" w:hAnsi="Calibri" w:cs="Times New Roman"/>
                <w:color w:val="000000"/>
                <w:sz w:val="16"/>
                <w:szCs w:val="16"/>
                <w:lang w:eastAsia="en-GB"/>
              </w:rPr>
              <w:t>5.4%</w:t>
            </w:r>
          </w:p>
        </w:tc>
        <w:tc>
          <w:tcPr>
            <w:tcW w:w="238" w:type="pct"/>
            <w:tcBorders>
              <w:top w:val="nil"/>
              <w:left w:val="nil"/>
              <w:bottom w:val="single" w:sz="4" w:space="0" w:color="auto"/>
              <w:right w:val="single" w:sz="4" w:space="0" w:color="auto"/>
            </w:tcBorders>
            <w:shd w:val="clear" w:color="auto" w:fill="auto"/>
            <w:noWrap/>
            <w:vAlign w:val="center"/>
            <w:hideMark/>
          </w:tcPr>
          <w:p w:rsidR="00BF4D81" w:rsidRPr="00BF4D81" w:rsidRDefault="00BF4D81" w:rsidP="00BF4D81">
            <w:pPr>
              <w:spacing w:after="0" w:line="240" w:lineRule="auto"/>
              <w:jc w:val="center"/>
              <w:rPr>
                <w:rFonts w:ascii="Calibri" w:eastAsia="Times New Roman" w:hAnsi="Calibri" w:cs="Times New Roman"/>
                <w:color w:val="000000"/>
                <w:sz w:val="16"/>
                <w:szCs w:val="16"/>
                <w:lang w:eastAsia="en-GB"/>
              </w:rPr>
            </w:pPr>
            <w:r w:rsidRPr="00BF4D81">
              <w:rPr>
                <w:rFonts w:ascii="Calibri" w:eastAsia="Times New Roman" w:hAnsi="Calibri" w:cs="Times New Roman"/>
                <w:color w:val="000000"/>
                <w:sz w:val="16"/>
                <w:szCs w:val="16"/>
                <w:lang w:eastAsia="en-GB"/>
              </w:rPr>
              <w:t>-</w:t>
            </w:r>
          </w:p>
        </w:tc>
        <w:tc>
          <w:tcPr>
            <w:tcW w:w="276" w:type="pct"/>
            <w:tcBorders>
              <w:top w:val="nil"/>
              <w:left w:val="nil"/>
              <w:bottom w:val="single" w:sz="4" w:space="0" w:color="auto"/>
              <w:right w:val="single" w:sz="4" w:space="0" w:color="auto"/>
            </w:tcBorders>
            <w:shd w:val="clear" w:color="auto" w:fill="auto"/>
            <w:noWrap/>
            <w:vAlign w:val="center"/>
            <w:hideMark/>
          </w:tcPr>
          <w:p w:rsidR="00BF4D81" w:rsidRPr="00BF4D81" w:rsidRDefault="00BF4D81" w:rsidP="00BF4D81">
            <w:pPr>
              <w:spacing w:after="0" w:line="240" w:lineRule="auto"/>
              <w:jc w:val="center"/>
              <w:rPr>
                <w:rFonts w:ascii="Calibri" w:eastAsia="Times New Roman" w:hAnsi="Calibri" w:cs="Times New Roman"/>
                <w:color w:val="000000"/>
                <w:sz w:val="16"/>
                <w:szCs w:val="16"/>
                <w:lang w:eastAsia="en-GB"/>
              </w:rPr>
            </w:pPr>
            <w:r w:rsidRPr="00BF4D81">
              <w:rPr>
                <w:rFonts w:ascii="Calibri" w:eastAsia="Times New Roman" w:hAnsi="Calibri" w:cs="Times New Roman"/>
                <w:color w:val="000000"/>
                <w:sz w:val="16"/>
                <w:szCs w:val="16"/>
                <w:lang w:eastAsia="en-GB"/>
              </w:rPr>
              <w:t>5.4%</w:t>
            </w:r>
          </w:p>
        </w:tc>
        <w:tc>
          <w:tcPr>
            <w:tcW w:w="298" w:type="pct"/>
            <w:tcBorders>
              <w:top w:val="nil"/>
              <w:left w:val="nil"/>
              <w:bottom w:val="single" w:sz="4" w:space="0" w:color="auto"/>
              <w:right w:val="single" w:sz="4" w:space="0" w:color="auto"/>
            </w:tcBorders>
            <w:shd w:val="clear" w:color="auto" w:fill="auto"/>
            <w:noWrap/>
            <w:vAlign w:val="center"/>
            <w:hideMark/>
          </w:tcPr>
          <w:p w:rsidR="00BF4D81" w:rsidRPr="00BF4D81" w:rsidRDefault="00BF4D81" w:rsidP="00BF4D81">
            <w:pPr>
              <w:spacing w:after="0" w:line="240" w:lineRule="auto"/>
              <w:jc w:val="center"/>
              <w:rPr>
                <w:rFonts w:ascii="Calibri" w:eastAsia="Times New Roman" w:hAnsi="Calibri" w:cs="Times New Roman"/>
                <w:color w:val="000000"/>
                <w:sz w:val="16"/>
                <w:szCs w:val="16"/>
                <w:lang w:eastAsia="en-GB"/>
              </w:rPr>
            </w:pPr>
            <w:r w:rsidRPr="00BF4D81">
              <w:rPr>
                <w:rFonts w:ascii="Calibri" w:eastAsia="Times New Roman" w:hAnsi="Calibri" w:cs="Times New Roman"/>
                <w:color w:val="000000"/>
                <w:sz w:val="16"/>
                <w:szCs w:val="16"/>
                <w:lang w:eastAsia="en-GB"/>
              </w:rPr>
              <w:t>-</w:t>
            </w:r>
          </w:p>
        </w:tc>
        <w:tc>
          <w:tcPr>
            <w:tcW w:w="256" w:type="pct"/>
            <w:tcBorders>
              <w:top w:val="nil"/>
              <w:left w:val="nil"/>
              <w:bottom w:val="single" w:sz="4" w:space="0" w:color="auto"/>
              <w:right w:val="single" w:sz="4" w:space="0" w:color="auto"/>
            </w:tcBorders>
            <w:shd w:val="clear" w:color="auto" w:fill="auto"/>
            <w:noWrap/>
            <w:vAlign w:val="center"/>
            <w:hideMark/>
          </w:tcPr>
          <w:p w:rsidR="00BF4D81" w:rsidRPr="00BF4D81" w:rsidRDefault="00BF4D81" w:rsidP="00BF4D81">
            <w:pPr>
              <w:spacing w:after="0" w:line="240" w:lineRule="auto"/>
              <w:jc w:val="center"/>
              <w:rPr>
                <w:rFonts w:ascii="Calibri" w:eastAsia="Times New Roman" w:hAnsi="Calibri" w:cs="Times New Roman"/>
                <w:color w:val="000000"/>
                <w:sz w:val="16"/>
                <w:szCs w:val="16"/>
                <w:lang w:eastAsia="en-GB"/>
              </w:rPr>
            </w:pPr>
            <w:r w:rsidRPr="00BF4D81">
              <w:rPr>
                <w:rFonts w:ascii="Calibri" w:eastAsia="Times New Roman" w:hAnsi="Calibri" w:cs="Times New Roman"/>
                <w:color w:val="000000"/>
                <w:sz w:val="16"/>
                <w:szCs w:val="16"/>
                <w:lang w:eastAsia="en-GB"/>
              </w:rPr>
              <w:t>5.1%</w:t>
            </w:r>
          </w:p>
        </w:tc>
      </w:tr>
      <w:tr w:rsidR="00C37A76" w:rsidRPr="00BF4D81" w:rsidTr="0085747D">
        <w:trPr>
          <w:trHeight w:val="300"/>
        </w:trPr>
        <w:tc>
          <w:tcPr>
            <w:tcW w:w="598" w:type="pct"/>
            <w:tcBorders>
              <w:top w:val="nil"/>
              <w:left w:val="single" w:sz="4" w:space="0" w:color="auto"/>
              <w:bottom w:val="single" w:sz="4" w:space="0" w:color="auto"/>
              <w:right w:val="single" w:sz="4" w:space="0" w:color="auto"/>
            </w:tcBorders>
            <w:shd w:val="clear" w:color="auto" w:fill="auto"/>
            <w:noWrap/>
            <w:vAlign w:val="center"/>
            <w:hideMark/>
          </w:tcPr>
          <w:p w:rsidR="00BF4D81" w:rsidRPr="00BF4D81" w:rsidRDefault="00BF4D81" w:rsidP="00BF4D81">
            <w:pPr>
              <w:spacing w:after="0" w:line="240" w:lineRule="auto"/>
              <w:jc w:val="center"/>
              <w:rPr>
                <w:rFonts w:ascii="Calibri" w:eastAsia="Times New Roman" w:hAnsi="Calibri" w:cs="Times New Roman"/>
                <w:color w:val="000000"/>
                <w:sz w:val="16"/>
                <w:szCs w:val="16"/>
                <w:lang w:eastAsia="en-GB"/>
              </w:rPr>
            </w:pPr>
            <w:r w:rsidRPr="00BF4D81">
              <w:rPr>
                <w:rFonts w:ascii="Calibri" w:eastAsia="Times New Roman" w:hAnsi="Calibri" w:cs="Times New Roman"/>
                <w:color w:val="000000"/>
                <w:sz w:val="16"/>
                <w:szCs w:val="16"/>
                <w:lang w:eastAsia="en-GB"/>
              </w:rPr>
              <w:t>Health related quality of life for older people (Mean Score)</w:t>
            </w:r>
          </w:p>
        </w:tc>
        <w:tc>
          <w:tcPr>
            <w:tcW w:w="214" w:type="pct"/>
            <w:tcBorders>
              <w:top w:val="nil"/>
              <w:left w:val="nil"/>
              <w:bottom w:val="single" w:sz="4" w:space="0" w:color="auto"/>
              <w:right w:val="single" w:sz="4" w:space="0" w:color="auto"/>
            </w:tcBorders>
            <w:shd w:val="clear" w:color="auto" w:fill="auto"/>
            <w:noWrap/>
            <w:vAlign w:val="center"/>
            <w:hideMark/>
          </w:tcPr>
          <w:p w:rsidR="00BF4D81" w:rsidRPr="00BF4D81" w:rsidRDefault="00BF4D81" w:rsidP="00BF4D81">
            <w:pPr>
              <w:spacing w:after="0" w:line="240" w:lineRule="auto"/>
              <w:jc w:val="center"/>
              <w:rPr>
                <w:rFonts w:ascii="Calibri" w:eastAsia="Times New Roman" w:hAnsi="Calibri" w:cs="Times New Roman"/>
                <w:color w:val="000000"/>
                <w:sz w:val="16"/>
                <w:szCs w:val="16"/>
                <w:lang w:eastAsia="en-GB"/>
              </w:rPr>
            </w:pPr>
            <w:r w:rsidRPr="00BF4D81">
              <w:rPr>
                <w:rFonts w:ascii="Calibri" w:eastAsia="Times New Roman" w:hAnsi="Calibri" w:cs="Times New Roman"/>
                <w:color w:val="000000"/>
                <w:sz w:val="16"/>
                <w:szCs w:val="16"/>
                <w:lang w:eastAsia="en-GB"/>
              </w:rPr>
              <w:t>2016-17</w:t>
            </w:r>
          </w:p>
        </w:tc>
        <w:tc>
          <w:tcPr>
            <w:tcW w:w="256" w:type="pct"/>
            <w:tcBorders>
              <w:top w:val="nil"/>
              <w:left w:val="nil"/>
              <w:bottom w:val="single" w:sz="4" w:space="0" w:color="auto"/>
              <w:right w:val="single" w:sz="4" w:space="0" w:color="auto"/>
            </w:tcBorders>
            <w:shd w:val="clear" w:color="000000" w:fill="EBF1DE"/>
            <w:noWrap/>
            <w:vAlign w:val="center"/>
            <w:hideMark/>
          </w:tcPr>
          <w:p w:rsidR="00BF4D81" w:rsidRPr="00BF4D81" w:rsidRDefault="00BF4D81" w:rsidP="00BF4D81">
            <w:pPr>
              <w:spacing w:after="0" w:line="240" w:lineRule="auto"/>
              <w:jc w:val="center"/>
              <w:rPr>
                <w:rFonts w:ascii="Calibri" w:eastAsia="Times New Roman" w:hAnsi="Calibri" w:cs="Times New Roman"/>
                <w:color w:val="000000"/>
                <w:sz w:val="16"/>
                <w:szCs w:val="16"/>
                <w:lang w:eastAsia="en-GB"/>
              </w:rPr>
            </w:pPr>
            <w:r w:rsidRPr="00BF4D81">
              <w:rPr>
                <w:rFonts w:ascii="Calibri" w:eastAsia="Times New Roman" w:hAnsi="Calibri" w:cs="Times New Roman"/>
                <w:color w:val="000000"/>
                <w:sz w:val="16"/>
                <w:szCs w:val="16"/>
                <w:lang w:eastAsia="en-GB"/>
              </w:rPr>
              <w:t>-</w:t>
            </w:r>
          </w:p>
        </w:tc>
        <w:tc>
          <w:tcPr>
            <w:tcW w:w="257" w:type="pct"/>
            <w:tcBorders>
              <w:top w:val="nil"/>
              <w:left w:val="nil"/>
              <w:bottom w:val="single" w:sz="4" w:space="0" w:color="auto"/>
              <w:right w:val="single" w:sz="4" w:space="0" w:color="auto"/>
            </w:tcBorders>
            <w:shd w:val="clear" w:color="000000" w:fill="EBF1DE"/>
            <w:noWrap/>
            <w:vAlign w:val="center"/>
            <w:hideMark/>
          </w:tcPr>
          <w:p w:rsidR="00BF4D81" w:rsidRPr="00BF4D81" w:rsidRDefault="00BF4D81" w:rsidP="00BF4D81">
            <w:pPr>
              <w:spacing w:after="0" w:line="240" w:lineRule="auto"/>
              <w:jc w:val="center"/>
              <w:rPr>
                <w:rFonts w:ascii="Calibri" w:eastAsia="Times New Roman" w:hAnsi="Calibri" w:cs="Times New Roman"/>
                <w:color w:val="000000"/>
                <w:sz w:val="16"/>
                <w:szCs w:val="16"/>
                <w:lang w:eastAsia="en-GB"/>
              </w:rPr>
            </w:pPr>
            <w:r w:rsidRPr="00BF4D81">
              <w:rPr>
                <w:rFonts w:ascii="Calibri" w:eastAsia="Times New Roman" w:hAnsi="Calibri" w:cs="Times New Roman"/>
                <w:color w:val="000000"/>
                <w:sz w:val="16"/>
                <w:szCs w:val="16"/>
                <w:lang w:eastAsia="en-GB"/>
              </w:rPr>
              <w:t>0.760</w:t>
            </w:r>
          </w:p>
        </w:tc>
        <w:tc>
          <w:tcPr>
            <w:tcW w:w="256" w:type="pct"/>
            <w:tcBorders>
              <w:top w:val="nil"/>
              <w:left w:val="nil"/>
              <w:bottom w:val="single" w:sz="4" w:space="0" w:color="auto"/>
              <w:right w:val="single" w:sz="4" w:space="0" w:color="auto"/>
            </w:tcBorders>
            <w:shd w:val="clear" w:color="000000" w:fill="FFFF99"/>
            <w:noWrap/>
            <w:vAlign w:val="center"/>
            <w:hideMark/>
          </w:tcPr>
          <w:p w:rsidR="00BF4D81" w:rsidRPr="00BF4D81" w:rsidRDefault="00BF4D81" w:rsidP="00BF4D81">
            <w:pPr>
              <w:spacing w:after="0" w:line="240" w:lineRule="auto"/>
              <w:jc w:val="center"/>
              <w:rPr>
                <w:rFonts w:ascii="Calibri" w:eastAsia="Times New Roman" w:hAnsi="Calibri" w:cs="Times New Roman"/>
                <w:color w:val="000000"/>
                <w:sz w:val="16"/>
                <w:szCs w:val="16"/>
                <w:lang w:eastAsia="en-GB"/>
              </w:rPr>
            </w:pPr>
            <w:r w:rsidRPr="00BF4D81">
              <w:rPr>
                <w:rFonts w:ascii="Calibri" w:eastAsia="Times New Roman" w:hAnsi="Calibri" w:cs="Times New Roman"/>
                <w:color w:val="000000"/>
                <w:sz w:val="16"/>
                <w:szCs w:val="16"/>
                <w:lang w:eastAsia="en-GB"/>
              </w:rPr>
              <w:t>-</w:t>
            </w:r>
          </w:p>
        </w:tc>
        <w:tc>
          <w:tcPr>
            <w:tcW w:w="257" w:type="pct"/>
            <w:tcBorders>
              <w:top w:val="nil"/>
              <w:left w:val="nil"/>
              <w:bottom w:val="single" w:sz="4" w:space="0" w:color="auto"/>
              <w:right w:val="single" w:sz="4" w:space="0" w:color="auto"/>
            </w:tcBorders>
            <w:shd w:val="clear" w:color="000000" w:fill="FFFF99"/>
            <w:noWrap/>
            <w:vAlign w:val="center"/>
            <w:hideMark/>
          </w:tcPr>
          <w:p w:rsidR="00BF4D81" w:rsidRPr="00BF4D81" w:rsidRDefault="00BF4D81" w:rsidP="00BF4D81">
            <w:pPr>
              <w:spacing w:after="0" w:line="240" w:lineRule="auto"/>
              <w:jc w:val="center"/>
              <w:rPr>
                <w:rFonts w:ascii="Calibri" w:eastAsia="Times New Roman" w:hAnsi="Calibri" w:cs="Times New Roman"/>
                <w:color w:val="000000"/>
                <w:sz w:val="16"/>
                <w:szCs w:val="16"/>
                <w:lang w:eastAsia="en-GB"/>
              </w:rPr>
            </w:pPr>
            <w:r w:rsidRPr="00BF4D81">
              <w:rPr>
                <w:rFonts w:ascii="Calibri" w:eastAsia="Times New Roman" w:hAnsi="Calibri" w:cs="Times New Roman"/>
                <w:color w:val="000000"/>
                <w:sz w:val="16"/>
                <w:szCs w:val="16"/>
                <w:lang w:eastAsia="en-GB"/>
              </w:rPr>
              <w:t>0.736</w:t>
            </w:r>
          </w:p>
        </w:tc>
        <w:tc>
          <w:tcPr>
            <w:tcW w:w="256" w:type="pct"/>
            <w:tcBorders>
              <w:top w:val="nil"/>
              <w:left w:val="nil"/>
              <w:bottom w:val="single" w:sz="4" w:space="0" w:color="auto"/>
              <w:right w:val="single" w:sz="4" w:space="0" w:color="auto"/>
            </w:tcBorders>
            <w:shd w:val="clear" w:color="000000" w:fill="EBF1DE"/>
            <w:noWrap/>
            <w:vAlign w:val="center"/>
            <w:hideMark/>
          </w:tcPr>
          <w:p w:rsidR="00BF4D81" w:rsidRPr="00BF4D81" w:rsidRDefault="00BF4D81" w:rsidP="00BF4D81">
            <w:pPr>
              <w:spacing w:after="0" w:line="240" w:lineRule="auto"/>
              <w:jc w:val="center"/>
              <w:rPr>
                <w:rFonts w:ascii="Calibri" w:eastAsia="Times New Roman" w:hAnsi="Calibri" w:cs="Times New Roman"/>
                <w:color w:val="000000"/>
                <w:sz w:val="16"/>
                <w:szCs w:val="16"/>
                <w:lang w:eastAsia="en-GB"/>
              </w:rPr>
            </w:pPr>
            <w:r w:rsidRPr="00BF4D81">
              <w:rPr>
                <w:rFonts w:ascii="Calibri" w:eastAsia="Times New Roman" w:hAnsi="Calibri" w:cs="Times New Roman"/>
                <w:color w:val="000000"/>
                <w:sz w:val="16"/>
                <w:szCs w:val="16"/>
                <w:lang w:eastAsia="en-GB"/>
              </w:rPr>
              <w:t>-</w:t>
            </w:r>
          </w:p>
        </w:tc>
        <w:tc>
          <w:tcPr>
            <w:tcW w:w="257" w:type="pct"/>
            <w:tcBorders>
              <w:top w:val="nil"/>
              <w:left w:val="nil"/>
              <w:bottom w:val="single" w:sz="4" w:space="0" w:color="auto"/>
              <w:right w:val="single" w:sz="4" w:space="0" w:color="auto"/>
            </w:tcBorders>
            <w:shd w:val="clear" w:color="000000" w:fill="EBF1DE"/>
            <w:noWrap/>
            <w:vAlign w:val="center"/>
            <w:hideMark/>
          </w:tcPr>
          <w:p w:rsidR="00BF4D81" w:rsidRPr="00BF4D81" w:rsidRDefault="00BF4D81" w:rsidP="00BF4D81">
            <w:pPr>
              <w:spacing w:after="0" w:line="240" w:lineRule="auto"/>
              <w:jc w:val="center"/>
              <w:rPr>
                <w:rFonts w:ascii="Calibri" w:eastAsia="Times New Roman" w:hAnsi="Calibri" w:cs="Times New Roman"/>
                <w:color w:val="000000"/>
                <w:sz w:val="16"/>
                <w:szCs w:val="16"/>
                <w:lang w:eastAsia="en-GB"/>
              </w:rPr>
            </w:pPr>
            <w:r w:rsidRPr="00BF4D81">
              <w:rPr>
                <w:rFonts w:ascii="Calibri" w:eastAsia="Times New Roman" w:hAnsi="Calibri" w:cs="Times New Roman"/>
                <w:color w:val="000000"/>
                <w:sz w:val="16"/>
                <w:szCs w:val="16"/>
                <w:lang w:eastAsia="en-GB"/>
              </w:rPr>
              <w:t>0.767</w:t>
            </w:r>
          </w:p>
        </w:tc>
        <w:tc>
          <w:tcPr>
            <w:tcW w:w="256" w:type="pct"/>
            <w:tcBorders>
              <w:top w:val="nil"/>
              <w:left w:val="nil"/>
              <w:bottom w:val="single" w:sz="4" w:space="0" w:color="auto"/>
              <w:right w:val="single" w:sz="4" w:space="0" w:color="auto"/>
            </w:tcBorders>
            <w:shd w:val="clear" w:color="000000" w:fill="EBF1DE"/>
            <w:noWrap/>
            <w:vAlign w:val="center"/>
            <w:hideMark/>
          </w:tcPr>
          <w:p w:rsidR="00BF4D81" w:rsidRPr="00BF4D81" w:rsidRDefault="00BF4D81" w:rsidP="00BF4D81">
            <w:pPr>
              <w:spacing w:after="0" w:line="240" w:lineRule="auto"/>
              <w:jc w:val="center"/>
              <w:rPr>
                <w:rFonts w:ascii="Calibri" w:eastAsia="Times New Roman" w:hAnsi="Calibri" w:cs="Times New Roman"/>
                <w:color w:val="000000"/>
                <w:sz w:val="16"/>
                <w:szCs w:val="16"/>
                <w:lang w:eastAsia="en-GB"/>
              </w:rPr>
            </w:pPr>
            <w:r w:rsidRPr="00BF4D81">
              <w:rPr>
                <w:rFonts w:ascii="Calibri" w:eastAsia="Times New Roman" w:hAnsi="Calibri" w:cs="Times New Roman"/>
                <w:color w:val="000000"/>
                <w:sz w:val="16"/>
                <w:szCs w:val="16"/>
                <w:lang w:eastAsia="en-GB"/>
              </w:rPr>
              <w:t>-</w:t>
            </w:r>
          </w:p>
        </w:tc>
        <w:tc>
          <w:tcPr>
            <w:tcW w:w="257" w:type="pct"/>
            <w:tcBorders>
              <w:top w:val="nil"/>
              <w:left w:val="nil"/>
              <w:bottom w:val="single" w:sz="4" w:space="0" w:color="auto"/>
              <w:right w:val="single" w:sz="4" w:space="0" w:color="auto"/>
            </w:tcBorders>
            <w:shd w:val="clear" w:color="000000" w:fill="EBF1DE"/>
            <w:noWrap/>
            <w:vAlign w:val="center"/>
            <w:hideMark/>
          </w:tcPr>
          <w:p w:rsidR="00BF4D81" w:rsidRPr="00BF4D81" w:rsidRDefault="00BF4D81" w:rsidP="00BF4D81">
            <w:pPr>
              <w:spacing w:after="0" w:line="240" w:lineRule="auto"/>
              <w:jc w:val="center"/>
              <w:rPr>
                <w:rFonts w:ascii="Calibri" w:eastAsia="Times New Roman" w:hAnsi="Calibri" w:cs="Times New Roman"/>
                <w:color w:val="000000"/>
                <w:sz w:val="16"/>
                <w:szCs w:val="16"/>
                <w:lang w:eastAsia="en-GB"/>
              </w:rPr>
            </w:pPr>
            <w:r w:rsidRPr="00BF4D81">
              <w:rPr>
                <w:rFonts w:ascii="Calibri" w:eastAsia="Times New Roman" w:hAnsi="Calibri" w:cs="Times New Roman"/>
                <w:color w:val="000000"/>
                <w:sz w:val="16"/>
                <w:szCs w:val="16"/>
                <w:lang w:eastAsia="en-GB"/>
              </w:rPr>
              <w:t>0.769</w:t>
            </w:r>
          </w:p>
        </w:tc>
        <w:tc>
          <w:tcPr>
            <w:tcW w:w="256" w:type="pct"/>
            <w:tcBorders>
              <w:top w:val="nil"/>
              <w:left w:val="nil"/>
              <w:bottom w:val="single" w:sz="4" w:space="0" w:color="auto"/>
              <w:right w:val="single" w:sz="4" w:space="0" w:color="auto"/>
            </w:tcBorders>
            <w:shd w:val="clear" w:color="000000" w:fill="FFFF99"/>
            <w:noWrap/>
            <w:vAlign w:val="center"/>
            <w:hideMark/>
          </w:tcPr>
          <w:p w:rsidR="00BF4D81" w:rsidRPr="00BF4D81" w:rsidRDefault="00BF4D81" w:rsidP="00BF4D81">
            <w:pPr>
              <w:spacing w:after="0" w:line="240" w:lineRule="auto"/>
              <w:jc w:val="center"/>
              <w:rPr>
                <w:rFonts w:ascii="Calibri" w:eastAsia="Times New Roman" w:hAnsi="Calibri" w:cs="Times New Roman"/>
                <w:color w:val="000000"/>
                <w:sz w:val="16"/>
                <w:szCs w:val="16"/>
                <w:lang w:eastAsia="en-GB"/>
              </w:rPr>
            </w:pPr>
            <w:r w:rsidRPr="00BF4D81">
              <w:rPr>
                <w:rFonts w:ascii="Calibri" w:eastAsia="Times New Roman" w:hAnsi="Calibri" w:cs="Times New Roman"/>
                <w:color w:val="000000"/>
                <w:sz w:val="16"/>
                <w:szCs w:val="16"/>
                <w:lang w:eastAsia="en-GB"/>
              </w:rPr>
              <w:t>-</w:t>
            </w:r>
          </w:p>
        </w:tc>
        <w:tc>
          <w:tcPr>
            <w:tcW w:w="257" w:type="pct"/>
            <w:tcBorders>
              <w:top w:val="nil"/>
              <w:left w:val="nil"/>
              <w:bottom w:val="single" w:sz="4" w:space="0" w:color="auto"/>
              <w:right w:val="single" w:sz="4" w:space="0" w:color="auto"/>
            </w:tcBorders>
            <w:shd w:val="clear" w:color="000000" w:fill="FFFF99"/>
            <w:noWrap/>
            <w:vAlign w:val="center"/>
            <w:hideMark/>
          </w:tcPr>
          <w:p w:rsidR="00BF4D81" w:rsidRPr="00BF4D81" w:rsidRDefault="00BF4D81" w:rsidP="00BF4D81">
            <w:pPr>
              <w:spacing w:after="0" w:line="240" w:lineRule="auto"/>
              <w:jc w:val="center"/>
              <w:rPr>
                <w:rFonts w:ascii="Calibri" w:eastAsia="Times New Roman" w:hAnsi="Calibri" w:cs="Times New Roman"/>
                <w:color w:val="000000"/>
                <w:sz w:val="16"/>
                <w:szCs w:val="16"/>
                <w:lang w:eastAsia="en-GB"/>
              </w:rPr>
            </w:pPr>
            <w:r w:rsidRPr="00BF4D81">
              <w:rPr>
                <w:rFonts w:ascii="Calibri" w:eastAsia="Times New Roman" w:hAnsi="Calibri" w:cs="Times New Roman"/>
                <w:color w:val="000000"/>
                <w:sz w:val="16"/>
                <w:szCs w:val="16"/>
                <w:lang w:eastAsia="en-GB"/>
              </w:rPr>
              <w:t>0.727</w:t>
            </w:r>
          </w:p>
        </w:tc>
        <w:tc>
          <w:tcPr>
            <w:tcW w:w="257" w:type="pct"/>
            <w:tcBorders>
              <w:top w:val="nil"/>
              <w:left w:val="nil"/>
              <w:bottom w:val="single" w:sz="4" w:space="0" w:color="auto"/>
              <w:right w:val="single" w:sz="4" w:space="0" w:color="auto"/>
            </w:tcBorders>
            <w:shd w:val="clear" w:color="000000" w:fill="EBF1DE"/>
            <w:noWrap/>
            <w:vAlign w:val="center"/>
            <w:hideMark/>
          </w:tcPr>
          <w:p w:rsidR="00BF4D81" w:rsidRPr="00BF4D81" w:rsidRDefault="00BF4D81" w:rsidP="00BF4D81">
            <w:pPr>
              <w:spacing w:after="0" w:line="240" w:lineRule="auto"/>
              <w:jc w:val="center"/>
              <w:rPr>
                <w:rFonts w:ascii="Calibri" w:eastAsia="Times New Roman" w:hAnsi="Calibri" w:cs="Times New Roman"/>
                <w:color w:val="000000"/>
                <w:sz w:val="16"/>
                <w:szCs w:val="16"/>
                <w:lang w:eastAsia="en-GB"/>
              </w:rPr>
            </w:pPr>
            <w:r w:rsidRPr="00BF4D81">
              <w:rPr>
                <w:rFonts w:ascii="Calibri" w:eastAsia="Times New Roman" w:hAnsi="Calibri" w:cs="Times New Roman"/>
                <w:color w:val="000000"/>
                <w:sz w:val="16"/>
                <w:szCs w:val="16"/>
                <w:lang w:eastAsia="en-GB"/>
              </w:rPr>
              <w:t>-</w:t>
            </w:r>
          </w:p>
        </w:tc>
        <w:tc>
          <w:tcPr>
            <w:tcW w:w="298" w:type="pct"/>
            <w:tcBorders>
              <w:top w:val="nil"/>
              <w:left w:val="nil"/>
              <w:bottom w:val="single" w:sz="4" w:space="0" w:color="auto"/>
              <w:right w:val="single" w:sz="4" w:space="0" w:color="auto"/>
            </w:tcBorders>
            <w:shd w:val="clear" w:color="000000" w:fill="EBF1DE"/>
            <w:noWrap/>
            <w:vAlign w:val="center"/>
            <w:hideMark/>
          </w:tcPr>
          <w:p w:rsidR="00BF4D81" w:rsidRPr="00BF4D81" w:rsidRDefault="00BF4D81" w:rsidP="00BF4D81">
            <w:pPr>
              <w:spacing w:after="0" w:line="240" w:lineRule="auto"/>
              <w:jc w:val="center"/>
              <w:rPr>
                <w:rFonts w:ascii="Calibri" w:eastAsia="Times New Roman" w:hAnsi="Calibri" w:cs="Times New Roman"/>
                <w:color w:val="000000"/>
                <w:sz w:val="16"/>
                <w:szCs w:val="16"/>
                <w:lang w:eastAsia="en-GB"/>
              </w:rPr>
            </w:pPr>
            <w:r w:rsidRPr="00BF4D81">
              <w:rPr>
                <w:rFonts w:ascii="Calibri" w:eastAsia="Times New Roman" w:hAnsi="Calibri" w:cs="Times New Roman"/>
                <w:color w:val="000000"/>
                <w:sz w:val="16"/>
                <w:szCs w:val="16"/>
                <w:lang w:eastAsia="en-GB"/>
              </w:rPr>
              <w:t>0.761</w:t>
            </w:r>
          </w:p>
        </w:tc>
        <w:tc>
          <w:tcPr>
            <w:tcW w:w="238" w:type="pct"/>
            <w:tcBorders>
              <w:top w:val="nil"/>
              <w:left w:val="nil"/>
              <w:bottom w:val="single" w:sz="4" w:space="0" w:color="auto"/>
              <w:right w:val="single" w:sz="4" w:space="0" w:color="auto"/>
            </w:tcBorders>
            <w:shd w:val="clear" w:color="000000" w:fill="EBF1DE"/>
            <w:noWrap/>
            <w:vAlign w:val="center"/>
            <w:hideMark/>
          </w:tcPr>
          <w:p w:rsidR="00BF4D81" w:rsidRPr="00BF4D81" w:rsidRDefault="00BF4D81" w:rsidP="00BF4D81">
            <w:pPr>
              <w:spacing w:after="0" w:line="240" w:lineRule="auto"/>
              <w:jc w:val="center"/>
              <w:rPr>
                <w:rFonts w:ascii="Calibri" w:eastAsia="Times New Roman" w:hAnsi="Calibri" w:cs="Times New Roman"/>
                <w:color w:val="000000"/>
                <w:sz w:val="16"/>
                <w:szCs w:val="16"/>
                <w:lang w:eastAsia="en-GB"/>
              </w:rPr>
            </w:pPr>
            <w:r w:rsidRPr="00BF4D81">
              <w:rPr>
                <w:rFonts w:ascii="Calibri" w:eastAsia="Times New Roman" w:hAnsi="Calibri" w:cs="Times New Roman"/>
                <w:color w:val="000000"/>
                <w:sz w:val="16"/>
                <w:szCs w:val="16"/>
                <w:lang w:eastAsia="en-GB"/>
              </w:rPr>
              <w:t>-</w:t>
            </w:r>
          </w:p>
        </w:tc>
        <w:tc>
          <w:tcPr>
            <w:tcW w:w="276" w:type="pct"/>
            <w:tcBorders>
              <w:top w:val="nil"/>
              <w:left w:val="nil"/>
              <w:bottom w:val="single" w:sz="4" w:space="0" w:color="auto"/>
              <w:right w:val="single" w:sz="4" w:space="0" w:color="auto"/>
            </w:tcBorders>
            <w:shd w:val="clear" w:color="000000" w:fill="EBF1DE"/>
            <w:noWrap/>
            <w:vAlign w:val="center"/>
            <w:hideMark/>
          </w:tcPr>
          <w:p w:rsidR="00BF4D81" w:rsidRPr="00BF4D81" w:rsidRDefault="00BF4D81" w:rsidP="00BF4D81">
            <w:pPr>
              <w:spacing w:after="0" w:line="240" w:lineRule="auto"/>
              <w:jc w:val="center"/>
              <w:rPr>
                <w:rFonts w:ascii="Calibri" w:eastAsia="Times New Roman" w:hAnsi="Calibri" w:cs="Times New Roman"/>
                <w:color w:val="000000"/>
                <w:sz w:val="16"/>
                <w:szCs w:val="16"/>
                <w:lang w:eastAsia="en-GB"/>
              </w:rPr>
            </w:pPr>
            <w:r w:rsidRPr="00BF4D81">
              <w:rPr>
                <w:rFonts w:ascii="Calibri" w:eastAsia="Times New Roman" w:hAnsi="Calibri" w:cs="Times New Roman"/>
                <w:color w:val="000000"/>
                <w:sz w:val="16"/>
                <w:szCs w:val="16"/>
                <w:lang w:eastAsia="en-GB"/>
              </w:rPr>
              <w:t>0.772</w:t>
            </w:r>
          </w:p>
        </w:tc>
        <w:tc>
          <w:tcPr>
            <w:tcW w:w="298" w:type="pct"/>
            <w:tcBorders>
              <w:top w:val="nil"/>
              <w:left w:val="nil"/>
              <w:bottom w:val="single" w:sz="4" w:space="0" w:color="auto"/>
              <w:right w:val="single" w:sz="4" w:space="0" w:color="auto"/>
            </w:tcBorders>
            <w:shd w:val="clear" w:color="auto" w:fill="auto"/>
            <w:noWrap/>
            <w:vAlign w:val="center"/>
            <w:hideMark/>
          </w:tcPr>
          <w:p w:rsidR="00BF4D81" w:rsidRPr="00BF4D81" w:rsidRDefault="00BF4D81" w:rsidP="00BF4D81">
            <w:pPr>
              <w:spacing w:after="0" w:line="240" w:lineRule="auto"/>
              <w:jc w:val="center"/>
              <w:rPr>
                <w:rFonts w:ascii="Calibri" w:eastAsia="Times New Roman" w:hAnsi="Calibri" w:cs="Times New Roman"/>
                <w:color w:val="000000"/>
                <w:sz w:val="16"/>
                <w:szCs w:val="16"/>
                <w:lang w:eastAsia="en-GB"/>
              </w:rPr>
            </w:pPr>
            <w:r w:rsidRPr="00BF4D81">
              <w:rPr>
                <w:rFonts w:ascii="Calibri" w:eastAsia="Times New Roman" w:hAnsi="Calibri" w:cs="Times New Roman"/>
                <w:color w:val="000000"/>
                <w:sz w:val="16"/>
                <w:szCs w:val="16"/>
                <w:lang w:eastAsia="en-GB"/>
              </w:rPr>
              <w:t>-</w:t>
            </w:r>
          </w:p>
        </w:tc>
        <w:tc>
          <w:tcPr>
            <w:tcW w:w="256" w:type="pct"/>
            <w:tcBorders>
              <w:top w:val="nil"/>
              <w:left w:val="nil"/>
              <w:bottom w:val="single" w:sz="4" w:space="0" w:color="auto"/>
              <w:right w:val="single" w:sz="4" w:space="0" w:color="auto"/>
            </w:tcBorders>
            <w:shd w:val="clear" w:color="auto" w:fill="auto"/>
            <w:noWrap/>
            <w:vAlign w:val="center"/>
            <w:hideMark/>
          </w:tcPr>
          <w:p w:rsidR="00BF4D81" w:rsidRPr="00BF4D81" w:rsidRDefault="00BF4D81" w:rsidP="00BF4D81">
            <w:pPr>
              <w:spacing w:after="0" w:line="240" w:lineRule="auto"/>
              <w:jc w:val="center"/>
              <w:rPr>
                <w:rFonts w:ascii="Calibri" w:eastAsia="Times New Roman" w:hAnsi="Calibri" w:cs="Times New Roman"/>
                <w:color w:val="000000"/>
                <w:sz w:val="16"/>
                <w:szCs w:val="16"/>
                <w:lang w:eastAsia="en-GB"/>
              </w:rPr>
            </w:pPr>
            <w:r w:rsidRPr="00BF4D81">
              <w:rPr>
                <w:rFonts w:ascii="Calibri" w:eastAsia="Times New Roman" w:hAnsi="Calibri" w:cs="Times New Roman"/>
                <w:color w:val="000000"/>
                <w:sz w:val="16"/>
                <w:szCs w:val="16"/>
                <w:lang w:eastAsia="en-GB"/>
              </w:rPr>
              <w:t>0.735</w:t>
            </w:r>
          </w:p>
        </w:tc>
      </w:tr>
      <w:tr w:rsidR="00C37A76" w:rsidRPr="00BF4D81" w:rsidTr="0085747D">
        <w:trPr>
          <w:trHeight w:val="300"/>
        </w:trPr>
        <w:tc>
          <w:tcPr>
            <w:tcW w:w="598" w:type="pct"/>
            <w:tcBorders>
              <w:top w:val="nil"/>
              <w:left w:val="single" w:sz="4" w:space="0" w:color="auto"/>
              <w:bottom w:val="single" w:sz="4" w:space="0" w:color="auto"/>
              <w:right w:val="single" w:sz="4" w:space="0" w:color="auto"/>
            </w:tcBorders>
            <w:shd w:val="clear" w:color="auto" w:fill="auto"/>
            <w:noWrap/>
            <w:vAlign w:val="center"/>
            <w:hideMark/>
          </w:tcPr>
          <w:p w:rsidR="00BF4D81" w:rsidRPr="00BF4D81" w:rsidRDefault="00BF4D81" w:rsidP="00BF4D81">
            <w:pPr>
              <w:spacing w:after="0" w:line="240" w:lineRule="auto"/>
              <w:jc w:val="center"/>
              <w:rPr>
                <w:rFonts w:ascii="Calibri" w:eastAsia="Times New Roman" w:hAnsi="Calibri" w:cs="Times New Roman"/>
                <w:color w:val="000000"/>
                <w:sz w:val="16"/>
                <w:szCs w:val="16"/>
                <w:lang w:eastAsia="en-GB"/>
              </w:rPr>
            </w:pPr>
            <w:r w:rsidRPr="00BF4D81">
              <w:rPr>
                <w:rFonts w:ascii="Calibri" w:eastAsia="Times New Roman" w:hAnsi="Calibri" w:cs="Times New Roman"/>
                <w:color w:val="000000"/>
                <w:sz w:val="16"/>
                <w:szCs w:val="16"/>
                <w:lang w:eastAsia="en-GB"/>
              </w:rPr>
              <w:t>IMD score: quality of indoor living environment</w:t>
            </w:r>
          </w:p>
        </w:tc>
        <w:tc>
          <w:tcPr>
            <w:tcW w:w="214" w:type="pct"/>
            <w:tcBorders>
              <w:top w:val="nil"/>
              <w:left w:val="nil"/>
              <w:bottom w:val="single" w:sz="4" w:space="0" w:color="auto"/>
              <w:right w:val="single" w:sz="4" w:space="0" w:color="auto"/>
            </w:tcBorders>
            <w:shd w:val="clear" w:color="auto" w:fill="auto"/>
            <w:noWrap/>
            <w:vAlign w:val="center"/>
            <w:hideMark/>
          </w:tcPr>
          <w:p w:rsidR="00BF4D81" w:rsidRPr="00BF4D81" w:rsidRDefault="00BF4D81" w:rsidP="00BF4D81">
            <w:pPr>
              <w:spacing w:after="0" w:line="240" w:lineRule="auto"/>
              <w:jc w:val="center"/>
              <w:rPr>
                <w:rFonts w:ascii="Calibri" w:eastAsia="Times New Roman" w:hAnsi="Calibri" w:cs="Times New Roman"/>
                <w:color w:val="000000"/>
                <w:sz w:val="16"/>
                <w:szCs w:val="16"/>
                <w:lang w:eastAsia="en-GB"/>
              </w:rPr>
            </w:pPr>
            <w:r w:rsidRPr="00BF4D81">
              <w:rPr>
                <w:rFonts w:ascii="Calibri" w:eastAsia="Times New Roman" w:hAnsi="Calibri" w:cs="Times New Roman"/>
                <w:color w:val="000000"/>
                <w:sz w:val="16"/>
                <w:szCs w:val="16"/>
                <w:lang w:eastAsia="en-GB"/>
              </w:rPr>
              <w:t>2015</w:t>
            </w:r>
          </w:p>
        </w:tc>
        <w:tc>
          <w:tcPr>
            <w:tcW w:w="256" w:type="pct"/>
            <w:tcBorders>
              <w:top w:val="nil"/>
              <w:left w:val="nil"/>
              <w:bottom w:val="single" w:sz="4" w:space="0" w:color="auto"/>
              <w:right w:val="single" w:sz="4" w:space="0" w:color="auto"/>
            </w:tcBorders>
            <w:shd w:val="clear" w:color="auto" w:fill="auto"/>
            <w:noWrap/>
            <w:vAlign w:val="center"/>
            <w:hideMark/>
          </w:tcPr>
          <w:p w:rsidR="00BF4D81" w:rsidRPr="00BF4D81" w:rsidRDefault="00BF4D81" w:rsidP="00BF4D81">
            <w:pPr>
              <w:spacing w:after="0" w:line="240" w:lineRule="auto"/>
              <w:jc w:val="center"/>
              <w:rPr>
                <w:rFonts w:ascii="Calibri" w:eastAsia="Times New Roman" w:hAnsi="Calibri" w:cs="Times New Roman"/>
                <w:color w:val="000000"/>
                <w:sz w:val="16"/>
                <w:szCs w:val="16"/>
                <w:lang w:eastAsia="en-GB"/>
              </w:rPr>
            </w:pPr>
            <w:r w:rsidRPr="00BF4D81">
              <w:rPr>
                <w:rFonts w:ascii="Calibri" w:eastAsia="Times New Roman" w:hAnsi="Calibri" w:cs="Times New Roman"/>
                <w:color w:val="000000"/>
                <w:sz w:val="16"/>
                <w:szCs w:val="16"/>
                <w:lang w:eastAsia="en-GB"/>
              </w:rPr>
              <w:t>-</w:t>
            </w:r>
          </w:p>
        </w:tc>
        <w:tc>
          <w:tcPr>
            <w:tcW w:w="257" w:type="pct"/>
            <w:tcBorders>
              <w:top w:val="nil"/>
              <w:left w:val="nil"/>
              <w:bottom w:val="single" w:sz="4" w:space="0" w:color="auto"/>
              <w:right w:val="single" w:sz="4" w:space="0" w:color="auto"/>
            </w:tcBorders>
            <w:shd w:val="clear" w:color="auto" w:fill="auto"/>
            <w:noWrap/>
            <w:vAlign w:val="center"/>
            <w:hideMark/>
          </w:tcPr>
          <w:p w:rsidR="00BF4D81" w:rsidRPr="00BF4D81" w:rsidRDefault="00BF4D81" w:rsidP="00BF4D81">
            <w:pPr>
              <w:spacing w:after="0" w:line="240" w:lineRule="auto"/>
              <w:jc w:val="center"/>
              <w:rPr>
                <w:rFonts w:ascii="Calibri" w:eastAsia="Times New Roman" w:hAnsi="Calibri" w:cs="Times New Roman"/>
                <w:color w:val="000000"/>
                <w:sz w:val="16"/>
                <w:szCs w:val="16"/>
                <w:lang w:eastAsia="en-GB"/>
              </w:rPr>
            </w:pPr>
            <w:r w:rsidRPr="00BF4D81">
              <w:rPr>
                <w:rFonts w:ascii="Calibri" w:eastAsia="Times New Roman" w:hAnsi="Calibri" w:cs="Times New Roman"/>
                <w:color w:val="000000"/>
                <w:sz w:val="16"/>
                <w:szCs w:val="16"/>
                <w:lang w:eastAsia="en-GB"/>
              </w:rPr>
              <w:t>16.404</w:t>
            </w:r>
          </w:p>
        </w:tc>
        <w:tc>
          <w:tcPr>
            <w:tcW w:w="256" w:type="pct"/>
            <w:tcBorders>
              <w:top w:val="nil"/>
              <w:left w:val="nil"/>
              <w:bottom w:val="single" w:sz="4" w:space="0" w:color="auto"/>
              <w:right w:val="single" w:sz="4" w:space="0" w:color="auto"/>
            </w:tcBorders>
            <w:shd w:val="clear" w:color="auto" w:fill="auto"/>
            <w:noWrap/>
            <w:vAlign w:val="center"/>
            <w:hideMark/>
          </w:tcPr>
          <w:p w:rsidR="00BF4D81" w:rsidRPr="00BF4D81" w:rsidRDefault="00BF4D81" w:rsidP="00BF4D81">
            <w:pPr>
              <w:spacing w:after="0" w:line="240" w:lineRule="auto"/>
              <w:jc w:val="center"/>
              <w:rPr>
                <w:rFonts w:ascii="Calibri" w:eastAsia="Times New Roman" w:hAnsi="Calibri" w:cs="Times New Roman"/>
                <w:color w:val="000000"/>
                <w:sz w:val="16"/>
                <w:szCs w:val="16"/>
                <w:lang w:eastAsia="en-GB"/>
              </w:rPr>
            </w:pPr>
            <w:r w:rsidRPr="00BF4D81">
              <w:rPr>
                <w:rFonts w:ascii="Calibri" w:eastAsia="Times New Roman" w:hAnsi="Calibri" w:cs="Times New Roman"/>
                <w:color w:val="000000"/>
                <w:sz w:val="16"/>
                <w:szCs w:val="16"/>
                <w:lang w:eastAsia="en-GB"/>
              </w:rPr>
              <w:t>-</w:t>
            </w:r>
          </w:p>
        </w:tc>
        <w:tc>
          <w:tcPr>
            <w:tcW w:w="257" w:type="pct"/>
            <w:tcBorders>
              <w:top w:val="nil"/>
              <w:left w:val="nil"/>
              <w:bottom w:val="single" w:sz="4" w:space="0" w:color="auto"/>
              <w:right w:val="single" w:sz="4" w:space="0" w:color="auto"/>
            </w:tcBorders>
            <w:shd w:val="clear" w:color="auto" w:fill="auto"/>
            <w:noWrap/>
            <w:vAlign w:val="center"/>
            <w:hideMark/>
          </w:tcPr>
          <w:p w:rsidR="00BF4D81" w:rsidRPr="00BF4D81" w:rsidRDefault="00BF4D81" w:rsidP="00BF4D81">
            <w:pPr>
              <w:spacing w:after="0" w:line="240" w:lineRule="auto"/>
              <w:jc w:val="center"/>
              <w:rPr>
                <w:rFonts w:ascii="Calibri" w:eastAsia="Times New Roman" w:hAnsi="Calibri" w:cs="Times New Roman"/>
                <w:color w:val="000000"/>
                <w:sz w:val="16"/>
                <w:szCs w:val="16"/>
                <w:lang w:eastAsia="en-GB"/>
              </w:rPr>
            </w:pPr>
            <w:r w:rsidRPr="00BF4D81">
              <w:rPr>
                <w:rFonts w:ascii="Calibri" w:eastAsia="Times New Roman" w:hAnsi="Calibri" w:cs="Times New Roman"/>
                <w:color w:val="000000"/>
                <w:sz w:val="16"/>
                <w:szCs w:val="16"/>
                <w:lang w:eastAsia="en-GB"/>
              </w:rPr>
              <w:t>17.714</w:t>
            </w:r>
          </w:p>
        </w:tc>
        <w:tc>
          <w:tcPr>
            <w:tcW w:w="256" w:type="pct"/>
            <w:tcBorders>
              <w:top w:val="nil"/>
              <w:left w:val="nil"/>
              <w:bottom w:val="single" w:sz="4" w:space="0" w:color="auto"/>
              <w:right w:val="single" w:sz="4" w:space="0" w:color="auto"/>
            </w:tcBorders>
            <w:shd w:val="clear" w:color="auto" w:fill="auto"/>
            <w:noWrap/>
            <w:vAlign w:val="center"/>
            <w:hideMark/>
          </w:tcPr>
          <w:p w:rsidR="00BF4D81" w:rsidRPr="00BF4D81" w:rsidRDefault="00BF4D81" w:rsidP="00BF4D81">
            <w:pPr>
              <w:spacing w:after="0" w:line="240" w:lineRule="auto"/>
              <w:jc w:val="center"/>
              <w:rPr>
                <w:rFonts w:ascii="Calibri" w:eastAsia="Times New Roman" w:hAnsi="Calibri" w:cs="Times New Roman"/>
                <w:color w:val="000000"/>
                <w:sz w:val="16"/>
                <w:szCs w:val="16"/>
                <w:lang w:eastAsia="en-GB"/>
              </w:rPr>
            </w:pPr>
            <w:r w:rsidRPr="00BF4D81">
              <w:rPr>
                <w:rFonts w:ascii="Calibri" w:eastAsia="Times New Roman" w:hAnsi="Calibri" w:cs="Times New Roman"/>
                <w:color w:val="000000"/>
                <w:sz w:val="16"/>
                <w:szCs w:val="16"/>
                <w:lang w:eastAsia="en-GB"/>
              </w:rPr>
              <w:t>-</w:t>
            </w:r>
          </w:p>
        </w:tc>
        <w:tc>
          <w:tcPr>
            <w:tcW w:w="257" w:type="pct"/>
            <w:tcBorders>
              <w:top w:val="nil"/>
              <w:left w:val="nil"/>
              <w:bottom w:val="nil"/>
              <w:right w:val="nil"/>
            </w:tcBorders>
            <w:shd w:val="clear" w:color="auto" w:fill="auto"/>
            <w:noWrap/>
            <w:vAlign w:val="center"/>
            <w:hideMark/>
          </w:tcPr>
          <w:p w:rsidR="00BF4D81" w:rsidRPr="00BF4D81" w:rsidRDefault="00BF4D81" w:rsidP="00BF4D81">
            <w:pPr>
              <w:spacing w:after="0" w:line="240" w:lineRule="auto"/>
              <w:jc w:val="center"/>
              <w:rPr>
                <w:rFonts w:ascii="Calibri" w:eastAsia="Times New Roman" w:hAnsi="Calibri" w:cs="Times New Roman"/>
                <w:color w:val="000000"/>
                <w:sz w:val="16"/>
                <w:szCs w:val="16"/>
                <w:lang w:eastAsia="en-GB"/>
              </w:rPr>
            </w:pPr>
            <w:r w:rsidRPr="00BF4D81">
              <w:rPr>
                <w:rFonts w:ascii="Calibri" w:eastAsia="Times New Roman" w:hAnsi="Calibri" w:cs="Times New Roman"/>
                <w:color w:val="000000"/>
                <w:sz w:val="16"/>
                <w:szCs w:val="16"/>
                <w:lang w:eastAsia="en-GB"/>
              </w:rPr>
              <w:t>31.211</w:t>
            </w:r>
          </w:p>
        </w:tc>
        <w:tc>
          <w:tcPr>
            <w:tcW w:w="256" w:type="pct"/>
            <w:tcBorders>
              <w:top w:val="nil"/>
              <w:left w:val="single" w:sz="4" w:space="0" w:color="auto"/>
              <w:bottom w:val="single" w:sz="4" w:space="0" w:color="auto"/>
              <w:right w:val="single" w:sz="4" w:space="0" w:color="auto"/>
            </w:tcBorders>
            <w:shd w:val="clear" w:color="auto" w:fill="auto"/>
            <w:noWrap/>
            <w:vAlign w:val="center"/>
            <w:hideMark/>
          </w:tcPr>
          <w:p w:rsidR="00BF4D81" w:rsidRPr="00BF4D81" w:rsidRDefault="00BF4D81" w:rsidP="00BF4D81">
            <w:pPr>
              <w:spacing w:after="0" w:line="240" w:lineRule="auto"/>
              <w:jc w:val="center"/>
              <w:rPr>
                <w:rFonts w:ascii="Calibri" w:eastAsia="Times New Roman" w:hAnsi="Calibri" w:cs="Times New Roman"/>
                <w:color w:val="000000"/>
                <w:sz w:val="16"/>
                <w:szCs w:val="16"/>
                <w:lang w:eastAsia="en-GB"/>
              </w:rPr>
            </w:pPr>
            <w:r w:rsidRPr="00BF4D81">
              <w:rPr>
                <w:rFonts w:ascii="Calibri" w:eastAsia="Times New Roman" w:hAnsi="Calibri" w:cs="Times New Roman"/>
                <w:color w:val="000000"/>
                <w:sz w:val="16"/>
                <w:szCs w:val="16"/>
                <w:lang w:eastAsia="en-GB"/>
              </w:rPr>
              <w:t>-</w:t>
            </w:r>
          </w:p>
        </w:tc>
        <w:tc>
          <w:tcPr>
            <w:tcW w:w="257" w:type="pct"/>
            <w:tcBorders>
              <w:top w:val="nil"/>
              <w:left w:val="nil"/>
              <w:bottom w:val="nil"/>
              <w:right w:val="nil"/>
            </w:tcBorders>
            <w:shd w:val="clear" w:color="auto" w:fill="auto"/>
            <w:noWrap/>
            <w:vAlign w:val="center"/>
            <w:hideMark/>
          </w:tcPr>
          <w:p w:rsidR="00BF4D81" w:rsidRPr="00BF4D81" w:rsidRDefault="00BF4D81" w:rsidP="00BF4D81">
            <w:pPr>
              <w:spacing w:after="0" w:line="240" w:lineRule="auto"/>
              <w:jc w:val="center"/>
              <w:rPr>
                <w:rFonts w:ascii="Calibri" w:eastAsia="Times New Roman" w:hAnsi="Calibri" w:cs="Times New Roman"/>
                <w:color w:val="000000"/>
                <w:sz w:val="16"/>
                <w:szCs w:val="16"/>
                <w:lang w:eastAsia="en-GB"/>
              </w:rPr>
            </w:pPr>
            <w:r w:rsidRPr="00BF4D81">
              <w:rPr>
                <w:rFonts w:ascii="Calibri" w:eastAsia="Times New Roman" w:hAnsi="Calibri" w:cs="Times New Roman"/>
                <w:color w:val="000000"/>
                <w:sz w:val="16"/>
                <w:szCs w:val="16"/>
                <w:lang w:eastAsia="en-GB"/>
              </w:rPr>
              <w:t>13.46</w:t>
            </w:r>
          </w:p>
        </w:tc>
        <w:tc>
          <w:tcPr>
            <w:tcW w:w="256" w:type="pct"/>
            <w:tcBorders>
              <w:top w:val="nil"/>
              <w:left w:val="single" w:sz="4" w:space="0" w:color="auto"/>
              <w:bottom w:val="single" w:sz="4" w:space="0" w:color="auto"/>
              <w:right w:val="single" w:sz="4" w:space="0" w:color="auto"/>
            </w:tcBorders>
            <w:shd w:val="clear" w:color="auto" w:fill="auto"/>
            <w:noWrap/>
            <w:vAlign w:val="center"/>
            <w:hideMark/>
          </w:tcPr>
          <w:p w:rsidR="00BF4D81" w:rsidRPr="00BF4D81" w:rsidRDefault="00BF4D81" w:rsidP="00BF4D81">
            <w:pPr>
              <w:spacing w:after="0" w:line="240" w:lineRule="auto"/>
              <w:jc w:val="center"/>
              <w:rPr>
                <w:rFonts w:ascii="Calibri" w:eastAsia="Times New Roman" w:hAnsi="Calibri" w:cs="Times New Roman"/>
                <w:color w:val="000000"/>
                <w:sz w:val="16"/>
                <w:szCs w:val="16"/>
                <w:lang w:eastAsia="en-GB"/>
              </w:rPr>
            </w:pPr>
            <w:r w:rsidRPr="00BF4D81">
              <w:rPr>
                <w:rFonts w:ascii="Calibri" w:eastAsia="Times New Roman" w:hAnsi="Calibri" w:cs="Times New Roman"/>
                <w:color w:val="000000"/>
                <w:sz w:val="16"/>
                <w:szCs w:val="16"/>
                <w:lang w:eastAsia="en-GB"/>
              </w:rPr>
              <w:t>-</w:t>
            </w:r>
          </w:p>
        </w:tc>
        <w:tc>
          <w:tcPr>
            <w:tcW w:w="257" w:type="pct"/>
            <w:tcBorders>
              <w:top w:val="nil"/>
              <w:left w:val="nil"/>
              <w:bottom w:val="nil"/>
              <w:right w:val="nil"/>
            </w:tcBorders>
            <w:shd w:val="clear" w:color="auto" w:fill="auto"/>
            <w:noWrap/>
            <w:vAlign w:val="center"/>
            <w:hideMark/>
          </w:tcPr>
          <w:p w:rsidR="00BF4D81" w:rsidRPr="00BF4D81" w:rsidRDefault="00BF4D81" w:rsidP="00BF4D81">
            <w:pPr>
              <w:spacing w:after="0" w:line="240" w:lineRule="auto"/>
              <w:jc w:val="center"/>
              <w:rPr>
                <w:rFonts w:ascii="Calibri" w:eastAsia="Times New Roman" w:hAnsi="Calibri" w:cs="Times New Roman"/>
                <w:color w:val="000000"/>
                <w:sz w:val="16"/>
                <w:szCs w:val="16"/>
                <w:lang w:eastAsia="en-GB"/>
              </w:rPr>
            </w:pPr>
            <w:r w:rsidRPr="00BF4D81">
              <w:rPr>
                <w:rFonts w:ascii="Calibri" w:eastAsia="Times New Roman" w:hAnsi="Calibri" w:cs="Times New Roman"/>
                <w:color w:val="000000"/>
                <w:sz w:val="16"/>
                <w:szCs w:val="16"/>
                <w:lang w:eastAsia="en-GB"/>
              </w:rPr>
              <w:t>18.486</w:t>
            </w:r>
          </w:p>
        </w:tc>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BF4D81" w:rsidRPr="00BF4D81" w:rsidRDefault="00BF4D81" w:rsidP="00BF4D81">
            <w:pPr>
              <w:spacing w:after="0" w:line="240" w:lineRule="auto"/>
              <w:jc w:val="center"/>
              <w:rPr>
                <w:rFonts w:ascii="Calibri" w:eastAsia="Times New Roman" w:hAnsi="Calibri" w:cs="Times New Roman"/>
                <w:color w:val="000000"/>
                <w:sz w:val="16"/>
                <w:szCs w:val="16"/>
                <w:lang w:eastAsia="en-GB"/>
              </w:rPr>
            </w:pPr>
            <w:r w:rsidRPr="00BF4D81">
              <w:rPr>
                <w:rFonts w:ascii="Calibri" w:eastAsia="Times New Roman" w:hAnsi="Calibri" w:cs="Times New Roman"/>
                <w:color w:val="000000"/>
                <w:sz w:val="16"/>
                <w:szCs w:val="16"/>
                <w:lang w:eastAsia="en-GB"/>
              </w:rPr>
              <w:t>-</w:t>
            </w:r>
          </w:p>
        </w:tc>
        <w:tc>
          <w:tcPr>
            <w:tcW w:w="298" w:type="pct"/>
            <w:tcBorders>
              <w:top w:val="nil"/>
              <w:left w:val="nil"/>
              <w:bottom w:val="nil"/>
              <w:right w:val="nil"/>
            </w:tcBorders>
            <w:shd w:val="clear" w:color="auto" w:fill="auto"/>
            <w:noWrap/>
            <w:vAlign w:val="center"/>
            <w:hideMark/>
          </w:tcPr>
          <w:p w:rsidR="00BF4D81" w:rsidRPr="00BF4D81" w:rsidRDefault="00BF4D81" w:rsidP="00BF4D81">
            <w:pPr>
              <w:spacing w:after="0" w:line="240" w:lineRule="auto"/>
              <w:jc w:val="center"/>
              <w:rPr>
                <w:rFonts w:ascii="Calibri" w:eastAsia="Times New Roman" w:hAnsi="Calibri" w:cs="Times New Roman"/>
                <w:color w:val="000000"/>
                <w:sz w:val="16"/>
                <w:szCs w:val="16"/>
                <w:lang w:eastAsia="en-GB"/>
              </w:rPr>
            </w:pPr>
            <w:r w:rsidRPr="00BF4D81">
              <w:rPr>
                <w:rFonts w:ascii="Calibri" w:eastAsia="Times New Roman" w:hAnsi="Calibri" w:cs="Times New Roman"/>
                <w:color w:val="000000"/>
                <w:sz w:val="16"/>
                <w:szCs w:val="16"/>
                <w:lang w:eastAsia="en-GB"/>
              </w:rPr>
              <w:t>9.643</w:t>
            </w:r>
          </w:p>
        </w:tc>
        <w:tc>
          <w:tcPr>
            <w:tcW w:w="238" w:type="pct"/>
            <w:tcBorders>
              <w:top w:val="nil"/>
              <w:left w:val="single" w:sz="4" w:space="0" w:color="auto"/>
              <w:bottom w:val="single" w:sz="4" w:space="0" w:color="auto"/>
              <w:right w:val="single" w:sz="4" w:space="0" w:color="auto"/>
            </w:tcBorders>
            <w:shd w:val="clear" w:color="auto" w:fill="auto"/>
            <w:noWrap/>
            <w:vAlign w:val="center"/>
            <w:hideMark/>
          </w:tcPr>
          <w:p w:rsidR="00BF4D81" w:rsidRPr="00BF4D81" w:rsidRDefault="00BF4D81" w:rsidP="00BF4D81">
            <w:pPr>
              <w:spacing w:after="0" w:line="240" w:lineRule="auto"/>
              <w:jc w:val="center"/>
              <w:rPr>
                <w:rFonts w:ascii="Calibri" w:eastAsia="Times New Roman" w:hAnsi="Calibri" w:cs="Times New Roman"/>
                <w:color w:val="000000"/>
                <w:sz w:val="16"/>
                <w:szCs w:val="16"/>
                <w:lang w:eastAsia="en-GB"/>
              </w:rPr>
            </w:pPr>
            <w:r w:rsidRPr="00BF4D81">
              <w:rPr>
                <w:rFonts w:ascii="Calibri" w:eastAsia="Times New Roman" w:hAnsi="Calibri" w:cs="Times New Roman"/>
                <w:color w:val="000000"/>
                <w:sz w:val="16"/>
                <w:szCs w:val="16"/>
                <w:lang w:eastAsia="en-GB"/>
              </w:rPr>
              <w:t>-</w:t>
            </w:r>
          </w:p>
        </w:tc>
        <w:tc>
          <w:tcPr>
            <w:tcW w:w="276" w:type="pct"/>
            <w:tcBorders>
              <w:top w:val="nil"/>
              <w:left w:val="nil"/>
              <w:bottom w:val="nil"/>
              <w:right w:val="nil"/>
            </w:tcBorders>
            <w:shd w:val="clear" w:color="auto" w:fill="auto"/>
            <w:noWrap/>
            <w:vAlign w:val="center"/>
            <w:hideMark/>
          </w:tcPr>
          <w:p w:rsidR="00BF4D81" w:rsidRPr="00BF4D81" w:rsidRDefault="00BF4D81" w:rsidP="00BF4D81">
            <w:pPr>
              <w:spacing w:after="0" w:line="240" w:lineRule="auto"/>
              <w:jc w:val="center"/>
              <w:rPr>
                <w:rFonts w:ascii="Calibri" w:eastAsia="Times New Roman" w:hAnsi="Calibri" w:cs="Times New Roman"/>
                <w:color w:val="000000"/>
                <w:sz w:val="16"/>
                <w:szCs w:val="16"/>
                <w:lang w:eastAsia="en-GB"/>
              </w:rPr>
            </w:pPr>
            <w:r w:rsidRPr="00BF4D81">
              <w:rPr>
                <w:rFonts w:ascii="Calibri" w:eastAsia="Times New Roman" w:hAnsi="Calibri" w:cs="Times New Roman"/>
                <w:color w:val="000000"/>
                <w:sz w:val="16"/>
                <w:szCs w:val="16"/>
                <w:lang w:eastAsia="en-GB"/>
              </w:rPr>
              <w:t>12.086</w:t>
            </w:r>
          </w:p>
        </w:tc>
        <w:tc>
          <w:tcPr>
            <w:tcW w:w="298" w:type="pct"/>
            <w:tcBorders>
              <w:top w:val="nil"/>
              <w:left w:val="single" w:sz="4" w:space="0" w:color="auto"/>
              <w:bottom w:val="single" w:sz="4" w:space="0" w:color="auto"/>
              <w:right w:val="single" w:sz="4" w:space="0" w:color="auto"/>
            </w:tcBorders>
            <w:shd w:val="clear" w:color="auto" w:fill="auto"/>
            <w:noWrap/>
            <w:vAlign w:val="center"/>
            <w:hideMark/>
          </w:tcPr>
          <w:p w:rsidR="00BF4D81" w:rsidRPr="00BF4D81" w:rsidRDefault="00BF4D81" w:rsidP="00BF4D81">
            <w:pPr>
              <w:spacing w:after="0" w:line="240" w:lineRule="auto"/>
              <w:jc w:val="center"/>
              <w:rPr>
                <w:rFonts w:ascii="Calibri" w:eastAsia="Times New Roman" w:hAnsi="Calibri" w:cs="Times New Roman"/>
                <w:color w:val="000000"/>
                <w:sz w:val="16"/>
                <w:szCs w:val="16"/>
                <w:lang w:eastAsia="en-GB"/>
              </w:rPr>
            </w:pPr>
            <w:r w:rsidRPr="00BF4D81">
              <w:rPr>
                <w:rFonts w:ascii="Calibri" w:eastAsia="Times New Roman" w:hAnsi="Calibri" w:cs="Times New Roman"/>
                <w:color w:val="000000"/>
                <w:sz w:val="16"/>
                <w:szCs w:val="16"/>
                <w:lang w:eastAsia="en-GB"/>
              </w:rPr>
              <w:t>-</w:t>
            </w:r>
          </w:p>
        </w:tc>
        <w:tc>
          <w:tcPr>
            <w:tcW w:w="256" w:type="pct"/>
            <w:tcBorders>
              <w:top w:val="nil"/>
              <w:left w:val="nil"/>
              <w:bottom w:val="single" w:sz="4" w:space="0" w:color="auto"/>
              <w:right w:val="single" w:sz="4" w:space="0" w:color="auto"/>
            </w:tcBorders>
            <w:shd w:val="clear" w:color="auto" w:fill="auto"/>
            <w:noWrap/>
            <w:vAlign w:val="center"/>
            <w:hideMark/>
          </w:tcPr>
          <w:p w:rsidR="00BF4D81" w:rsidRPr="00BF4D81" w:rsidRDefault="00BF4D81" w:rsidP="00BF4D81">
            <w:pPr>
              <w:spacing w:after="0" w:line="240" w:lineRule="auto"/>
              <w:jc w:val="center"/>
              <w:rPr>
                <w:rFonts w:ascii="Calibri" w:eastAsia="Times New Roman" w:hAnsi="Calibri" w:cs="Times New Roman"/>
                <w:color w:val="000000"/>
                <w:sz w:val="16"/>
                <w:szCs w:val="16"/>
                <w:lang w:eastAsia="en-GB"/>
              </w:rPr>
            </w:pPr>
            <w:r w:rsidRPr="00BF4D81">
              <w:rPr>
                <w:rFonts w:ascii="Calibri" w:eastAsia="Times New Roman" w:hAnsi="Calibri" w:cs="Times New Roman"/>
                <w:color w:val="000000"/>
                <w:sz w:val="16"/>
                <w:szCs w:val="16"/>
                <w:lang w:eastAsia="en-GB"/>
              </w:rPr>
              <w:t>20.517</w:t>
            </w:r>
          </w:p>
        </w:tc>
      </w:tr>
      <w:tr w:rsidR="00C37A76" w:rsidRPr="00BF4D81" w:rsidTr="0085747D">
        <w:trPr>
          <w:trHeight w:val="300"/>
        </w:trPr>
        <w:tc>
          <w:tcPr>
            <w:tcW w:w="598" w:type="pct"/>
            <w:tcBorders>
              <w:top w:val="nil"/>
              <w:left w:val="single" w:sz="4" w:space="0" w:color="auto"/>
              <w:bottom w:val="single" w:sz="4" w:space="0" w:color="auto"/>
              <w:right w:val="single" w:sz="4" w:space="0" w:color="auto"/>
            </w:tcBorders>
            <w:shd w:val="clear" w:color="auto" w:fill="auto"/>
            <w:noWrap/>
            <w:vAlign w:val="center"/>
            <w:hideMark/>
          </w:tcPr>
          <w:p w:rsidR="00BF4D81" w:rsidRPr="00BF4D81" w:rsidRDefault="00BF4D81" w:rsidP="00BF4D81">
            <w:pPr>
              <w:spacing w:after="0" w:line="240" w:lineRule="auto"/>
              <w:jc w:val="center"/>
              <w:rPr>
                <w:rFonts w:ascii="Calibri" w:eastAsia="Times New Roman" w:hAnsi="Calibri" w:cs="Times New Roman"/>
                <w:color w:val="000000"/>
                <w:sz w:val="16"/>
                <w:szCs w:val="16"/>
                <w:lang w:eastAsia="en-GB"/>
              </w:rPr>
            </w:pPr>
            <w:r w:rsidRPr="00BF4D81">
              <w:rPr>
                <w:rFonts w:ascii="Calibri" w:eastAsia="Times New Roman" w:hAnsi="Calibri" w:cs="Times New Roman"/>
                <w:color w:val="000000"/>
                <w:sz w:val="16"/>
                <w:szCs w:val="16"/>
                <w:lang w:eastAsia="en-GB"/>
              </w:rPr>
              <w:t>Average health-related quality of life score for adults who reported having a long term MSK problem</w:t>
            </w:r>
          </w:p>
        </w:tc>
        <w:tc>
          <w:tcPr>
            <w:tcW w:w="214" w:type="pct"/>
            <w:tcBorders>
              <w:top w:val="nil"/>
              <w:left w:val="nil"/>
              <w:bottom w:val="single" w:sz="4" w:space="0" w:color="auto"/>
              <w:right w:val="single" w:sz="4" w:space="0" w:color="auto"/>
            </w:tcBorders>
            <w:shd w:val="clear" w:color="auto" w:fill="auto"/>
            <w:noWrap/>
            <w:vAlign w:val="center"/>
            <w:hideMark/>
          </w:tcPr>
          <w:p w:rsidR="00BF4D81" w:rsidRPr="00BF4D81" w:rsidRDefault="00BF4D81" w:rsidP="00BF4D81">
            <w:pPr>
              <w:spacing w:after="0" w:line="240" w:lineRule="auto"/>
              <w:jc w:val="center"/>
              <w:rPr>
                <w:rFonts w:ascii="Calibri" w:eastAsia="Times New Roman" w:hAnsi="Calibri" w:cs="Times New Roman"/>
                <w:color w:val="000000"/>
                <w:sz w:val="16"/>
                <w:szCs w:val="16"/>
                <w:lang w:eastAsia="en-GB"/>
              </w:rPr>
            </w:pPr>
            <w:r w:rsidRPr="00BF4D81">
              <w:rPr>
                <w:rFonts w:ascii="Calibri" w:eastAsia="Times New Roman" w:hAnsi="Calibri" w:cs="Times New Roman"/>
                <w:color w:val="000000"/>
                <w:sz w:val="16"/>
                <w:szCs w:val="16"/>
                <w:lang w:eastAsia="en-GB"/>
              </w:rPr>
              <w:t>2016-17</w:t>
            </w:r>
          </w:p>
        </w:tc>
        <w:tc>
          <w:tcPr>
            <w:tcW w:w="256" w:type="pct"/>
            <w:tcBorders>
              <w:top w:val="nil"/>
              <w:left w:val="nil"/>
              <w:bottom w:val="single" w:sz="4" w:space="0" w:color="auto"/>
              <w:right w:val="single" w:sz="4" w:space="0" w:color="auto"/>
            </w:tcBorders>
            <w:shd w:val="clear" w:color="000000" w:fill="EBF1DE"/>
            <w:noWrap/>
            <w:vAlign w:val="center"/>
            <w:hideMark/>
          </w:tcPr>
          <w:p w:rsidR="00BF4D81" w:rsidRPr="00BF4D81" w:rsidRDefault="00BF4D81" w:rsidP="00BF4D81">
            <w:pPr>
              <w:spacing w:after="0" w:line="240" w:lineRule="auto"/>
              <w:jc w:val="center"/>
              <w:rPr>
                <w:rFonts w:ascii="Calibri" w:eastAsia="Times New Roman" w:hAnsi="Calibri" w:cs="Times New Roman"/>
                <w:color w:val="000000"/>
                <w:sz w:val="16"/>
                <w:szCs w:val="16"/>
                <w:lang w:eastAsia="en-GB"/>
              </w:rPr>
            </w:pPr>
            <w:r w:rsidRPr="00BF4D81">
              <w:rPr>
                <w:rFonts w:ascii="Calibri" w:eastAsia="Times New Roman" w:hAnsi="Calibri" w:cs="Times New Roman"/>
                <w:color w:val="000000"/>
                <w:sz w:val="16"/>
                <w:szCs w:val="16"/>
                <w:lang w:eastAsia="en-GB"/>
              </w:rPr>
              <w:t>-</w:t>
            </w:r>
          </w:p>
        </w:tc>
        <w:tc>
          <w:tcPr>
            <w:tcW w:w="257" w:type="pct"/>
            <w:tcBorders>
              <w:top w:val="nil"/>
              <w:left w:val="nil"/>
              <w:bottom w:val="single" w:sz="4" w:space="0" w:color="auto"/>
              <w:right w:val="single" w:sz="4" w:space="0" w:color="auto"/>
            </w:tcBorders>
            <w:shd w:val="clear" w:color="000000" w:fill="EBF1DE"/>
            <w:noWrap/>
            <w:vAlign w:val="center"/>
            <w:hideMark/>
          </w:tcPr>
          <w:p w:rsidR="00BF4D81" w:rsidRPr="00BF4D81" w:rsidRDefault="00BF4D81" w:rsidP="00BF4D81">
            <w:pPr>
              <w:spacing w:after="0" w:line="240" w:lineRule="auto"/>
              <w:jc w:val="center"/>
              <w:rPr>
                <w:rFonts w:ascii="Calibri" w:eastAsia="Times New Roman" w:hAnsi="Calibri" w:cs="Times New Roman"/>
                <w:color w:val="000000"/>
                <w:sz w:val="16"/>
                <w:szCs w:val="16"/>
                <w:lang w:eastAsia="en-GB"/>
              </w:rPr>
            </w:pPr>
            <w:r w:rsidRPr="00BF4D81">
              <w:rPr>
                <w:rFonts w:ascii="Calibri" w:eastAsia="Times New Roman" w:hAnsi="Calibri" w:cs="Times New Roman"/>
                <w:color w:val="000000"/>
                <w:sz w:val="16"/>
                <w:szCs w:val="16"/>
                <w:lang w:eastAsia="en-GB"/>
              </w:rPr>
              <w:t>0.594</w:t>
            </w:r>
          </w:p>
        </w:tc>
        <w:tc>
          <w:tcPr>
            <w:tcW w:w="256" w:type="pct"/>
            <w:tcBorders>
              <w:top w:val="nil"/>
              <w:left w:val="nil"/>
              <w:bottom w:val="single" w:sz="4" w:space="0" w:color="auto"/>
              <w:right w:val="single" w:sz="4" w:space="0" w:color="auto"/>
            </w:tcBorders>
            <w:shd w:val="clear" w:color="000000" w:fill="FFFF99"/>
            <w:noWrap/>
            <w:vAlign w:val="center"/>
            <w:hideMark/>
          </w:tcPr>
          <w:p w:rsidR="00BF4D81" w:rsidRPr="00BF4D81" w:rsidRDefault="00BF4D81" w:rsidP="00BF4D81">
            <w:pPr>
              <w:spacing w:after="0" w:line="240" w:lineRule="auto"/>
              <w:jc w:val="center"/>
              <w:rPr>
                <w:rFonts w:ascii="Calibri" w:eastAsia="Times New Roman" w:hAnsi="Calibri" w:cs="Times New Roman"/>
                <w:color w:val="000000"/>
                <w:sz w:val="16"/>
                <w:szCs w:val="16"/>
                <w:lang w:eastAsia="en-GB"/>
              </w:rPr>
            </w:pPr>
            <w:r w:rsidRPr="00BF4D81">
              <w:rPr>
                <w:rFonts w:ascii="Calibri" w:eastAsia="Times New Roman" w:hAnsi="Calibri" w:cs="Times New Roman"/>
                <w:color w:val="000000"/>
                <w:sz w:val="16"/>
                <w:szCs w:val="16"/>
                <w:lang w:eastAsia="en-GB"/>
              </w:rPr>
              <w:t>-</w:t>
            </w:r>
          </w:p>
        </w:tc>
        <w:tc>
          <w:tcPr>
            <w:tcW w:w="257" w:type="pct"/>
            <w:tcBorders>
              <w:top w:val="nil"/>
              <w:left w:val="nil"/>
              <w:bottom w:val="single" w:sz="4" w:space="0" w:color="auto"/>
              <w:right w:val="single" w:sz="4" w:space="0" w:color="auto"/>
            </w:tcBorders>
            <w:shd w:val="clear" w:color="000000" w:fill="FFFF99"/>
            <w:noWrap/>
            <w:vAlign w:val="center"/>
            <w:hideMark/>
          </w:tcPr>
          <w:p w:rsidR="00BF4D81" w:rsidRPr="00BF4D81" w:rsidRDefault="00BF4D81" w:rsidP="00BF4D81">
            <w:pPr>
              <w:spacing w:after="0" w:line="240" w:lineRule="auto"/>
              <w:jc w:val="center"/>
              <w:rPr>
                <w:rFonts w:ascii="Calibri" w:eastAsia="Times New Roman" w:hAnsi="Calibri" w:cs="Times New Roman"/>
                <w:color w:val="000000"/>
                <w:sz w:val="16"/>
                <w:szCs w:val="16"/>
                <w:lang w:eastAsia="en-GB"/>
              </w:rPr>
            </w:pPr>
            <w:r w:rsidRPr="00BF4D81">
              <w:rPr>
                <w:rFonts w:ascii="Calibri" w:eastAsia="Times New Roman" w:hAnsi="Calibri" w:cs="Times New Roman"/>
                <w:color w:val="000000"/>
                <w:sz w:val="16"/>
                <w:szCs w:val="16"/>
                <w:lang w:eastAsia="en-GB"/>
              </w:rPr>
              <w:t>0.583</w:t>
            </w:r>
          </w:p>
        </w:tc>
        <w:tc>
          <w:tcPr>
            <w:tcW w:w="256" w:type="pct"/>
            <w:tcBorders>
              <w:top w:val="nil"/>
              <w:left w:val="nil"/>
              <w:bottom w:val="single" w:sz="4" w:space="0" w:color="auto"/>
              <w:right w:val="single" w:sz="4" w:space="0" w:color="auto"/>
            </w:tcBorders>
            <w:shd w:val="clear" w:color="auto" w:fill="auto"/>
            <w:noWrap/>
            <w:vAlign w:val="center"/>
            <w:hideMark/>
          </w:tcPr>
          <w:p w:rsidR="00BF4D81" w:rsidRPr="00BF4D81" w:rsidRDefault="00BF4D81" w:rsidP="00BF4D81">
            <w:pPr>
              <w:spacing w:after="0" w:line="240" w:lineRule="auto"/>
              <w:jc w:val="center"/>
              <w:rPr>
                <w:rFonts w:ascii="Calibri" w:eastAsia="Times New Roman" w:hAnsi="Calibri" w:cs="Times New Roman"/>
                <w:color w:val="000000"/>
                <w:sz w:val="16"/>
                <w:szCs w:val="16"/>
                <w:lang w:eastAsia="en-GB"/>
              </w:rPr>
            </w:pPr>
            <w:r w:rsidRPr="00BF4D81">
              <w:rPr>
                <w:rFonts w:ascii="Calibri" w:eastAsia="Times New Roman" w:hAnsi="Calibri" w:cs="Times New Roman"/>
                <w:color w:val="000000"/>
                <w:sz w:val="16"/>
                <w:szCs w:val="16"/>
                <w:lang w:eastAsia="en-GB"/>
              </w:rPr>
              <w:t>-</w:t>
            </w:r>
          </w:p>
        </w:tc>
        <w:tc>
          <w:tcPr>
            <w:tcW w:w="257" w:type="pct"/>
            <w:tcBorders>
              <w:top w:val="single" w:sz="4" w:space="0" w:color="auto"/>
              <w:left w:val="nil"/>
              <w:bottom w:val="single" w:sz="4" w:space="0" w:color="auto"/>
              <w:right w:val="single" w:sz="4" w:space="0" w:color="auto"/>
            </w:tcBorders>
            <w:shd w:val="clear" w:color="auto" w:fill="auto"/>
            <w:noWrap/>
            <w:vAlign w:val="center"/>
            <w:hideMark/>
          </w:tcPr>
          <w:p w:rsidR="00BF4D81" w:rsidRPr="00BF4D81" w:rsidRDefault="00BF4D81" w:rsidP="00BF4D81">
            <w:pPr>
              <w:spacing w:after="0" w:line="240" w:lineRule="auto"/>
              <w:jc w:val="center"/>
              <w:rPr>
                <w:rFonts w:ascii="Calibri" w:eastAsia="Times New Roman" w:hAnsi="Calibri" w:cs="Times New Roman"/>
                <w:color w:val="000000"/>
                <w:sz w:val="16"/>
                <w:szCs w:val="16"/>
                <w:lang w:eastAsia="en-GB"/>
              </w:rPr>
            </w:pPr>
            <w:r w:rsidRPr="00BF4D81">
              <w:rPr>
                <w:rFonts w:ascii="Calibri" w:eastAsia="Times New Roman" w:hAnsi="Calibri" w:cs="Times New Roman"/>
                <w:color w:val="000000"/>
                <w:sz w:val="16"/>
                <w:szCs w:val="16"/>
                <w:lang w:eastAsia="en-GB"/>
              </w:rPr>
              <w:t>-</w:t>
            </w:r>
          </w:p>
        </w:tc>
        <w:tc>
          <w:tcPr>
            <w:tcW w:w="256" w:type="pct"/>
            <w:tcBorders>
              <w:top w:val="nil"/>
              <w:left w:val="nil"/>
              <w:bottom w:val="single" w:sz="4" w:space="0" w:color="auto"/>
              <w:right w:val="single" w:sz="4" w:space="0" w:color="auto"/>
            </w:tcBorders>
            <w:shd w:val="clear" w:color="auto" w:fill="auto"/>
            <w:noWrap/>
            <w:vAlign w:val="center"/>
            <w:hideMark/>
          </w:tcPr>
          <w:p w:rsidR="00BF4D81" w:rsidRPr="00BF4D81" w:rsidRDefault="00BF4D81" w:rsidP="00BF4D81">
            <w:pPr>
              <w:spacing w:after="0" w:line="240" w:lineRule="auto"/>
              <w:jc w:val="center"/>
              <w:rPr>
                <w:rFonts w:ascii="Calibri" w:eastAsia="Times New Roman" w:hAnsi="Calibri" w:cs="Times New Roman"/>
                <w:color w:val="000000"/>
                <w:sz w:val="16"/>
                <w:szCs w:val="16"/>
                <w:lang w:eastAsia="en-GB"/>
              </w:rPr>
            </w:pPr>
            <w:r w:rsidRPr="00BF4D81">
              <w:rPr>
                <w:rFonts w:ascii="Calibri" w:eastAsia="Times New Roman" w:hAnsi="Calibri" w:cs="Times New Roman"/>
                <w:color w:val="000000"/>
                <w:sz w:val="16"/>
                <w:szCs w:val="16"/>
                <w:lang w:eastAsia="en-GB"/>
              </w:rPr>
              <w:t>-</w:t>
            </w:r>
          </w:p>
        </w:tc>
        <w:tc>
          <w:tcPr>
            <w:tcW w:w="257" w:type="pct"/>
            <w:tcBorders>
              <w:top w:val="single" w:sz="4" w:space="0" w:color="auto"/>
              <w:left w:val="nil"/>
              <w:bottom w:val="single" w:sz="4" w:space="0" w:color="auto"/>
              <w:right w:val="single" w:sz="4" w:space="0" w:color="auto"/>
            </w:tcBorders>
            <w:shd w:val="clear" w:color="auto" w:fill="auto"/>
            <w:noWrap/>
            <w:vAlign w:val="center"/>
            <w:hideMark/>
          </w:tcPr>
          <w:p w:rsidR="00BF4D81" w:rsidRPr="00BF4D81" w:rsidRDefault="00BF4D81" w:rsidP="00BF4D81">
            <w:pPr>
              <w:spacing w:after="0" w:line="240" w:lineRule="auto"/>
              <w:jc w:val="center"/>
              <w:rPr>
                <w:rFonts w:ascii="Calibri" w:eastAsia="Times New Roman" w:hAnsi="Calibri" w:cs="Times New Roman"/>
                <w:color w:val="000000"/>
                <w:sz w:val="16"/>
                <w:szCs w:val="16"/>
                <w:lang w:eastAsia="en-GB"/>
              </w:rPr>
            </w:pPr>
            <w:r w:rsidRPr="00BF4D81">
              <w:rPr>
                <w:rFonts w:ascii="Calibri" w:eastAsia="Times New Roman" w:hAnsi="Calibri" w:cs="Times New Roman"/>
                <w:color w:val="000000"/>
                <w:sz w:val="16"/>
                <w:szCs w:val="16"/>
                <w:lang w:eastAsia="en-GB"/>
              </w:rPr>
              <w:t>-</w:t>
            </w:r>
          </w:p>
        </w:tc>
        <w:tc>
          <w:tcPr>
            <w:tcW w:w="256" w:type="pct"/>
            <w:tcBorders>
              <w:top w:val="nil"/>
              <w:left w:val="nil"/>
              <w:bottom w:val="single" w:sz="4" w:space="0" w:color="auto"/>
              <w:right w:val="single" w:sz="4" w:space="0" w:color="auto"/>
            </w:tcBorders>
            <w:shd w:val="clear" w:color="auto" w:fill="auto"/>
            <w:noWrap/>
            <w:vAlign w:val="center"/>
            <w:hideMark/>
          </w:tcPr>
          <w:p w:rsidR="00BF4D81" w:rsidRPr="00BF4D81" w:rsidRDefault="00BF4D81" w:rsidP="00BF4D81">
            <w:pPr>
              <w:spacing w:after="0" w:line="240" w:lineRule="auto"/>
              <w:jc w:val="center"/>
              <w:rPr>
                <w:rFonts w:ascii="Calibri" w:eastAsia="Times New Roman" w:hAnsi="Calibri" w:cs="Times New Roman"/>
                <w:color w:val="000000"/>
                <w:sz w:val="16"/>
                <w:szCs w:val="16"/>
                <w:lang w:eastAsia="en-GB"/>
              </w:rPr>
            </w:pPr>
            <w:r w:rsidRPr="00BF4D81">
              <w:rPr>
                <w:rFonts w:ascii="Calibri" w:eastAsia="Times New Roman" w:hAnsi="Calibri" w:cs="Times New Roman"/>
                <w:color w:val="000000"/>
                <w:sz w:val="16"/>
                <w:szCs w:val="16"/>
                <w:lang w:eastAsia="en-GB"/>
              </w:rPr>
              <w:t>-</w:t>
            </w:r>
          </w:p>
        </w:tc>
        <w:tc>
          <w:tcPr>
            <w:tcW w:w="257" w:type="pct"/>
            <w:tcBorders>
              <w:top w:val="single" w:sz="4" w:space="0" w:color="auto"/>
              <w:left w:val="nil"/>
              <w:bottom w:val="single" w:sz="4" w:space="0" w:color="auto"/>
              <w:right w:val="single" w:sz="4" w:space="0" w:color="auto"/>
            </w:tcBorders>
            <w:shd w:val="clear" w:color="auto" w:fill="auto"/>
            <w:noWrap/>
            <w:vAlign w:val="center"/>
            <w:hideMark/>
          </w:tcPr>
          <w:p w:rsidR="00BF4D81" w:rsidRPr="00BF4D81" w:rsidRDefault="00BF4D81" w:rsidP="00BF4D81">
            <w:pPr>
              <w:spacing w:after="0" w:line="240" w:lineRule="auto"/>
              <w:jc w:val="center"/>
              <w:rPr>
                <w:rFonts w:ascii="Calibri" w:eastAsia="Times New Roman" w:hAnsi="Calibri" w:cs="Times New Roman"/>
                <w:color w:val="000000"/>
                <w:sz w:val="16"/>
                <w:szCs w:val="16"/>
                <w:lang w:eastAsia="en-GB"/>
              </w:rPr>
            </w:pPr>
            <w:r w:rsidRPr="00BF4D81">
              <w:rPr>
                <w:rFonts w:ascii="Calibri" w:eastAsia="Times New Roman" w:hAnsi="Calibri" w:cs="Times New Roman"/>
                <w:color w:val="000000"/>
                <w:sz w:val="16"/>
                <w:szCs w:val="16"/>
                <w:lang w:eastAsia="en-GB"/>
              </w:rPr>
              <w:t>-</w:t>
            </w:r>
          </w:p>
        </w:tc>
        <w:tc>
          <w:tcPr>
            <w:tcW w:w="257" w:type="pct"/>
            <w:tcBorders>
              <w:top w:val="nil"/>
              <w:left w:val="nil"/>
              <w:bottom w:val="single" w:sz="4" w:space="0" w:color="auto"/>
              <w:right w:val="single" w:sz="4" w:space="0" w:color="auto"/>
            </w:tcBorders>
            <w:shd w:val="clear" w:color="auto" w:fill="auto"/>
            <w:noWrap/>
            <w:vAlign w:val="center"/>
            <w:hideMark/>
          </w:tcPr>
          <w:p w:rsidR="00BF4D81" w:rsidRPr="00BF4D81" w:rsidRDefault="00BF4D81" w:rsidP="00BF4D81">
            <w:pPr>
              <w:spacing w:after="0" w:line="240" w:lineRule="auto"/>
              <w:jc w:val="center"/>
              <w:rPr>
                <w:rFonts w:ascii="Calibri" w:eastAsia="Times New Roman" w:hAnsi="Calibri" w:cs="Times New Roman"/>
                <w:color w:val="000000"/>
                <w:sz w:val="16"/>
                <w:szCs w:val="16"/>
                <w:lang w:eastAsia="en-GB"/>
              </w:rPr>
            </w:pPr>
            <w:r w:rsidRPr="00BF4D81">
              <w:rPr>
                <w:rFonts w:ascii="Calibri" w:eastAsia="Times New Roman" w:hAnsi="Calibri" w:cs="Times New Roman"/>
                <w:color w:val="000000"/>
                <w:sz w:val="16"/>
                <w:szCs w:val="16"/>
                <w:lang w:eastAsia="en-GB"/>
              </w:rPr>
              <w:t>-</w:t>
            </w:r>
          </w:p>
        </w:tc>
        <w:tc>
          <w:tcPr>
            <w:tcW w:w="298" w:type="pct"/>
            <w:tcBorders>
              <w:top w:val="single" w:sz="4" w:space="0" w:color="auto"/>
              <w:left w:val="nil"/>
              <w:bottom w:val="single" w:sz="4" w:space="0" w:color="auto"/>
              <w:right w:val="single" w:sz="4" w:space="0" w:color="auto"/>
            </w:tcBorders>
            <w:shd w:val="clear" w:color="auto" w:fill="auto"/>
            <w:noWrap/>
            <w:vAlign w:val="center"/>
            <w:hideMark/>
          </w:tcPr>
          <w:p w:rsidR="00BF4D81" w:rsidRPr="00BF4D81" w:rsidRDefault="00BF4D81" w:rsidP="00BF4D81">
            <w:pPr>
              <w:spacing w:after="0" w:line="240" w:lineRule="auto"/>
              <w:jc w:val="center"/>
              <w:rPr>
                <w:rFonts w:ascii="Calibri" w:eastAsia="Times New Roman" w:hAnsi="Calibri" w:cs="Times New Roman"/>
                <w:color w:val="000000"/>
                <w:sz w:val="16"/>
                <w:szCs w:val="16"/>
                <w:lang w:eastAsia="en-GB"/>
              </w:rPr>
            </w:pPr>
            <w:r w:rsidRPr="00BF4D81">
              <w:rPr>
                <w:rFonts w:ascii="Calibri" w:eastAsia="Times New Roman" w:hAnsi="Calibri" w:cs="Times New Roman"/>
                <w:color w:val="000000"/>
                <w:sz w:val="16"/>
                <w:szCs w:val="16"/>
                <w:lang w:eastAsia="en-GB"/>
              </w:rPr>
              <w:t>-</w:t>
            </w:r>
          </w:p>
        </w:tc>
        <w:tc>
          <w:tcPr>
            <w:tcW w:w="238" w:type="pct"/>
            <w:tcBorders>
              <w:top w:val="nil"/>
              <w:left w:val="nil"/>
              <w:bottom w:val="single" w:sz="4" w:space="0" w:color="auto"/>
              <w:right w:val="single" w:sz="4" w:space="0" w:color="auto"/>
            </w:tcBorders>
            <w:shd w:val="clear" w:color="auto" w:fill="auto"/>
            <w:noWrap/>
            <w:vAlign w:val="center"/>
            <w:hideMark/>
          </w:tcPr>
          <w:p w:rsidR="00BF4D81" w:rsidRPr="00BF4D81" w:rsidRDefault="00BF4D81" w:rsidP="00BF4D81">
            <w:pPr>
              <w:spacing w:after="0" w:line="240" w:lineRule="auto"/>
              <w:jc w:val="center"/>
              <w:rPr>
                <w:rFonts w:ascii="Calibri" w:eastAsia="Times New Roman" w:hAnsi="Calibri" w:cs="Times New Roman"/>
                <w:color w:val="000000"/>
                <w:sz w:val="16"/>
                <w:szCs w:val="16"/>
                <w:lang w:eastAsia="en-GB"/>
              </w:rPr>
            </w:pPr>
            <w:r w:rsidRPr="00BF4D81">
              <w:rPr>
                <w:rFonts w:ascii="Calibri" w:eastAsia="Times New Roman" w:hAnsi="Calibri" w:cs="Times New Roman"/>
                <w:color w:val="000000"/>
                <w:sz w:val="16"/>
                <w:szCs w:val="16"/>
                <w:lang w:eastAsia="en-GB"/>
              </w:rPr>
              <w:t>-</w:t>
            </w:r>
          </w:p>
        </w:tc>
        <w:tc>
          <w:tcPr>
            <w:tcW w:w="276" w:type="pct"/>
            <w:tcBorders>
              <w:top w:val="single" w:sz="4" w:space="0" w:color="auto"/>
              <w:left w:val="nil"/>
              <w:bottom w:val="single" w:sz="4" w:space="0" w:color="auto"/>
              <w:right w:val="single" w:sz="4" w:space="0" w:color="auto"/>
            </w:tcBorders>
            <w:shd w:val="clear" w:color="auto" w:fill="auto"/>
            <w:noWrap/>
            <w:vAlign w:val="center"/>
            <w:hideMark/>
          </w:tcPr>
          <w:p w:rsidR="00BF4D81" w:rsidRPr="00BF4D81" w:rsidRDefault="00BF4D81" w:rsidP="00BF4D81">
            <w:pPr>
              <w:spacing w:after="0" w:line="240" w:lineRule="auto"/>
              <w:jc w:val="center"/>
              <w:rPr>
                <w:rFonts w:ascii="Calibri" w:eastAsia="Times New Roman" w:hAnsi="Calibri" w:cs="Times New Roman"/>
                <w:color w:val="000000"/>
                <w:sz w:val="16"/>
                <w:szCs w:val="16"/>
                <w:lang w:eastAsia="en-GB"/>
              </w:rPr>
            </w:pPr>
            <w:r w:rsidRPr="00BF4D81">
              <w:rPr>
                <w:rFonts w:ascii="Calibri" w:eastAsia="Times New Roman" w:hAnsi="Calibri" w:cs="Times New Roman"/>
                <w:color w:val="000000"/>
                <w:sz w:val="16"/>
                <w:szCs w:val="16"/>
                <w:lang w:eastAsia="en-GB"/>
              </w:rPr>
              <w:t>-</w:t>
            </w:r>
          </w:p>
        </w:tc>
        <w:tc>
          <w:tcPr>
            <w:tcW w:w="298" w:type="pct"/>
            <w:tcBorders>
              <w:top w:val="nil"/>
              <w:left w:val="nil"/>
              <w:bottom w:val="single" w:sz="4" w:space="0" w:color="auto"/>
              <w:right w:val="single" w:sz="4" w:space="0" w:color="auto"/>
            </w:tcBorders>
            <w:shd w:val="clear" w:color="auto" w:fill="auto"/>
            <w:noWrap/>
            <w:vAlign w:val="center"/>
            <w:hideMark/>
          </w:tcPr>
          <w:p w:rsidR="00BF4D81" w:rsidRPr="00BF4D81" w:rsidRDefault="00BF4D81" w:rsidP="00BF4D81">
            <w:pPr>
              <w:spacing w:after="0" w:line="240" w:lineRule="auto"/>
              <w:jc w:val="center"/>
              <w:rPr>
                <w:rFonts w:ascii="Calibri" w:eastAsia="Times New Roman" w:hAnsi="Calibri" w:cs="Times New Roman"/>
                <w:color w:val="000000"/>
                <w:sz w:val="16"/>
                <w:szCs w:val="16"/>
                <w:lang w:eastAsia="en-GB"/>
              </w:rPr>
            </w:pPr>
            <w:r w:rsidRPr="00BF4D81">
              <w:rPr>
                <w:rFonts w:ascii="Calibri" w:eastAsia="Times New Roman" w:hAnsi="Calibri" w:cs="Times New Roman"/>
                <w:color w:val="000000"/>
                <w:sz w:val="16"/>
                <w:szCs w:val="16"/>
                <w:lang w:eastAsia="en-GB"/>
              </w:rPr>
              <w:t>-</w:t>
            </w:r>
          </w:p>
        </w:tc>
        <w:tc>
          <w:tcPr>
            <w:tcW w:w="256" w:type="pct"/>
            <w:tcBorders>
              <w:top w:val="nil"/>
              <w:left w:val="nil"/>
              <w:bottom w:val="single" w:sz="4" w:space="0" w:color="auto"/>
              <w:right w:val="single" w:sz="4" w:space="0" w:color="auto"/>
            </w:tcBorders>
            <w:shd w:val="clear" w:color="auto" w:fill="auto"/>
            <w:noWrap/>
            <w:vAlign w:val="center"/>
            <w:hideMark/>
          </w:tcPr>
          <w:p w:rsidR="00BF4D81" w:rsidRPr="00BF4D81" w:rsidRDefault="00BF4D81" w:rsidP="00BF4D81">
            <w:pPr>
              <w:spacing w:after="0" w:line="240" w:lineRule="auto"/>
              <w:jc w:val="center"/>
              <w:rPr>
                <w:rFonts w:ascii="Calibri" w:eastAsia="Times New Roman" w:hAnsi="Calibri" w:cs="Times New Roman"/>
                <w:color w:val="000000"/>
                <w:sz w:val="16"/>
                <w:szCs w:val="16"/>
                <w:lang w:eastAsia="en-GB"/>
              </w:rPr>
            </w:pPr>
            <w:r w:rsidRPr="00BF4D81">
              <w:rPr>
                <w:rFonts w:ascii="Calibri" w:eastAsia="Times New Roman" w:hAnsi="Calibri" w:cs="Times New Roman"/>
                <w:color w:val="000000"/>
                <w:sz w:val="16"/>
                <w:szCs w:val="16"/>
                <w:lang w:eastAsia="en-GB"/>
              </w:rPr>
              <w:t>0.577</w:t>
            </w:r>
          </w:p>
        </w:tc>
      </w:tr>
    </w:tbl>
    <w:p w:rsidR="00BF4D81" w:rsidRDefault="00BF4D81" w:rsidP="00BF4D81">
      <w:pPr>
        <w:rPr>
          <w:b/>
        </w:rPr>
      </w:pPr>
    </w:p>
    <w:p w:rsidR="00C01C15" w:rsidRDefault="00C01C15" w:rsidP="00BF4D81">
      <w:pPr>
        <w:rPr>
          <w:b/>
        </w:rPr>
      </w:pPr>
    </w:p>
    <w:p w:rsidR="00C01C15" w:rsidRDefault="00C01C15" w:rsidP="00BF4D81">
      <w:pPr>
        <w:rPr>
          <w:b/>
        </w:rPr>
      </w:pPr>
    </w:p>
    <w:p w:rsidR="00C01C15" w:rsidRPr="00E14C74" w:rsidRDefault="00C01C15" w:rsidP="00BF4D81">
      <w:pPr>
        <w:rPr>
          <w:b/>
        </w:rPr>
      </w:pPr>
    </w:p>
    <w:tbl>
      <w:tblPr>
        <w:tblW w:w="1707" w:type="pct"/>
        <w:tblInd w:w="-431" w:type="dxa"/>
        <w:tblLook w:val="04A0" w:firstRow="1" w:lastRow="0" w:firstColumn="1" w:lastColumn="0" w:noHBand="0" w:noVBand="1"/>
      </w:tblPr>
      <w:tblGrid>
        <w:gridCol w:w="3394"/>
        <w:gridCol w:w="1859"/>
      </w:tblGrid>
      <w:tr w:rsidR="00E63BB6" w:rsidRPr="00A43BF3" w:rsidTr="00C37A76">
        <w:trPr>
          <w:trHeight w:val="300"/>
        </w:trPr>
        <w:tc>
          <w:tcPr>
            <w:tcW w:w="500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3BB6" w:rsidRPr="00A43BF3" w:rsidRDefault="00E63BB6" w:rsidP="00166E43">
            <w:pPr>
              <w:spacing w:after="0" w:line="240" w:lineRule="auto"/>
              <w:jc w:val="center"/>
              <w:rPr>
                <w:rFonts w:ascii="Calibri" w:eastAsia="Times New Roman" w:hAnsi="Calibri" w:cs="Times New Roman"/>
                <w:b/>
                <w:bCs/>
                <w:color w:val="000000"/>
                <w:sz w:val="16"/>
                <w:szCs w:val="16"/>
                <w:lang w:eastAsia="en-GB"/>
              </w:rPr>
            </w:pPr>
            <w:r w:rsidRPr="00A43BF3">
              <w:rPr>
                <w:rFonts w:ascii="Calibri" w:eastAsia="Times New Roman" w:hAnsi="Calibri" w:cs="Times New Roman"/>
                <w:b/>
                <w:bCs/>
                <w:color w:val="000000"/>
                <w:sz w:val="16"/>
                <w:szCs w:val="16"/>
                <w:lang w:eastAsia="en-GB"/>
              </w:rPr>
              <w:lastRenderedPageBreak/>
              <w:t>Key</w:t>
            </w:r>
          </w:p>
        </w:tc>
      </w:tr>
      <w:tr w:rsidR="00E63BB6" w:rsidRPr="00A43BF3" w:rsidTr="00C37A76">
        <w:trPr>
          <w:trHeight w:val="300"/>
        </w:trPr>
        <w:tc>
          <w:tcPr>
            <w:tcW w:w="3231" w:type="pct"/>
            <w:tcBorders>
              <w:top w:val="nil"/>
              <w:left w:val="single" w:sz="4" w:space="0" w:color="auto"/>
              <w:bottom w:val="single" w:sz="4" w:space="0" w:color="auto"/>
              <w:right w:val="single" w:sz="4" w:space="0" w:color="auto"/>
            </w:tcBorders>
            <w:shd w:val="clear" w:color="000000" w:fill="EBF1DE"/>
            <w:noWrap/>
            <w:vAlign w:val="center"/>
            <w:hideMark/>
          </w:tcPr>
          <w:p w:rsidR="00E63BB6" w:rsidRPr="00A43BF3" w:rsidRDefault="00E63BB6" w:rsidP="00166E43">
            <w:pPr>
              <w:spacing w:after="0" w:line="240" w:lineRule="auto"/>
              <w:jc w:val="center"/>
              <w:rPr>
                <w:rFonts w:ascii="Calibri" w:eastAsia="Times New Roman" w:hAnsi="Calibri" w:cs="Times New Roman"/>
                <w:color w:val="000000"/>
                <w:sz w:val="16"/>
                <w:szCs w:val="16"/>
                <w:lang w:eastAsia="en-GB"/>
              </w:rPr>
            </w:pPr>
            <w:r w:rsidRPr="00A43BF3">
              <w:rPr>
                <w:rFonts w:ascii="Calibri" w:eastAsia="Times New Roman" w:hAnsi="Calibri" w:cs="Times New Roman"/>
                <w:color w:val="000000"/>
                <w:sz w:val="16"/>
                <w:szCs w:val="16"/>
                <w:lang w:eastAsia="en-GB"/>
              </w:rPr>
              <w:t>Statistically significantly better than benchmark</w:t>
            </w:r>
          </w:p>
        </w:tc>
        <w:tc>
          <w:tcPr>
            <w:tcW w:w="1769" w:type="pct"/>
            <w:tcBorders>
              <w:top w:val="nil"/>
              <w:left w:val="nil"/>
              <w:bottom w:val="single" w:sz="4" w:space="0" w:color="auto"/>
              <w:right w:val="single" w:sz="4" w:space="0" w:color="auto"/>
            </w:tcBorders>
            <w:shd w:val="clear" w:color="000000" w:fill="FDE9D9"/>
            <w:noWrap/>
            <w:vAlign w:val="center"/>
            <w:hideMark/>
          </w:tcPr>
          <w:p w:rsidR="00E63BB6" w:rsidRPr="00A43BF3" w:rsidRDefault="00E63BB6" w:rsidP="00166E43">
            <w:pPr>
              <w:spacing w:after="0" w:line="240" w:lineRule="auto"/>
              <w:jc w:val="center"/>
              <w:rPr>
                <w:rFonts w:ascii="Calibri" w:eastAsia="Times New Roman" w:hAnsi="Calibri" w:cs="Times New Roman"/>
                <w:sz w:val="16"/>
                <w:szCs w:val="16"/>
                <w:lang w:eastAsia="en-GB"/>
              </w:rPr>
            </w:pPr>
            <w:r w:rsidRPr="00A43BF3">
              <w:rPr>
                <w:rFonts w:ascii="Calibri" w:eastAsia="Times New Roman" w:hAnsi="Calibri" w:cs="Times New Roman"/>
                <w:sz w:val="16"/>
                <w:szCs w:val="16"/>
                <w:lang w:eastAsia="en-GB"/>
              </w:rPr>
              <w:t>In best quintile</w:t>
            </w:r>
          </w:p>
        </w:tc>
      </w:tr>
      <w:tr w:rsidR="00E63BB6" w:rsidRPr="00A43BF3" w:rsidTr="00C37A76">
        <w:trPr>
          <w:trHeight w:val="300"/>
        </w:trPr>
        <w:tc>
          <w:tcPr>
            <w:tcW w:w="3231" w:type="pct"/>
            <w:tcBorders>
              <w:top w:val="nil"/>
              <w:left w:val="single" w:sz="4" w:space="0" w:color="auto"/>
              <w:bottom w:val="single" w:sz="4" w:space="0" w:color="auto"/>
              <w:right w:val="single" w:sz="4" w:space="0" w:color="auto"/>
            </w:tcBorders>
            <w:shd w:val="clear" w:color="000000" w:fill="FFFF99"/>
            <w:noWrap/>
            <w:vAlign w:val="center"/>
            <w:hideMark/>
          </w:tcPr>
          <w:p w:rsidR="00E63BB6" w:rsidRPr="00A43BF3" w:rsidRDefault="00E63BB6" w:rsidP="00166E43">
            <w:pPr>
              <w:spacing w:after="0" w:line="240" w:lineRule="auto"/>
              <w:jc w:val="center"/>
              <w:rPr>
                <w:rFonts w:ascii="Calibri" w:eastAsia="Times New Roman" w:hAnsi="Calibri" w:cs="Times New Roman"/>
                <w:color w:val="000000"/>
                <w:sz w:val="16"/>
                <w:szCs w:val="16"/>
                <w:lang w:eastAsia="en-GB"/>
              </w:rPr>
            </w:pPr>
            <w:r w:rsidRPr="00A43BF3">
              <w:rPr>
                <w:rFonts w:ascii="Calibri" w:eastAsia="Times New Roman" w:hAnsi="Calibri" w:cs="Times New Roman"/>
                <w:color w:val="000000"/>
                <w:sz w:val="16"/>
                <w:szCs w:val="16"/>
                <w:lang w:eastAsia="en-GB"/>
              </w:rPr>
              <w:t>Statistically similar to benchmark</w:t>
            </w:r>
          </w:p>
        </w:tc>
        <w:tc>
          <w:tcPr>
            <w:tcW w:w="1769" w:type="pct"/>
            <w:tcBorders>
              <w:top w:val="nil"/>
              <w:left w:val="nil"/>
              <w:bottom w:val="single" w:sz="4" w:space="0" w:color="auto"/>
              <w:right w:val="single" w:sz="4" w:space="0" w:color="auto"/>
            </w:tcBorders>
            <w:shd w:val="clear" w:color="000000" w:fill="FCD5B4"/>
            <w:noWrap/>
            <w:vAlign w:val="center"/>
            <w:hideMark/>
          </w:tcPr>
          <w:p w:rsidR="00E63BB6" w:rsidRPr="00A43BF3" w:rsidRDefault="00E63BB6" w:rsidP="00166E43">
            <w:pPr>
              <w:spacing w:after="0" w:line="240" w:lineRule="auto"/>
              <w:jc w:val="center"/>
              <w:rPr>
                <w:rFonts w:ascii="Calibri" w:eastAsia="Times New Roman" w:hAnsi="Calibri" w:cs="Times New Roman"/>
                <w:color w:val="000000"/>
                <w:sz w:val="16"/>
                <w:szCs w:val="16"/>
                <w:lang w:eastAsia="en-GB"/>
              </w:rPr>
            </w:pPr>
            <w:r w:rsidRPr="00A43BF3">
              <w:rPr>
                <w:rFonts w:ascii="Calibri" w:eastAsia="Times New Roman" w:hAnsi="Calibri" w:cs="Times New Roman"/>
                <w:color w:val="000000"/>
                <w:sz w:val="16"/>
                <w:szCs w:val="16"/>
                <w:lang w:eastAsia="en-GB"/>
              </w:rPr>
              <w:t>In second best quintile</w:t>
            </w:r>
          </w:p>
        </w:tc>
      </w:tr>
      <w:tr w:rsidR="00E63BB6" w:rsidRPr="00A43BF3" w:rsidTr="00C37A76">
        <w:trPr>
          <w:trHeight w:val="300"/>
        </w:trPr>
        <w:tc>
          <w:tcPr>
            <w:tcW w:w="3231" w:type="pct"/>
            <w:tcBorders>
              <w:top w:val="nil"/>
              <w:left w:val="single" w:sz="4" w:space="0" w:color="auto"/>
              <w:bottom w:val="single" w:sz="4" w:space="0" w:color="auto"/>
              <w:right w:val="single" w:sz="4" w:space="0" w:color="auto"/>
            </w:tcBorders>
            <w:shd w:val="clear" w:color="000000" w:fill="420000"/>
            <w:noWrap/>
            <w:vAlign w:val="center"/>
            <w:hideMark/>
          </w:tcPr>
          <w:p w:rsidR="00E63BB6" w:rsidRPr="00A43BF3" w:rsidRDefault="00E63BB6" w:rsidP="00166E43">
            <w:pPr>
              <w:spacing w:after="0" w:line="240" w:lineRule="auto"/>
              <w:jc w:val="center"/>
              <w:rPr>
                <w:rFonts w:ascii="Calibri" w:eastAsia="Times New Roman" w:hAnsi="Calibri" w:cs="Times New Roman"/>
                <w:color w:val="FFFFFF"/>
                <w:sz w:val="16"/>
                <w:szCs w:val="16"/>
                <w:lang w:eastAsia="en-GB"/>
              </w:rPr>
            </w:pPr>
            <w:r w:rsidRPr="00A43BF3">
              <w:rPr>
                <w:rFonts w:ascii="Calibri" w:eastAsia="Times New Roman" w:hAnsi="Calibri" w:cs="Times New Roman"/>
                <w:color w:val="FFFFFF"/>
                <w:sz w:val="16"/>
                <w:szCs w:val="16"/>
                <w:lang w:eastAsia="en-GB"/>
              </w:rPr>
              <w:t>Statistically significantly lower than benchmark</w:t>
            </w:r>
          </w:p>
        </w:tc>
        <w:tc>
          <w:tcPr>
            <w:tcW w:w="1769" w:type="pct"/>
            <w:tcBorders>
              <w:top w:val="nil"/>
              <w:left w:val="nil"/>
              <w:bottom w:val="single" w:sz="4" w:space="0" w:color="auto"/>
              <w:right w:val="single" w:sz="4" w:space="0" w:color="auto"/>
            </w:tcBorders>
            <w:shd w:val="clear" w:color="000000" w:fill="FABF8F"/>
            <w:noWrap/>
            <w:vAlign w:val="center"/>
            <w:hideMark/>
          </w:tcPr>
          <w:p w:rsidR="00E63BB6" w:rsidRPr="00A43BF3" w:rsidRDefault="00E63BB6" w:rsidP="00166E43">
            <w:pPr>
              <w:spacing w:after="0" w:line="240" w:lineRule="auto"/>
              <w:jc w:val="center"/>
              <w:rPr>
                <w:rFonts w:ascii="Calibri" w:eastAsia="Times New Roman" w:hAnsi="Calibri" w:cs="Times New Roman"/>
                <w:color w:val="000000"/>
                <w:sz w:val="16"/>
                <w:szCs w:val="16"/>
                <w:lang w:eastAsia="en-GB"/>
              </w:rPr>
            </w:pPr>
            <w:r w:rsidRPr="00A43BF3">
              <w:rPr>
                <w:rFonts w:ascii="Calibri" w:eastAsia="Times New Roman" w:hAnsi="Calibri" w:cs="Times New Roman"/>
                <w:color w:val="000000"/>
                <w:sz w:val="16"/>
                <w:szCs w:val="16"/>
                <w:lang w:eastAsia="en-GB"/>
              </w:rPr>
              <w:t>In third quintile</w:t>
            </w:r>
          </w:p>
        </w:tc>
      </w:tr>
      <w:tr w:rsidR="00E63BB6" w:rsidRPr="00A43BF3" w:rsidTr="00C37A76">
        <w:trPr>
          <w:trHeight w:val="300"/>
        </w:trPr>
        <w:tc>
          <w:tcPr>
            <w:tcW w:w="3231" w:type="pct"/>
            <w:tcBorders>
              <w:top w:val="nil"/>
              <w:left w:val="single" w:sz="4" w:space="0" w:color="auto"/>
              <w:bottom w:val="single" w:sz="4" w:space="0" w:color="auto"/>
              <w:right w:val="single" w:sz="4" w:space="0" w:color="auto"/>
            </w:tcBorders>
            <w:shd w:val="clear" w:color="000000" w:fill="DCE6F1"/>
            <w:noWrap/>
            <w:vAlign w:val="center"/>
            <w:hideMark/>
          </w:tcPr>
          <w:p w:rsidR="00E63BB6" w:rsidRPr="00A43BF3" w:rsidRDefault="00E63BB6" w:rsidP="00166E43">
            <w:pPr>
              <w:spacing w:after="0" w:line="240" w:lineRule="auto"/>
              <w:jc w:val="center"/>
              <w:rPr>
                <w:rFonts w:ascii="Calibri" w:eastAsia="Times New Roman" w:hAnsi="Calibri" w:cs="Times New Roman"/>
                <w:color w:val="000000"/>
                <w:sz w:val="16"/>
                <w:szCs w:val="16"/>
                <w:lang w:eastAsia="en-GB"/>
              </w:rPr>
            </w:pPr>
            <w:r w:rsidRPr="00A43BF3">
              <w:rPr>
                <w:rFonts w:ascii="Calibri" w:eastAsia="Times New Roman" w:hAnsi="Calibri" w:cs="Times New Roman"/>
                <w:color w:val="000000"/>
                <w:sz w:val="16"/>
                <w:szCs w:val="16"/>
                <w:lang w:eastAsia="en-GB"/>
              </w:rPr>
              <w:t>Statistically significantly higher than benchmark</w:t>
            </w:r>
          </w:p>
        </w:tc>
        <w:tc>
          <w:tcPr>
            <w:tcW w:w="1769" w:type="pct"/>
            <w:tcBorders>
              <w:top w:val="nil"/>
              <w:left w:val="nil"/>
              <w:bottom w:val="single" w:sz="4" w:space="0" w:color="auto"/>
              <w:right w:val="single" w:sz="4" w:space="0" w:color="auto"/>
            </w:tcBorders>
            <w:shd w:val="clear" w:color="000000" w:fill="E26B0A"/>
            <w:noWrap/>
            <w:vAlign w:val="center"/>
            <w:hideMark/>
          </w:tcPr>
          <w:p w:rsidR="00E63BB6" w:rsidRPr="00A43BF3" w:rsidRDefault="00E63BB6" w:rsidP="00166E43">
            <w:pPr>
              <w:spacing w:after="0" w:line="240" w:lineRule="auto"/>
              <w:jc w:val="center"/>
              <w:rPr>
                <w:rFonts w:ascii="Calibri" w:eastAsia="Times New Roman" w:hAnsi="Calibri" w:cs="Times New Roman"/>
                <w:color w:val="FFFFFF"/>
                <w:sz w:val="16"/>
                <w:szCs w:val="16"/>
                <w:lang w:eastAsia="en-GB"/>
              </w:rPr>
            </w:pPr>
            <w:r w:rsidRPr="00A43BF3">
              <w:rPr>
                <w:rFonts w:ascii="Calibri" w:eastAsia="Times New Roman" w:hAnsi="Calibri" w:cs="Times New Roman"/>
                <w:color w:val="FFFFFF"/>
                <w:sz w:val="16"/>
                <w:szCs w:val="16"/>
                <w:lang w:eastAsia="en-GB"/>
              </w:rPr>
              <w:t>In second worst quintile</w:t>
            </w:r>
          </w:p>
        </w:tc>
      </w:tr>
      <w:tr w:rsidR="00E63BB6" w:rsidRPr="00A43BF3" w:rsidTr="00C37A76">
        <w:trPr>
          <w:trHeight w:val="300"/>
        </w:trPr>
        <w:tc>
          <w:tcPr>
            <w:tcW w:w="3231" w:type="pct"/>
            <w:tcBorders>
              <w:top w:val="nil"/>
              <w:left w:val="single" w:sz="4" w:space="0" w:color="auto"/>
              <w:bottom w:val="single" w:sz="4" w:space="0" w:color="auto"/>
              <w:right w:val="single" w:sz="4" w:space="0" w:color="auto"/>
            </w:tcBorders>
            <w:shd w:val="clear" w:color="000000" w:fill="0070C0"/>
            <w:noWrap/>
            <w:vAlign w:val="center"/>
            <w:hideMark/>
          </w:tcPr>
          <w:p w:rsidR="00E63BB6" w:rsidRPr="00A43BF3" w:rsidRDefault="00E63BB6" w:rsidP="00166E43">
            <w:pPr>
              <w:spacing w:after="0" w:line="240" w:lineRule="auto"/>
              <w:jc w:val="center"/>
              <w:rPr>
                <w:rFonts w:ascii="Calibri" w:eastAsia="Times New Roman" w:hAnsi="Calibri" w:cs="Times New Roman"/>
                <w:color w:val="FFFFFF"/>
                <w:sz w:val="16"/>
                <w:szCs w:val="16"/>
                <w:lang w:eastAsia="en-GB"/>
              </w:rPr>
            </w:pPr>
            <w:r w:rsidRPr="00A43BF3">
              <w:rPr>
                <w:rFonts w:ascii="Calibri" w:eastAsia="Times New Roman" w:hAnsi="Calibri" w:cs="Times New Roman"/>
                <w:color w:val="FFFFFF"/>
                <w:sz w:val="16"/>
                <w:szCs w:val="16"/>
                <w:lang w:eastAsia="en-GB"/>
              </w:rPr>
              <w:t>Statistically significantly lower than benchmark</w:t>
            </w:r>
          </w:p>
        </w:tc>
        <w:tc>
          <w:tcPr>
            <w:tcW w:w="1769" w:type="pct"/>
            <w:tcBorders>
              <w:top w:val="nil"/>
              <w:left w:val="nil"/>
              <w:bottom w:val="single" w:sz="4" w:space="0" w:color="auto"/>
              <w:right w:val="single" w:sz="4" w:space="0" w:color="auto"/>
            </w:tcBorders>
            <w:shd w:val="clear" w:color="000000" w:fill="974706"/>
            <w:noWrap/>
            <w:vAlign w:val="center"/>
            <w:hideMark/>
          </w:tcPr>
          <w:p w:rsidR="00E63BB6" w:rsidRPr="00A43BF3" w:rsidRDefault="00E63BB6" w:rsidP="00166E43">
            <w:pPr>
              <w:spacing w:after="0" w:line="240" w:lineRule="auto"/>
              <w:jc w:val="center"/>
              <w:rPr>
                <w:rFonts w:ascii="Calibri" w:eastAsia="Times New Roman" w:hAnsi="Calibri" w:cs="Times New Roman"/>
                <w:color w:val="FFFFFF"/>
                <w:sz w:val="16"/>
                <w:szCs w:val="16"/>
                <w:lang w:eastAsia="en-GB"/>
              </w:rPr>
            </w:pPr>
            <w:r w:rsidRPr="00A43BF3">
              <w:rPr>
                <w:rFonts w:ascii="Calibri" w:eastAsia="Times New Roman" w:hAnsi="Calibri" w:cs="Times New Roman"/>
                <w:color w:val="FFFFFF"/>
                <w:sz w:val="16"/>
                <w:szCs w:val="16"/>
                <w:lang w:eastAsia="en-GB"/>
              </w:rPr>
              <w:t>In worst quintile</w:t>
            </w:r>
          </w:p>
        </w:tc>
      </w:tr>
    </w:tbl>
    <w:p w:rsidR="00BF4D81" w:rsidRDefault="00BF4D81"/>
    <w:p w:rsidR="00BF4D81" w:rsidRDefault="00137505">
      <w:r>
        <w:t>Cambridgeshire and Peterborough is known to be an area with high variation with regards to a number of wider/socio-economic determinants of health, including relative deprivation, educational attainment, main employment sectors and quality of housing. Indicators within the table above illustrate these differences, particularly with reference to Income Deprivation Affecting Older People (IDAOPI)</w:t>
      </w:r>
      <w:r w:rsidR="00931989">
        <w:t xml:space="preserve">, which is based on the percentage of the population aged 60+ who receive income support </w:t>
      </w:r>
      <w:r>
        <w:t>and the Access to Healthy Assets &amp; Hazards Index (AHAH), which looks at access to retail services, health services and quality of physical environment.</w:t>
      </w:r>
    </w:p>
    <w:p w:rsidR="00137505" w:rsidRDefault="00931989">
      <w:r w:rsidRPr="00931989">
        <w:t>The IDAOPI data within the table above shows Cambridgeshire to be in the first (best) quintile of local authorities nationally, with 11.3% of residents aged 60+ receiving a form of income support compared to 17.8% in England. Peterborough is in the third (middle) quintile for local authorities, with 18.5% of applicable residents receiving income support. Across Cambridgeshire, there is a wide degree of observed variation with regards to this indicator. South Cambridgeshire (8.4%), Huntingdonshire (9.6%) and East Cambridgeshire (11.7%) are in the best two quintiles for districts, Cambridge is in the third (middle) district within 11.7% and Fenland is in the fourth (second-worst) quintile with a value of 16.4%.</w:t>
      </w:r>
    </w:p>
    <w:p w:rsidR="00767C32" w:rsidRDefault="00F66F96">
      <w:r>
        <w:t>Data relating to the Access to Healthy Assets &amp; Hazards (AHAH index) illustrates the number and percentage of residents within each area who live in Lower Super Output Areas (LSOAs, geographical groups of approximately 1,500 residents) in the worst 20% of all areas in England as per the A</w:t>
      </w:r>
      <w:r w:rsidR="00C01C15">
        <w:t xml:space="preserve">HAH index. These areas </w:t>
      </w:r>
      <w:r>
        <w:t>have</w:t>
      </w:r>
      <w:r w:rsidR="00C01C15">
        <w:t xml:space="preserve"> relatively</w:t>
      </w:r>
      <w:r>
        <w:t xml:space="preserve"> high numbers of fast food outlets, gambling outlets, pubs, bars, nightclubs, off licenses and tobacconists and conversely, relative difficulty in accessing health services including GP surgeries, A&amp;E departments, hospitals, pharmacies and dentists. The quality of the physical environment (access to green spaces and levels of air pollutants) are also incorporated in to the index calculations.</w:t>
      </w:r>
    </w:p>
    <w:p w:rsidR="00767C32" w:rsidRDefault="00F66F96">
      <w:r w:rsidRPr="00F66F96">
        <w:t>Cambridgeshire, Peterborough, Cambridge, Huntingdonshire and South Cambridgeshire are all in either the second or third-best quintile in comparison to other local authorities/districts for this indicator, whereas East Cambridgeshire is in the fourth quintile for districts with a value of 20.7% and Fenland is in the fifth (worst) quintile with 48.5% of its residents living in LSOAs scored within the lowest 20% of all LSOAs in England as per this index.</w:t>
      </w:r>
    </w:p>
    <w:p w:rsidR="00C01C15" w:rsidRDefault="00C01C15"/>
    <w:p w:rsidR="00C01C15" w:rsidRDefault="00C01C15"/>
    <w:p w:rsidR="00C01C15" w:rsidRDefault="00C01C15"/>
    <w:p w:rsidR="00C01C15" w:rsidRDefault="00C01C15"/>
    <w:p w:rsidR="00F66F96" w:rsidRDefault="00B675EC" w:rsidP="00F66F96">
      <w:pPr>
        <w:rPr>
          <w:b/>
        </w:rPr>
      </w:pPr>
      <w:r>
        <w:rPr>
          <w:b/>
        </w:rPr>
        <w:lastRenderedPageBreak/>
        <w:t>Figure 8</w:t>
      </w:r>
      <w:r w:rsidR="00F66F96" w:rsidRPr="00E14C74">
        <w:rPr>
          <w:b/>
        </w:rPr>
        <w:t xml:space="preserve">: </w:t>
      </w:r>
      <w:r w:rsidR="00F66F96">
        <w:rPr>
          <w:b/>
        </w:rPr>
        <w:t>Access to Healthy Asse</w:t>
      </w:r>
      <w:r w:rsidR="00D92405">
        <w:rPr>
          <w:b/>
        </w:rPr>
        <w:t xml:space="preserve">ts &amp; Hazards Index, 2016: Worst- Performing </w:t>
      </w:r>
      <w:r w:rsidR="00F66F96">
        <w:rPr>
          <w:b/>
        </w:rPr>
        <w:t>Districts in the East of England</w:t>
      </w:r>
    </w:p>
    <w:p w:rsidR="007B0EDE" w:rsidRDefault="00F66F96" w:rsidP="00F66F96">
      <w:pPr>
        <w:rPr>
          <w:b/>
          <w:sz w:val="16"/>
          <w:szCs w:val="16"/>
        </w:rPr>
      </w:pPr>
      <w:r>
        <w:rPr>
          <w:noProof/>
          <w:lang w:eastAsia="en-GB"/>
        </w:rPr>
        <w:drawing>
          <wp:inline distT="0" distB="0" distL="0" distR="0" wp14:anchorId="082922DC" wp14:editId="58A85BA0">
            <wp:extent cx="7034530" cy="1325880"/>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7034530" cy="1325880"/>
                    </a:xfrm>
                    <a:prstGeom prst="rect">
                      <a:avLst/>
                    </a:prstGeom>
                  </pic:spPr>
                </pic:pic>
              </a:graphicData>
            </a:graphic>
          </wp:inline>
        </w:drawing>
      </w:r>
    </w:p>
    <w:p w:rsidR="00F66F96" w:rsidRPr="00F66F96" w:rsidRDefault="00F66F96" w:rsidP="00F66F96">
      <w:pPr>
        <w:rPr>
          <w:b/>
        </w:rPr>
      </w:pPr>
      <w:r w:rsidRPr="00F66F96">
        <w:rPr>
          <w:b/>
          <w:sz w:val="16"/>
          <w:szCs w:val="16"/>
        </w:rPr>
        <w:t>Source: Public Health England</w:t>
      </w:r>
    </w:p>
    <w:p w:rsidR="00C23BB6" w:rsidRDefault="00CF3A59">
      <w:r>
        <w:t>Nationally, 21.2% of residents are living in LSOAs within the worst-perfor</w:t>
      </w:r>
      <w:r w:rsidR="00D92405">
        <w:t>ming 20% of all LSOAs as scored by the AHAH index. Within the East of England, this value is 15.8% of residents. Of 47 districts and unitary author</w:t>
      </w:r>
      <w:r w:rsidR="00C01C15">
        <w:t>ities within the East of England</w:t>
      </w:r>
      <w:r w:rsidR="00FB3A62">
        <w:t xml:space="preserve"> (the worst five of which are pictured above)</w:t>
      </w:r>
      <w:r w:rsidR="00D92405">
        <w:t xml:space="preserve">, Fenland has the second-worst proportion of residents living within the worst-performing 20% of LSOAs (48.5%), behind only Norwich (53.2%). </w:t>
      </w:r>
    </w:p>
    <w:p w:rsidR="00C23BB6" w:rsidRDefault="0085747D" w:rsidP="00C23BB6">
      <w:pPr>
        <w:rPr>
          <w:b/>
        </w:rPr>
      </w:pPr>
      <w:r>
        <w:rPr>
          <w:b/>
        </w:rPr>
        <w:t>F</w:t>
      </w:r>
      <w:r w:rsidR="00B675EC">
        <w:rPr>
          <w:b/>
        </w:rPr>
        <w:t>igure 9</w:t>
      </w:r>
      <w:r w:rsidR="00C23BB6" w:rsidRPr="00E14C74">
        <w:rPr>
          <w:b/>
        </w:rPr>
        <w:t xml:space="preserve">: </w:t>
      </w:r>
      <w:r w:rsidR="00C23BB6">
        <w:rPr>
          <w:b/>
        </w:rPr>
        <w:t>Crude rate of noise complaints per 1,000 resident population, 2015-16: Worst-Performing Districts in the East of England</w:t>
      </w:r>
    </w:p>
    <w:p w:rsidR="00B675EC" w:rsidRDefault="00C23BB6">
      <w:pPr>
        <w:rPr>
          <w:b/>
          <w:sz w:val="16"/>
          <w:szCs w:val="16"/>
        </w:rPr>
      </w:pPr>
      <w:r>
        <w:rPr>
          <w:noProof/>
          <w:lang w:eastAsia="en-GB"/>
        </w:rPr>
        <w:drawing>
          <wp:inline distT="0" distB="0" distL="0" distR="0" wp14:anchorId="1DD22E8B" wp14:editId="05357230">
            <wp:extent cx="7034530" cy="1896745"/>
            <wp:effectExtent l="0" t="0" r="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7034530" cy="1896745"/>
                    </a:xfrm>
                    <a:prstGeom prst="rect">
                      <a:avLst/>
                    </a:prstGeom>
                  </pic:spPr>
                </pic:pic>
              </a:graphicData>
            </a:graphic>
          </wp:inline>
        </w:drawing>
      </w:r>
    </w:p>
    <w:p w:rsidR="00C23BB6" w:rsidRPr="00C23BB6" w:rsidRDefault="00C23BB6">
      <w:r w:rsidRPr="00C23BB6">
        <w:rPr>
          <w:b/>
          <w:sz w:val="16"/>
          <w:szCs w:val="16"/>
        </w:rPr>
        <w:t>Source: Public Health England</w:t>
      </w:r>
    </w:p>
    <w:p w:rsidR="007B0EDE" w:rsidRDefault="00C23BB6">
      <w:r>
        <w:t xml:space="preserve">The crude rate of </w:t>
      </w:r>
      <w:r w:rsidR="00237F18">
        <w:t xml:space="preserve">noise complaints per 1,000 resident population in England in 2015-16 was 6.3/1,000 and statistically significantly lower in the East of England (5.0/1,000). Of 47 districts and unitary authorities in the East of England, Cambridge is one of 9 (19.1% of the total) that have a statistically significantly higher crude rate than the national average. The Cambridge rate of 14.9/1,000 (95% confidence intervals = 14.2 – 15.6) mean that the rate of noise complaints in Cambridge is statistically significantly </w:t>
      </w:r>
      <w:r w:rsidR="00237F18">
        <w:lastRenderedPageBreak/>
        <w:t>worse than any other area of the East of England. The adverse effects of noise pollution and significant noise-related issues on general health and wellbeing are noted within the Noise Policy Statement for England and Natural Environment White Paper</w:t>
      </w:r>
      <w:r w:rsidR="00237F18">
        <w:rPr>
          <w:rStyle w:val="FootnoteReference"/>
        </w:rPr>
        <w:footnoteReference w:id="3"/>
      </w:r>
      <w:r w:rsidR="00237F18">
        <w:t>.</w:t>
      </w:r>
    </w:p>
    <w:p w:rsidR="00834592" w:rsidRDefault="00834592" w:rsidP="00834592">
      <w:pPr>
        <w:pStyle w:val="Heading2"/>
        <w:numPr>
          <w:ilvl w:val="0"/>
          <w:numId w:val="3"/>
        </w:numPr>
      </w:pPr>
      <w:bookmarkStart w:id="5" w:name="_Toc13125211"/>
      <w:r>
        <w:t>Reverse or live well with long term conditions indicators</w:t>
      </w:r>
      <w:bookmarkEnd w:id="5"/>
    </w:p>
    <w:p w:rsidR="00767C32" w:rsidRDefault="00767C32"/>
    <w:p w:rsidR="00767C32" w:rsidRDefault="00B675EC" w:rsidP="00767C32">
      <w:pPr>
        <w:rPr>
          <w:b/>
        </w:rPr>
      </w:pPr>
      <w:r>
        <w:rPr>
          <w:b/>
        </w:rPr>
        <w:t>Figure 10</w:t>
      </w:r>
      <w:r w:rsidR="00767C32" w:rsidRPr="00E14C74">
        <w:rPr>
          <w:b/>
        </w:rPr>
        <w:t xml:space="preserve">: </w:t>
      </w:r>
      <w:r w:rsidR="002E16E6">
        <w:rPr>
          <w:b/>
        </w:rPr>
        <w:t>Reverse or live well with long term c</w:t>
      </w:r>
      <w:r w:rsidR="00767C32">
        <w:rPr>
          <w:b/>
        </w:rPr>
        <w:t>ondition</w:t>
      </w:r>
      <w:r w:rsidR="002E16E6">
        <w:rPr>
          <w:b/>
        </w:rPr>
        <w:t>s</w:t>
      </w:r>
      <w:r w:rsidR="00767C32">
        <w:rPr>
          <w:b/>
        </w:rPr>
        <w:t xml:space="preserve"> Indicators:</w:t>
      </w:r>
    </w:p>
    <w:tbl>
      <w:tblPr>
        <w:tblW w:w="5389" w:type="pct"/>
        <w:tblInd w:w="-572" w:type="dxa"/>
        <w:tblLayout w:type="fixed"/>
        <w:tblLook w:val="04A0" w:firstRow="1" w:lastRow="0" w:firstColumn="1" w:lastColumn="0" w:noHBand="0" w:noVBand="1"/>
      </w:tblPr>
      <w:tblGrid>
        <w:gridCol w:w="1703"/>
        <w:gridCol w:w="850"/>
        <w:gridCol w:w="853"/>
        <w:gridCol w:w="849"/>
        <w:gridCol w:w="852"/>
        <w:gridCol w:w="849"/>
        <w:gridCol w:w="852"/>
        <w:gridCol w:w="849"/>
        <w:gridCol w:w="852"/>
        <w:gridCol w:w="992"/>
        <w:gridCol w:w="849"/>
        <w:gridCol w:w="852"/>
        <w:gridCol w:w="1008"/>
        <w:gridCol w:w="859"/>
        <w:gridCol w:w="833"/>
        <w:gridCol w:w="849"/>
        <w:gridCol w:w="995"/>
        <w:gridCol w:w="839"/>
      </w:tblGrid>
      <w:tr w:rsidR="0085747D" w:rsidRPr="00767C32" w:rsidTr="0085747D">
        <w:trPr>
          <w:trHeight w:val="300"/>
          <w:tblHeader/>
        </w:trPr>
        <w:tc>
          <w:tcPr>
            <w:tcW w:w="513"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767C32" w:rsidRPr="00767C32" w:rsidRDefault="00767C32" w:rsidP="00767C32">
            <w:pPr>
              <w:spacing w:after="0" w:line="240" w:lineRule="auto"/>
              <w:jc w:val="center"/>
              <w:rPr>
                <w:rFonts w:ascii="Calibri" w:eastAsia="Times New Roman" w:hAnsi="Calibri" w:cs="Times New Roman"/>
                <w:color w:val="000000"/>
                <w:sz w:val="16"/>
                <w:szCs w:val="16"/>
                <w:lang w:eastAsia="en-GB"/>
              </w:rPr>
            </w:pPr>
            <w:r w:rsidRPr="00767C32">
              <w:rPr>
                <w:rFonts w:ascii="Calibri" w:eastAsia="Times New Roman" w:hAnsi="Calibri" w:cs="Times New Roman"/>
                <w:color w:val="000000"/>
                <w:sz w:val="16"/>
                <w:szCs w:val="16"/>
                <w:lang w:eastAsia="en-GB"/>
              </w:rPr>
              <w:t>Indicator</w:t>
            </w:r>
          </w:p>
        </w:tc>
        <w:tc>
          <w:tcPr>
            <w:tcW w:w="256"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767C32" w:rsidRPr="00767C32" w:rsidRDefault="00767C32" w:rsidP="00767C32">
            <w:pPr>
              <w:spacing w:after="0" w:line="240" w:lineRule="auto"/>
              <w:jc w:val="center"/>
              <w:rPr>
                <w:rFonts w:ascii="Calibri" w:eastAsia="Times New Roman" w:hAnsi="Calibri" w:cs="Times New Roman"/>
                <w:color w:val="000000"/>
                <w:sz w:val="16"/>
                <w:szCs w:val="16"/>
                <w:lang w:eastAsia="en-GB"/>
              </w:rPr>
            </w:pPr>
            <w:r w:rsidRPr="00767C32">
              <w:rPr>
                <w:rFonts w:ascii="Calibri" w:eastAsia="Times New Roman" w:hAnsi="Calibri" w:cs="Times New Roman"/>
                <w:color w:val="000000"/>
                <w:sz w:val="16"/>
                <w:szCs w:val="16"/>
                <w:lang w:eastAsia="en-GB"/>
              </w:rPr>
              <w:t>Time Period</w:t>
            </w:r>
          </w:p>
        </w:tc>
        <w:tc>
          <w:tcPr>
            <w:tcW w:w="4231" w:type="pct"/>
            <w:gridSpan w:val="16"/>
            <w:tcBorders>
              <w:top w:val="single" w:sz="4" w:space="0" w:color="auto"/>
              <w:left w:val="nil"/>
              <w:bottom w:val="single" w:sz="4" w:space="0" w:color="auto"/>
              <w:right w:val="single" w:sz="4" w:space="0" w:color="auto"/>
            </w:tcBorders>
            <w:shd w:val="clear" w:color="auto" w:fill="auto"/>
            <w:noWrap/>
            <w:vAlign w:val="center"/>
            <w:hideMark/>
          </w:tcPr>
          <w:p w:rsidR="00767C32" w:rsidRPr="00767C32" w:rsidRDefault="00767C32" w:rsidP="00767C32">
            <w:pPr>
              <w:spacing w:after="0" w:line="240" w:lineRule="auto"/>
              <w:jc w:val="center"/>
              <w:rPr>
                <w:rFonts w:ascii="Calibri" w:eastAsia="Times New Roman" w:hAnsi="Calibri" w:cs="Times New Roman"/>
                <w:color w:val="000000"/>
                <w:sz w:val="16"/>
                <w:szCs w:val="16"/>
                <w:lang w:eastAsia="en-GB"/>
              </w:rPr>
            </w:pPr>
            <w:r w:rsidRPr="00767C32">
              <w:rPr>
                <w:rFonts w:ascii="Calibri" w:eastAsia="Times New Roman" w:hAnsi="Calibri" w:cs="Times New Roman"/>
                <w:color w:val="000000"/>
                <w:sz w:val="16"/>
                <w:szCs w:val="16"/>
                <w:lang w:eastAsia="en-GB"/>
              </w:rPr>
              <w:t>Area</w:t>
            </w:r>
          </w:p>
        </w:tc>
      </w:tr>
      <w:tr w:rsidR="0085747D" w:rsidRPr="00767C32" w:rsidTr="0085747D">
        <w:trPr>
          <w:trHeight w:val="300"/>
          <w:tblHeader/>
        </w:trPr>
        <w:tc>
          <w:tcPr>
            <w:tcW w:w="513" w:type="pct"/>
            <w:vMerge/>
            <w:tcBorders>
              <w:top w:val="single" w:sz="4" w:space="0" w:color="auto"/>
              <w:left w:val="single" w:sz="4" w:space="0" w:color="auto"/>
              <w:bottom w:val="single" w:sz="4" w:space="0" w:color="000000"/>
              <w:right w:val="single" w:sz="4" w:space="0" w:color="auto"/>
            </w:tcBorders>
            <w:vAlign w:val="center"/>
            <w:hideMark/>
          </w:tcPr>
          <w:p w:rsidR="00767C32" w:rsidRPr="00767C32" w:rsidRDefault="00767C32" w:rsidP="00767C32">
            <w:pPr>
              <w:spacing w:after="0" w:line="240" w:lineRule="auto"/>
              <w:rPr>
                <w:rFonts w:ascii="Calibri" w:eastAsia="Times New Roman" w:hAnsi="Calibri" w:cs="Times New Roman"/>
                <w:color w:val="000000"/>
                <w:sz w:val="16"/>
                <w:szCs w:val="16"/>
                <w:lang w:eastAsia="en-GB"/>
              </w:rPr>
            </w:pPr>
          </w:p>
        </w:tc>
        <w:tc>
          <w:tcPr>
            <w:tcW w:w="256" w:type="pct"/>
            <w:vMerge/>
            <w:tcBorders>
              <w:top w:val="single" w:sz="4" w:space="0" w:color="auto"/>
              <w:left w:val="single" w:sz="4" w:space="0" w:color="auto"/>
              <w:bottom w:val="single" w:sz="4" w:space="0" w:color="000000"/>
              <w:right w:val="single" w:sz="4" w:space="0" w:color="auto"/>
            </w:tcBorders>
            <w:vAlign w:val="center"/>
            <w:hideMark/>
          </w:tcPr>
          <w:p w:rsidR="00767C32" w:rsidRPr="00767C32" w:rsidRDefault="00767C32" w:rsidP="00767C32">
            <w:pPr>
              <w:spacing w:after="0" w:line="240" w:lineRule="auto"/>
              <w:rPr>
                <w:rFonts w:ascii="Calibri" w:eastAsia="Times New Roman" w:hAnsi="Calibri" w:cs="Times New Roman"/>
                <w:color w:val="000000"/>
                <w:sz w:val="16"/>
                <w:szCs w:val="16"/>
                <w:lang w:eastAsia="en-GB"/>
              </w:rPr>
            </w:pPr>
          </w:p>
        </w:tc>
        <w:tc>
          <w:tcPr>
            <w:tcW w:w="513" w:type="pct"/>
            <w:gridSpan w:val="2"/>
            <w:tcBorders>
              <w:top w:val="single" w:sz="4" w:space="0" w:color="auto"/>
              <w:left w:val="nil"/>
              <w:bottom w:val="single" w:sz="4" w:space="0" w:color="auto"/>
              <w:right w:val="single" w:sz="4" w:space="0" w:color="auto"/>
            </w:tcBorders>
            <w:shd w:val="clear" w:color="auto" w:fill="auto"/>
            <w:noWrap/>
            <w:vAlign w:val="center"/>
            <w:hideMark/>
          </w:tcPr>
          <w:p w:rsidR="00767C32" w:rsidRPr="00767C32" w:rsidRDefault="00767C32" w:rsidP="00767C32">
            <w:pPr>
              <w:spacing w:after="0" w:line="240" w:lineRule="auto"/>
              <w:jc w:val="center"/>
              <w:rPr>
                <w:rFonts w:ascii="Calibri" w:eastAsia="Times New Roman" w:hAnsi="Calibri" w:cs="Times New Roman"/>
                <w:color w:val="000000"/>
                <w:sz w:val="16"/>
                <w:szCs w:val="16"/>
                <w:lang w:eastAsia="en-GB"/>
              </w:rPr>
            </w:pPr>
            <w:r w:rsidRPr="00767C32">
              <w:rPr>
                <w:rFonts w:ascii="Calibri" w:eastAsia="Times New Roman" w:hAnsi="Calibri" w:cs="Times New Roman"/>
                <w:color w:val="000000"/>
                <w:sz w:val="16"/>
                <w:szCs w:val="16"/>
                <w:lang w:eastAsia="en-GB"/>
              </w:rPr>
              <w:t>Cambridgeshire</w:t>
            </w:r>
          </w:p>
        </w:tc>
        <w:tc>
          <w:tcPr>
            <w:tcW w:w="513" w:type="pct"/>
            <w:gridSpan w:val="2"/>
            <w:tcBorders>
              <w:top w:val="single" w:sz="4" w:space="0" w:color="auto"/>
              <w:left w:val="nil"/>
              <w:bottom w:val="single" w:sz="4" w:space="0" w:color="auto"/>
              <w:right w:val="single" w:sz="4" w:space="0" w:color="auto"/>
            </w:tcBorders>
            <w:shd w:val="clear" w:color="auto" w:fill="auto"/>
            <w:noWrap/>
            <w:vAlign w:val="center"/>
            <w:hideMark/>
          </w:tcPr>
          <w:p w:rsidR="00767C32" w:rsidRPr="00767C32" w:rsidRDefault="00767C32" w:rsidP="00767C32">
            <w:pPr>
              <w:spacing w:after="0" w:line="240" w:lineRule="auto"/>
              <w:jc w:val="center"/>
              <w:rPr>
                <w:rFonts w:ascii="Calibri" w:eastAsia="Times New Roman" w:hAnsi="Calibri" w:cs="Times New Roman"/>
                <w:color w:val="000000"/>
                <w:sz w:val="16"/>
                <w:szCs w:val="16"/>
                <w:lang w:eastAsia="en-GB"/>
              </w:rPr>
            </w:pPr>
            <w:r w:rsidRPr="00767C32">
              <w:rPr>
                <w:rFonts w:ascii="Calibri" w:eastAsia="Times New Roman" w:hAnsi="Calibri" w:cs="Times New Roman"/>
                <w:color w:val="000000"/>
                <w:sz w:val="16"/>
                <w:szCs w:val="16"/>
                <w:lang w:eastAsia="en-GB"/>
              </w:rPr>
              <w:t>Peterborough</w:t>
            </w:r>
          </w:p>
        </w:tc>
        <w:tc>
          <w:tcPr>
            <w:tcW w:w="513" w:type="pct"/>
            <w:gridSpan w:val="2"/>
            <w:tcBorders>
              <w:top w:val="single" w:sz="4" w:space="0" w:color="auto"/>
              <w:left w:val="nil"/>
              <w:bottom w:val="single" w:sz="4" w:space="0" w:color="auto"/>
              <w:right w:val="single" w:sz="4" w:space="0" w:color="auto"/>
            </w:tcBorders>
            <w:shd w:val="clear" w:color="auto" w:fill="auto"/>
            <w:noWrap/>
            <w:vAlign w:val="center"/>
            <w:hideMark/>
          </w:tcPr>
          <w:p w:rsidR="00767C32" w:rsidRPr="00767C32" w:rsidRDefault="00767C32" w:rsidP="00767C32">
            <w:pPr>
              <w:spacing w:after="0" w:line="240" w:lineRule="auto"/>
              <w:jc w:val="center"/>
              <w:rPr>
                <w:rFonts w:ascii="Calibri" w:eastAsia="Times New Roman" w:hAnsi="Calibri" w:cs="Times New Roman"/>
                <w:color w:val="000000"/>
                <w:sz w:val="16"/>
                <w:szCs w:val="16"/>
                <w:lang w:eastAsia="en-GB"/>
              </w:rPr>
            </w:pPr>
            <w:r w:rsidRPr="00767C32">
              <w:rPr>
                <w:rFonts w:ascii="Calibri" w:eastAsia="Times New Roman" w:hAnsi="Calibri" w:cs="Times New Roman"/>
                <w:color w:val="000000"/>
                <w:sz w:val="16"/>
                <w:szCs w:val="16"/>
                <w:lang w:eastAsia="en-GB"/>
              </w:rPr>
              <w:t>Cambridge</w:t>
            </w:r>
          </w:p>
        </w:tc>
        <w:tc>
          <w:tcPr>
            <w:tcW w:w="556" w:type="pct"/>
            <w:gridSpan w:val="2"/>
            <w:tcBorders>
              <w:top w:val="single" w:sz="4" w:space="0" w:color="auto"/>
              <w:left w:val="nil"/>
              <w:bottom w:val="single" w:sz="4" w:space="0" w:color="auto"/>
              <w:right w:val="single" w:sz="4" w:space="0" w:color="auto"/>
            </w:tcBorders>
            <w:shd w:val="clear" w:color="auto" w:fill="auto"/>
            <w:noWrap/>
            <w:vAlign w:val="center"/>
            <w:hideMark/>
          </w:tcPr>
          <w:p w:rsidR="00767C32" w:rsidRPr="00767C32" w:rsidRDefault="00767C32" w:rsidP="00767C32">
            <w:pPr>
              <w:spacing w:after="0" w:line="240" w:lineRule="auto"/>
              <w:jc w:val="center"/>
              <w:rPr>
                <w:rFonts w:ascii="Calibri" w:eastAsia="Times New Roman" w:hAnsi="Calibri" w:cs="Times New Roman"/>
                <w:color w:val="000000"/>
                <w:sz w:val="16"/>
                <w:szCs w:val="16"/>
                <w:lang w:eastAsia="en-GB"/>
              </w:rPr>
            </w:pPr>
            <w:r w:rsidRPr="00767C32">
              <w:rPr>
                <w:rFonts w:ascii="Calibri" w:eastAsia="Times New Roman" w:hAnsi="Calibri" w:cs="Times New Roman"/>
                <w:color w:val="000000"/>
                <w:sz w:val="16"/>
                <w:szCs w:val="16"/>
                <w:lang w:eastAsia="en-GB"/>
              </w:rPr>
              <w:t>East Cambridgeshire</w:t>
            </w:r>
          </w:p>
        </w:tc>
        <w:tc>
          <w:tcPr>
            <w:tcW w:w="513" w:type="pct"/>
            <w:gridSpan w:val="2"/>
            <w:tcBorders>
              <w:top w:val="single" w:sz="4" w:space="0" w:color="auto"/>
              <w:left w:val="nil"/>
              <w:bottom w:val="single" w:sz="4" w:space="0" w:color="auto"/>
              <w:right w:val="single" w:sz="4" w:space="0" w:color="auto"/>
            </w:tcBorders>
            <w:shd w:val="clear" w:color="auto" w:fill="auto"/>
            <w:noWrap/>
            <w:vAlign w:val="center"/>
            <w:hideMark/>
          </w:tcPr>
          <w:p w:rsidR="00767C32" w:rsidRPr="00767C32" w:rsidRDefault="00767C32" w:rsidP="00767C32">
            <w:pPr>
              <w:spacing w:after="0" w:line="240" w:lineRule="auto"/>
              <w:jc w:val="center"/>
              <w:rPr>
                <w:rFonts w:ascii="Calibri" w:eastAsia="Times New Roman" w:hAnsi="Calibri" w:cs="Times New Roman"/>
                <w:color w:val="000000"/>
                <w:sz w:val="16"/>
                <w:szCs w:val="16"/>
                <w:lang w:eastAsia="en-GB"/>
              </w:rPr>
            </w:pPr>
            <w:r w:rsidRPr="00767C32">
              <w:rPr>
                <w:rFonts w:ascii="Calibri" w:eastAsia="Times New Roman" w:hAnsi="Calibri" w:cs="Times New Roman"/>
                <w:color w:val="000000"/>
                <w:sz w:val="16"/>
                <w:szCs w:val="16"/>
                <w:lang w:eastAsia="en-GB"/>
              </w:rPr>
              <w:t>Fenland</w:t>
            </w:r>
          </w:p>
        </w:tc>
        <w:tc>
          <w:tcPr>
            <w:tcW w:w="563" w:type="pct"/>
            <w:gridSpan w:val="2"/>
            <w:tcBorders>
              <w:top w:val="single" w:sz="4" w:space="0" w:color="auto"/>
              <w:left w:val="nil"/>
              <w:bottom w:val="single" w:sz="4" w:space="0" w:color="auto"/>
              <w:right w:val="single" w:sz="4" w:space="0" w:color="auto"/>
            </w:tcBorders>
            <w:shd w:val="clear" w:color="auto" w:fill="auto"/>
            <w:noWrap/>
            <w:vAlign w:val="center"/>
            <w:hideMark/>
          </w:tcPr>
          <w:p w:rsidR="00767C32" w:rsidRPr="00767C32" w:rsidRDefault="00767C32" w:rsidP="00767C32">
            <w:pPr>
              <w:spacing w:after="0" w:line="240" w:lineRule="auto"/>
              <w:jc w:val="center"/>
              <w:rPr>
                <w:rFonts w:ascii="Calibri" w:eastAsia="Times New Roman" w:hAnsi="Calibri" w:cs="Times New Roman"/>
                <w:color w:val="000000"/>
                <w:sz w:val="16"/>
                <w:szCs w:val="16"/>
                <w:lang w:eastAsia="en-GB"/>
              </w:rPr>
            </w:pPr>
            <w:r w:rsidRPr="00767C32">
              <w:rPr>
                <w:rFonts w:ascii="Calibri" w:eastAsia="Times New Roman" w:hAnsi="Calibri" w:cs="Times New Roman"/>
                <w:color w:val="000000"/>
                <w:sz w:val="16"/>
                <w:szCs w:val="16"/>
                <w:lang w:eastAsia="en-GB"/>
              </w:rPr>
              <w:t>Huntingdonshire</w:t>
            </w:r>
          </w:p>
        </w:tc>
        <w:tc>
          <w:tcPr>
            <w:tcW w:w="507" w:type="pct"/>
            <w:gridSpan w:val="2"/>
            <w:tcBorders>
              <w:top w:val="single" w:sz="4" w:space="0" w:color="auto"/>
              <w:left w:val="nil"/>
              <w:bottom w:val="single" w:sz="4" w:space="0" w:color="auto"/>
              <w:right w:val="single" w:sz="4" w:space="0" w:color="auto"/>
            </w:tcBorders>
            <w:shd w:val="clear" w:color="auto" w:fill="auto"/>
            <w:noWrap/>
            <w:vAlign w:val="center"/>
            <w:hideMark/>
          </w:tcPr>
          <w:p w:rsidR="00767C32" w:rsidRPr="00767C32" w:rsidRDefault="00767C32" w:rsidP="00767C32">
            <w:pPr>
              <w:spacing w:after="0" w:line="240" w:lineRule="auto"/>
              <w:jc w:val="center"/>
              <w:rPr>
                <w:rFonts w:ascii="Calibri" w:eastAsia="Times New Roman" w:hAnsi="Calibri" w:cs="Times New Roman"/>
                <w:color w:val="000000"/>
                <w:sz w:val="16"/>
                <w:szCs w:val="16"/>
                <w:lang w:eastAsia="en-GB"/>
              </w:rPr>
            </w:pPr>
            <w:r w:rsidRPr="00767C32">
              <w:rPr>
                <w:rFonts w:ascii="Calibri" w:eastAsia="Times New Roman" w:hAnsi="Calibri" w:cs="Times New Roman"/>
                <w:color w:val="000000"/>
                <w:sz w:val="16"/>
                <w:szCs w:val="16"/>
                <w:lang w:eastAsia="en-GB"/>
              </w:rPr>
              <w:t>South Cambridgeshire</w:t>
            </w:r>
          </w:p>
        </w:tc>
        <w:tc>
          <w:tcPr>
            <w:tcW w:w="554" w:type="pct"/>
            <w:gridSpan w:val="2"/>
            <w:tcBorders>
              <w:top w:val="single" w:sz="4" w:space="0" w:color="auto"/>
              <w:left w:val="nil"/>
              <w:bottom w:val="single" w:sz="4" w:space="0" w:color="auto"/>
              <w:right w:val="single" w:sz="4" w:space="0" w:color="auto"/>
            </w:tcBorders>
            <w:shd w:val="clear" w:color="auto" w:fill="auto"/>
            <w:noWrap/>
            <w:vAlign w:val="center"/>
            <w:hideMark/>
          </w:tcPr>
          <w:p w:rsidR="00767C32" w:rsidRPr="00767C32" w:rsidRDefault="00767C32" w:rsidP="00767C32">
            <w:pPr>
              <w:spacing w:after="0" w:line="240" w:lineRule="auto"/>
              <w:jc w:val="center"/>
              <w:rPr>
                <w:rFonts w:ascii="Calibri" w:eastAsia="Times New Roman" w:hAnsi="Calibri" w:cs="Times New Roman"/>
                <w:color w:val="000000"/>
                <w:sz w:val="16"/>
                <w:szCs w:val="16"/>
                <w:lang w:eastAsia="en-GB"/>
              </w:rPr>
            </w:pPr>
            <w:r w:rsidRPr="00767C32">
              <w:rPr>
                <w:rFonts w:ascii="Calibri" w:eastAsia="Times New Roman" w:hAnsi="Calibri" w:cs="Times New Roman"/>
                <w:color w:val="000000"/>
                <w:sz w:val="16"/>
                <w:szCs w:val="16"/>
                <w:lang w:eastAsia="en-GB"/>
              </w:rPr>
              <w:t>England</w:t>
            </w:r>
          </w:p>
        </w:tc>
      </w:tr>
      <w:tr w:rsidR="0085747D" w:rsidRPr="0085747D" w:rsidTr="0085747D">
        <w:trPr>
          <w:trHeight w:val="300"/>
          <w:tblHeader/>
        </w:trPr>
        <w:tc>
          <w:tcPr>
            <w:tcW w:w="513" w:type="pct"/>
            <w:vMerge/>
            <w:tcBorders>
              <w:top w:val="single" w:sz="4" w:space="0" w:color="auto"/>
              <w:left w:val="single" w:sz="4" w:space="0" w:color="auto"/>
              <w:bottom w:val="single" w:sz="4" w:space="0" w:color="000000"/>
              <w:right w:val="single" w:sz="4" w:space="0" w:color="auto"/>
            </w:tcBorders>
            <w:vAlign w:val="center"/>
            <w:hideMark/>
          </w:tcPr>
          <w:p w:rsidR="00767C32" w:rsidRPr="0085747D" w:rsidRDefault="00767C32" w:rsidP="00767C32">
            <w:pPr>
              <w:spacing w:after="0" w:line="240" w:lineRule="auto"/>
              <w:rPr>
                <w:rFonts w:ascii="Calibri" w:eastAsia="Times New Roman" w:hAnsi="Calibri" w:cs="Times New Roman"/>
                <w:color w:val="000000"/>
                <w:sz w:val="16"/>
                <w:szCs w:val="16"/>
                <w:lang w:eastAsia="en-GB"/>
              </w:rPr>
            </w:pPr>
          </w:p>
        </w:tc>
        <w:tc>
          <w:tcPr>
            <w:tcW w:w="256" w:type="pct"/>
            <w:vMerge/>
            <w:tcBorders>
              <w:top w:val="single" w:sz="4" w:space="0" w:color="auto"/>
              <w:left w:val="single" w:sz="4" w:space="0" w:color="auto"/>
              <w:bottom w:val="single" w:sz="4" w:space="0" w:color="000000"/>
              <w:right w:val="single" w:sz="4" w:space="0" w:color="auto"/>
            </w:tcBorders>
            <w:vAlign w:val="center"/>
            <w:hideMark/>
          </w:tcPr>
          <w:p w:rsidR="00767C32" w:rsidRPr="0085747D" w:rsidRDefault="00767C32" w:rsidP="00767C32">
            <w:pPr>
              <w:spacing w:after="0" w:line="240" w:lineRule="auto"/>
              <w:rPr>
                <w:rFonts w:ascii="Calibri" w:eastAsia="Times New Roman" w:hAnsi="Calibri" w:cs="Times New Roman"/>
                <w:color w:val="000000"/>
                <w:sz w:val="16"/>
                <w:szCs w:val="16"/>
                <w:lang w:eastAsia="en-GB"/>
              </w:rPr>
            </w:pPr>
          </w:p>
        </w:tc>
        <w:tc>
          <w:tcPr>
            <w:tcW w:w="257" w:type="pct"/>
            <w:tcBorders>
              <w:top w:val="nil"/>
              <w:left w:val="nil"/>
              <w:bottom w:val="single" w:sz="4" w:space="0" w:color="auto"/>
              <w:right w:val="single" w:sz="4" w:space="0" w:color="auto"/>
            </w:tcBorders>
            <w:shd w:val="clear" w:color="auto" w:fill="auto"/>
            <w:noWrap/>
            <w:vAlign w:val="center"/>
            <w:hideMark/>
          </w:tcPr>
          <w:p w:rsidR="00767C32" w:rsidRPr="0085747D" w:rsidRDefault="00767C32" w:rsidP="00767C32">
            <w:pPr>
              <w:spacing w:after="0" w:line="240" w:lineRule="auto"/>
              <w:jc w:val="center"/>
              <w:rPr>
                <w:rFonts w:ascii="Calibri" w:eastAsia="Times New Roman" w:hAnsi="Calibri" w:cs="Times New Roman"/>
                <w:color w:val="000000"/>
                <w:sz w:val="16"/>
                <w:szCs w:val="16"/>
                <w:lang w:eastAsia="en-GB"/>
              </w:rPr>
            </w:pPr>
            <w:r w:rsidRPr="0085747D">
              <w:rPr>
                <w:rFonts w:ascii="Calibri" w:eastAsia="Times New Roman" w:hAnsi="Calibri" w:cs="Times New Roman"/>
                <w:color w:val="000000"/>
                <w:sz w:val="16"/>
                <w:szCs w:val="16"/>
                <w:lang w:eastAsia="en-GB"/>
              </w:rPr>
              <w:t>Number</w:t>
            </w:r>
          </w:p>
        </w:tc>
        <w:tc>
          <w:tcPr>
            <w:tcW w:w="256" w:type="pct"/>
            <w:tcBorders>
              <w:top w:val="nil"/>
              <w:left w:val="nil"/>
              <w:bottom w:val="single" w:sz="4" w:space="0" w:color="auto"/>
              <w:right w:val="single" w:sz="4" w:space="0" w:color="auto"/>
            </w:tcBorders>
            <w:shd w:val="clear" w:color="auto" w:fill="auto"/>
            <w:noWrap/>
            <w:vAlign w:val="center"/>
            <w:hideMark/>
          </w:tcPr>
          <w:p w:rsidR="00767C32" w:rsidRPr="0085747D" w:rsidRDefault="00767C32" w:rsidP="00767C32">
            <w:pPr>
              <w:spacing w:after="0" w:line="240" w:lineRule="auto"/>
              <w:jc w:val="center"/>
              <w:rPr>
                <w:rFonts w:ascii="Calibri" w:eastAsia="Times New Roman" w:hAnsi="Calibri" w:cs="Times New Roman"/>
                <w:color w:val="000000"/>
                <w:sz w:val="16"/>
                <w:szCs w:val="16"/>
                <w:lang w:eastAsia="en-GB"/>
              </w:rPr>
            </w:pPr>
            <w:r w:rsidRPr="0085747D">
              <w:rPr>
                <w:rFonts w:ascii="Calibri" w:eastAsia="Times New Roman" w:hAnsi="Calibri" w:cs="Times New Roman"/>
                <w:color w:val="000000"/>
                <w:sz w:val="16"/>
                <w:szCs w:val="16"/>
                <w:lang w:eastAsia="en-GB"/>
              </w:rPr>
              <w:t>Indicator Value</w:t>
            </w:r>
          </w:p>
        </w:tc>
        <w:tc>
          <w:tcPr>
            <w:tcW w:w="257" w:type="pct"/>
            <w:tcBorders>
              <w:top w:val="nil"/>
              <w:left w:val="nil"/>
              <w:bottom w:val="single" w:sz="4" w:space="0" w:color="auto"/>
              <w:right w:val="single" w:sz="4" w:space="0" w:color="auto"/>
            </w:tcBorders>
            <w:shd w:val="clear" w:color="auto" w:fill="auto"/>
            <w:noWrap/>
            <w:vAlign w:val="center"/>
            <w:hideMark/>
          </w:tcPr>
          <w:p w:rsidR="00767C32" w:rsidRPr="0085747D" w:rsidRDefault="00767C32" w:rsidP="00767C32">
            <w:pPr>
              <w:spacing w:after="0" w:line="240" w:lineRule="auto"/>
              <w:jc w:val="center"/>
              <w:rPr>
                <w:rFonts w:ascii="Calibri" w:eastAsia="Times New Roman" w:hAnsi="Calibri" w:cs="Times New Roman"/>
                <w:color w:val="000000"/>
                <w:sz w:val="16"/>
                <w:szCs w:val="16"/>
                <w:lang w:eastAsia="en-GB"/>
              </w:rPr>
            </w:pPr>
            <w:r w:rsidRPr="0085747D">
              <w:rPr>
                <w:rFonts w:ascii="Calibri" w:eastAsia="Times New Roman" w:hAnsi="Calibri" w:cs="Times New Roman"/>
                <w:color w:val="000000"/>
                <w:sz w:val="16"/>
                <w:szCs w:val="16"/>
                <w:lang w:eastAsia="en-GB"/>
              </w:rPr>
              <w:t>Number</w:t>
            </w:r>
          </w:p>
        </w:tc>
        <w:tc>
          <w:tcPr>
            <w:tcW w:w="256" w:type="pct"/>
            <w:tcBorders>
              <w:top w:val="nil"/>
              <w:left w:val="nil"/>
              <w:bottom w:val="single" w:sz="4" w:space="0" w:color="auto"/>
              <w:right w:val="single" w:sz="4" w:space="0" w:color="auto"/>
            </w:tcBorders>
            <w:shd w:val="clear" w:color="auto" w:fill="auto"/>
            <w:noWrap/>
            <w:vAlign w:val="center"/>
            <w:hideMark/>
          </w:tcPr>
          <w:p w:rsidR="00767C32" w:rsidRPr="0085747D" w:rsidRDefault="00767C32" w:rsidP="00767C32">
            <w:pPr>
              <w:spacing w:after="0" w:line="240" w:lineRule="auto"/>
              <w:jc w:val="center"/>
              <w:rPr>
                <w:rFonts w:ascii="Calibri" w:eastAsia="Times New Roman" w:hAnsi="Calibri" w:cs="Times New Roman"/>
                <w:color w:val="000000"/>
                <w:sz w:val="16"/>
                <w:szCs w:val="16"/>
                <w:lang w:eastAsia="en-GB"/>
              </w:rPr>
            </w:pPr>
            <w:r w:rsidRPr="0085747D">
              <w:rPr>
                <w:rFonts w:ascii="Calibri" w:eastAsia="Times New Roman" w:hAnsi="Calibri" w:cs="Times New Roman"/>
                <w:color w:val="000000"/>
                <w:sz w:val="16"/>
                <w:szCs w:val="16"/>
                <w:lang w:eastAsia="en-GB"/>
              </w:rPr>
              <w:t>Indicator Value</w:t>
            </w:r>
          </w:p>
        </w:tc>
        <w:tc>
          <w:tcPr>
            <w:tcW w:w="257" w:type="pct"/>
            <w:tcBorders>
              <w:top w:val="nil"/>
              <w:left w:val="nil"/>
              <w:bottom w:val="single" w:sz="4" w:space="0" w:color="auto"/>
              <w:right w:val="single" w:sz="4" w:space="0" w:color="auto"/>
            </w:tcBorders>
            <w:shd w:val="clear" w:color="auto" w:fill="auto"/>
            <w:noWrap/>
            <w:vAlign w:val="center"/>
            <w:hideMark/>
          </w:tcPr>
          <w:p w:rsidR="00767C32" w:rsidRPr="0085747D" w:rsidRDefault="00767C32" w:rsidP="00767C32">
            <w:pPr>
              <w:spacing w:after="0" w:line="240" w:lineRule="auto"/>
              <w:jc w:val="center"/>
              <w:rPr>
                <w:rFonts w:ascii="Calibri" w:eastAsia="Times New Roman" w:hAnsi="Calibri" w:cs="Times New Roman"/>
                <w:color w:val="000000"/>
                <w:sz w:val="16"/>
                <w:szCs w:val="16"/>
                <w:lang w:eastAsia="en-GB"/>
              </w:rPr>
            </w:pPr>
            <w:r w:rsidRPr="0085747D">
              <w:rPr>
                <w:rFonts w:ascii="Calibri" w:eastAsia="Times New Roman" w:hAnsi="Calibri" w:cs="Times New Roman"/>
                <w:color w:val="000000"/>
                <w:sz w:val="16"/>
                <w:szCs w:val="16"/>
                <w:lang w:eastAsia="en-GB"/>
              </w:rPr>
              <w:t>Number</w:t>
            </w:r>
          </w:p>
        </w:tc>
        <w:tc>
          <w:tcPr>
            <w:tcW w:w="256" w:type="pct"/>
            <w:tcBorders>
              <w:top w:val="nil"/>
              <w:left w:val="nil"/>
              <w:bottom w:val="single" w:sz="4" w:space="0" w:color="auto"/>
              <w:right w:val="single" w:sz="4" w:space="0" w:color="auto"/>
            </w:tcBorders>
            <w:shd w:val="clear" w:color="auto" w:fill="auto"/>
            <w:noWrap/>
            <w:vAlign w:val="center"/>
            <w:hideMark/>
          </w:tcPr>
          <w:p w:rsidR="00767C32" w:rsidRPr="0085747D" w:rsidRDefault="00767C32" w:rsidP="00767C32">
            <w:pPr>
              <w:spacing w:after="0" w:line="240" w:lineRule="auto"/>
              <w:jc w:val="center"/>
              <w:rPr>
                <w:rFonts w:ascii="Calibri" w:eastAsia="Times New Roman" w:hAnsi="Calibri" w:cs="Times New Roman"/>
                <w:color w:val="000000"/>
                <w:sz w:val="16"/>
                <w:szCs w:val="16"/>
                <w:lang w:eastAsia="en-GB"/>
              </w:rPr>
            </w:pPr>
            <w:r w:rsidRPr="0085747D">
              <w:rPr>
                <w:rFonts w:ascii="Calibri" w:eastAsia="Times New Roman" w:hAnsi="Calibri" w:cs="Times New Roman"/>
                <w:color w:val="000000"/>
                <w:sz w:val="16"/>
                <w:szCs w:val="16"/>
                <w:lang w:eastAsia="en-GB"/>
              </w:rPr>
              <w:t>Indicator Value</w:t>
            </w:r>
          </w:p>
        </w:tc>
        <w:tc>
          <w:tcPr>
            <w:tcW w:w="257" w:type="pct"/>
            <w:tcBorders>
              <w:top w:val="nil"/>
              <w:left w:val="nil"/>
              <w:bottom w:val="single" w:sz="4" w:space="0" w:color="auto"/>
              <w:right w:val="single" w:sz="4" w:space="0" w:color="auto"/>
            </w:tcBorders>
            <w:shd w:val="clear" w:color="auto" w:fill="auto"/>
            <w:noWrap/>
            <w:vAlign w:val="center"/>
            <w:hideMark/>
          </w:tcPr>
          <w:p w:rsidR="00767C32" w:rsidRPr="0085747D" w:rsidRDefault="00767C32" w:rsidP="00767C32">
            <w:pPr>
              <w:spacing w:after="0" w:line="240" w:lineRule="auto"/>
              <w:jc w:val="center"/>
              <w:rPr>
                <w:rFonts w:ascii="Calibri" w:eastAsia="Times New Roman" w:hAnsi="Calibri" w:cs="Times New Roman"/>
                <w:color w:val="000000"/>
                <w:sz w:val="16"/>
                <w:szCs w:val="16"/>
                <w:lang w:eastAsia="en-GB"/>
              </w:rPr>
            </w:pPr>
            <w:r w:rsidRPr="0085747D">
              <w:rPr>
                <w:rFonts w:ascii="Calibri" w:eastAsia="Times New Roman" w:hAnsi="Calibri" w:cs="Times New Roman"/>
                <w:color w:val="000000"/>
                <w:sz w:val="16"/>
                <w:szCs w:val="16"/>
                <w:lang w:eastAsia="en-GB"/>
              </w:rPr>
              <w:t>Number</w:t>
            </w:r>
          </w:p>
        </w:tc>
        <w:tc>
          <w:tcPr>
            <w:tcW w:w="299" w:type="pct"/>
            <w:tcBorders>
              <w:top w:val="nil"/>
              <w:left w:val="nil"/>
              <w:bottom w:val="single" w:sz="4" w:space="0" w:color="auto"/>
              <w:right w:val="single" w:sz="4" w:space="0" w:color="auto"/>
            </w:tcBorders>
            <w:shd w:val="clear" w:color="auto" w:fill="auto"/>
            <w:noWrap/>
            <w:vAlign w:val="center"/>
            <w:hideMark/>
          </w:tcPr>
          <w:p w:rsidR="00767C32" w:rsidRPr="0085747D" w:rsidRDefault="00767C32" w:rsidP="00767C32">
            <w:pPr>
              <w:spacing w:after="0" w:line="240" w:lineRule="auto"/>
              <w:jc w:val="center"/>
              <w:rPr>
                <w:rFonts w:ascii="Calibri" w:eastAsia="Times New Roman" w:hAnsi="Calibri" w:cs="Times New Roman"/>
                <w:color w:val="000000"/>
                <w:sz w:val="16"/>
                <w:szCs w:val="16"/>
                <w:lang w:eastAsia="en-GB"/>
              </w:rPr>
            </w:pPr>
            <w:r w:rsidRPr="0085747D">
              <w:rPr>
                <w:rFonts w:ascii="Calibri" w:eastAsia="Times New Roman" w:hAnsi="Calibri" w:cs="Times New Roman"/>
                <w:color w:val="000000"/>
                <w:sz w:val="16"/>
                <w:szCs w:val="16"/>
                <w:lang w:eastAsia="en-GB"/>
              </w:rPr>
              <w:t>Indicator Value</w:t>
            </w:r>
          </w:p>
        </w:tc>
        <w:tc>
          <w:tcPr>
            <w:tcW w:w="256" w:type="pct"/>
            <w:tcBorders>
              <w:top w:val="nil"/>
              <w:left w:val="nil"/>
              <w:bottom w:val="single" w:sz="4" w:space="0" w:color="auto"/>
              <w:right w:val="single" w:sz="4" w:space="0" w:color="auto"/>
            </w:tcBorders>
            <w:shd w:val="clear" w:color="auto" w:fill="auto"/>
            <w:noWrap/>
            <w:vAlign w:val="center"/>
            <w:hideMark/>
          </w:tcPr>
          <w:p w:rsidR="00767C32" w:rsidRPr="0085747D" w:rsidRDefault="00767C32" w:rsidP="00767C32">
            <w:pPr>
              <w:spacing w:after="0" w:line="240" w:lineRule="auto"/>
              <w:jc w:val="center"/>
              <w:rPr>
                <w:rFonts w:ascii="Calibri" w:eastAsia="Times New Roman" w:hAnsi="Calibri" w:cs="Times New Roman"/>
                <w:color w:val="000000"/>
                <w:sz w:val="16"/>
                <w:szCs w:val="16"/>
                <w:lang w:eastAsia="en-GB"/>
              </w:rPr>
            </w:pPr>
            <w:r w:rsidRPr="0085747D">
              <w:rPr>
                <w:rFonts w:ascii="Calibri" w:eastAsia="Times New Roman" w:hAnsi="Calibri" w:cs="Times New Roman"/>
                <w:color w:val="000000"/>
                <w:sz w:val="16"/>
                <w:szCs w:val="16"/>
                <w:lang w:eastAsia="en-GB"/>
              </w:rPr>
              <w:t>Number</w:t>
            </w:r>
          </w:p>
        </w:tc>
        <w:tc>
          <w:tcPr>
            <w:tcW w:w="257" w:type="pct"/>
            <w:tcBorders>
              <w:top w:val="nil"/>
              <w:left w:val="nil"/>
              <w:bottom w:val="single" w:sz="4" w:space="0" w:color="auto"/>
              <w:right w:val="single" w:sz="4" w:space="0" w:color="auto"/>
            </w:tcBorders>
            <w:shd w:val="clear" w:color="auto" w:fill="auto"/>
            <w:noWrap/>
            <w:vAlign w:val="center"/>
            <w:hideMark/>
          </w:tcPr>
          <w:p w:rsidR="00767C32" w:rsidRPr="0085747D" w:rsidRDefault="00767C32" w:rsidP="00767C32">
            <w:pPr>
              <w:spacing w:after="0" w:line="240" w:lineRule="auto"/>
              <w:jc w:val="center"/>
              <w:rPr>
                <w:rFonts w:ascii="Calibri" w:eastAsia="Times New Roman" w:hAnsi="Calibri" w:cs="Times New Roman"/>
                <w:color w:val="000000"/>
                <w:sz w:val="16"/>
                <w:szCs w:val="16"/>
                <w:lang w:eastAsia="en-GB"/>
              </w:rPr>
            </w:pPr>
            <w:r w:rsidRPr="0085747D">
              <w:rPr>
                <w:rFonts w:ascii="Calibri" w:eastAsia="Times New Roman" w:hAnsi="Calibri" w:cs="Times New Roman"/>
                <w:color w:val="000000"/>
                <w:sz w:val="16"/>
                <w:szCs w:val="16"/>
                <w:lang w:eastAsia="en-GB"/>
              </w:rPr>
              <w:t>Indicator Value</w:t>
            </w:r>
          </w:p>
        </w:tc>
        <w:tc>
          <w:tcPr>
            <w:tcW w:w="304" w:type="pct"/>
            <w:tcBorders>
              <w:top w:val="nil"/>
              <w:left w:val="nil"/>
              <w:bottom w:val="single" w:sz="4" w:space="0" w:color="auto"/>
              <w:right w:val="single" w:sz="4" w:space="0" w:color="auto"/>
            </w:tcBorders>
            <w:shd w:val="clear" w:color="auto" w:fill="auto"/>
            <w:noWrap/>
            <w:vAlign w:val="center"/>
            <w:hideMark/>
          </w:tcPr>
          <w:p w:rsidR="00767C32" w:rsidRPr="0085747D" w:rsidRDefault="00767C32" w:rsidP="00767C32">
            <w:pPr>
              <w:spacing w:after="0" w:line="240" w:lineRule="auto"/>
              <w:jc w:val="center"/>
              <w:rPr>
                <w:rFonts w:ascii="Calibri" w:eastAsia="Times New Roman" w:hAnsi="Calibri" w:cs="Times New Roman"/>
                <w:color w:val="000000"/>
                <w:sz w:val="16"/>
                <w:szCs w:val="16"/>
                <w:lang w:eastAsia="en-GB"/>
              </w:rPr>
            </w:pPr>
            <w:r w:rsidRPr="0085747D">
              <w:rPr>
                <w:rFonts w:ascii="Calibri" w:eastAsia="Times New Roman" w:hAnsi="Calibri" w:cs="Times New Roman"/>
                <w:color w:val="000000"/>
                <w:sz w:val="16"/>
                <w:szCs w:val="16"/>
                <w:lang w:eastAsia="en-GB"/>
              </w:rPr>
              <w:t>Number</w:t>
            </w:r>
          </w:p>
        </w:tc>
        <w:tc>
          <w:tcPr>
            <w:tcW w:w="258" w:type="pct"/>
            <w:tcBorders>
              <w:top w:val="nil"/>
              <w:left w:val="nil"/>
              <w:bottom w:val="single" w:sz="4" w:space="0" w:color="auto"/>
              <w:right w:val="single" w:sz="4" w:space="0" w:color="auto"/>
            </w:tcBorders>
            <w:shd w:val="clear" w:color="auto" w:fill="auto"/>
            <w:noWrap/>
            <w:vAlign w:val="center"/>
            <w:hideMark/>
          </w:tcPr>
          <w:p w:rsidR="00767C32" w:rsidRPr="0085747D" w:rsidRDefault="00767C32" w:rsidP="00767C32">
            <w:pPr>
              <w:spacing w:after="0" w:line="240" w:lineRule="auto"/>
              <w:jc w:val="center"/>
              <w:rPr>
                <w:rFonts w:ascii="Calibri" w:eastAsia="Times New Roman" w:hAnsi="Calibri" w:cs="Times New Roman"/>
                <w:color w:val="000000"/>
                <w:sz w:val="16"/>
                <w:szCs w:val="16"/>
                <w:lang w:eastAsia="en-GB"/>
              </w:rPr>
            </w:pPr>
            <w:r w:rsidRPr="0085747D">
              <w:rPr>
                <w:rFonts w:ascii="Calibri" w:eastAsia="Times New Roman" w:hAnsi="Calibri" w:cs="Times New Roman"/>
                <w:color w:val="000000"/>
                <w:sz w:val="16"/>
                <w:szCs w:val="16"/>
                <w:lang w:eastAsia="en-GB"/>
              </w:rPr>
              <w:t>Indicator Value</w:t>
            </w:r>
          </w:p>
        </w:tc>
        <w:tc>
          <w:tcPr>
            <w:tcW w:w="251" w:type="pct"/>
            <w:tcBorders>
              <w:top w:val="nil"/>
              <w:left w:val="nil"/>
              <w:bottom w:val="single" w:sz="4" w:space="0" w:color="auto"/>
              <w:right w:val="single" w:sz="4" w:space="0" w:color="auto"/>
            </w:tcBorders>
            <w:shd w:val="clear" w:color="auto" w:fill="auto"/>
            <w:noWrap/>
            <w:vAlign w:val="center"/>
            <w:hideMark/>
          </w:tcPr>
          <w:p w:rsidR="00767C32" w:rsidRPr="0085747D" w:rsidRDefault="00767C32" w:rsidP="00767C32">
            <w:pPr>
              <w:spacing w:after="0" w:line="240" w:lineRule="auto"/>
              <w:jc w:val="center"/>
              <w:rPr>
                <w:rFonts w:ascii="Calibri" w:eastAsia="Times New Roman" w:hAnsi="Calibri" w:cs="Times New Roman"/>
                <w:color w:val="000000"/>
                <w:sz w:val="16"/>
                <w:szCs w:val="16"/>
                <w:lang w:eastAsia="en-GB"/>
              </w:rPr>
            </w:pPr>
            <w:r w:rsidRPr="0085747D">
              <w:rPr>
                <w:rFonts w:ascii="Calibri" w:eastAsia="Times New Roman" w:hAnsi="Calibri" w:cs="Times New Roman"/>
                <w:color w:val="000000"/>
                <w:sz w:val="16"/>
                <w:szCs w:val="16"/>
                <w:lang w:eastAsia="en-GB"/>
              </w:rPr>
              <w:t>Number</w:t>
            </w:r>
          </w:p>
        </w:tc>
        <w:tc>
          <w:tcPr>
            <w:tcW w:w="256" w:type="pct"/>
            <w:tcBorders>
              <w:top w:val="nil"/>
              <w:left w:val="nil"/>
              <w:bottom w:val="single" w:sz="4" w:space="0" w:color="auto"/>
              <w:right w:val="single" w:sz="4" w:space="0" w:color="auto"/>
            </w:tcBorders>
            <w:shd w:val="clear" w:color="auto" w:fill="auto"/>
            <w:noWrap/>
            <w:vAlign w:val="center"/>
            <w:hideMark/>
          </w:tcPr>
          <w:p w:rsidR="00767C32" w:rsidRPr="0085747D" w:rsidRDefault="00767C32" w:rsidP="00767C32">
            <w:pPr>
              <w:spacing w:after="0" w:line="240" w:lineRule="auto"/>
              <w:jc w:val="center"/>
              <w:rPr>
                <w:rFonts w:ascii="Calibri" w:eastAsia="Times New Roman" w:hAnsi="Calibri" w:cs="Times New Roman"/>
                <w:color w:val="000000"/>
                <w:sz w:val="16"/>
                <w:szCs w:val="16"/>
                <w:lang w:eastAsia="en-GB"/>
              </w:rPr>
            </w:pPr>
            <w:r w:rsidRPr="0085747D">
              <w:rPr>
                <w:rFonts w:ascii="Calibri" w:eastAsia="Times New Roman" w:hAnsi="Calibri" w:cs="Times New Roman"/>
                <w:color w:val="000000"/>
                <w:sz w:val="16"/>
                <w:szCs w:val="16"/>
                <w:lang w:eastAsia="en-GB"/>
              </w:rPr>
              <w:t>Indicator Value</w:t>
            </w:r>
          </w:p>
        </w:tc>
        <w:tc>
          <w:tcPr>
            <w:tcW w:w="300" w:type="pct"/>
            <w:tcBorders>
              <w:top w:val="nil"/>
              <w:left w:val="nil"/>
              <w:bottom w:val="single" w:sz="4" w:space="0" w:color="auto"/>
              <w:right w:val="single" w:sz="4" w:space="0" w:color="auto"/>
            </w:tcBorders>
            <w:shd w:val="clear" w:color="auto" w:fill="auto"/>
            <w:noWrap/>
            <w:vAlign w:val="center"/>
            <w:hideMark/>
          </w:tcPr>
          <w:p w:rsidR="00767C32" w:rsidRPr="0085747D" w:rsidRDefault="00767C32" w:rsidP="00767C32">
            <w:pPr>
              <w:spacing w:after="0" w:line="240" w:lineRule="auto"/>
              <w:jc w:val="center"/>
              <w:rPr>
                <w:rFonts w:ascii="Calibri" w:eastAsia="Times New Roman" w:hAnsi="Calibri" w:cs="Times New Roman"/>
                <w:color w:val="000000"/>
                <w:sz w:val="16"/>
                <w:szCs w:val="16"/>
                <w:lang w:eastAsia="en-GB"/>
              </w:rPr>
            </w:pPr>
            <w:r w:rsidRPr="0085747D">
              <w:rPr>
                <w:rFonts w:ascii="Calibri" w:eastAsia="Times New Roman" w:hAnsi="Calibri" w:cs="Times New Roman"/>
                <w:color w:val="000000"/>
                <w:sz w:val="16"/>
                <w:szCs w:val="16"/>
                <w:lang w:eastAsia="en-GB"/>
              </w:rPr>
              <w:t>Number</w:t>
            </w:r>
          </w:p>
        </w:tc>
        <w:tc>
          <w:tcPr>
            <w:tcW w:w="254" w:type="pct"/>
            <w:tcBorders>
              <w:top w:val="nil"/>
              <w:left w:val="nil"/>
              <w:bottom w:val="single" w:sz="4" w:space="0" w:color="auto"/>
              <w:right w:val="single" w:sz="4" w:space="0" w:color="auto"/>
            </w:tcBorders>
            <w:shd w:val="clear" w:color="auto" w:fill="auto"/>
            <w:noWrap/>
            <w:vAlign w:val="center"/>
            <w:hideMark/>
          </w:tcPr>
          <w:p w:rsidR="00767C32" w:rsidRPr="0085747D" w:rsidRDefault="00767C32" w:rsidP="00767C32">
            <w:pPr>
              <w:spacing w:after="0" w:line="240" w:lineRule="auto"/>
              <w:jc w:val="center"/>
              <w:rPr>
                <w:rFonts w:ascii="Calibri" w:eastAsia="Times New Roman" w:hAnsi="Calibri" w:cs="Times New Roman"/>
                <w:color w:val="000000"/>
                <w:sz w:val="16"/>
                <w:szCs w:val="16"/>
                <w:lang w:eastAsia="en-GB"/>
              </w:rPr>
            </w:pPr>
            <w:r w:rsidRPr="0085747D">
              <w:rPr>
                <w:rFonts w:ascii="Calibri" w:eastAsia="Times New Roman" w:hAnsi="Calibri" w:cs="Times New Roman"/>
                <w:color w:val="000000"/>
                <w:sz w:val="16"/>
                <w:szCs w:val="16"/>
                <w:lang w:eastAsia="en-GB"/>
              </w:rPr>
              <w:t>Indicator Value</w:t>
            </w:r>
          </w:p>
        </w:tc>
      </w:tr>
      <w:tr w:rsidR="0085747D" w:rsidRPr="00767C32" w:rsidTr="0085747D">
        <w:trPr>
          <w:trHeight w:val="300"/>
        </w:trPr>
        <w:tc>
          <w:tcPr>
            <w:tcW w:w="513" w:type="pct"/>
            <w:tcBorders>
              <w:top w:val="nil"/>
              <w:left w:val="single" w:sz="4" w:space="0" w:color="auto"/>
              <w:bottom w:val="single" w:sz="4" w:space="0" w:color="auto"/>
              <w:right w:val="single" w:sz="4" w:space="0" w:color="auto"/>
            </w:tcBorders>
            <w:shd w:val="clear" w:color="auto" w:fill="auto"/>
            <w:noWrap/>
            <w:vAlign w:val="center"/>
            <w:hideMark/>
          </w:tcPr>
          <w:p w:rsidR="00767C32" w:rsidRPr="00767C32" w:rsidRDefault="00767C32" w:rsidP="00767C32">
            <w:pPr>
              <w:spacing w:after="0" w:line="240" w:lineRule="auto"/>
              <w:jc w:val="center"/>
              <w:rPr>
                <w:rFonts w:ascii="Calibri" w:eastAsia="Times New Roman" w:hAnsi="Calibri" w:cs="Times New Roman"/>
                <w:color w:val="000000"/>
                <w:sz w:val="16"/>
                <w:szCs w:val="16"/>
                <w:lang w:eastAsia="en-GB"/>
              </w:rPr>
            </w:pPr>
            <w:r w:rsidRPr="00767C32">
              <w:rPr>
                <w:rFonts w:ascii="Calibri" w:eastAsia="Times New Roman" w:hAnsi="Calibri" w:cs="Times New Roman"/>
                <w:color w:val="000000"/>
                <w:sz w:val="16"/>
                <w:szCs w:val="16"/>
                <w:lang w:eastAsia="en-GB"/>
              </w:rPr>
              <w:t>Estimated Diabetes Diagnosis Rate</w:t>
            </w:r>
          </w:p>
        </w:tc>
        <w:tc>
          <w:tcPr>
            <w:tcW w:w="256" w:type="pct"/>
            <w:tcBorders>
              <w:top w:val="nil"/>
              <w:left w:val="nil"/>
              <w:bottom w:val="single" w:sz="4" w:space="0" w:color="auto"/>
              <w:right w:val="single" w:sz="4" w:space="0" w:color="auto"/>
            </w:tcBorders>
            <w:shd w:val="clear" w:color="auto" w:fill="auto"/>
            <w:noWrap/>
            <w:vAlign w:val="center"/>
            <w:hideMark/>
          </w:tcPr>
          <w:p w:rsidR="00767C32" w:rsidRPr="00767C32" w:rsidRDefault="00767C32" w:rsidP="00767C32">
            <w:pPr>
              <w:spacing w:after="0" w:line="240" w:lineRule="auto"/>
              <w:jc w:val="center"/>
              <w:rPr>
                <w:rFonts w:ascii="Calibri" w:eastAsia="Times New Roman" w:hAnsi="Calibri" w:cs="Times New Roman"/>
                <w:color w:val="000000"/>
                <w:sz w:val="16"/>
                <w:szCs w:val="16"/>
                <w:lang w:eastAsia="en-GB"/>
              </w:rPr>
            </w:pPr>
            <w:r w:rsidRPr="00767C32">
              <w:rPr>
                <w:rFonts w:ascii="Calibri" w:eastAsia="Times New Roman" w:hAnsi="Calibri" w:cs="Times New Roman"/>
                <w:color w:val="000000"/>
                <w:sz w:val="16"/>
                <w:szCs w:val="16"/>
                <w:lang w:eastAsia="en-GB"/>
              </w:rPr>
              <w:t>2018</w:t>
            </w:r>
          </w:p>
        </w:tc>
        <w:tc>
          <w:tcPr>
            <w:tcW w:w="257" w:type="pct"/>
            <w:tcBorders>
              <w:top w:val="nil"/>
              <w:left w:val="nil"/>
              <w:bottom w:val="single" w:sz="4" w:space="0" w:color="auto"/>
              <w:right w:val="single" w:sz="4" w:space="0" w:color="auto"/>
            </w:tcBorders>
            <w:shd w:val="clear" w:color="000000" w:fill="FFFF99"/>
            <w:noWrap/>
            <w:vAlign w:val="center"/>
            <w:hideMark/>
          </w:tcPr>
          <w:p w:rsidR="00767C32" w:rsidRPr="00767C32" w:rsidRDefault="00767C32" w:rsidP="00767C32">
            <w:pPr>
              <w:spacing w:after="0" w:line="240" w:lineRule="auto"/>
              <w:jc w:val="center"/>
              <w:rPr>
                <w:rFonts w:ascii="Calibri" w:eastAsia="Times New Roman" w:hAnsi="Calibri" w:cs="Times New Roman"/>
                <w:color w:val="000000"/>
                <w:sz w:val="16"/>
                <w:szCs w:val="16"/>
                <w:lang w:eastAsia="en-GB"/>
              </w:rPr>
            </w:pPr>
            <w:r w:rsidRPr="00767C32">
              <w:rPr>
                <w:rFonts w:ascii="Calibri" w:eastAsia="Times New Roman" w:hAnsi="Calibri" w:cs="Times New Roman"/>
                <w:color w:val="000000"/>
                <w:sz w:val="16"/>
                <w:szCs w:val="16"/>
                <w:lang w:eastAsia="en-GB"/>
              </w:rPr>
              <w:t>-</w:t>
            </w:r>
          </w:p>
        </w:tc>
        <w:tc>
          <w:tcPr>
            <w:tcW w:w="256" w:type="pct"/>
            <w:tcBorders>
              <w:top w:val="nil"/>
              <w:left w:val="nil"/>
              <w:bottom w:val="single" w:sz="4" w:space="0" w:color="auto"/>
              <w:right w:val="single" w:sz="4" w:space="0" w:color="auto"/>
            </w:tcBorders>
            <w:shd w:val="clear" w:color="000000" w:fill="FFFF99"/>
            <w:noWrap/>
            <w:vAlign w:val="center"/>
            <w:hideMark/>
          </w:tcPr>
          <w:p w:rsidR="00767C32" w:rsidRPr="00767C32" w:rsidRDefault="00767C32" w:rsidP="00767C32">
            <w:pPr>
              <w:spacing w:after="0" w:line="240" w:lineRule="auto"/>
              <w:jc w:val="center"/>
              <w:rPr>
                <w:rFonts w:ascii="Calibri" w:eastAsia="Times New Roman" w:hAnsi="Calibri" w:cs="Times New Roman"/>
                <w:color w:val="000000"/>
                <w:sz w:val="16"/>
                <w:szCs w:val="16"/>
                <w:lang w:eastAsia="en-GB"/>
              </w:rPr>
            </w:pPr>
            <w:r w:rsidRPr="00767C32">
              <w:rPr>
                <w:rFonts w:ascii="Calibri" w:eastAsia="Times New Roman" w:hAnsi="Calibri" w:cs="Times New Roman"/>
                <w:color w:val="000000"/>
                <w:sz w:val="16"/>
                <w:szCs w:val="16"/>
                <w:lang w:eastAsia="en-GB"/>
              </w:rPr>
              <w:t>76.3%</w:t>
            </w:r>
          </w:p>
        </w:tc>
        <w:tc>
          <w:tcPr>
            <w:tcW w:w="257" w:type="pct"/>
            <w:tcBorders>
              <w:top w:val="nil"/>
              <w:left w:val="nil"/>
              <w:bottom w:val="single" w:sz="4" w:space="0" w:color="auto"/>
              <w:right w:val="single" w:sz="4" w:space="0" w:color="auto"/>
            </w:tcBorders>
            <w:shd w:val="clear" w:color="000000" w:fill="EBF1DE"/>
            <w:noWrap/>
            <w:vAlign w:val="center"/>
            <w:hideMark/>
          </w:tcPr>
          <w:p w:rsidR="00767C32" w:rsidRPr="00767C32" w:rsidRDefault="00767C32" w:rsidP="00767C32">
            <w:pPr>
              <w:spacing w:after="0" w:line="240" w:lineRule="auto"/>
              <w:jc w:val="center"/>
              <w:rPr>
                <w:rFonts w:ascii="Calibri" w:eastAsia="Times New Roman" w:hAnsi="Calibri" w:cs="Times New Roman"/>
                <w:color w:val="000000"/>
                <w:sz w:val="16"/>
                <w:szCs w:val="16"/>
                <w:lang w:eastAsia="en-GB"/>
              </w:rPr>
            </w:pPr>
            <w:r w:rsidRPr="00767C32">
              <w:rPr>
                <w:rFonts w:ascii="Calibri" w:eastAsia="Times New Roman" w:hAnsi="Calibri" w:cs="Times New Roman"/>
                <w:color w:val="000000"/>
                <w:sz w:val="16"/>
                <w:szCs w:val="16"/>
                <w:lang w:eastAsia="en-GB"/>
              </w:rPr>
              <w:t>-</w:t>
            </w:r>
          </w:p>
        </w:tc>
        <w:tc>
          <w:tcPr>
            <w:tcW w:w="256" w:type="pct"/>
            <w:tcBorders>
              <w:top w:val="nil"/>
              <w:left w:val="nil"/>
              <w:bottom w:val="single" w:sz="4" w:space="0" w:color="auto"/>
              <w:right w:val="single" w:sz="4" w:space="0" w:color="auto"/>
            </w:tcBorders>
            <w:shd w:val="clear" w:color="000000" w:fill="EBF1DE"/>
            <w:noWrap/>
            <w:vAlign w:val="center"/>
            <w:hideMark/>
          </w:tcPr>
          <w:p w:rsidR="00767C32" w:rsidRPr="00767C32" w:rsidRDefault="00767C32" w:rsidP="00767C32">
            <w:pPr>
              <w:spacing w:after="0" w:line="240" w:lineRule="auto"/>
              <w:jc w:val="center"/>
              <w:rPr>
                <w:rFonts w:ascii="Calibri" w:eastAsia="Times New Roman" w:hAnsi="Calibri" w:cs="Times New Roman"/>
                <w:color w:val="000000"/>
                <w:sz w:val="16"/>
                <w:szCs w:val="16"/>
                <w:lang w:eastAsia="en-GB"/>
              </w:rPr>
            </w:pPr>
            <w:r w:rsidRPr="00767C32">
              <w:rPr>
                <w:rFonts w:ascii="Calibri" w:eastAsia="Times New Roman" w:hAnsi="Calibri" w:cs="Times New Roman"/>
                <w:color w:val="000000"/>
                <w:sz w:val="16"/>
                <w:szCs w:val="16"/>
                <w:lang w:eastAsia="en-GB"/>
              </w:rPr>
              <w:t>82.7%</w:t>
            </w:r>
          </w:p>
        </w:tc>
        <w:tc>
          <w:tcPr>
            <w:tcW w:w="257" w:type="pct"/>
            <w:tcBorders>
              <w:top w:val="nil"/>
              <w:left w:val="nil"/>
              <w:bottom w:val="single" w:sz="4" w:space="0" w:color="auto"/>
              <w:right w:val="single" w:sz="4" w:space="0" w:color="auto"/>
            </w:tcBorders>
            <w:shd w:val="clear" w:color="000000" w:fill="420000"/>
            <w:noWrap/>
            <w:vAlign w:val="center"/>
            <w:hideMark/>
          </w:tcPr>
          <w:p w:rsidR="00767C32" w:rsidRPr="00767C32" w:rsidRDefault="00767C32" w:rsidP="00767C32">
            <w:pPr>
              <w:spacing w:after="0" w:line="240" w:lineRule="auto"/>
              <w:jc w:val="center"/>
              <w:rPr>
                <w:rFonts w:ascii="Calibri" w:eastAsia="Times New Roman" w:hAnsi="Calibri" w:cs="Times New Roman"/>
                <w:color w:val="FFFFFF"/>
                <w:sz w:val="16"/>
                <w:szCs w:val="16"/>
                <w:lang w:eastAsia="en-GB"/>
              </w:rPr>
            </w:pPr>
            <w:r w:rsidRPr="00767C32">
              <w:rPr>
                <w:rFonts w:ascii="Calibri" w:eastAsia="Times New Roman" w:hAnsi="Calibri" w:cs="Times New Roman"/>
                <w:color w:val="FFFFFF"/>
                <w:sz w:val="16"/>
                <w:szCs w:val="16"/>
                <w:lang w:eastAsia="en-GB"/>
              </w:rPr>
              <w:t>-</w:t>
            </w:r>
          </w:p>
        </w:tc>
        <w:tc>
          <w:tcPr>
            <w:tcW w:w="256" w:type="pct"/>
            <w:tcBorders>
              <w:top w:val="nil"/>
              <w:left w:val="nil"/>
              <w:bottom w:val="single" w:sz="4" w:space="0" w:color="auto"/>
              <w:right w:val="single" w:sz="4" w:space="0" w:color="auto"/>
            </w:tcBorders>
            <w:shd w:val="clear" w:color="000000" w:fill="420000"/>
            <w:noWrap/>
            <w:vAlign w:val="center"/>
            <w:hideMark/>
          </w:tcPr>
          <w:p w:rsidR="00767C32" w:rsidRPr="00767C32" w:rsidRDefault="00767C32" w:rsidP="00767C32">
            <w:pPr>
              <w:spacing w:after="0" w:line="240" w:lineRule="auto"/>
              <w:jc w:val="center"/>
              <w:rPr>
                <w:rFonts w:ascii="Calibri" w:eastAsia="Times New Roman" w:hAnsi="Calibri" w:cs="Times New Roman"/>
                <w:color w:val="FFFFFF"/>
                <w:sz w:val="16"/>
                <w:szCs w:val="16"/>
                <w:lang w:eastAsia="en-GB"/>
              </w:rPr>
            </w:pPr>
            <w:r w:rsidRPr="00767C32">
              <w:rPr>
                <w:rFonts w:ascii="Calibri" w:eastAsia="Times New Roman" w:hAnsi="Calibri" w:cs="Times New Roman"/>
                <w:color w:val="FFFFFF"/>
                <w:sz w:val="16"/>
                <w:szCs w:val="16"/>
                <w:lang w:eastAsia="en-GB"/>
              </w:rPr>
              <w:t>61.0%</w:t>
            </w:r>
          </w:p>
        </w:tc>
        <w:tc>
          <w:tcPr>
            <w:tcW w:w="257" w:type="pct"/>
            <w:tcBorders>
              <w:top w:val="nil"/>
              <w:left w:val="nil"/>
              <w:bottom w:val="single" w:sz="4" w:space="0" w:color="auto"/>
              <w:right w:val="single" w:sz="4" w:space="0" w:color="auto"/>
            </w:tcBorders>
            <w:shd w:val="clear" w:color="000000" w:fill="EBF1DE"/>
            <w:noWrap/>
            <w:vAlign w:val="center"/>
            <w:hideMark/>
          </w:tcPr>
          <w:p w:rsidR="00767C32" w:rsidRPr="00767C32" w:rsidRDefault="00767C32" w:rsidP="00767C32">
            <w:pPr>
              <w:spacing w:after="0" w:line="240" w:lineRule="auto"/>
              <w:jc w:val="center"/>
              <w:rPr>
                <w:rFonts w:ascii="Calibri" w:eastAsia="Times New Roman" w:hAnsi="Calibri" w:cs="Times New Roman"/>
                <w:color w:val="000000"/>
                <w:sz w:val="16"/>
                <w:szCs w:val="16"/>
                <w:lang w:eastAsia="en-GB"/>
              </w:rPr>
            </w:pPr>
            <w:r w:rsidRPr="00767C32">
              <w:rPr>
                <w:rFonts w:ascii="Calibri" w:eastAsia="Times New Roman" w:hAnsi="Calibri" w:cs="Times New Roman"/>
                <w:color w:val="000000"/>
                <w:sz w:val="16"/>
                <w:szCs w:val="16"/>
                <w:lang w:eastAsia="en-GB"/>
              </w:rPr>
              <w:t>-</w:t>
            </w:r>
          </w:p>
        </w:tc>
        <w:tc>
          <w:tcPr>
            <w:tcW w:w="299" w:type="pct"/>
            <w:tcBorders>
              <w:top w:val="nil"/>
              <w:left w:val="nil"/>
              <w:bottom w:val="single" w:sz="4" w:space="0" w:color="auto"/>
              <w:right w:val="single" w:sz="4" w:space="0" w:color="auto"/>
            </w:tcBorders>
            <w:shd w:val="clear" w:color="000000" w:fill="EBF1DE"/>
            <w:noWrap/>
            <w:vAlign w:val="center"/>
            <w:hideMark/>
          </w:tcPr>
          <w:p w:rsidR="00767C32" w:rsidRPr="00767C32" w:rsidRDefault="00767C32" w:rsidP="00767C32">
            <w:pPr>
              <w:spacing w:after="0" w:line="240" w:lineRule="auto"/>
              <w:jc w:val="center"/>
              <w:rPr>
                <w:rFonts w:ascii="Calibri" w:eastAsia="Times New Roman" w:hAnsi="Calibri" w:cs="Times New Roman"/>
                <w:color w:val="000000"/>
                <w:sz w:val="16"/>
                <w:szCs w:val="16"/>
                <w:lang w:eastAsia="en-GB"/>
              </w:rPr>
            </w:pPr>
            <w:r w:rsidRPr="00767C32">
              <w:rPr>
                <w:rFonts w:ascii="Calibri" w:eastAsia="Times New Roman" w:hAnsi="Calibri" w:cs="Times New Roman"/>
                <w:color w:val="000000"/>
                <w:sz w:val="16"/>
                <w:szCs w:val="16"/>
                <w:lang w:eastAsia="en-GB"/>
              </w:rPr>
              <w:t>85.1%</w:t>
            </w:r>
          </w:p>
        </w:tc>
        <w:tc>
          <w:tcPr>
            <w:tcW w:w="256" w:type="pct"/>
            <w:tcBorders>
              <w:top w:val="nil"/>
              <w:left w:val="nil"/>
              <w:bottom w:val="single" w:sz="4" w:space="0" w:color="auto"/>
              <w:right w:val="single" w:sz="4" w:space="0" w:color="auto"/>
            </w:tcBorders>
            <w:shd w:val="clear" w:color="000000" w:fill="EBF1DE"/>
            <w:noWrap/>
            <w:vAlign w:val="center"/>
            <w:hideMark/>
          </w:tcPr>
          <w:p w:rsidR="00767C32" w:rsidRPr="00767C32" w:rsidRDefault="00767C32" w:rsidP="00767C32">
            <w:pPr>
              <w:spacing w:after="0" w:line="240" w:lineRule="auto"/>
              <w:jc w:val="center"/>
              <w:rPr>
                <w:rFonts w:ascii="Calibri" w:eastAsia="Times New Roman" w:hAnsi="Calibri" w:cs="Times New Roman"/>
                <w:color w:val="000000"/>
                <w:sz w:val="16"/>
                <w:szCs w:val="16"/>
                <w:lang w:eastAsia="en-GB"/>
              </w:rPr>
            </w:pPr>
            <w:r w:rsidRPr="00767C32">
              <w:rPr>
                <w:rFonts w:ascii="Calibri" w:eastAsia="Times New Roman" w:hAnsi="Calibri" w:cs="Times New Roman"/>
                <w:color w:val="000000"/>
                <w:sz w:val="16"/>
                <w:szCs w:val="16"/>
                <w:lang w:eastAsia="en-GB"/>
              </w:rPr>
              <w:t>-</w:t>
            </w:r>
          </w:p>
        </w:tc>
        <w:tc>
          <w:tcPr>
            <w:tcW w:w="257" w:type="pct"/>
            <w:tcBorders>
              <w:top w:val="nil"/>
              <w:left w:val="nil"/>
              <w:bottom w:val="single" w:sz="4" w:space="0" w:color="auto"/>
              <w:right w:val="single" w:sz="4" w:space="0" w:color="auto"/>
            </w:tcBorders>
            <w:shd w:val="clear" w:color="000000" w:fill="EBF1DE"/>
            <w:noWrap/>
            <w:vAlign w:val="center"/>
            <w:hideMark/>
          </w:tcPr>
          <w:p w:rsidR="00767C32" w:rsidRPr="00767C32" w:rsidRDefault="00767C32" w:rsidP="00767C32">
            <w:pPr>
              <w:spacing w:after="0" w:line="240" w:lineRule="auto"/>
              <w:jc w:val="center"/>
              <w:rPr>
                <w:rFonts w:ascii="Calibri" w:eastAsia="Times New Roman" w:hAnsi="Calibri" w:cs="Times New Roman"/>
                <w:color w:val="000000"/>
                <w:sz w:val="16"/>
                <w:szCs w:val="16"/>
                <w:lang w:eastAsia="en-GB"/>
              </w:rPr>
            </w:pPr>
            <w:r w:rsidRPr="00767C32">
              <w:rPr>
                <w:rFonts w:ascii="Calibri" w:eastAsia="Times New Roman" w:hAnsi="Calibri" w:cs="Times New Roman"/>
                <w:color w:val="000000"/>
                <w:sz w:val="16"/>
                <w:szCs w:val="16"/>
                <w:lang w:eastAsia="en-GB"/>
              </w:rPr>
              <w:t>85.3%</w:t>
            </w:r>
          </w:p>
        </w:tc>
        <w:tc>
          <w:tcPr>
            <w:tcW w:w="304" w:type="pct"/>
            <w:tcBorders>
              <w:top w:val="nil"/>
              <w:left w:val="nil"/>
              <w:bottom w:val="single" w:sz="4" w:space="0" w:color="auto"/>
              <w:right w:val="single" w:sz="4" w:space="0" w:color="auto"/>
            </w:tcBorders>
            <w:shd w:val="clear" w:color="000000" w:fill="FFFF99"/>
            <w:noWrap/>
            <w:vAlign w:val="center"/>
            <w:hideMark/>
          </w:tcPr>
          <w:p w:rsidR="00767C32" w:rsidRPr="00767C32" w:rsidRDefault="00767C32" w:rsidP="00767C32">
            <w:pPr>
              <w:spacing w:after="0" w:line="240" w:lineRule="auto"/>
              <w:jc w:val="center"/>
              <w:rPr>
                <w:rFonts w:ascii="Calibri" w:eastAsia="Times New Roman" w:hAnsi="Calibri" w:cs="Times New Roman"/>
                <w:color w:val="000000"/>
                <w:sz w:val="16"/>
                <w:szCs w:val="16"/>
                <w:lang w:eastAsia="en-GB"/>
              </w:rPr>
            </w:pPr>
            <w:r w:rsidRPr="00767C32">
              <w:rPr>
                <w:rFonts w:ascii="Calibri" w:eastAsia="Times New Roman" w:hAnsi="Calibri" w:cs="Times New Roman"/>
                <w:color w:val="000000"/>
                <w:sz w:val="16"/>
                <w:szCs w:val="16"/>
                <w:lang w:eastAsia="en-GB"/>
              </w:rPr>
              <w:t>-</w:t>
            </w:r>
          </w:p>
        </w:tc>
        <w:tc>
          <w:tcPr>
            <w:tcW w:w="258" w:type="pct"/>
            <w:tcBorders>
              <w:top w:val="nil"/>
              <w:left w:val="nil"/>
              <w:bottom w:val="single" w:sz="4" w:space="0" w:color="auto"/>
              <w:right w:val="single" w:sz="4" w:space="0" w:color="auto"/>
            </w:tcBorders>
            <w:shd w:val="clear" w:color="000000" w:fill="FFFF99"/>
            <w:noWrap/>
            <w:vAlign w:val="center"/>
            <w:hideMark/>
          </w:tcPr>
          <w:p w:rsidR="00767C32" w:rsidRPr="00767C32" w:rsidRDefault="00767C32" w:rsidP="00767C32">
            <w:pPr>
              <w:spacing w:after="0" w:line="240" w:lineRule="auto"/>
              <w:jc w:val="center"/>
              <w:rPr>
                <w:rFonts w:ascii="Calibri" w:eastAsia="Times New Roman" w:hAnsi="Calibri" w:cs="Times New Roman"/>
                <w:color w:val="000000"/>
                <w:sz w:val="16"/>
                <w:szCs w:val="16"/>
                <w:lang w:eastAsia="en-GB"/>
              </w:rPr>
            </w:pPr>
            <w:r w:rsidRPr="00767C32">
              <w:rPr>
                <w:rFonts w:ascii="Calibri" w:eastAsia="Times New Roman" w:hAnsi="Calibri" w:cs="Times New Roman"/>
                <w:color w:val="000000"/>
                <w:sz w:val="16"/>
                <w:szCs w:val="16"/>
                <w:lang w:eastAsia="en-GB"/>
              </w:rPr>
              <w:t>80.9%</w:t>
            </w:r>
          </w:p>
        </w:tc>
        <w:tc>
          <w:tcPr>
            <w:tcW w:w="251" w:type="pct"/>
            <w:tcBorders>
              <w:top w:val="nil"/>
              <w:left w:val="nil"/>
              <w:bottom w:val="single" w:sz="4" w:space="0" w:color="auto"/>
              <w:right w:val="single" w:sz="4" w:space="0" w:color="auto"/>
            </w:tcBorders>
            <w:shd w:val="clear" w:color="000000" w:fill="420000"/>
            <w:noWrap/>
            <w:vAlign w:val="center"/>
            <w:hideMark/>
          </w:tcPr>
          <w:p w:rsidR="00767C32" w:rsidRPr="00767C32" w:rsidRDefault="00767C32" w:rsidP="00767C32">
            <w:pPr>
              <w:spacing w:after="0" w:line="240" w:lineRule="auto"/>
              <w:jc w:val="center"/>
              <w:rPr>
                <w:rFonts w:ascii="Calibri" w:eastAsia="Times New Roman" w:hAnsi="Calibri" w:cs="Times New Roman"/>
                <w:color w:val="FFFFFF"/>
                <w:sz w:val="16"/>
                <w:szCs w:val="16"/>
                <w:lang w:eastAsia="en-GB"/>
              </w:rPr>
            </w:pPr>
            <w:r w:rsidRPr="00767C32">
              <w:rPr>
                <w:rFonts w:ascii="Calibri" w:eastAsia="Times New Roman" w:hAnsi="Calibri" w:cs="Times New Roman"/>
                <w:color w:val="FFFFFF"/>
                <w:sz w:val="16"/>
                <w:szCs w:val="16"/>
                <w:lang w:eastAsia="en-GB"/>
              </w:rPr>
              <w:t>-</w:t>
            </w:r>
          </w:p>
        </w:tc>
        <w:tc>
          <w:tcPr>
            <w:tcW w:w="256" w:type="pct"/>
            <w:tcBorders>
              <w:top w:val="nil"/>
              <w:left w:val="nil"/>
              <w:bottom w:val="single" w:sz="4" w:space="0" w:color="auto"/>
              <w:right w:val="single" w:sz="4" w:space="0" w:color="auto"/>
            </w:tcBorders>
            <w:shd w:val="clear" w:color="000000" w:fill="420000"/>
            <w:noWrap/>
            <w:vAlign w:val="center"/>
            <w:hideMark/>
          </w:tcPr>
          <w:p w:rsidR="00767C32" w:rsidRPr="00767C32" w:rsidRDefault="00767C32" w:rsidP="00767C32">
            <w:pPr>
              <w:spacing w:after="0" w:line="240" w:lineRule="auto"/>
              <w:jc w:val="center"/>
              <w:rPr>
                <w:rFonts w:ascii="Calibri" w:eastAsia="Times New Roman" w:hAnsi="Calibri" w:cs="Times New Roman"/>
                <w:color w:val="FFFFFF"/>
                <w:sz w:val="16"/>
                <w:szCs w:val="16"/>
                <w:lang w:eastAsia="en-GB"/>
              </w:rPr>
            </w:pPr>
            <w:r w:rsidRPr="00767C32">
              <w:rPr>
                <w:rFonts w:ascii="Calibri" w:eastAsia="Times New Roman" w:hAnsi="Calibri" w:cs="Times New Roman"/>
                <w:color w:val="FFFFFF"/>
                <w:sz w:val="16"/>
                <w:szCs w:val="16"/>
                <w:lang w:eastAsia="en-GB"/>
              </w:rPr>
              <w:t>68.2%</w:t>
            </w:r>
          </w:p>
        </w:tc>
        <w:tc>
          <w:tcPr>
            <w:tcW w:w="300" w:type="pct"/>
            <w:tcBorders>
              <w:top w:val="nil"/>
              <w:left w:val="nil"/>
              <w:bottom w:val="single" w:sz="4" w:space="0" w:color="auto"/>
              <w:right w:val="single" w:sz="4" w:space="0" w:color="auto"/>
            </w:tcBorders>
            <w:shd w:val="clear" w:color="auto" w:fill="auto"/>
            <w:noWrap/>
            <w:vAlign w:val="center"/>
            <w:hideMark/>
          </w:tcPr>
          <w:p w:rsidR="00767C32" w:rsidRPr="00767C32" w:rsidRDefault="00767C32" w:rsidP="00767C32">
            <w:pPr>
              <w:spacing w:after="0" w:line="240" w:lineRule="auto"/>
              <w:jc w:val="center"/>
              <w:rPr>
                <w:rFonts w:ascii="Calibri" w:eastAsia="Times New Roman" w:hAnsi="Calibri" w:cs="Times New Roman"/>
                <w:color w:val="000000"/>
                <w:sz w:val="16"/>
                <w:szCs w:val="16"/>
                <w:lang w:eastAsia="en-GB"/>
              </w:rPr>
            </w:pPr>
            <w:r w:rsidRPr="00767C32">
              <w:rPr>
                <w:rFonts w:ascii="Calibri" w:eastAsia="Times New Roman" w:hAnsi="Calibri" w:cs="Times New Roman"/>
                <w:color w:val="000000"/>
                <w:sz w:val="16"/>
                <w:szCs w:val="16"/>
                <w:lang w:eastAsia="en-GB"/>
              </w:rPr>
              <w:t>-</w:t>
            </w:r>
          </w:p>
        </w:tc>
        <w:tc>
          <w:tcPr>
            <w:tcW w:w="254" w:type="pct"/>
            <w:tcBorders>
              <w:top w:val="nil"/>
              <w:left w:val="nil"/>
              <w:bottom w:val="single" w:sz="4" w:space="0" w:color="auto"/>
              <w:right w:val="single" w:sz="4" w:space="0" w:color="auto"/>
            </w:tcBorders>
            <w:shd w:val="clear" w:color="auto" w:fill="auto"/>
            <w:noWrap/>
            <w:vAlign w:val="center"/>
            <w:hideMark/>
          </w:tcPr>
          <w:p w:rsidR="00767C32" w:rsidRPr="00767C32" w:rsidRDefault="00767C32" w:rsidP="00767C32">
            <w:pPr>
              <w:spacing w:after="0" w:line="240" w:lineRule="auto"/>
              <w:jc w:val="center"/>
              <w:rPr>
                <w:rFonts w:ascii="Calibri" w:eastAsia="Times New Roman" w:hAnsi="Calibri" w:cs="Times New Roman"/>
                <w:color w:val="000000"/>
                <w:sz w:val="16"/>
                <w:szCs w:val="16"/>
                <w:lang w:eastAsia="en-GB"/>
              </w:rPr>
            </w:pPr>
            <w:r w:rsidRPr="00767C32">
              <w:rPr>
                <w:rFonts w:ascii="Calibri" w:eastAsia="Times New Roman" w:hAnsi="Calibri" w:cs="Times New Roman"/>
                <w:color w:val="000000"/>
                <w:sz w:val="16"/>
                <w:szCs w:val="16"/>
                <w:lang w:eastAsia="en-GB"/>
              </w:rPr>
              <w:t>78.0%</w:t>
            </w:r>
          </w:p>
        </w:tc>
      </w:tr>
      <w:tr w:rsidR="0085747D" w:rsidRPr="00767C32" w:rsidTr="0085747D">
        <w:trPr>
          <w:trHeight w:val="300"/>
        </w:trPr>
        <w:tc>
          <w:tcPr>
            <w:tcW w:w="513" w:type="pct"/>
            <w:tcBorders>
              <w:top w:val="nil"/>
              <w:left w:val="single" w:sz="4" w:space="0" w:color="auto"/>
              <w:bottom w:val="single" w:sz="4" w:space="0" w:color="auto"/>
              <w:right w:val="single" w:sz="4" w:space="0" w:color="auto"/>
            </w:tcBorders>
            <w:shd w:val="clear" w:color="auto" w:fill="auto"/>
            <w:noWrap/>
            <w:vAlign w:val="center"/>
            <w:hideMark/>
          </w:tcPr>
          <w:p w:rsidR="00767C32" w:rsidRPr="00767C32" w:rsidRDefault="00767C32" w:rsidP="00767C32">
            <w:pPr>
              <w:spacing w:after="0" w:line="240" w:lineRule="auto"/>
              <w:jc w:val="center"/>
              <w:rPr>
                <w:rFonts w:ascii="Calibri" w:eastAsia="Times New Roman" w:hAnsi="Calibri" w:cs="Times New Roman"/>
                <w:color w:val="000000"/>
                <w:sz w:val="16"/>
                <w:szCs w:val="16"/>
                <w:lang w:eastAsia="en-GB"/>
              </w:rPr>
            </w:pPr>
            <w:r w:rsidRPr="00767C32">
              <w:rPr>
                <w:rFonts w:ascii="Calibri" w:eastAsia="Times New Roman" w:hAnsi="Calibri" w:cs="Times New Roman"/>
                <w:color w:val="000000"/>
                <w:sz w:val="16"/>
                <w:szCs w:val="16"/>
                <w:lang w:eastAsia="en-GB"/>
              </w:rPr>
              <w:t>Directly age-standardised rate of emergency hospital admissions for COPD</w:t>
            </w:r>
          </w:p>
        </w:tc>
        <w:tc>
          <w:tcPr>
            <w:tcW w:w="256" w:type="pct"/>
            <w:tcBorders>
              <w:top w:val="nil"/>
              <w:left w:val="nil"/>
              <w:bottom w:val="single" w:sz="4" w:space="0" w:color="auto"/>
              <w:right w:val="single" w:sz="4" w:space="0" w:color="auto"/>
            </w:tcBorders>
            <w:shd w:val="clear" w:color="auto" w:fill="auto"/>
            <w:noWrap/>
            <w:vAlign w:val="center"/>
            <w:hideMark/>
          </w:tcPr>
          <w:p w:rsidR="00767C32" w:rsidRPr="00767C32" w:rsidRDefault="00767C32" w:rsidP="00767C32">
            <w:pPr>
              <w:spacing w:after="0" w:line="240" w:lineRule="auto"/>
              <w:jc w:val="center"/>
              <w:rPr>
                <w:rFonts w:ascii="Calibri" w:eastAsia="Times New Roman" w:hAnsi="Calibri" w:cs="Times New Roman"/>
                <w:color w:val="000000"/>
                <w:sz w:val="16"/>
                <w:szCs w:val="16"/>
                <w:lang w:eastAsia="en-GB"/>
              </w:rPr>
            </w:pPr>
            <w:r w:rsidRPr="00767C32">
              <w:rPr>
                <w:rFonts w:ascii="Calibri" w:eastAsia="Times New Roman" w:hAnsi="Calibri" w:cs="Times New Roman"/>
                <w:color w:val="000000"/>
                <w:sz w:val="16"/>
                <w:szCs w:val="16"/>
                <w:lang w:eastAsia="en-GB"/>
              </w:rPr>
              <w:t>2017-18</w:t>
            </w:r>
          </w:p>
        </w:tc>
        <w:tc>
          <w:tcPr>
            <w:tcW w:w="257" w:type="pct"/>
            <w:tcBorders>
              <w:top w:val="nil"/>
              <w:left w:val="nil"/>
              <w:bottom w:val="single" w:sz="4" w:space="0" w:color="auto"/>
              <w:right w:val="single" w:sz="4" w:space="0" w:color="auto"/>
            </w:tcBorders>
            <w:shd w:val="clear" w:color="000000" w:fill="EBF1DE"/>
            <w:noWrap/>
            <w:vAlign w:val="center"/>
            <w:hideMark/>
          </w:tcPr>
          <w:p w:rsidR="00767C32" w:rsidRPr="00767C32" w:rsidRDefault="00767C32" w:rsidP="00767C32">
            <w:pPr>
              <w:spacing w:after="0" w:line="240" w:lineRule="auto"/>
              <w:jc w:val="center"/>
              <w:rPr>
                <w:rFonts w:ascii="Calibri" w:eastAsia="Times New Roman" w:hAnsi="Calibri" w:cs="Times New Roman"/>
                <w:color w:val="000000"/>
                <w:sz w:val="16"/>
                <w:szCs w:val="16"/>
                <w:lang w:eastAsia="en-GB"/>
              </w:rPr>
            </w:pPr>
            <w:r w:rsidRPr="00767C32">
              <w:rPr>
                <w:rFonts w:ascii="Calibri" w:eastAsia="Times New Roman" w:hAnsi="Calibri" w:cs="Times New Roman"/>
                <w:color w:val="000000"/>
                <w:sz w:val="16"/>
                <w:szCs w:val="16"/>
                <w:lang w:eastAsia="en-GB"/>
              </w:rPr>
              <w:t>1,339</w:t>
            </w:r>
          </w:p>
        </w:tc>
        <w:tc>
          <w:tcPr>
            <w:tcW w:w="256" w:type="pct"/>
            <w:tcBorders>
              <w:top w:val="nil"/>
              <w:left w:val="nil"/>
              <w:bottom w:val="single" w:sz="4" w:space="0" w:color="auto"/>
              <w:right w:val="single" w:sz="4" w:space="0" w:color="auto"/>
            </w:tcBorders>
            <w:shd w:val="clear" w:color="000000" w:fill="EBF1DE"/>
            <w:noWrap/>
            <w:vAlign w:val="center"/>
            <w:hideMark/>
          </w:tcPr>
          <w:p w:rsidR="00767C32" w:rsidRPr="00767C32" w:rsidRDefault="00767C32" w:rsidP="00767C32">
            <w:pPr>
              <w:spacing w:after="0" w:line="240" w:lineRule="auto"/>
              <w:jc w:val="center"/>
              <w:rPr>
                <w:rFonts w:ascii="Calibri" w:eastAsia="Times New Roman" w:hAnsi="Calibri" w:cs="Times New Roman"/>
                <w:color w:val="000000"/>
                <w:sz w:val="16"/>
                <w:szCs w:val="16"/>
                <w:lang w:eastAsia="en-GB"/>
              </w:rPr>
            </w:pPr>
            <w:r w:rsidRPr="00767C32">
              <w:rPr>
                <w:rFonts w:ascii="Calibri" w:eastAsia="Times New Roman" w:hAnsi="Calibri" w:cs="Times New Roman"/>
                <w:color w:val="000000"/>
                <w:sz w:val="16"/>
                <w:szCs w:val="16"/>
                <w:lang w:eastAsia="en-GB"/>
              </w:rPr>
              <w:t>365</w:t>
            </w:r>
          </w:p>
        </w:tc>
        <w:tc>
          <w:tcPr>
            <w:tcW w:w="257" w:type="pct"/>
            <w:tcBorders>
              <w:top w:val="nil"/>
              <w:left w:val="nil"/>
              <w:bottom w:val="single" w:sz="4" w:space="0" w:color="auto"/>
              <w:right w:val="single" w:sz="4" w:space="0" w:color="auto"/>
            </w:tcBorders>
            <w:shd w:val="clear" w:color="000000" w:fill="420000"/>
            <w:noWrap/>
            <w:vAlign w:val="center"/>
            <w:hideMark/>
          </w:tcPr>
          <w:p w:rsidR="00767C32" w:rsidRPr="00767C32" w:rsidRDefault="00767C32" w:rsidP="00767C32">
            <w:pPr>
              <w:spacing w:after="0" w:line="240" w:lineRule="auto"/>
              <w:jc w:val="center"/>
              <w:rPr>
                <w:rFonts w:ascii="Calibri" w:eastAsia="Times New Roman" w:hAnsi="Calibri" w:cs="Times New Roman"/>
                <w:color w:val="FFFFFF"/>
                <w:sz w:val="16"/>
                <w:szCs w:val="16"/>
                <w:lang w:eastAsia="en-GB"/>
              </w:rPr>
            </w:pPr>
            <w:r w:rsidRPr="00767C32">
              <w:rPr>
                <w:rFonts w:ascii="Calibri" w:eastAsia="Times New Roman" w:hAnsi="Calibri" w:cs="Times New Roman"/>
                <w:color w:val="FFFFFF"/>
                <w:sz w:val="16"/>
                <w:szCs w:val="16"/>
                <w:lang w:eastAsia="en-GB"/>
              </w:rPr>
              <w:t>504</w:t>
            </w:r>
          </w:p>
        </w:tc>
        <w:tc>
          <w:tcPr>
            <w:tcW w:w="256" w:type="pct"/>
            <w:tcBorders>
              <w:top w:val="nil"/>
              <w:left w:val="nil"/>
              <w:bottom w:val="single" w:sz="4" w:space="0" w:color="auto"/>
              <w:right w:val="single" w:sz="4" w:space="0" w:color="auto"/>
            </w:tcBorders>
            <w:shd w:val="clear" w:color="000000" w:fill="420000"/>
            <w:noWrap/>
            <w:vAlign w:val="center"/>
            <w:hideMark/>
          </w:tcPr>
          <w:p w:rsidR="00767C32" w:rsidRPr="00767C32" w:rsidRDefault="00767C32" w:rsidP="00767C32">
            <w:pPr>
              <w:spacing w:after="0" w:line="240" w:lineRule="auto"/>
              <w:jc w:val="center"/>
              <w:rPr>
                <w:rFonts w:ascii="Calibri" w:eastAsia="Times New Roman" w:hAnsi="Calibri" w:cs="Times New Roman"/>
                <w:color w:val="FFFFFF"/>
                <w:sz w:val="16"/>
                <w:szCs w:val="16"/>
                <w:lang w:eastAsia="en-GB"/>
              </w:rPr>
            </w:pPr>
            <w:r w:rsidRPr="00767C32">
              <w:rPr>
                <w:rFonts w:ascii="Calibri" w:eastAsia="Times New Roman" w:hAnsi="Calibri" w:cs="Times New Roman"/>
                <w:color w:val="FFFFFF"/>
                <w:sz w:val="16"/>
                <w:szCs w:val="16"/>
                <w:lang w:eastAsia="en-GB"/>
              </w:rPr>
              <w:t>552</w:t>
            </w:r>
          </w:p>
        </w:tc>
        <w:tc>
          <w:tcPr>
            <w:tcW w:w="257" w:type="pct"/>
            <w:tcBorders>
              <w:top w:val="nil"/>
              <w:left w:val="nil"/>
              <w:bottom w:val="single" w:sz="4" w:space="0" w:color="auto"/>
              <w:right w:val="single" w:sz="4" w:space="0" w:color="auto"/>
            </w:tcBorders>
            <w:shd w:val="clear" w:color="000000" w:fill="420000"/>
            <w:noWrap/>
            <w:vAlign w:val="center"/>
            <w:hideMark/>
          </w:tcPr>
          <w:p w:rsidR="00767C32" w:rsidRPr="00767C32" w:rsidRDefault="00767C32" w:rsidP="00767C32">
            <w:pPr>
              <w:spacing w:after="0" w:line="240" w:lineRule="auto"/>
              <w:jc w:val="center"/>
              <w:rPr>
                <w:rFonts w:ascii="Calibri" w:eastAsia="Times New Roman" w:hAnsi="Calibri" w:cs="Times New Roman"/>
                <w:color w:val="FFFFFF"/>
                <w:sz w:val="16"/>
                <w:szCs w:val="16"/>
                <w:lang w:eastAsia="en-GB"/>
              </w:rPr>
            </w:pPr>
            <w:r w:rsidRPr="00767C32">
              <w:rPr>
                <w:rFonts w:ascii="Calibri" w:eastAsia="Times New Roman" w:hAnsi="Calibri" w:cs="Times New Roman"/>
                <w:color w:val="FFFFFF"/>
                <w:sz w:val="16"/>
                <w:szCs w:val="16"/>
                <w:lang w:eastAsia="en-GB"/>
              </w:rPr>
              <w:t>239</w:t>
            </w:r>
          </w:p>
        </w:tc>
        <w:tc>
          <w:tcPr>
            <w:tcW w:w="256" w:type="pct"/>
            <w:tcBorders>
              <w:top w:val="nil"/>
              <w:left w:val="nil"/>
              <w:bottom w:val="single" w:sz="4" w:space="0" w:color="auto"/>
              <w:right w:val="single" w:sz="4" w:space="0" w:color="auto"/>
            </w:tcBorders>
            <w:shd w:val="clear" w:color="000000" w:fill="420000"/>
            <w:noWrap/>
            <w:vAlign w:val="center"/>
            <w:hideMark/>
          </w:tcPr>
          <w:p w:rsidR="00767C32" w:rsidRPr="00767C32" w:rsidRDefault="00767C32" w:rsidP="00767C32">
            <w:pPr>
              <w:spacing w:after="0" w:line="240" w:lineRule="auto"/>
              <w:jc w:val="center"/>
              <w:rPr>
                <w:rFonts w:ascii="Calibri" w:eastAsia="Times New Roman" w:hAnsi="Calibri" w:cs="Times New Roman"/>
                <w:color w:val="FFFFFF"/>
                <w:sz w:val="16"/>
                <w:szCs w:val="16"/>
                <w:lang w:eastAsia="en-GB"/>
              </w:rPr>
            </w:pPr>
            <w:r w:rsidRPr="00767C32">
              <w:rPr>
                <w:rFonts w:ascii="Calibri" w:eastAsia="Times New Roman" w:hAnsi="Calibri" w:cs="Times New Roman"/>
                <w:color w:val="FFFFFF"/>
                <w:sz w:val="16"/>
                <w:szCs w:val="16"/>
                <w:lang w:eastAsia="en-GB"/>
              </w:rPr>
              <w:t>497</w:t>
            </w:r>
          </w:p>
        </w:tc>
        <w:tc>
          <w:tcPr>
            <w:tcW w:w="257" w:type="pct"/>
            <w:tcBorders>
              <w:top w:val="nil"/>
              <w:left w:val="nil"/>
              <w:bottom w:val="single" w:sz="4" w:space="0" w:color="auto"/>
              <w:right w:val="single" w:sz="4" w:space="0" w:color="auto"/>
            </w:tcBorders>
            <w:shd w:val="clear" w:color="000000" w:fill="EBF1DE"/>
            <w:noWrap/>
            <w:vAlign w:val="center"/>
            <w:hideMark/>
          </w:tcPr>
          <w:p w:rsidR="00767C32" w:rsidRPr="00767C32" w:rsidRDefault="00767C32" w:rsidP="00767C32">
            <w:pPr>
              <w:spacing w:after="0" w:line="240" w:lineRule="auto"/>
              <w:jc w:val="center"/>
              <w:rPr>
                <w:rFonts w:ascii="Calibri" w:eastAsia="Times New Roman" w:hAnsi="Calibri" w:cs="Times New Roman"/>
                <w:color w:val="000000"/>
                <w:sz w:val="16"/>
                <w:szCs w:val="16"/>
                <w:lang w:eastAsia="en-GB"/>
              </w:rPr>
            </w:pPr>
            <w:r w:rsidRPr="00767C32">
              <w:rPr>
                <w:rFonts w:ascii="Calibri" w:eastAsia="Times New Roman" w:hAnsi="Calibri" w:cs="Times New Roman"/>
                <w:color w:val="000000"/>
                <w:sz w:val="16"/>
                <w:szCs w:val="16"/>
                <w:lang w:eastAsia="en-GB"/>
              </w:rPr>
              <w:t>151</w:t>
            </w:r>
          </w:p>
        </w:tc>
        <w:tc>
          <w:tcPr>
            <w:tcW w:w="299" w:type="pct"/>
            <w:tcBorders>
              <w:top w:val="nil"/>
              <w:left w:val="nil"/>
              <w:bottom w:val="single" w:sz="4" w:space="0" w:color="auto"/>
              <w:right w:val="single" w:sz="4" w:space="0" w:color="auto"/>
            </w:tcBorders>
            <w:shd w:val="clear" w:color="000000" w:fill="EBF1DE"/>
            <w:noWrap/>
            <w:vAlign w:val="center"/>
            <w:hideMark/>
          </w:tcPr>
          <w:p w:rsidR="00767C32" w:rsidRPr="00767C32" w:rsidRDefault="00767C32" w:rsidP="00767C32">
            <w:pPr>
              <w:spacing w:after="0" w:line="240" w:lineRule="auto"/>
              <w:jc w:val="center"/>
              <w:rPr>
                <w:rFonts w:ascii="Calibri" w:eastAsia="Times New Roman" w:hAnsi="Calibri" w:cs="Times New Roman"/>
                <w:color w:val="000000"/>
                <w:sz w:val="16"/>
                <w:szCs w:val="16"/>
                <w:lang w:eastAsia="en-GB"/>
              </w:rPr>
            </w:pPr>
            <w:r w:rsidRPr="00767C32">
              <w:rPr>
                <w:rFonts w:ascii="Calibri" w:eastAsia="Times New Roman" w:hAnsi="Calibri" w:cs="Times New Roman"/>
                <w:color w:val="000000"/>
                <w:sz w:val="16"/>
                <w:szCs w:val="16"/>
                <w:lang w:eastAsia="en-GB"/>
              </w:rPr>
              <w:t>281</w:t>
            </w:r>
          </w:p>
        </w:tc>
        <w:tc>
          <w:tcPr>
            <w:tcW w:w="256" w:type="pct"/>
            <w:tcBorders>
              <w:top w:val="nil"/>
              <w:left w:val="nil"/>
              <w:bottom w:val="single" w:sz="4" w:space="0" w:color="auto"/>
              <w:right w:val="single" w:sz="4" w:space="0" w:color="auto"/>
            </w:tcBorders>
            <w:shd w:val="clear" w:color="000000" w:fill="420000"/>
            <w:noWrap/>
            <w:vAlign w:val="center"/>
            <w:hideMark/>
          </w:tcPr>
          <w:p w:rsidR="00767C32" w:rsidRPr="00767C32" w:rsidRDefault="00767C32" w:rsidP="00767C32">
            <w:pPr>
              <w:spacing w:after="0" w:line="240" w:lineRule="auto"/>
              <w:jc w:val="center"/>
              <w:rPr>
                <w:rFonts w:ascii="Calibri" w:eastAsia="Times New Roman" w:hAnsi="Calibri" w:cs="Times New Roman"/>
                <w:color w:val="FFFFFF"/>
                <w:sz w:val="16"/>
                <w:szCs w:val="16"/>
                <w:lang w:eastAsia="en-GB"/>
              </w:rPr>
            </w:pPr>
            <w:r w:rsidRPr="00767C32">
              <w:rPr>
                <w:rFonts w:ascii="Calibri" w:eastAsia="Times New Roman" w:hAnsi="Calibri" w:cs="Times New Roman"/>
                <w:color w:val="FFFFFF"/>
                <w:sz w:val="16"/>
                <w:szCs w:val="16"/>
                <w:lang w:eastAsia="en-GB"/>
              </w:rPr>
              <w:t>349</w:t>
            </w:r>
          </w:p>
        </w:tc>
        <w:tc>
          <w:tcPr>
            <w:tcW w:w="257" w:type="pct"/>
            <w:tcBorders>
              <w:top w:val="nil"/>
              <w:left w:val="nil"/>
              <w:bottom w:val="single" w:sz="4" w:space="0" w:color="auto"/>
              <w:right w:val="single" w:sz="4" w:space="0" w:color="auto"/>
            </w:tcBorders>
            <w:shd w:val="clear" w:color="000000" w:fill="420000"/>
            <w:noWrap/>
            <w:vAlign w:val="center"/>
            <w:hideMark/>
          </w:tcPr>
          <w:p w:rsidR="00767C32" w:rsidRPr="00767C32" w:rsidRDefault="00767C32" w:rsidP="00767C32">
            <w:pPr>
              <w:spacing w:after="0" w:line="240" w:lineRule="auto"/>
              <w:jc w:val="center"/>
              <w:rPr>
                <w:rFonts w:ascii="Calibri" w:eastAsia="Times New Roman" w:hAnsi="Calibri" w:cs="Times New Roman"/>
                <w:color w:val="FFFFFF"/>
                <w:sz w:val="16"/>
                <w:szCs w:val="16"/>
                <w:lang w:eastAsia="en-GB"/>
              </w:rPr>
            </w:pPr>
            <w:r w:rsidRPr="00767C32">
              <w:rPr>
                <w:rFonts w:ascii="Calibri" w:eastAsia="Times New Roman" w:hAnsi="Calibri" w:cs="Times New Roman"/>
                <w:color w:val="FFFFFF"/>
                <w:sz w:val="16"/>
                <w:szCs w:val="16"/>
                <w:lang w:eastAsia="en-GB"/>
              </w:rPr>
              <w:t>519</w:t>
            </w:r>
          </w:p>
        </w:tc>
        <w:tc>
          <w:tcPr>
            <w:tcW w:w="304" w:type="pct"/>
            <w:tcBorders>
              <w:top w:val="nil"/>
              <w:left w:val="nil"/>
              <w:bottom w:val="single" w:sz="4" w:space="0" w:color="auto"/>
              <w:right w:val="single" w:sz="4" w:space="0" w:color="auto"/>
            </w:tcBorders>
            <w:shd w:val="clear" w:color="000000" w:fill="EBF1DE"/>
            <w:noWrap/>
            <w:vAlign w:val="center"/>
            <w:hideMark/>
          </w:tcPr>
          <w:p w:rsidR="00767C32" w:rsidRPr="00767C32" w:rsidRDefault="00767C32" w:rsidP="00767C32">
            <w:pPr>
              <w:spacing w:after="0" w:line="240" w:lineRule="auto"/>
              <w:jc w:val="center"/>
              <w:rPr>
                <w:rFonts w:ascii="Calibri" w:eastAsia="Times New Roman" w:hAnsi="Calibri" w:cs="Times New Roman"/>
                <w:color w:val="000000"/>
                <w:sz w:val="16"/>
                <w:szCs w:val="16"/>
                <w:lang w:eastAsia="en-GB"/>
              </w:rPr>
            </w:pPr>
            <w:r w:rsidRPr="00767C32">
              <w:rPr>
                <w:rFonts w:ascii="Calibri" w:eastAsia="Times New Roman" w:hAnsi="Calibri" w:cs="Times New Roman"/>
                <w:color w:val="000000"/>
                <w:sz w:val="16"/>
                <w:szCs w:val="16"/>
                <w:lang w:eastAsia="en-GB"/>
              </w:rPr>
              <w:t>371</w:t>
            </w:r>
          </w:p>
        </w:tc>
        <w:tc>
          <w:tcPr>
            <w:tcW w:w="258" w:type="pct"/>
            <w:tcBorders>
              <w:top w:val="nil"/>
              <w:left w:val="nil"/>
              <w:bottom w:val="single" w:sz="4" w:space="0" w:color="auto"/>
              <w:right w:val="single" w:sz="4" w:space="0" w:color="auto"/>
            </w:tcBorders>
            <w:shd w:val="clear" w:color="000000" w:fill="EBF1DE"/>
            <w:noWrap/>
            <w:vAlign w:val="center"/>
            <w:hideMark/>
          </w:tcPr>
          <w:p w:rsidR="00767C32" w:rsidRPr="00767C32" w:rsidRDefault="00767C32" w:rsidP="00767C32">
            <w:pPr>
              <w:spacing w:after="0" w:line="240" w:lineRule="auto"/>
              <w:jc w:val="center"/>
              <w:rPr>
                <w:rFonts w:ascii="Calibri" w:eastAsia="Times New Roman" w:hAnsi="Calibri" w:cs="Times New Roman"/>
                <w:color w:val="000000"/>
                <w:sz w:val="16"/>
                <w:szCs w:val="16"/>
                <w:lang w:eastAsia="en-GB"/>
              </w:rPr>
            </w:pPr>
            <w:r w:rsidRPr="00767C32">
              <w:rPr>
                <w:rFonts w:ascii="Calibri" w:eastAsia="Times New Roman" w:hAnsi="Calibri" w:cs="Times New Roman"/>
                <w:color w:val="000000"/>
                <w:sz w:val="16"/>
                <w:szCs w:val="16"/>
                <w:lang w:eastAsia="en-GB"/>
              </w:rPr>
              <w:t>355</w:t>
            </w:r>
          </w:p>
        </w:tc>
        <w:tc>
          <w:tcPr>
            <w:tcW w:w="251" w:type="pct"/>
            <w:tcBorders>
              <w:top w:val="nil"/>
              <w:left w:val="nil"/>
              <w:bottom w:val="single" w:sz="4" w:space="0" w:color="auto"/>
              <w:right w:val="single" w:sz="4" w:space="0" w:color="auto"/>
            </w:tcBorders>
            <w:shd w:val="clear" w:color="000000" w:fill="EBF1DE"/>
            <w:noWrap/>
            <w:vAlign w:val="center"/>
            <w:hideMark/>
          </w:tcPr>
          <w:p w:rsidR="00767C32" w:rsidRPr="00767C32" w:rsidRDefault="00767C32" w:rsidP="00767C32">
            <w:pPr>
              <w:spacing w:after="0" w:line="240" w:lineRule="auto"/>
              <w:jc w:val="center"/>
              <w:rPr>
                <w:rFonts w:ascii="Calibri" w:eastAsia="Times New Roman" w:hAnsi="Calibri" w:cs="Times New Roman"/>
                <w:color w:val="000000"/>
                <w:sz w:val="16"/>
                <w:szCs w:val="16"/>
                <w:lang w:eastAsia="en-GB"/>
              </w:rPr>
            </w:pPr>
            <w:r w:rsidRPr="00767C32">
              <w:rPr>
                <w:rFonts w:ascii="Calibri" w:eastAsia="Times New Roman" w:hAnsi="Calibri" w:cs="Times New Roman"/>
                <w:color w:val="000000"/>
                <w:sz w:val="16"/>
                <w:szCs w:val="16"/>
                <w:lang w:eastAsia="en-GB"/>
              </w:rPr>
              <w:t>229</w:t>
            </w:r>
          </w:p>
        </w:tc>
        <w:tc>
          <w:tcPr>
            <w:tcW w:w="256" w:type="pct"/>
            <w:tcBorders>
              <w:top w:val="nil"/>
              <w:left w:val="nil"/>
              <w:bottom w:val="single" w:sz="4" w:space="0" w:color="auto"/>
              <w:right w:val="single" w:sz="4" w:space="0" w:color="auto"/>
            </w:tcBorders>
            <w:shd w:val="clear" w:color="000000" w:fill="EBF1DE"/>
            <w:noWrap/>
            <w:vAlign w:val="center"/>
            <w:hideMark/>
          </w:tcPr>
          <w:p w:rsidR="00767C32" w:rsidRPr="00767C32" w:rsidRDefault="00767C32" w:rsidP="00767C32">
            <w:pPr>
              <w:spacing w:after="0" w:line="240" w:lineRule="auto"/>
              <w:jc w:val="center"/>
              <w:rPr>
                <w:rFonts w:ascii="Calibri" w:eastAsia="Times New Roman" w:hAnsi="Calibri" w:cs="Times New Roman"/>
                <w:color w:val="000000"/>
                <w:sz w:val="16"/>
                <w:szCs w:val="16"/>
                <w:lang w:eastAsia="en-GB"/>
              </w:rPr>
            </w:pPr>
            <w:r w:rsidRPr="00767C32">
              <w:rPr>
                <w:rFonts w:ascii="Calibri" w:eastAsia="Times New Roman" w:hAnsi="Calibri" w:cs="Times New Roman"/>
                <w:color w:val="000000"/>
                <w:sz w:val="16"/>
                <w:szCs w:val="16"/>
                <w:lang w:eastAsia="en-GB"/>
              </w:rPr>
              <w:t>248</w:t>
            </w:r>
          </w:p>
        </w:tc>
        <w:tc>
          <w:tcPr>
            <w:tcW w:w="300" w:type="pct"/>
            <w:tcBorders>
              <w:top w:val="nil"/>
              <w:left w:val="nil"/>
              <w:bottom w:val="single" w:sz="4" w:space="0" w:color="auto"/>
              <w:right w:val="single" w:sz="4" w:space="0" w:color="auto"/>
            </w:tcBorders>
            <w:shd w:val="clear" w:color="auto" w:fill="auto"/>
            <w:noWrap/>
            <w:vAlign w:val="center"/>
            <w:hideMark/>
          </w:tcPr>
          <w:p w:rsidR="00767C32" w:rsidRPr="00767C32" w:rsidRDefault="00767C32" w:rsidP="00767C32">
            <w:pPr>
              <w:spacing w:after="0" w:line="240" w:lineRule="auto"/>
              <w:jc w:val="center"/>
              <w:rPr>
                <w:rFonts w:ascii="Calibri" w:eastAsia="Times New Roman" w:hAnsi="Calibri" w:cs="Times New Roman"/>
                <w:color w:val="000000"/>
                <w:sz w:val="16"/>
                <w:szCs w:val="16"/>
                <w:lang w:eastAsia="en-GB"/>
              </w:rPr>
            </w:pPr>
            <w:r w:rsidRPr="00767C32">
              <w:rPr>
                <w:rFonts w:ascii="Calibri" w:eastAsia="Times New Roman" w:hAnsi="Calibri" w:cs="Times New Roman"/>
                <w:color w:val="000000"/>
                <w:sz w:val="16"/>
                <w:szCs w:val="16"/>
                <w:lang w:eastAsia="en-GB"/>
              </w:rPr>
              <w:t>128,063</w:t>
            </w:r>
          </w:p>
        </w:tc>
        <w:tc>
          <w:tcPr>
            <w:tcW w:w="254" w:type="pct"/>
            <w:tcBorders>
              <w:top w:val="nil"/>
              <w:left w:val="nil"/>
              <w:bottom w:val="single" w:sz="4" w:space="0" w:color="auto"/>
              <w:right w:val="single" w:sz="4" w:space="0" w:color="auto"/>
            </w:tcBorders>
            <w:shd w:val="clear" w:color="auto" w:fill="auto"/>
            <w:noWrap/>
            <w:vAlign w:val="center"/>
            <w:hideMark/>
          </w:tcPr>
          <w:p w:rsidR="00767C32" w:rsidRPr="00767C32" w:rsidRDefault="00767C32" w:rsidP="00767C32">
            <w:pPr>
              <w:spacing w:after="0" w:line="240" w:lineRule="auto"/>
              <w:jc w:val="center"/>
              <w:rPr>
                <w:rFonts w:ascii="Calibri" w:eastAsia="Times New Roman" w:hAnsi="Calibri" w:cs="Times New Roman"/>
                <w:color w:val="000000"/>
                <w:sz w:val="16"/>
                <w:szCs w:val="16"/>
                <w:lang w:eastAsia="en-GB"/>
              </w:rPr>
            </w:pPr>
            <w:r w:rsidRPr="00767C32">
              <w:rPr>
                <w:rFonts w:ascii="Calibri" w:eastAsia="Times New Roman" w:hAnsi="Calibri" w:cs="Times New Roman"/>
                <w:color w:val="000000"/>
                <w:sz w:val="16"/>
                <w:szCs w:val="16"/>
                <w:lang w:eastAsia="en-GB"/>
              </w:rPr>
              <w:t>415</w:t>
            </w:r>
          </w:p>
        </w:tc>
      </w:tr>
      <w:tr w:rsidR="0085747D" w:rsidRPr="00767C32" w:rsidTr="0085747D">
        <w:trPr>
          <w:trHeight w:val="300"/>
        </w:trPr>
        <w:tc>
          <w:tcPr>
            <w:tcW w:w="513" w:type="pct"/>
            <w:tcBorders>
              <w:top w:val="nil"/>
              <w:left w:val="single" w:sz="4" w:space="0" w:color="auto"/>
              <w:bottom w:val="single" w:sz="4" w:space="0" w:color="auto"/>
              <w:right w:val="single" w:sz="4" w:space="0" w:color="auto"/>
            </w:tcBorders>
            <w:shd w:val="clear" w:color="auto" w:fill="auto"/>
            <w:noWrap/>
            <w:vAlign w:val="center"/>
            <w:hideMark/>
          </w:tcPr>
          <w:p w:rsidR="00767C32" w:rsidRPr="00767C32" w:rsidRDefault="00767C32" w:rsidP="00767C32">
            <w:pPr>
              <w:spacing w:after="0" w:line="240" w:lineRule="auto"/>
              <w:jc w:val="center"/>
              <w:rPr>
                <w:rFonts w:ascii="Calibri" w:eastAsia="Times New Roman" w:hAnsi="Calibri" w:cs="Times New Roman"/>
                <w:color w:val="000000"/>
                <w:sz w:val="16"/>
                <w:szCs w:val="16"/>
                <w:lang w:eastAsia="en-GB"/>
              </w:rPr>
            </w:pPr>
            <w:r w:rsidRPr="00767C32">
              <w:rPr>
                <w:rFonts w:ascii="Calibri" w:eastAsia="Times New Roman" w:hAnsi="Calibri" w:cs="Times New Roman"/>
                <w:color w:val="000000"/>
                <w:sz w:val="16"/>
                <w:szCs w:val="16"/>
                <w:lang w:eastAsia="en-GB"/>
              </w:rPr>
              <w:t>Cancer diagnosed at early stage (no statistical significance calculated for this indicator)</w:t>
            </w:r>
          </w:p>
        </w:tc>
        <w:tc>
          <w:tcPr>
            <w:tcW w:w="256" w:type="pct"/>
            <w:tcBorders>
              <w:top w:val="nil"/>
              <w:left w:val="nil"/>
              <w:bottom w:val="single" w:sz="4" w:space="0" w:color="auto"/>
              <w:right w:val="single" w:sz="4" w:space="0" w:color="auto"/>
            </w:tcBorders>
            <w:shd w:val="clear" w:color="auto" w:fill="auto"/>
            <w:noWrap/>
            <w:vAlign w:val="center"/>
            <w:hideMark/>
          </w:tcPr>
          <w:p w:rsidR="00767C32" w:rsidRPr="00767C32" w:rsidRDefault="00767C32" w:rsidP="00767C32">
            <w:pPr>
              <w:spacing w:after="0" w:line="240" w:lineRule="auto"/>
              <w:jc w:val="center"/>
              <w:rPr>
                <w:rFonts w:ascii="Calibri" w:eastAsia="Times New Roman" w:hAnsi="Calibri" w:cs="Times New Roman"/>
                <w:color w:val="000000"/>
                <w:sz w:val="16"/>
                <w:szCs w:val="16"/>
                <w:lang w:eastAsia="en-GB"/>
              </w:rPr>
            </w:pPr>
            <w:r w:rsidRPr="00767C32">
              <w:rPr>
                <w:rFonts w:ascii="Calibri" w:eastAsia="Times New Roman" w:hAnsi="Calibri" w:cs="Times New Roman"/>
                <w:color w:val="000000"/>
                <w:sz w:val="16"/>
                <w:szCs w:val="16"/>
                <w:lang w:eastAsia="en-GB"/>
              </w:rPr>
              <w:t>2017</w:t>
            </w:r>
          </w:p>
        </w:tc>
        <w:tc>
          <w:tcPr>
            <w:tcW w:w="257" w:type="pct"/>
            <w:tcBorders>
              <w:top w:val="nil"/>
              <w:left w:val="nil"/>
              <w:bottom w:val="single" w:sz="4" w:space="0" w:color="auto"/>
              <w:right w:val="single" w:sz="4" w:space="0" w:color="auto"/>
            </w:tcBorders>
            <w:shd w:val="clear" w:color="auto" w:fill="auto"/>
            <w:noWrap/>
            <w:vAlign w:val="center"/>
            <w:hideMark/>
          </w:tcPr>
          <w:p w:rsidR="00767C32" w:rsidRPr="00767C32" w:rsidRDefault="00767C32" w:rsidP="00767C32">
            <w:pPr>
              <w:spacing w:after="0" w:line="240" w:lineRule="auto"/>
              <w:jc w:val="center"/>
              <w:rPr>
                <w:rFonts w:ascii="Calibri" w:eastAsia="Times New Roman" w:hAnsi="Calibri" w:cs="Times New Roman"/>
                <w:color w:val="000000"/>
                <w:sz w:val="16"/>
                <w:szCs w:val="16"/>
                <w:lang w:eastAsia="en-GB"/>
              </w:rPr>
            </w:pPr>
            <w:r w:rsidRPr="00767C32">
              <w:rPr>
                <w:rFonts w:ascii="Calibri" w:eastAsia="Times New Roman" w:hAnsi="Calibri" w:cs="Times New Roman"/>
                <w:color w:val="000000"/>
                <w:sz w:val="16"/>
                <w:szCs w:val="16"/>
                <w:lang w:eastAsia="en-GB"/>
              </w:rPr>
              <w:t>1,462</w:t>
            </w:r>
          </w:p>
        </w:tc>
        <w:tc>
          <w:tcPr>
            <w:tcW w:w="256" w:type="pct"/>
            <w:tcBorders>
              <w:top w:val="nil"/>
              <w:left w:val="nil"/>
              <w:bottom w:val="single" w:sz="4" w:space="0" w:color="auto"/>
              <w:right w:val="single" w:sz="4" w:space="0" w:color="auto"/>
            </w:tcBorders>
            <w:shd w:val="clear" w:color="auto" w:fill="auto"/>
            <w:noWrap/>
            <w:vAlign w:val="center"/>
            <w:hideMark/>
          </w:tcPr>
          <w:p w:rsidR="00767C32" w:rsidRPr="00767C32" w:rsidRDefault="00767C32" w:rsidP="00767C32">
            <w:pPr>
              <w:spacing w:after="0" w:line="240" w:lineRule="auto"/>
              <w:jc w:val="center"/>
              <w:rPr>
                <w:rFonts w:ascii="Calibri" w:eastAsia="Times New Roman" w:hAnsi="Calibri" w:cs="Times New Roman"/>
                <w:color w:val="000000"/>
                <w:sz w:val="16"/>
                <w:szCs w:val="16"/>
                <w:lang w:eastAsia="en-GB"/>
              </w:rPr>
            </w:pPr>
            <w:r w:rsidRPr="00767C32">
              <w:rPr>
                <w:rFonts w:ascii="Calibri" w:eastAsia="Times New Roman" w:hAnsi="Calibri" w:cs="Times New Roman"/>
                <w:color w:val="000000"/>
                <w:sz w:val="16"/>
                <w:szCs w:val="16"/>
                <w:lang w:eastAsia="en-GB"/>
              </w:rPr>
              <w:t>56.4%</w:t>
            </w:r>
          </w:p>
        </w:tc>
        <w:tc>
          <w:tcPr>
            <w:tcW w:w="257" w:type="pct"/>
            <w:tcBorders>
              <w:top w:val="nil"/>
              <w:left w:val="nil"/>
              <w:bottom w:val="single" w:sz="4" w:space="0" w:color="auto"/>
              <w:right w:val="single" w:sz="4" w:space="0" w:color="auto"/>
            </w:tcBorders>
            <w:shd w:val="clear" w:color="auto" w:fill="auto"/>
            <w:noWrap/>
            <w:vAlign w:val="center"/>
            <w:hideMark/>
          </w:tcPr>
          <w:p w:rsidR="00767C32" w:rsidRPr="00767C32" w:rsidRDefault="00767C32" w:rsidP="00767C32">
            <w:pPr>
              <w:spacing w:after="0" w:line="240" w:lineRule="auto"/>
              <w:jc w:val="center"/>
              <w:rPr>
                <w:rFonts w:ascii="Calibri" w:eastAsia="Times New Roman" w:hAnsi="Calibri" w:cs="Times New Roman"/>
                <w:color w:val="000000"/>
                <w:sz w:val="16"/>
                <w:szCs w:val="16"/>
                <w:lang w:eastAsia="en-GB"/>
              </w:rPr>
            </w:pPr>
            <w:r w:rsidRPr="00767C32">
              <w:rPr>
                <w:rFonts w:ascii="Calibri" w:eastAsia="Times New Roman" w:hAnsi="Calibri" w:cs="Times New Roman"/>
                <w:color w:val="000000"/>
                <w:sz w:val="16"/>
                <w:szCs w:val="16"/>
                <w:lang w:eastAsia="en-GB"/>
              </w:rPr>
              <w:t>361</w:t>
            </w:r>
          </w:p>
        </w:tc>
        <w:tc>
          <w:tcPr>
            <w:tcW w:w="256" w:type="pct"/>
            <w:tcBorders>
              <w:top w:val="nil"/>
              <w:left w:val="nil"/>
              <w:bottom w:val="single" w:sz="4" w:space="0" w:color="auto"/>
              <w:right w:val="single" w:sz="4" w:space="0" w:color="auto"/>
            </w:tcBorders>
            <w:shd w:val="clear" w:color="auto" w:fill="auto"/>
            <w:noWrap/>
            <w:vAlign w:val="center"/>
            <w:hideMark/>
          </w:tcPr>
          <w:p w:rsidR="00767C32" w:rsidRPr="00767C32" w:rsidRDefault="00767C32" w:rsidP="00767C32">
            <w:pPr>
              <w:spacing w:after="0" w:line="240" w:lineRule="auto"/>
              <w:jc w:val="center"/>
              <w:rPr>
                <w:rFonts w:ascii="Calibri" w:eastAsia="Times New Roman" w:hAnsi="Calibri" w:cs="Times New Roman"/>
                <w:color w:val="000000"/>
                <w:sz w:val="16"/>
                <w:szCs w:val="16"/>
                <w:lang w:eastAsia="en-GB"/>
              </w:rPr>
            </w:pPr>
            <w:r w:rsidRPr="00767C32">
              <w:rPr>
                <w:rFonts w:ascii="Calibri" w:eastAsia="Times New Roman" w:hAnsi="Calibri" w:cs="Times New Roman"/>
                <w:color w:val="000000"/>
                <w:sz w:val="16"/>
                <w:szCs w:val="16"/>
                <w:lang w:eastAsia="en-GB"/>
              </w:rPr>
              <w:t>54.6%</w:t>
            </w:r>
          </w:p>
        </w:tc>
        <w:tc>
          <w:tcPr>
            <w:tcW w:w="257" w:type="pct"/>
            <w:tcBorders>
              <w:top w:val="nil"/>
              <w:left w:val="nil"/>
              <w:bottom w:val="single" w:sz="4" w:space="0" w:color="auto"/>
              <w:right w:val="single" w:sz="4" w:space="0" w:color="auto"/>
            </w:tcBorders>
            <w:shd w:val="clear" w:color="auto" w:fill="auto"/>
            <w:noWrap/>
            <w:vAlign w:val="center"/>
            <w:hideMark/>
          </w:tcPr>
          <w:p w:rsidR="00767C32" w:rsidRPr="00767C32" w:rsidRDefault="00767C32" w:rsidP="00767C32">
            <w:pPr>
              <w:spacing w:after="0" w:line="240" w:lineRule="auto"/>
              <w:jc w:val="center"/>
              <w:rPr>
                <w:rFonts w:ascii="Calibri" w:eastAsia="Times New Roman" w:hAnsi="Calibri" w:cs="Times New Roman"/>
                <w:color w:val="000000"/>
                <w:sz w:val="16"/>
                <w:szCs w:val="16"/>
                <w:lang w:eastAsia="en-GB"/>
              </w:rPr>
            </w:pPr>
            <w:r w:rsidRPr="00767C32">
              <w:rPr>
                <w:rFonts w:ascii="Calibri" w:eastAsia="Times New Roman" w:hAnsi="Calibri" w:cs="Times New Roman"/>
                <w:color w:val="000000"/>
                <w:sz w:val="16"/>
                <w:szCs w:val="16"/>
                <w:lang w:eastAsia="en-GB"/>
              </w:rPr>
              <w:t>226</w:t>
            </w:r>
          </w:p>
        </w:tc>
        <w:tc>
          <w:tcPr>
            <w:tcW w:w="256" w:type="pct"/>
            <w:tcBorders>
              <w:top w:val="nil"/>
              <w:left w:val="nil"/>
              <w:bottom w:val="single" w:sz="4" w:space="0" w:color="auto"/>
              <w:right w:val="single" w:sz="4" w:space="0" w:color="auto"/>
            </w:tcBorders>
            <w:shd w:val="clear" w:color="auto" w:fill="auto"/>
            <w:noWrap/>
            <w:vAlign w:val="center"/>
            <w:hideMark/>
          </w:tcPr>
          <w:p w:rsidR="00767C32" w:rsidRPr="00767C32" w:rsidRDefault="00767C32" w:rsidP="00767C32">
            <w:pPr>
              <w:spacing w:after="0" w:line="240" w:lineRule="auto"/>
              <w:jc w:val="center"/>
              <w:rPr>
                <w:rFonts w:ascii="Calibri" w:eastAsia="Times New Roman" w:hAnsi="Calibri" w:cs="Times New Roman"/>
                <w:color w:val="000000"/>
                <w:sz w:val="16"/>
                <w:szCs w:val="16"/>
                <w:lang w:eastAsia="en-GB"/>
              </w:rPr>
            </w:pPr>
            <w:r w:rsidRPr="00767C32">
              <w:rPr>
                <w:rFonts w:ascii="Calibri" w:eastAsia="Times New Roman" w:hAnsi="Calibri" w:cs="Times New Roman"/>
                <w:color w:val="000000"/>
                <w:sz w:val="16"/>
                <w:szCs w:val="16"/>
                <w:lang w:eastAsia="en-GB"/>
              </w:rPr>
              <w:t>59.3%</w:t>
            </w:r>
          </w:p>
        </w:tc>
        <w:tc>
          <w:tcPr>
            <w:tcW w:w="257" w:type="pct"/>
            <w:tcBorders>
              <w:top w:val="nil"/>
              <w:left w:val="nil"/>
              <w:bottom w:val="single" w:sz="4" w:space="0" w:color="auto"/>
              <w:right w:val="single" w:sz="4" w:space="0" w:color="auto"/>
            </w:tcBorders>
            <w:shd w:val="clear" w:color="auto" w:fill="auto"/>
            <w:noWrap/>
            <w:vAlign w:val="center"/>
            <w:hideMark/>
          </w:tcPr>
          <w:p w:rsidR="00767C32" w:rsidRPr="00767C32" w:rsidRDefault="00767C32" w:rsidP="00767C32">
            <w:pPr>
              <w:spacing w:after="0" w:line="240" w:lineRule="auto"/>
              <w:jc w:val="center"/>
              <w:rPr>
                <w:rFonts w:ascii="Calibri" w:eastAsia="Times New Roman" w:hAnsi="Calibri" w:cs="Times New Roman"/>
                <w:color w:val="000000"/>
                <w:sz w:val="16"/>
                <w:szCs w:val="16"/>
                <w:lang w:eastAsia="en-GB"/>
              </w:rPr>
            </w:pPr>
            <w:r w:rsidRPr="00767C32">
              <w:rPr>
                <w:rFonts w:ascii="Calibri" w:eastAsia="Times New Roman" w:hAnsi="Calibri" w:cs="Times New Roman"/>
                <w:color w:val="000000"/>
                <w:sz w:val="16"/>
                <w:szCs w:val="16"/>
                <w:lang w:eastAsia="en-GB"/>
              </w:rPr>
              <w:t>192</w:t>
            </w:r>
          </w:p>
        </w:tc>
        <w:tc>
          <w:tcPr>
            <w:tcW w:w="299" w:type="pct"/>
            <w:tcBorders>
              <w:top w:val="nil"/>
              <w:left w:val="nil"/>
              <w:bottom w:val="single" w:sz="4" w:space="0" w:color="auto"/>
              <w:right w:val="single" w:sz="4" w:space="0" w:color="auto"/>
            </w:tcBorders>
            <w:shd w:val="clear" w:color="auto" w:fill="auto"/>
            <w:noWrap/>
            <w:vAlign w:val="center"/>
            <w:hideMark/>
          </w:tcPr>
          <w:p w:rsidR="00767C32" w:rsidRPr="00767C32" w:rsidRDefault="00767C32" w:rsidP="00767C32">
            <w:pPr>
              <w:spacing w:after="0" w:line="240" w:lineRule="auto"/>
              <w:jc w:val="center"/>
              <w:rPr>
                <w:rFonts w:ascii="Calibri" w:eastAsia="Times New Roman" w:hAnsi="Calibri" w:cs="Times New Roman"/>
                <w:color w:val="000000"/>
                <w:sz w:val="16"/>
                <w:szCs w:val="16"/>
                <w:lang w:eastAsia="en-GB"/>
              </w:rPr>
            </w:pPr>
            <w:r w:rsidRPr="00767C32">
              <w:rPr>
                <w:rFonts w:ascii="Calibri" w:eastAsia="Times New Roman" w:hAnsi="Calibri" w:cs="Times New Roman"/>
                <w:color w:val="000000"/>
                <w:sz w:val="16"/>
                <w:szCs w:val="16"/>
                <w:lang w:eastAsia="en-GB"/>
              </w:rPr>
              <w:t>54.7%</w:t>
            </w:r>
          </w:p>
        </w:tc>
        <w:tc>
          <w:tcPr>
            <w:tcW w:w="256" w:type="pct"/>
            <w:tcBorders>
              <w:top w:val="nil"/>
              <w:left w:val="nil"/>
              <w:bottom w:val="single" w:sz="4" w:space="0" w:color="auto"/>
              <w:right w:val="single" w:sz="4" w:space="0" w:color="auto"/>
            </w:tcBorders>
            <w:shd w:val="clear" w:color="auto" w:fill="auto"/>
            <w:noWrap/>
            <w:vAlign w:val="center"/>
            <w:hideMark/>
          </w:tcPr>
          <w:p w:rsidR="00767C32" w:rsidRPr="00767C32" w:rsidRDefault="00767C32" w:rsidP="00767C32">
            <w:pPr>
              <w:spacing w:after="0" w:line="240" w:lineRule="auto"/>
              <w:jc w:val="center"/>
              <w:rPr>
                <w:rFonts w:ascii="Calibri" w:eastAsia="Times New Roman" w:hAnsi="Calibri" w:cs="Times New Roman"/>
                <w:color w:val="000000"/>
                <w:sz w:val="16"/>
                <w:szCs w:val="16"/>
                <w:lang w:eastAsia="en-GB"/>
              </w:rPr>
            </w:pPr>
            <w:r w:rsidRPr="00767C32">
              <w:rPr>
                <w:rFonts w:ascii="Calibri" w:eastAsia="Times New Roman" w:hAnsi="Calibri" w:cs="Times New Roman"/>
                <w:color w:val="000000"/>
                <w:sz w:val="16"/>
                <w:szCs w:val="16"/>
                <w:lang w:eastAsia="en-GB"/>
              </w:rPr>
              <w:t>249</w:t>
            </w:r>
          </w:p>
        </w:tc>
        <w:tc>
          <w:tcPr>
            <w:tcW w:w="257" w:type="pct"/>
            <w:tcBorders>
              <w:top w:val="nil"/>
              <w:left w:val="nil"/>
              <w:bottom w:val="single" w:sz="4" w:space="0" w:color="auto"/>
              <w:right w:val="single" w:sz="4" w:space="0" w:color="auto"/>
            </w:tcBorders>
            <w:shd w:val="clear" w:color="auto" w:fill="auto"/>
            <w:noWrap/>
            <w:vAlign w:val="center"/>
            <w:hideMark/>
          </w:tcPr>
          <w:p w:rsidR="00767C32" w:rsidRPr="00767C32" w:rsidRDefault="00767C32" w:rsidP="00767C32">
            <w:pPr>
              <w:spacing w:after="0" w:line="240" w:lineRule="auto"/>
              <w:jc w:val="center"/>
              <w:rPr>
                <w:rFonts w:ascii="Calibri" w:eastAsia="Times New Roman" w:hAnsi="Calibri" w:cs="Times New Roman"/>
                <w:color w:val="000000"/>
                <w:sz w:val="16"/>
                <w:szCs w:val="16"/>
                <w:lang w:eastAsia="en-GB"/>
              </w:rPr>
            </w:pPr>
            <w:r w:rsidRPr="00767C32">
              <w:rPr>
                <w:rFonts w:ascii="Calibri" w:eastAsia="Times New Roman" w:hAnsi="Calibri" w:cs="Times New Roman"/>
                <w:color w:val="000000"/>
                <w:sz w:val="16"/>
                <w:szCs w:val="16"/>
                <w:lang w:eastAsia="en-GB"/>
              </w:rPr>
              <w:t>52.1%</w:t>
            </w:r>
          </w:p>
        </w:tc>
        <w:tc>
          <w:tcPr>
            <w:tcW w:w="304" w:type="pct"/>
            <w:tcBorders>
              <w:top w:val="nil"/>
              <w:left w:val="nil"/>
              <w:bottom w:val="single" w:sz="4" w:space="0" w:color="auto"/>
              <w:right w:val="single" w:sz="4" w:space="0" w:color="auto"/>
            </w:tcBorders>
            <w:shd w:val="clear" w:color="auto" w:fill="auto"/>
            <w:noWrap/>
            <w:vAlign w:val="center"/>
            <w:hideMark/>
          </w:tcPr>
          <w:p w:rsidR="00767C32" w:rsidRPr="00767C32" w:rsidRDefault="00767C32" w:rsidP="00767C32">
            <w:pPr>
              <w:spacing w:after="0" w:line="240" w:lineRule="auto"/>
              <w:jc w:val="center"/>
              <w:rPr>
                <w:rFonts w:ascii="Calibri" w:eastAsia="Times New Roman" w:hAnsi="Calibri" w:cs="Times New Roman"/>
                <w:color w:val="000000"/>
                <w:sz w:val="16"/>
                <w:szCs w:val="16"/>
                <w:lang w:eastAsia="en-GB"/>
              </w:rPr>
            </w:pPr>
            <w:r w:rsidRPr="00767C32">
              <w:rPr>
                <w:rFonts w:ascii="Calibri" w:eastAsia="Times New Roman" w:hAnsi="Calibri" w:cs="Times New Roman"/>
                <w:color w:val="000000"/>
                <w:sz w:val="16"/>
                <w:szCs w:val="16"/>
                <w:lang w:eastAsia="en-GB"/>
              </w:rPr>
              <w:t>404</w:t>
            </w:r>
          </w:p>
        </w:tc>
        <w:tc>
          <w:tcPr>
            <w:tcW w:w="258" w:type="pct"/>
            <w:tcBorders>
              <w:top w:val="nil"/>
              <w:left w:val="nil"/>
              <w:bottom w:val="single" w:sz="4" w:space="0" w:color="auto"/>
              <w:right w:val="single" w:sz="4" w:space="0" w:color="auto"/>
            </w:tcBorders>
            <w:shd w:val="clear" w:color="auto" w:fill="auto"/>
            <w:noWrap/>
            <w:vAlign w:val="center"/>
            <w:hideMark/>
          </w:tcPr>
          <w:p w:rsidR="00767C32" w:rsidRPr="00767C32" w:rsidRDefault="00767C32" w:rsidP="00767C32">
            <w:pPr>
              <w:spacing w:after="0" w:line="240" w:lineRule="auto"/>
              <w:jc w:val="center"/>
              <w:rPr>
                <w:rFonts w:ascii="Calibri" w:eastAsia="Times New Roman" w:hAnsi="Calibri" w:cs="Times New Roman"/>
                <w:color w:val="000000"/>
                <w:sz w:val="16"/>
                <w:szCs w:val="16"/>
                <w:lang w:eastAsia="en-GB"/>
              </w:rPr>
            </w:pPr>
            <w:r w:rsidRPr="00767C32">
              <w:rPr>
                <w:rFonts w:ascii="Calibri" w:eastAsia="Times New Roman" w:hAnsi="Calibri" w:cs="Times New Roman"/>
                <w:color w:val="000000"/>
                <w:sz w:val="16"/>
                <w:szCs w:val="16"/>
                <w:lang w:eastAsia="en-GB"/>
              </w:rPr>
              <w:t>57.6%</w:t>
            </w:r>
          </w:p>
        </w:tc>
        <w:tc>
          <w:tcPr>
            <w:tcW w:w="251" w:type="pct"/>
            <w:tcBorders>
              <w:top w:val="nil"/>
              <w:left w:val="nil"/>
              <w:bottom w:val="single" w:sz="4" w:space="0" w:color="auto"/>
              <w:right w:val="single" w:sz="4" w:space="0" w:color="auto"/>
            </w:tcBorders>
            <w:shd w:val="clear" w:color="auto" w:fill="auto"/>
            <w:noWrap/>
            <w:vAlign w:val="center"/>
            <w:hideMark/>
          </w:tcPr>
          <w:p w:rsidR="00767C32" w:rsidRPr="00767C32" w:rsidRDefault="00767C32" w:rsidP="00767C32">
            <w:pPr>
              <w:spacing w:after="0" w:line="240" w:lineRule="auto"/>
              <w:jc w:val="center"/>
              <w:rPr>
                <w:rFonts w:ascii="Calibri" w:eastAsia="Times New Roman" w:hAnsi="Calibri" w:cs="Times New Roman"/>
                <w:color w:val="000000"/>
                <w:sz w:val="16"/>
                <w:szCs w:val="16"/>
                <w:lang w:eastAsia="en-GB"/>
              </w:rPr>
            </w:pPr>
            <w:r w:rsidRPr="00767C32">
              <w:rPr>
                <w:rFonts w:ascii="Calibri" w:eastAsia="Times New Roman" w:hAnsi="Calibri" w:cs="Times New Roman"/>
                <w:color w:val="000000"/>
                <w:sz w:val="16"/>
                <w:szCs w:val="16"/>
                <w:lang w:eastAsia="en-GB"/>
              </w:rPr>
              <w:t>391</w:t>
            </w:r>
          </w:p>
        </w:tc>
        <w:tc>
          <w:tcPr>
            <w:tcW w:w="256" w:type="pct"/>
            <w:tcBorders>
              <w:top w:val="nil"/>
              <w:left w:val="nil"/>
              <w:bottom w:val="single" w:sz="4" w:space="0" w:color="auto"/>
              <w:right w:val="single" w:sz="4" w:space="0" w:color="auto"/>
            </w:tcBorders>
            <w:shd w:val="clear" w:color="auto" w:fill="auto"/>
            <w:noWrap/>
            <w:vAlign w:val="center"/>
            <w:hideMark/>
          </w:tcPr>
          <w:p w:rsidR="00767C32" w:rsidRPr="00767C32" w:rsidRDefault="00767C32" w:rsidP="00767C32">
            <w:pPr>
              <w:spacing w:after="0" w:line="240" w:lineRule="auto"/>
              <w:jc w:val="center"/>
              <w:rPr>
                <w:rFonts w:ascii="Calibri" w:eastAsia="Times New Roman" w:hAnsi="Calibri" w:cs="Times New Roman"/>
                <w:color w:val="000000"/>
                <w:sz w:val="16"/>
                <w:szCs w:val="16"/>
                <w:lang w:eastAsia="en-GB"/>
              </w:rPr>
            </w:pPr>
            <w:r w:rsidRPr="00767C32">
              <w:rPr>
                <w:rFonts w:ascii="Calibri" w:eastAsia="Times New Roman" w:hAnsi="Calibri" w:cs="Times New Roman"/>
                <w:color w:val="000000"/>
                <w:sz w:val="16"/>
                <w:szCs w:val="16"/>
                <w:lang w:eastAsia="en-GB"/>
              </w:rPr>
              <w:t>57.2%</w:t>
            </w:r>
          </w:p>
        </w:tc>
        <w:tc>
          <w:tcPr>
            <w:tcW w:w="300" w:type="pct"/>
            <w:tcBorders>
              <w:top w:val="nil"/>
              <w:left w:val="nil"/>
              <w:bottom w:val="single" w:sz="4" w:space="0" w:color="auto"/>
              <w:right w:val="single" w:sz="4" w:space="0" w:color="auto"/>
            </w:tcBorders>
            <w:shd w:val="clear" w:color="auto" w:fill="auto"/>
            <w:noWrap/>
            <w:vAlign w:val="center"/>
            <w:hideMark/>
          </w:tcPr>
          <w:p w:rsidR="00767C32" w:rsidRPr="00767C32" w:rsidRDefault="00767C32" w:rsidP="00767C32">
            <w:pPr>
              <w:spacing w:after="0" w:line="240" w:lineRule="auto"/>
              <w:jc w:val="center"/>
              <w:rPr>
                <w:rFonts w:ascii="Calibri" w:eastAsia="Times New Roman" w:hAnsi="Calibri" w:cs="Times New Roman"/>
                <w:color w:val="000000"/>
                <w:sz w:val="16"/>
                <w:szCs w:val="16"/>
                <w:lang w:eastAsia="en-GB"/>
              </w:rPr>
            </w:pPr>
            <w:r w:rsidRPr="00767C32">
              <w:rPr>
                <w:rFonts w:ascii="Calibri" w:eastAsia="Times New Roman" w:hAnsi="Calibri" w:cs="Times New Roman"/>
                <w:color w:val="000000"/>
                <w:sz w:val="16"/>
                <w:szCs w:val="16"/>
                <w:lang w:eastAsia="en-GB"/>
              </w:rPr>
              <w:t>113,808</w:t>
            </w:r>
          </w:p>
        </w:tc>
        <w:tc>
          <w:tcPr>
            <w:tcW w:w="254" w:type="pct"/>
            <w:tcBorders>
              <w:top w:val="nil"/>
              <w:left w:val="nil"/>
              <w:bottom w:val="single" w:sz="4" w:space="0" w:color="auto"/>
              <w:right w:val="single" w:sz="4" w:space="0" w:color="auto"/>
            </w:tcBorders>
            <w:shd w:val="clear" w:color="auto" w:fill="auto"/>
            <w:noWrap/>
            <w:vAlign w:val="center"/>
            <w:hideMark/>
          </w:tcPr>
          <w:p w:rsidR="00767C32" w:rsidRPr="00767C32" w:rsidRDefault="00767C32" w:rsidP="00767C32">
            <w:pPr>
              <w:spacing w:after="0" w:line="240" w:lineRule="auto"/>
              <w:jc w:val="center"/>
              <w:rPr>
                <w:rFonts w:ascii="Calibri" w:eastAsia="Times New Roman" w:hAnsi="Calibri" w:cs="Times New Roman"/>
                <w:color w:val="000000"/>
                <w:sz w:val="16"/>
                <w:szCs w:val="16"/>
                <w:lang w:eastAsia="en-GB"/>
              </w:rPr>
            </w:pPr>
            <w:r w:rsidRPr="00767C32">
              <w:rPr>
                <w:rFonts w:ascii="Calibri" w:eastAsia="Times New Roman" w:hAnsi="Calibri" w:cs="Times New Roman"/>
                <w:color w:val="000000"/>
                <w:sz w:val="16"/>
                <w:szCs w:val="16"/>
                <w:lang w:eastAsia="en-GB"/>
              </w:rPr>
              <w:t>52.2%</w:t>
            </w:r>
          </w:p>
        </w:tc>
      </w:tr>
      <w:tr w:rsidR="0085747D" w:rsidRPr="00767C32" w:rsidTr="0085747D">
        <w:trPr>
          <w:trHeight w:val="300"/>
        </w:trPr>
        <w:tc>
          <w:tcPr>
            <w:tcW w:w="513" w:type="pct"/>
            <w:tcBorders>
              <w:top w:val="nil"/>
              <w:left w:val="single" w:sz="4" w:space="0" w:color="auto"/>
              <w:bottom w:val="single" w:sz="4" w:space="0" w:color="auto"/>
              <w:right w:val="single" w:sz="4" w:space="0" w:color="auto"/>
            </w:tcBorders>
            <w:shd w:val="clear" w:color="auto" w:fill="auto"/>
            <w:noWrap/>
            <w:vAlign w:val="center"/>
            <w:hideMark/>
          </w:tcPr>
          <w:p w:rsidR="00767C32" w:rsidRPr="00767C32" w:rsidRDefault="00767C32" w:rsidP="00767C32">
            <w:pPr>
              <w:spacing w:after="0" w:line="240" w:lineRule="auto"/>
              <w:jc w:val="center"/>
              <w:rPr>
                <w:rFonts w:ascii="Calibri" w:eastAsia="Times New Roman" w:hAnsi="Calibri" w:cs="Times New Roman"/>
                <w:color w:val="000000"/>
                <w:sz w:val="16"/>
                <w:szCs w:val="16"/>
                <w:lang w:eastAsia="en-GB"/>
              </w:rPr>
            </w:pPr>
            <w:r w:rsidRPr="00767C32">
              <w:rPr>
                <w:rFonts w:ascii="Calibri" w:eastAsia="Times New Roman" w:hAnsi="Calibri" w:cs="Times New Roman"/>
                <w:color w:val="000000"/>
                <w:sz w:val="16"/>
                <w:szCs w:val="16"/>
                <w:lang w:eastAsia="en-GB"/>
              </w:rPr>
              <w:t>% reporting a long-term musculoskeletal problem</w:t>
            </w:r>
          </w:p>
        </w:tc>
        <w:tc>
          <w:tcPr>
            <w:tcW w:w="256" w:type="pct"/>
            <w:tcBorders>
              <w:top w:val="nil"/>
              <w:left w:val="nil"/>
              <w:bottom w:val="single" w:sz="4" w:space="0" w:color="auto"/>
              <w:right w:val="single" w:sz="4" w:space="0" w:color="auto"/>
            </w:tcBorders>
            <w:shd w:val="clear" w:color="auto" w:fill="auto"/>
            <w:noWrap/>
            <w:vAlign w:val="center"/>
            <w:hideMark/>
          </w:tcPr>
          <w:p w:rsidR="00767C32" w:rsidRPr="00767C32" w:rsidRDefault="00767C32" w:rsidP="00767C32">
            <w:pPr>
              <w:spacing w:after="0" w:line="240" w:lineRule="auto"/>
              <w:jc w:val="center"/>
              <w:rPr>
                <w:rFonts w:ascii="Calibri" w:eastAsia="Times New Roman" w:hAnsi="Calibri" w:cs="Times New Roman"/>
                <w:color w:val="000000"/>
                <w:sz w:val="16"/>
                <w:szCs w:val="16"/>
                <w:lang w:eastAsia="en-GB"/>
              </w:rPr>
            </w:pPr>
            <w:r w:rsidRPr="00767C32">
              <w:rPr>
                <w:rFonts w:ascii="Calibri" w:eastAsia="Times New Roman" w:hAnsi="Calibri" w:cs="Times New Roman"/>
                <w:color w:val="000000"/>
                <w:sz w:val="16"/>
                <w:szCs w:val="16"/>
                <w:lang w:eastAsia="en-GB"/>
              </w:rPr>
              <w:t>2017-18</w:t>
            </w:r>
          </w:p>
        </w:tc>
        <w:tc>
          <w:tcPr>
            <w:tcW w:w="257" w:type="pct"/>
            <w:tcBorders>
              <w:top w:val="nil"/>
              <w:left w:val="nil"/>
              <w:bottom w:val="single" w:sz="4" w:space="0" w:color="auto"/>
              <w:right w:val="single" w:sz="4" w:space="0" w:color="auto"/>
            </w:tcBorders>
            <w:shd w:val="clear" w:color="000000" w:fill="EBF1DE"/>
            <w:noWrap/>
            <w:vAlign w:val="center"/>
            <w:hideMark/>
          </w:tcPr>
          <w:p w:rsidR="00767C32" w:rsidRPr="00767C32" w:rsidRDefault="00767C32" w:rsidP="00767C32">
            <w:pPr>
              <w:spacing w:after="0" w:line="240" w:lineRule="auto"/>
              <w:jc w:val="center"/>
              <w:rPr>
                <w:rFonts w:ascii="Calibri" w:eastAsia="Times New Roman" w:hAnsi="Calibri" w:cs="Times New Roman"/>
                <w:color w:val="000000"/>
                <w:sz w:val="16"/>
                <w:szCs w:val="16"/>
                <w:lang w:eastAsia="en-GB"/>
              </w:rPr>
            </w:pPr>
            <w:r w:rsidRPr="00767C32">
              <w:rPr>
                <w:rFonts w:ascii="Calibri" w:eastAsia="Times New Roman" w:hAnsi="Calibri" w:cs="Times New Roman"/>
                <w:color w:val="000000"/>
                <w:sz w:val="16"/>
                <w:szCs w:val="16"/>
                <w:lang w:eastAsia="en-GB"/>
              </w:rPr>
              <w:t>-</w:t>
            </w:r>
          </w:p>
        </w:tc>
        <w:tc>
          <w:tcPr>
            <w:tcW w:w="256" w:type="pct"/>
            <w:tcBorders>
              <w:top w:val="nil"/>
              <w:left w:val="nil"/>
              <w:bottom w:val="single" w:sz="4" w:space="0" w:color="auto"/>
              <w:right w:val="single" w:sz="4" w:space="0" w:color="auto"/>
            </w:tcBorders>
            <w:shd w:val="clear" w:color="000000" w:fill="EBF1DE"/>
            <w:noWrap/>
            <w:vAlign w:val="center"/>
            <w:hideMark/>
          </w:tcPr>
          <w:p w:rsidR="00767C32" w:rsidRPr="00767C32" w:rsidRDefault="00767C32" w:rsidP="00767C32">
            <w:pPr>
              <w:spacing w:after="0" w:line="240" w:lineRule="auto"/>
              <w:jc w:val="center"/>
              <w:rPr>
                <w:rFonts w:ascii="Calibri" w:eastAsia="Times New Roman" w:hAnsi="Calibri" w:cs="Times New Roman"/>
                <w:color w:val="000000"/>
                <w:sz w:val="16"/>
                <w:szCs w:val="16"/>
                <w:lang w:eastAsia="en-GB"/>
              </w:rPr>
            </w:pPr>
            <w:r w:rsidRPr="00767C32">
              <w:rPr>
                <w:rFonts w:ascii="Calibri" w:eastAsia="Times New Roman" w:hAnsi="Calibri" w:cs="Times New Roman"/>
                <w:color w:val="000000"/>
                <w:sz w:val="16"/>
                <w:szCs w:val="16"/>
                <w:lang w:eastAsia="en-GB"/>
              </w:rPr>
              <w:t>13.9%</w:t>
            </w:r>
          </w:p>
        </w:tc>
        <w:tc>
          <w:tcPr>
            <w:tcW w:w="257" w:type="pct"/>
            <w:tcBorders>
              <w:top w:val="nil"/>
              <w:left w:val="nil"/>
              <w:bottom w:val="single" w:sz="4" w:space="0" w:color="auto"/>
              <w:right w:val="single" w:sz="4" w:space="0" w:color="auto"/>
            </w:tcBorders>
            <w:shd w:val="clear" w:color="000000" w:fill="FFFF99"/>
            <w:noWrap/>
            <w:vAlign w:val="center"/>
            <w:hideMark/>
          </w:tcPr>
          <w:p w:rsidR="00767C32" w:rsidRPr="00767C32" w:rsidRDefault="00767C32" w:rsidP="00767C32">
            <w:pPr>
              <w:spacing w:after="0" w:line="240" w:lineRule="auto"/>
              <w:jc w:val="center"/>
              <w:rPr>
                <w:rFonts w:ascii="Calibri" w:eastAsia="Times New Roman" w:hAnsi="Calibri" w:cs="Times New Roman"/>
                <w:color w:val="000000"/>
                <w:sz w:val="16"/>
                <w:szCs w:val="16"/>
                <w:lang w:eastAsia="en-GB"/>
              </w:rPr>
            </w:pPr>
            <w:r w:rsidRPr="00767C32">
              <w:rPr>
                <w:rFonts w:ascii="Calibri" w:eastAsia="Times New Roman" w:hAnsi="Calibri" w:cs="Times New Roman"/>
                <w:color w:val="000000"/>
                <w:sz w:val="16"/>
                <w:szCs w:val="16"/>
                <w:lang w:eastAsia="en-GB"/>
              </w:rPr>
              <w:t>-</w:t>
            </w:r>
          </w:p>
        </w:tc>
        <w:tc>
          <w:tcPr>
            <w:tcW w:w="256" w:type="pct"/>
            <w:tcBorders>
              <w:top w:val="nil"/>
              <w:left w:val="nil"/>
              <w:bottom w:val="single" w:sz="4" w:space="0" w:color="auto"/>
              <w:right w:val="single" w:sz="4" w:space="0" w:color="auto"/>
            </w:tcBorders>
            <w:shd w:val="clear" w:color="000000" w:fill="FFFF99"/>
            <w:noWrap/>
            <w:vAlign w:val="center"/>
            <w:hideMark/>
          </w:tcPr>
          <w:p w:rsidR="00767C32" w:rsidRPr="00767C32" w:rsidRDefault="00767C32" w:rsidP="00767C32">
            <w:pPr>
              <w:spacing w:after="0" w:line="240" w:lineRule="auto"/>
              <w:jc w:val="center"/>
              <w:rPr>
                <w:rFonts w:ascii="Calibri" w:eastAsia="Times New Roman" w:hAnsi="Calibri" w:cs="Times New Roman"/>
                <w:color w:val="000000"/>
                <w:sz w:val="16"/>
                <w:szCs w:val="16"/>
                <w:lang w:eastAsia="en-GB"/>
              </w:rPr>
            </w:pPr>
            <w:r w:rsidRPr="00767C32">
              <w:rPr>
                <w:rFonts w:ascii="Calibri" w:eastAsia="Times New Roman" w:hAnsi="Calibri" w:cs="Times New Roman"/>
                <w:color w:val="000000"/>
                <w:sz w:val="16"/>
                <w:szCs w:val="16"/>
                <w:lang w:eastAsia="en-GB"/>
              </w:rPr>
              <w:t>16.3%</w:t>
            </w:r>
          </w:p>
        </w:tc>
        <w:tc>
          <w:tcPr>
            <w:tcW w:w="257" w:type="pct"/>
            <w:tcBorders>
              <w:top w:val="nil"/>
              <w:left w:val="nil"/>
              <w:bottom w:val="single" w:sz="4" w:space="0" w:color="auto"/>
              <w:right w:val="single" w:sz="4" w:space="0" w:color="auto"/>
            </w:tcBorders>
            <w:shd w:val="clear" w:color="000000" w:fill="EBF1DE"/>
            <w:noWrap/>
            <w:vAlign w:val="center"/>
            <w:hideMark/>
          </w:tcPr>
          <w:p w:rsidR="00767C32" w:rsidRPr="00767C32" w:rsidRDefault="00767C32" w:rsidP="00767C32">
            <w:pPr>
              <w:spacing w:after="0" w:line="240" w:lineRule="auto"/>
              <w:jc w:val="center"/>
              <w:rPr>
                <w:rFonts w:ascii="Calibri" w:eastAsia="Times New Roman" w:hAnsi="Calibri" w:cs="Times New Roman"/>
                <w:color w:val="000000"/>
                <w:sz w:val="16"/>
                <w:szCs w:val="16"/>
                <w:lang w:eastAsia="en-GB"/>
              </w:rPr>
            </w:pPr>
            <w:r w:rsidRPr="00767C32">
              <w:rPr>
                <w:rFonts w:ascii="Calibri" w:eastAsia="Times New Roman" w:hAnsi="Calibri" w:cs="Times New Roman"/>
                <w:color w:val="000000"/>
                <w:sz w:val="16"/>
                <w:szCs w:val="16"/>
                <w:lang w:eastAsia="en-GB"/>
              </w:rPr>
              <w:t>-</w:t>
            </w:r>
          </w:p>
        </w:tc>
        <w:tc>
          <w:tcPr>
            <w:tcW w:w="256" w:type="pct"/>
            <w:tcBorders>
              <w:top w:val="nil"/>
              <w:left w:val="nil"/>
              <w:bottom w:val="single" w:sz="4" w:space="0" w:color="auto"/>
              <w:right w:val="single" w:sz="4" w:space="0" w:color="auto"/>
            </w:tcBorders>
            <w:shd w:val="clear" w:color="000000" w:fill="EBF1DE"/>
            <w:noWrap/>
            <w:vAlign w:val="center"/>
            <w:hideMark/>
          </w:tcPr>
          <w:p w:rsidR="00767C32" w:rsidRPr="00767C32" w:rsidRDefault="00767C32" w:rsidP="00767C32">
            <w:pPr>
              <w:spacing w:after="0" w:line="240" w:lineRule="auto"/>
              <w:jc w:val="center"/>
              <w:rPr>
                <w:rFonts w:ascii="Calibri" w:eastAsia="Times New Roman" w:hAnsi="Calibri" w:cs="Times New Roman"/>
                <w:color w:val="000000"/>
                <w:sz w:val="16"/>
                <w:szCs w:val="16"/>
                <w:lang w:eastAsia="en-GB"/>
              </w:rPr>
            </w:pPr>
            <w:r w:rsidRPr="00767C32">
              <w:rPr>
                <w:rFonts w:ascii="Calibri" w:eastAsia="Times New Roman" w:hAnsi="Calibri" w:cs="Times New Roman"/>
                <w:color w:val="000000"/>
                <w:sz w:val="16"/>
                <w:szCs w:val="16"/>
                <w:lang w:eastAsia="en-GB"/>
              </w:rPr>
              <w:t>8.8%</w:t>
            </w:r>
          </w:p>
        </w:tc>
        <w:tc>
          <w:tcPr>
            <w:tcW w:w="257" w:type="pct"/>
            <w:tcBorders>
              <w:top w:val="nil"/>
              <w:left w:val="nil"/>
              <w:bottom w:val="single" w:sz="4" w:space="0" w:color="auto"/>
              <w:right w:val="single" w:sz="4" w:space="0" w:color="auto"/>
            </w:tcBorders>
            <w:shd w:val="clear" w:color="000000" w:fill="FFFF99"/>
            <w:noWrap/>
            <w:vAlign w:val="center"/>
            <w:hideMark/>
          </w:tcPr>
          <w:p w:rsidR="00767C32" w:rsidRPr="00767C32" w:rsidRDefault="00767C32" w:rsidP="00767C32">
            <w:pPr>
              <w:spacing w:after="0" w:line="240" w:lineRule="auto"/>
              <w:jc w:val="center"/>
              <w:rPr>
                <w:rFonts w:ascii="Calibri" w:eastAsia="Times New Roman" w:hAnsi="Calibri" w:cs="Times New Roman"/>
                <w:color w:val="000000"/>
                <w:sz w:val="16"/>
                <w:szCs w:val="16"/>
                <w:lang w:eastAsia="en-GB"/>
              </w:rPr>
            </w:pPr>
            <w:r w:rsidRPr="00767C32">
              <w:rPr>
                <w:rFonts w:ascii="Calibri" w:eastAsia="Times New Roman" w:hAnsi="Calibri" w:cs="Times New Roman"/>
                <w:color w:val="000000"/>
                <w:sz w:val="16"/>
                <w:szCs w:val="16"/>
                <w:lang w:eastAsia="en-GB"/>
              </w:rPr>
              <w:t>-</w:t>
            </w:r>
          </w:p>
        </w:tc>
        <w:tc>
          <w:tcPr>
            <w:tcW w:w="299" w:type="pct"/>
            <w:tcBorders>
              <w:top w:val="nil"/>
              <w:left w:val="nil"/>
              <w:bottom w:val="single" w:sz="4" w:space="0" w:color="auto"/>
              <w:right w:val="single" w:sz="4" w:space="0" w:color="auto"/>
            </w:tcBorders>
            <w:shd w:val="clear" w:color="000000" w:fill="FFFF99"/>
            <w:noWrap/>
            <w:vAlign w:val="center"/>
            <w:hideMark/>
          </w:tcPr>
          <w:p w:rsidR="00767C32" w:rsidRPr="00767C32" w:rsidRDefault="00767C32" w:rsidP="00767C32">
            <w:pPr>
              <w:spacing w:after="0" w:line="240" w:lineRule="auto"/>
              <w:jc w:val="center"/>
              <w:rPr>
                <w:rFonts w:ascii="Calibri" w:eastAsia="Times New Roman" w:hAnsi="Calibri" w:cs="Times New Roman"/>
                <w:color w:val="000000"/>
                <w:sz w:val="16"/>
                <w:szCs w:val="16"/>
                <w:lang w:eastAsia="en-GB"/>
              </w:rPr>
            </w:pPr>
            <w:r w:rsidRPr="00767C32">
              <w:rPr>
                <w:rFonts w:ascii="Calibri" w:eastAsia="Times New Roman" w:hAnsi="Calibri" w:cs="Times New Roman"/>
                <w:color w:val="000000"/>
                <w:sz w:val="16"/>
                <w:szCs w:val="16"/>
                <w:lang w:eastAsia="en-GB"/>
              </w:rPr>
              <w:t>16.3%</w:t>
            </w:r>
          </w:p>
        </w:tc>
        <w:tc>
          <w:tcPr>
            <w:tcW w:w="256" w:type="pct"/>
            <w:tcBorders>
              <w:top w:val="nil"/>
              <w:left w:val="nil"/>
              <w:bottom w:val="single" w:sz="4" w:space="0" w:color="auto"/>
              <w:right w:val="single" w:sz="4" w:space="0" w:color="auto"/>
            </w:tcBorders>
            <w:shd w:val="clear" w:color="000000" w:fill="FFFF99"/>
            <w:noWrap/>
            <w:vAlign w:val="center"/>
            <w:hideMark/>
          </w:tcPr>
          <w:p w:rsidR="00767C32" w:rsidRPr="00767C32" w:rsidRDefault="00767C32" w:rsidP="00767C32">
            <w:pPr>
              <w:spacing w:after="0" w:line="240" w:lineRule="auto"/>
              <w:jc w:val="center"/>
              <w:rPr>
                <w:rFonts w:ascii="Calibri" w:eastAsia="Times New Roman" w:hAnsi="Calibri" w:cs="Times New Roman"/>
                <w:color w:val="000000"/>
                <w:sz w:val="16"/>
                <w:szCs w:val="16"/>
                <w:lang w:eastAsia="en-GB"/>
              </w:rPr>
            </w:pPr>
            <w:r w:rsidRPr="00767C32">
              <w:rPr>
                <w:rFonts w:ascii="Calibri" w:eastAsia="Times New Roman" w:hAnsi="Calibri" w:cs="Times New Roman"/>
                <w:color w:val="000000"/>
                <w:sz w:val="16"/>
                <w:szCs w:val="16"/>
                <w:lang w:eastAsia="en-GB"/>
              </w:rPr>
              <w:t>-</w:t>
            </w:r>
          </w:p>
        </w:tc>
        <w:tc>
          <w:tcPr>
            <w:tcW w:w="257" w:type="pct"/>
            <w:tcBorders>
              <w:top w:val="nil"/>
              <w:left w:val="nil"/>
              <w:bottom w:val="single" w:sz="4" w:space="0" w:color="auto"/>
              <w:right w:val="single" w:sz="4" w:space="0" w:color="auto"/>
            </w:tcBorders>
            <w:shd w:val="clear" w:color="000000" w:fill="FFFF99"/>
            <w:noWrap/>
            <w:vAlign w:val="center"/>
            <w:hideMark/>
          </w:tcPr>
          <w:p w:rsidR="00767C32" w:rsidRPr="00767C32" w:rsidRDefault="00767C32" w:rsidP="00767C32">
            <w:pPr>
              <w:spacing w:after="0" w:line="240" w:lineRule="auto"/>
              <w:jc w:val="center"/>
              <w:rPr>
                <w:rFonts w:ascii="Calibri" w:eastAsia="Times New Roman" w:hAnsi="Calibri" w:cs="Times New Roman"/>
                <w:color w:val="000000"/>
                <w:sz w:val="16"/>
                <w:szCs w:val="16"/>
                <w:lang w:eastAsia="en-GB"/>
              </w:rPr>
            </w:pPr>
            <w:r w:rsidRPr="00767C32">
              <w:rPr>
                <w:rFonts w:ascii="Calibri" w:eastAsia="Times New Roman" w:hAnsi="Calibri" w:cs="Times New Roman"/>
                <w:color w:val="000000"/>
                <w:sz w:val="16"/>
                <w:szCs w:val="16"/>
                <w:lang w:eastAsia="en-GB"/>
              </w:rPr>
              <w:t>16.1%</w:t>
            </w:r>
          </w:p>
        </w:tc>
        <w:tc>
          <w:tcPr>
            <w:tcW w:w="304" w:type="pct"/>
            <w:tcBorders>
              <w:top w:val="nil"/>
              <w:left w:val="nil"/>
              <w:bottom w:val="single" w:sz="4" w:space="0" w:color="auto"/>
              <w:right w:val="single" w:sz="4" w:space="0" w:color="auto"/>
            </w:tcBorders>
            <w:shd w:val="clear" w:color="000000" w:fill="FFFF99"/>
            <w:noWrap/>
            <w:vAlign w:val="center"/>
            <w:hideMark/>
          </w:tcPr>
          <w:p w:rsidR="00767C32" w:rsidRPr="00767C32" w:rsidRDefault="00767C32" w:rsidP="00767C32">
            <w:pPr>
              <w:spacing w:after="0" w:line="240" w:lineRule="auto"/>
              <w:jc w:val="center"/>
              <w:rPr>
                <w:rFonts w:ascii="Calibri" w:eastAsia="Times New Roman" w:hAnsi="Calibri" w:cs="Times New Roman"/>
                <w:color w:val="000000"/>
                <w:sz w:val="16"/>
                <w:szCs w:val="16"/>
                <w:lang w:eastAsia="en-GB"/>
              </w:rPr>
            </w:pPr>
            <w:r w:rsidRPr="00767C32">
              <w:rPr>
                <w:rFonts w:ascii="Calibri" w:eastAsia="Times New Roman" w:hAnsi="Calibri" w:cs="Times New Roman"/>
                <w:color w:val="000000"/>
                <w:sz w:val="16"/>
                <w:szCs w:val="16"/>
                <w:lang w:eastAsia="en-GB"/>
              </w:rPr>
              <w:t>-</w:t>
            </w:r>
          </w:p>
        </w:tc>
        <w:tc>
          <w:tcPr>
            <w:tcW w:w="258" w:type="pct"/>
            <w:tcBorders>
              <w:top w:val="nil"/>
              <w:left w:val="nil"/>
              <w:bottom w:val="single" w:sz="4" w:space="0" w:color="auto"/>
              <w:right w:val="single" w:sz="4" w:space="0" w:color="auto"/>
            </w:tcBorders>
            <w:shd w:val="clear" w:color="000000" w:fill="FFFF99"/>
            <w:noWrap/>
            <w:vAlign w:val="center"/>
            <w:hideMark/>
          </w:tcPr>
          <w:p w:rsidR="00767C32" w:rsidRPr="00767C32" w:rsidRDefault="00767C32" w:rsidP="00767C32">
            <w:pPr>
              <w:spacing w:after="0" w:line="240" w:lineRule="auto"/>
              <w:jc w:val="center"/>
              <w:rPr>
                <w:rFonts w:ascii="Calibri" w:eastAsia="Times New Roman" w:hAnsi="Calibri" w:cs="Times New Roman"/>
                <w:color w:val="000000"/>
                <w:sz w:val="16"/>
                <w:szCs w:val="16"/>
                <w:lang w:eastAsia="en-GB"/>
              </w:rPr>
            </w:pPr>
            <w:r w:rsidRPr="00767C32">
              <w:rPr>
                <w:rFonts w:ascii="Calibri" w:eastAsia="Times New Roman" w:hAnsi="Calibri" w:cs="Times New Roman"/>
                <w:color w:val="000000"/>
                <w:sz w:val="16"/>
                <w:szCs w:val="16"/>
                <w:lang w:eastAsia="en-GB"/>
              </w:rPr>
              <w:t>16.5%</w:t>
            </w:r>
          </w:p>
        </w:tc>
        <w:tc>
          <w:tcPr>
            <w:tcW w:w="251" w:type="pct"/>
            <w:tcBorders>
              <w:top w:val="nil"/>
              <w:left w:val="nil"/>
              <w:bottom w:val="single" w:sz="4" w:space="0" w:color="auto"/>
              <w:right w:val="single" w:sz="4" w:space="0" w:color="auto"/>
            </w:tcBorders>
            <w:shd w:val="clear" w:color="000000" w:fill="EBF1DE"/>
            <w:noWrap/>
            <w:vAlign w:val="center"/>
            <w:hideMark/>
          </w:tcPr>
          <w:p w:rsidR="00767C32" w:rsidRPr="00767C32" w:rsidRDefault="00767C32" w:rsidP="00767C32">
            <w:pPr>
              <w:spacing w:after="0" w:line="240" w:lineRule="auto"/>
              <w:jc w:val="center"/>
              <w:rPr>
                <w:rFonts w:ascii="Calibri" w:eastAsia="Times New Roman" w:hAnsi="Calibri" w:cs="Times New Roman"/>
                <w:color w:val="000000"/>
                <w:sz w:val="16"/>
                <w:szCs w:val="16"/>
                <w:lang w:eastAsia="en-GB"/>
              </w:rPr>
            </w:pPr>
            <w:r w:rsidRPr="00767C32">
              <w:rPr>
                <w:rFonts w:ascii="Calibri" w:eastAsia="Times New Roman" w:hAnsi="Calibri" w:cs="Times New Roman"/>
                <w:color w:val="000000"/>
                <w:sz w:val="16"/>
                <w:szCs w:val="16"/>
                <w:lang w:eastAsia="en-GB"/>
              </w:rPr>
              <w:t>-</w:t>
            </w:r>
          </w:p>
        </w:tc>
        <w:tc>
          <w:tcPr>
            <w:tcW w:w="256" w:type="pct"/>
            <w:tcBorders>
              <w:top w:val="nil"/>
              <w:left w:val="nil"/>
              <w:bottom w:val="single" w:sz="4" w:space="0" w:color="auto"/>
              <w:right w:val="single" w:sz="4" w:space="0" w:color="auto"/>
            </w:tcBorders>
            <w:shd w:val="clear" w:color="000000" w:fill="EBF1DE"/>
            <w:noWrap/>
            <w:vAlign w:val="center"/>
            <w:hideMark/>
          </w:tcPr>
          <w:p w:rsidR="00767C32" w:rsidRPr="00767C32" w:rsidRDefault="00767C32" w:rsidP="00767C32">
            <w:pPr>
              <w:spacing w:after="0" w:line="240" w:lineRule="auto"/>
              <w:jc w:val="center"/>
              <w:rPr>
                <w:rFonts w:ascii="Calibri" w:eastAsia="Times New Roman" w:hAnsi="Calibri" w:cs="Times New Roman"/>
                <w:color w:val="000000"/>
                <w:sz w:val="16"/>
                <w:szCs w:val="16"/>
                <w:lang w:eastAsia="en-GB"/>
              </w:rPr>
            </w:pPr>
            <w:r w:rsidRPr="00767C32">
              <w:rPr>
                <w:rFonts w:ascii="Calibri" w:eastAsia="Times New Roman" w:hAnsi="Calibri" w:cs="Times New Roman"/>
                <w:color w:val="000000"/>
                <w:sz w:val="16"/>
                <w:szCs w:val="16"/>
                <w:lang w:eastAsia="en-GB"/>
              </w:rPr>
              <w:t>13.3%</w:t>
            </w:r>
          </w:p>
        </w:tc>
        <w:tc>
          <w:tcPr>
            <w:tcW w:w="300" w:type="pct"/>
            <w:tcBorders>
              <w:top w:val="nil"/>
              <w:left w:val="nil"/>
              <w:bottom w:val="single" w:sz="4" w:space="0" w:color="auto"/>
              <w:right w:val="single" w:sz="4" w:space="0" w:color="auto"/>
            </w:tcBorders>
            <w:shd w:val="clear" w:color="auto" w:fill="auto"/>
            <w:noWrap/>
            <w:vAlign w:val="center"/>
            <w:hideMark/>
          </w:tcPr>
          <w:p w:rsidR="00767C32" w:rsidRPr="00767C32" w:rsidRDefault="00767C32" w:rsidP="00767C32">
            <w:pPr>
              <w:spacing w:after="0" w:line="240" w:lineRule="auto"/>
              <w:jc w:val="center"/>
              <w:rPr>
                <w:rFonts w:ascii="Calibri" w:eastAsia="Times New Roman" w:hAnsi="Calibri" w:cs="Times New Roman"/>
                <w:color w:val="000000"/>
                <w:sz w:val="16"/>
                <w:szCs w:val="16"/>
                <w:lang w:eastAsia="en-GB"/>
              </w:rPr>
            </w:pPr>
            <w:r w:rsidRPr="00767C32">
              <w:rPr>
                <w:rFonts w:ascii="Calibri" w:eastAsia="Times New Roman" w:hAnsi="Calibri" w:cs="Times New Roman"/>
                <w:color w:val="000000"/>
                <w:sz w:val="16"/>
                <w:szCs w:val="16"/>
                <w:lang w:eastAsia="en-GB"/>
              </w:rPr>
              <w:t>-</w:t>
            </w:r>
          </w:p>
        </w:tc>
        <w:tc>
          <w:tcPr>
            <w:tcW w:w="254" w:type="pct"/>
            <w:tcBorders>
              <w:top w:val="nil"/>
              <w:left w:val="nil"/>
              <w:bottom w:val="single" w:sz="4" w:space="0" w:color="auto"/>
              <w:right w:val="single" w:sz="4" w:space="0" w:color="auto"/>
            </w:tcBorders>
            <w:shd w:val="clear" w:color="auto" w:fill="auto"/>
            <w:noWrap/>
            <w:vAlign w:val="center"/>
            <w:hideMark/>
          </w:tcPr>
          <w:p w:rsidR="00767C32" w:rsidRPr="00767C32" w:rsidRDefault="00767C32" w:rsidP="00767C32">
            <w:pPr>
              <w:spacing w:after="0" w:line="240" w:lineRule="auto"/>
              <w:jc w:val="center"/>
              <w:rPr>
                <w:rFonts w:ascii="Calibri" w:eastAsia="Times New Roman" w:hAnsi="Calibri" w:cs="Times New Roman"/>
                <w:color w:val="000000"/>
                <w:sz w:val="16"/>
                <w:szCs w:val="16"/>
                <w:lang w:eastAsia="en-GB"/>
              </w:rPr>
            </w:pPr>
            <w:r w:rsidRPr="00767C32">
              <w:rPr>
                <w:rFonts w:ascii="Calibri" w:eastAsia="Times New Roman" w:hAnsi="Calibri" w:cs="Times New Roman"/>
                <w:color w:val="000000"/>
                <w:sz w:val="16"/>
                <w:szCs w:val="16"/>
                <w:lang w:eastAsia="en-GB"/>
              </w:rPr>
              <w:t>17.0%</w:t>
            </w:r>
          </w:p>
        </w:tc>
      </w:tr>
      <w:tr w:rsidR="0085747D" w:rsidRPr="00767C32" w:rsidTr="0085747D">
        <w:trPr>
          <w:trHeight w:val="300"/>
        </w:trPr>
        <w:tc>
          <w:tcPr>
            <w:tcW w:w="513" w:type="pct"/>
            <w:tcBorders>
              <w:top w:val="nil"/>
              <w:left w:val="single" w:sz="4" w:space="0" w:color="auto"/>
              <w:bottom w:val="single" w:sz="4" w:space="0" w:color="auto"/>
              <w:right w:val="single" w:sz="4" w:space="0" w:color="auto"/>
            </w:tcBorders>
            <w:shd w:val="clear" w:color="auto" w:fill="auto"/>
            <w:noWrap/>
            <w:vAlign w:val="center"/>
            <w:hideMark/>
          </w:tcPr>
          <w:p w:rsidR="00767C32" w:rsidRPr="00767C32" w:rsidRDefault="00767C32" w:rsidP="00767C32">
            <w:pPr>
              <w:spacing w:after="0" w:line="240" w:lineRule="auto"/>
              <w:jc w:val="center"/>
              <w:rPr>
                <w:rFonts w:ascii="Calibri" w:eastAsia="Times New Roman" w:hAnsi="Calibri" w:cs="Times New Roman"/>
                <w:color w:val="000000"/>
                <w:sz w:val="16"/>
                <w:szCs w:val="16"/>
                <w:lang w:eastAsia="en-GB"/>
              </w:rPr>
            </w:pPr>
            <w:r w:rsidRPr="00767C32">
              <w:rPr>
                <w:rFonts w:ascii="Calibri" w:eastAsia="Times New Roman" w:hAnsi="Calibri" w:cs="Times New Roman"/>
                <w:color w:val="000000"/>
                <w:sz w:val="16"/>
                <w:szCs w:val="16"/>
                <w:lang w:eastAsia="en-GB"/>
              </w:rPr>
              <w:t>% reporting at least two long-term conditions, at least one of which is MSK related</w:t>
            </w:r>
          </w:p>
        </w:tc>
        <w:tc>
          <w:tcPr>
            <w:tcW w:w="256" w:type="pct"/>
            <w:tcBorders>
              <w:top w:val="nil"/>
              <w:left w:val="nil"/>
              <w:bottom w:val="single" w:sz="4" w:space="0" w:color="auto"/>
              <w:right w:val="single" w:sz="4" w:space="0" w:color="auto"/>
            </w:tcBorders>
            <w:shd w:val="clear" w:color="auto" w:fill="auto"/>
            <w:noWrap/>
            <w:vAlign w:val="center"/>
            <w:hideMark/>
          </w:tcPr>
          <w:p w:rsidR="00767C32" w:rsidRPr="00767C32" w:rsidRDefault="00767C32" w:rsidP="00767C32">
            <w:pPr>
              <w:spacing w:after="0" w:line="240" w:lineRule="auto"/>
              <w:jc w:val="center"/>
              <w:rPr>
                <w:rFonts w:ascii="Calibri" w:eastAsia="Times New Roman" w:hAnsi="Calibri" w:cs="Times New Roman"/>
                <w:color w:val="000000"/>
                <w:sz w:val="16"/>
                <w:szCs w:val="16"/>
                <w:lang w:eastAsia="en-GB"/>
              </w:rPr>
            </w:pPr>
            <w:r w:rsidRPr="00767C32">
              <w:rPr>
                <w:rFonts w:ascii="Calibri" w:eastAsia="Times New Roman" w:hAnsi="Calibri" w:cs="Times New Roman"/>
                <w:color w:val="000000"/>
                <w:sz w:val="16"/>
                <w:szCs w:val="16"/>
                <w:lang w:eastAsia="en-GB"/>
              </w:rPr>
              <w:t>2017-18</w:t>
            </w:r>
          </w:p>
        </w:tc>
        <w:tc>
          <w:tcPr>
            <w:tcW w:w="257" w:type="pct"/>
            <w:tcBorders>
              <w:top w:val="nil"/>
              <w:left w:val="nil"/>
              <w:bottom w:val="single" w:sz="4" w:space="0" w:color="auto"/>
              <w:right w:val="single" w:sz="4" w:space="0" w:color="auto"/>
            </w:tcBorders>
            <w:shd w:val="clear" w:color="000000" w:fill="EBF1DE"/>
            <w:noWrap/>
            <w:vAlign w:val="center"/>
            <w:hideMark/>
          </w:tcPr>
          <w:p w:rsidR="00767C32" w:rsidRPr="00767C32" w:rsidRDefault="00767C32" w:rsidP="00767C32">
            <w:pPr>
              <w:spacing w:after="0" w:line="240" w:lineRule="auto"/>
              <w:jc w:val="center"/>
              <w:rPr>
                <w:rFonts w:ascii="Calibri" w:eastAsia="Times New Roman" w:hAnsi="Calibri" w:cs="Times New Roman"/>
                <w:color w:val="000000"/>
                <w:sz w:val="16"/>
                <w:szCs w:val="16"/>
                <w:lang w:eastAsia="en-GB"/>
              </w:rPr>
            </w:pPr>
            <w:r w:rsidRPr="00767C32">
              <w:rPr>
                <w:rFonts w:ascii="Calibri" w:eastAsia="Times New Roman" w:hAnsi="Calibri" w:cs="Times New Roman"/>
                <w:color w:val="000000"/>
                <w:sz w:val="16"/>
                <w:szCs w:val="16"/>
                <w:lang w:eastAsia="en-GB"/>
              </w:rPr>
              <w:t>-</w:t>
            </w:r>
          </w:p>
        </w:tc>
        <w:tc>
          <w:tcPr>
            <w:tcW w:w="256" w:type="pct"/>
            <w:tcBorders>
              <w:top w:val="nil"/>
              <w:left w:val="nil"/>
              <w:bottom w:val="single" w:sz="4" w:space="0" w:color="auto"/>
              <w:right w:val="single" w:sz="4" w:space="0" w:color="auto"/>
            </w:tcBorders>
            <w:shd w:val="clear" w:color="000000" w:fill="EBF1DE"/>
            <w:noWrap/>
            <w:vAlign w:val="center"/>
            <w:hideMark/>
          </w:tcPr>
          <w:p w:rsidR="00767C32" w:rsidRPr="00767C32" w:rsidRDefault="00767C32" w:rsidP="00767C32">
            <w:pPr>
              <w:spacing w:after="0" w:line="240" w:lineRule="auto"/>
              <w:jc w:val="center"/>
              <w:rPr>
                <w:rFonts w:ascii="Calibri" w:eastAsia="Times New Roman" w:hAnsi="Calibri" w:cs="Times New Roman"/>
                <w:color w:val="000000"/>
                <w:sz w:val="16"/>
                <w:szCs w:val="16"/>
                <w:lang w:eastAsia="en-GB"/>
              </w:rPr>
            </w:pPr>
            <w:r w:rsidRPr="00767C32">
              <w:rPr>
                <w:rFonts w:ascii="Calibri" w:eastAsia="Times New Roman" w:hAnsi="Calibri" w:cs="Times New Roman"/>
                <w:color w:val="000000"/>
                <w:sz w:val="16"/>
                <w:szCs w:val="16"/>
                <w:lang w:eastAsia="en-GB"/>
              </w:rPr>
              <w:t>9.3%</w:t>
            </w:r>
          </w:p>
        </w:tc>
        <w:tc>
          <w:tcPr>
            <w:tcW w:w="257" w:type="pct"/>
            <w:tcBorders>
              <w:top w:val="nil"/>
              <w:left w:val="nil"/>
              <w:bottom w:val="single" w:sz="4" w:space="0" w:color="auto"/>
              <w:right w:val="single" w:sz="4" w:space="0" w:color="auto"/>
            </w:tcBorders>
            <w:shd w:val="clear" w:color="000000" w:fill="FFFF99"/>
            <w:noWrap/>
            <w:vAlign w:val="center"/>
            <w:hideMark/>
          </w:tcPr>
          <w:p w:rsidR="00767C32" w:rsidRPr="00767C32" w:rsidRDefault="00767C32" w:rsidP="00767C32">
            <w:pPr>
              <w:spacing w:after="0" w:line="240" w:lineRule="auto"/>
              <w:jc w:val="center"/>
              <w:rPr>
                <w:rFonts w:ascii="Calibri" w:eastAsia="Times New Roman" w:hAnsi="Calibri" w:cs="Times New Roman"/>
                <w:color w:val="000000"/>
                <w:sz w:val="16"/>
                <w:szCs w:val="16"/>
                <w:lang w:eastAsia="en-GB"/>
              </w:rPr>
            </w:pPr>
            <w:r w:rsidRPr="00767C32">
              <w:rPr>
                <w:rFonts w:ascii="Calibri" w:eastAsia="Times New Roman" w:hAnsi="Calibri" w:cs="Times New Roman"/>
                <w:color w:val="000000"/>
                <w:sz w:val="16"/>
                <w:szCs w:val="16"/>
                <w:lang w:eastAsia="en-GB"/>
              </w:rPr>
              <w:t>-</w:t>
            </w:r>
          </w:p>
        </w:tc>
        <w:tc>
          <w:tcPr>
            <w:tcW w:w="256" w:type="pct"/>
            <w:tcBorders>
              <w:top w:val="nil"/>
              <w:left w:val="nil"/>
              <w:bottom w:val="single" w:sz="4" w:space="0" w:color="auto"/>
              <w:right w:val="single" w:sz="4" w:space="0" w:color="auto"/>
            </w:tcBorders>
            <w:shd w:val="clear" w:color="000000" w:fill="FFFF99"/>
            <w:noWrap/>
            <w:vAlign w:val="center"/>
            <w:hideMark/>
          </w:tcPr>
          <w:p w:rsidR="00767C32" w:rsidRPr="00767C32" w:rsidRDefault="00767C32" w:rsidP="00767C32">
            <w:pPr>
              <w:spacing w:after="0" w:line="240" w:lineRule="auto"/>
              <w:jc w:val="center"/>
              <w:rPr>
                <w:rFonts w:ascii="Calibri" w:eastAsia="Times New Roman" w:hAnsi="Calibri" w:cs="Times New Roman"/>
                <w:color w:val="000000"/>
                <w:sz w:val="16"/>
                <w:szCs w:val="16"/>
                <w:lang w:eastAsia="en-GB"/>
              </w:rPr>
            </w:pPr>
            <w:r w:rsidRPr="00767C32">
              <w:rPr>
                <w:rFonts w:ascii="Calibri" w:eastAsia="Times New Roman" w:hAnsi="Calibri" w:cs="Times New Roman"/>
                <w:color w:val="000000"/>
                <w:sz w:val="16"/>
                <w:szCs w:val="16"/>
                <w:lang w:eastAsia="en-GB"/>
              </w:rPr>
              <w:t>11.2%</w:t>
            </w:r>
          </w:p>
        </w:tc>
        <w:tc>
          <w:tcPr>
            <w:tcW w:w="257" w:type="pct"/>
            <w:tcBorders>
              <w:top w:val="nil"/>
              <w:left w:val="nil"/>
              <w:bottom w:val="single" w:sz="4" w:space="0" w:color="auto"/>
              <w:right w:val="single" w:sz="4" w:space="0" w:color="auto"/>
            </w:tcBorders>
            <w:shd w:val="clear" w:color="000000" w:fill="EBF1DE"/>
            <w:noWrap/>
            <w:vAlign w:val="center"/>
            <w:hideMark/>
          </w:tcPr>
          <w:p w:rsidR="00767C32" w:rsidRPr="00767C32" w:rsidRDefault="00767C32" w:rsidP="00767C32">
            <w:pPr>
              <w:spacing w:after="0" w:line="240" w:lineRule="auto"/>
              <w:jc w:val="center"/>
              <w:rPr>
                <w:rFonts w:ascii="Calibri" w:eastAsia="Times New Roman" w:hAnsi="Calibri" w:cs="Times New Roman"/>
                <w:color w:val="000000"/>
                <w:sz w:val="16"/>
                <w:szCs w:val="16"/>
                <w:lang w:eastAsia="en-GB"/>
              </w:rPr>
            </w:pPr>
            <w:r w:rsidRPr="00767C32">
              <w:rPr>
                <w:rFonts w:ascii="Calibri" w:eastAsia="Times New Roman" w:hAnsi="Calibri" w:cs="Times New Roman"/>
                <w:color w:val="000000"/>
                <w:sz w:val="16"/>
                <w:szCs w:val="16"/>
                <w:lang w:eastAsia="en-GB"/>
              </w:rPr>
              <w:t>-</w:t>
            </w:r>
          </w:p>
        </w:tc>
        <w:tc>
          <w:tcPr>
            <w:tcW w:w="256" w:type="pct"/>
            <w:tcBorders>
              <w:top w:val="nil"/>
              <w:left w:val="nil"/>
              <w:bottom w:val="single" w:sz="4" w:space="0" w:color="auto"/>
              <w:right w:val="single" w:sz="4" w:space="0" w:color="auto"/>
            </w:tcBorders>
            <w:shd w:val="clear" w:color="000000" w:fill="EBF1DE"/>
            <w:noWrap/>
            <w:vAlign w:val="center"/>
            <w:hideMark/>
          </w:tcPr>
          <w:p w:rsidR="00767C32" w:rsidRPr="00767C32" w:rsidRDefault="00767C32" w:rsidP="00767C32">
            <w:pPr>
              <w:spacing w:after="0" w:line="240" w:lineRule="auto"/>
              <w:jc w:val="center"/>
              <w:rPr>
                <w:rFonts w:ascii="Calibri" w:eastAsia="Times New Roman" w:hAnsi="Calibri" w:cs="Times New Roman"/>
                <w:color w:val="000000"/>
                <w:sz w:val="16"/>
                <w:szCs w:val="16"/>
                <w:lang w:eastAsia="en-GB"/>
              </w:rPr>
            </w:pPr>
            <w:r w:rsidRPr="00767C32">
              <w:rPr>
                <w:rFonts w:ascii="Calibri" w:eastAsia="Times New Roman" w:hAnsi="Calibri" w:cs="Times New Roman"/>
                <w:color w:val="000000"/>
                <w:sz w:val="16"/>
                <w:szCs w:val="16"/>
                <w:lang w:eastAsia="en-GB"/>
              </w:rPr>
              <w:t>5.9%</w:t>
            </w:r>
          </w:p>
        </w:tc>
        <w:tc>
          <w:tcPr>
            <w:tcW w:w="257" w:type="pct"/>
            <w:tcBorders>
              <w:top w:val="nil"/>
              <w:left w:val="nil"/>
              <w:bottom w:val="single" w:sz="4" w:space="0" w:color="auto"/>
              <w:right w:val="single" w:sz="4" w:space="0" w:color="auto"/>
            </w:tcBorders>
            <w:shd w:val="clear" w:color="000000" w:fill="FFFF99"/>
            <w:noWrap/>
            <w:vAlign w:val="center"/>
            <w:hideMark/>
          </w:tcPr>
          <w:p w:rsidR="00767C32" w:rsidRPr="00767C32" w:rsidRDefault="00767C32" w:rsidP="00767C32">
            <w:pPr>
              <w:spacing w:after="0" w:line="240" w:lineRule="auto"/>
              <w:jc w:val="center"/>
              <w:rPr>
                <w:rFonts w:ascii="Calibri" w:eastAsia="Times New Roman" w:hAnsi="Calibri" w:cs="Times New Roman"/>
                <w:color w:val="000000"/>
                <w:sz w:val="16"/>
                <w:szCs w:val="16"/>
                <w:lang w:eastAsia="en-GB"/>
              </w:rPr>
            </w:pPr>
            <w:r w:rsidRPr="00767C32">
              <w:rPr>
                <w:rFonts w:ascii="Calibri" w:eastAsia="Times New Roman" w:hAnsi="Calibri" w:cs="Times New Roman"/>
                <w:color w:val="000000"/>
                <w:sz w:val="16"/>
                <w:szCs w:val="16"/>
                <w:lang w:eastAsia="en-GB"/>
              </w:rPr>
              <w:t>-</w:t>
            </w:r>
          </w:p>
        </w:tc>
        <w:tc>
          <w:tcPr>
            <w:tcW w:w="299" w:type="pct"/>
            <w:tcBorders>
              <w:top w:val="nil"/>
              <w:left w:val="nil"/>
              <w:bottom w:val="single" w:sz="4" w:space="0" w:color="auto"/>
              <w:right w:val="single" w:sz="4" w:space="0" w:color="auto"/>
            </w:tcBorders>
            <w:shd w:val="clear" w:color="000000" w:fill="FFFF99"/>
            <w:noWrap/>
            <w:vAlign w:val="center"/>
            <w:hideMark/>
          </w:tcPr>
          <w:p w:rsidR="00767C32" w:rsidRPr="00767C32" w:rsidRDefault="00767C32" w:rsidP="00767C32">
            <w:pPr>
              <w:spacing w:after="0" w:line="240" w:lineRule="auto"/>
              <w:jc w:val="center"/>
              <w:rPr>
                <w:rFonts w:ascii="Calibri" w:eastAsia="Times New Roman" w:hAnsi="Calibri" w:cs="Times New Roman"/>
                <w:color w:val="000000"/>
                <w:sz w:val="16"/>
                <w:szCs w:val="16"/>
                <w:lang w:eastAsia="en-GB"/>
              </w:rPr>
            </w:pPr>
            <w:r w:rsidRPr="00767C32">
              <w:rPr>
                <w:rFonts w:ascii="Calibri" w:eastAsia="Times New Roman" w:hAnsi="Calibri" w:cs="Times New Roman"/>
                <w:color w:val="000000"/>
                <w:sz w:val="16"/>
                <w:szCs w:val="16"/>
                <w:lang w:eastAsia="en-GB"/>
              </w:rPr>
              <w:t>11.2%</w:t>
            </w:r>
          </w:p>
        </w:tc>
        <w:tc>
          <w:tcPr>
            <w:tcW w:w="256" w:type="pct"/>
            <w:tcBorders>
              <w:top w:val="nil"/>
              <w:left w:val="nil"/>
              <w:bottom w:val="single" w:sz="4" w:space="0" w:color="auto"/>
              <w:right w:val="single" w:sz="4" w:space="0" w:color="auto"/>
            </w:tcBorders>
            <w:shd w:val="clear" w:color="000000" w:fill="FFFF99"/>
            <w:noWrap/>
            <w:vAlign w:val="center"/>
            <w:hideMark/>
          </w:tcPr>
          <w:p w:rsidR="00767C32" w:rsidRPr="00767C32" w:rsidRDefault="00767C32" w:rsidP="00767C32">
            <w:pPr>
              <w:spacing w:after="0" w:line="240" w:lineRule="auto"/>
              <w:jc w:val="center"/>
              <w:rPr>
                <w:rFonts w:ascii="Calibri" w:eastAsia="Times New Roman" w:hAnsi="Calibri" w:cs="Times New Roman"/>
                <w:color w:val="000000"/>
                <w:sz w:val="16"/>
                <w:szCs w:val="16"/>
                <w:lang w:eastAsia="en-GB"/>
              </w:rPr>
            </w:pPr>
            <w:r w:rsidRPr="00767C32">
              <w:rPr>
                <w:rFonts w:ascii="Calibri" w:eastAsia="Times New Roman" w:hAnsi="Calibri" w:cs="Times New Roman"/>
                <w:color w:val="000000"/>
                <w:sz w:val="16"/>
                <w:szCs w:val="16"/>
                <w:lang w:eastAsia="en-GB"/>
              </w:rPr>
              <w:t>-</w:t>
            </w:r>
          </w:p>
        </w:tc>
        <w:tc>
          <w:tcPr>
            <w:tcW w:w="257" w:type="pct"/>
            <w:tcBorders>
              <w:top w:val="nil"/>
              <w:left w:val="nil"/>
              <w:bottom w:val="single" w:sz="4" w:space="0" w:color="auto"/>
              <w:right w:val="single" w:sz="4" w:space="0" w:color="auto"/>
            </w:tcBorders>
            <w:shd w:val="clear" w:color="000000" w:fill="FFFF99"/>
            <w:noWrap/>
            <w:vAlign w:val="center"/>
            <w:hideMark/>
          </w:tcPr>
          <w:p w:rsidR="00767C32" w:rsidRPr="00767C32" w:rsidRDefault="00767C32" w:rsidP="00767C32">
            <w:pPr>
              <w:spacing w:after="0" w:line="240" w:lineRule="auto"/>
              <w:jc w:val="center"/>
              <w:rPr>
                <w:rFonts w:ascii="Calibri" w:eastAsia="Times New Roman" w:hAnsi="Calibri" w:cs="Times New Roman"/>
                <w:color w:val="000000"/>
                <w:sz w:val="16"/>
                <w:szCs w:val="16"/>
                <w:lang w:eastAsia="en-GB"/>
              </w:rPr>
            </w:pPr>
            <w:r w:rsidRPr="00767C32">
              <w:rPr>
                <w:rFonts w:ascii="Calibri" w:eastAsia="Times New Roman" w:hAnsi="Calibri" w:cs="Times New Roman"/>
                <w:color w:val="000000"/>
                <w:sz w:val="16"/>
                <w:szCs w:val="16"/>
                <w:lang w:eastAsia="en-GB"/>
              </w:rPr>
              <w:t>10.9%</w:t>
            </w:r>
          </w:p>
        </w:tc>
        <w:tc>
          <w:tcPr>
            <w:tcW w:w="304" w:type="pct"/>
            <w:tcBorders>
              <w:top w:val="nil"/>
              <w:left w:val="nil"/>
              <w:bottom w:val="single" w:sz="4" w:space="0" w:color="auto"/>
              <w:right w:val="single" w:sz="4" w:space="0" w:color="auto"/>
            </w:tcBorders>
            <w:shd w:val="clear" w:color="000000" w:fill="FFFF99"/>
            <w:noWrap/>
            <w:vAlign w:val="center"/>
            <w:hideMark/>
          </w:tcPr>
          <w:p w:rsidR="00767C32" w:rsidRPr="00767C32" w:rsidRDefault="00767C32" w:rsidP="00767C32">
            <w:pPr>
              <w:spacing w:after="0" w:line="240" w:lineRule="auto"/>
              <w:jc w:val="center"/>
              <w:rPr>
                <w:rFonts w:ascii="Calibri" w:eastAsia="Times New Roman" w:hAnsi="Calibri" w:cs="Times New Roman"/>
                <w:color w:val="000000"/>
                <w:sz w:val="16"/>
                <w:szCs w:val="16"/>
                <w:lang w:eastAsia="en-GB"/>
              </w:rPr>
            </w:pPr>
            <w:r w:rsidRPr="00767C32">
              <w:rPr>
                <w:rFonts w:ascii="Calibri" w:eastAsia="Times New Roman" w:hAnsi="Calibri" w:cs="Times New Roman"/>
                <w:color w:val="000000"/>
                <w:sz w:val="16"/>
                <w:szCs w:val="16"/>
                <w:lang w:eastAsia="en-GB"/>
              </w:rPr>
              <w:t>-</w:t>
            </w:r>
          </w:p>
        </w:tc>
        <w:tc>
          <w:tcPr>
            <w:tcW w:w="258" w:type="pct"/>
            <w:tcBorders>
              <w:top w:val="nil"/>
              <w:left w:val="nil"/>
              <w:bottom w:val="single" w:sz="4" w:space="0" w:color="auto"/>
              <w:right w:val="single" w:sz="4" w:space="0" w:color="auto"/>
            </w:tcBorders>
            <w:shd w:val="clear" w:color="000000" w:fill="FFFF99"/>
            <w:noWrap/>
            <w:vAlign w:val="center"/>
            <w:hideMark/>
          </w:tcPr>
          <w:p w:rsidR="00767C32" w:rsidRPr="00767C32" w:rsidRDefault="00767C32" w:rsidP="00767C32">
            <w:pPr>
              <w:spacing w:after="0" w:line="240" w:lineRule="auto"/>
              <w:jc w:val="center"/>
              <w:rPr>
                <w:rFonts w:ascii="Calibri" w:eastAsia="Times New Roman" w:hAnsi="Calibri" w:cs="Times New Roman"/>
                <w:color w:val="000000"/>
                <w:sz w:val="16"/>
                <w:szCs w:val="16"/>
                <w:lang w:eastAsia="en-GB"/>
              </w:rPr>
            </w:pPr>
            <w:r w:rsidRPr="00767C32">
              <w:rPr>
                <w:rFonts w:ascii="Calibri" w:eastAsia="Times New Roman" w:hAnsi="Calibri" w:cs="Times New Roman"/>
                <w:color w:val="000000"/>
                <w:sz w:val="16"/>
                <w:szCs w:val="16"/>
                <w:lang w:eastAsia="en-GB"/>
              </w:rPr>
              <w:t>11.1%</w:t>
            </w:r>
          </w:p>
        </w:tc>
        <w:tc>
          <w:tcPr>
            <w:tcW w:w="251" w:type="pct"/>
            <w:tcBorders>
              <w:top w:val="nil"/>
              <w:left w:val="nil"/>
              <w:bottom w:val="single" w:sz="4" w:space="0" w:color="auto"/>
              <w:right w:val="single" w:sz="4" w:space="0" w:color="auto"/>
            </w:tcBorders>
            <w:shd w:val="clear" w:color="000000" w:fill="EBF1DE"/>
            <w:noWrap/>
            <w:vAlign w:val="center"/>
            <w:hideMark/>
          </w:tcPr>
          <w:p w:rsidR="00767C32" w:rsidRPr="00767C32" w:rsidRDefault="00767C32" w:rsidP="00767C32">
            <w:pPr>
              <w:spacing w:after="0" w:line="240" w:lineRule="auto"/>
              <w:jc w:val="center"/>
              <w:rPr>
                <w:rFonts w:ascii="Calibri" w:eastAsia="Times New Roman" w:hAnsi="Calibri" w:cs="Times New Roman"/>
                <w:color w:val="000000"/>
                <w:sz w:val="16"/>
                <w:szCs w:val="16"/>
                <w:lang w:eastAsia="en-GB"/>
              </w:rPr>
            </w:pPr>
            <w:r w:rsidRPr="00767C32">
              <w:rPr>
                <w:rFonts w:ascii="Calibri" w:eastAsia="Times New Roman" w:hAnsi="Calibri" w:cs="Times New Roman"/>
                <w:color w:val="000000"/>
                <w:sz w:val="16"/>
                <w:szCs w:val="16"/>
                <w:lang w:eastAsia="en-GB"/>
              </w:rPr>
              <w:t>-</w:t>
            </w:r>
          </w:p>
        </w:tc>
        <w:tc>
          <w:tcPr>
            <w:tcW w:w="256" w:type="pct"/>
            <w:tcBorders>
              <w:top w:val="nil"/>
              <w:left w:val="nil"/>
              <w:bottom w:val="single" w:sz="4" w:space="0" w:color="auto"/>
              <w:right w:val="single" w:sz="4" w:space="0" w:color="auto"/>
            </w:tcBorders>
            <w:shd w:val="clear" w:color="000000" w:fill="EBF1DE"/>
            <w:noWrap/>
            <w:vAlign w:val="center"/>
            <w:hideMark/>
          </w:tcPr>
          <w:p w:rsidR="00767C32" w:rsidRPr="00767C32" w:rsidRDefault="00767C32" w:rsidP="00767C32">
            <w:pPr>
              <w:spacing w:after="0" w:line="240" w:lineRule="auto"/>
              <w:jc w:val="center"/>
              <w:rPr>
                <w:rFonts w:ascii="Calibri" w:eastAsia="Times New Roman" w:hAnsi="Calibri" w:cs="Times New Roman"/>
                <w:color w:val="000000"/>
                <w:sz w:val="16"/>
                <w:szCs w:val="16"/>
                <w:lang w:eastAsia="en-GB"/>
              </w:rPr>
            </w:pPr>
            <w:r w:rsidRPr="00767C32">
              <w:rPr>
                <w:rFonts w:ascii="Calibri" w:eastAsia="Times New Roman" w:hAnsi="Calibri" w:cs="Times New Roman"/>
                <w:color w:val="000000"/>
                <w:sz w:val="16"/>
                <w:szCs w:val="16"/>
                <w:lang w:eastAsia="en-GB"/>
              </w:rPr>
              <w:t>8.9%</w:t>
            </w:r>
          </w:p>
        </w:tc>
        <w:tc>
          <w:tcPr>
            <w:tcW w:w="300" w:type="pct"/>
            <w:tcBorders>
              <w:top w:val="nil"/>
              <w:left w:val="nil"/>
              <w:bottom w:val="single" w:sz="4" w:space="0" w:color="auto"/>
              <w:right w:val="single" w:sz="4" w:space="0" w:color="auto"/>
            </w:tcBorders>
            <w:shd w:val="clear" w:color="auto" w:fill="auto"/>
            <w:noWrap/>
            <w:vAlign w:val="center"/>
            <w:hideMark/>
          </w:tcPr>
          <w:p w:rsidR="00767C32" w:rsidRPr="00767C32" w:rsidRDefault="00767C32" w:rsidP="00767C32">
            <w:pPr>
              <w:spacing w:after="0" w:line="240" w:lineRule="auto"/>
              <w:jc w:val="center"/>
              <w:rPr>
                <w:rFonts w:ascii="Calibri" w:eastAsia="Times New Roman" w:hAnsi="Calibri" w:cs="Times New Roman"/>
                <w:color w:val="000000"/>
                <w:sz w:val="16"/>
                <w:szCs w:val="16"/>
                <w:lang w:eastAsia="en-GB"/>
              </w:rPr>
            </w:pPr>
            <w:r w:rsidRPr="00767C32">
              <w:rPr>
                <w:rFonts w:ascii="Calibri" w:eastAsia="Times New Roman" w:hAnsi="Calibri" w:cs="Times New Roman"/>
                <w:color w:val="000000"/>
                <w:sz w:val="16"/>
                <w:szCs w:val="16"/>
                <w:lang w:eastAsia="en-GB"/>
              </w:rPr>
              <w:t>-</w:t>
            </w:r>
          </w:p>
        </w:tc>
        <w:tc>
          <w:tcPr>
            <w:tcW w:w="254" w:type="pct"/>
            <w:tcBorders>
              <w:top w:val="nil"/>
              <w:left w:val="nil"/>
              <w:bottom w:val="single" w:sz="4" w:space="0" w:color="auto"/>
              <w:right w:val="single" w:sz="4" w:space="0" w:color="auto"/>
            </w:tcBorders>
            <w:shd w:val="clear" w:color="auto" w:fill="auto"/>
            <w:noWrap/>
            <w:vAlign w:val="center"/>
            <w:hideMark/>
          </w:tcPr>
          <w:p w:rsidR="00767C32" w:rsidRPr="00767C32" w:rsidRDefault="00767C32" w:rsidP="00767C32">
            <w:pPr>
              <w:spacing w:after="0" w:line="240" w:lineRule="auto"/>
              <w:jc w:val="center"/>
              <w:rPr>
                <w:rFonts w:ascii="Calibri" w:eastAsia="Times New Roman" w:hAnsi="Calibri" w:cs="Times New Roman"/>
                <w:color w:val="000000"/>
                <w:sz w:val="16"/>
                <w:szCs w:val="16"/>
                <w:lang w:eastAsia="en-GB"/>
              </w:rPr>
            </w:pPr>
            <w:r w:rsidRPr="00767C32">
              <w:rPr>
                <w:rFonts w:ascii="Calibri" w:eastAsia="Times New Roman" w:hAnsi="Calibri" w:cs="Times New Roman"/>
                <w:color w:val="000000"/>
                <w:sz w:val="16"/>
                <w:szCs w:val="16"/>
                <w:lang w:eastAsia="en-GB"/>
              </w:rPr>
              <w:t>12.1%</w:t>
            </w:r>
          </w:p>
        </w:tc>
      </w:tr>
      <w:tr w:rsidR="0085747D" w:rsidRPr="00767C32" w:rsidTr="0085747D">
        <w:trPr>
          <w:trHeight w:val="300"/>
        </w:trPr>
        <w:tc>
          <w:tcPr>
            <w:tcW w:w="513" w:type="pct"/>
            <w:tcBorders>
              <w:top w:val="nil"/>
              <w:left w:val="single" w:sz="4" w:space="0" w:color="auto"/>
              <w:bottom w:val="single" w:sz="4" w:space="0" w:color="auto"/>
              <w:right w:val="single" w:sz="4" w:space="0" w:color="auto"/>
            </w:tcBorders>
            <w:shd w:val="clear" w:color="auto" w:fill="auto"/>
            <w:noWrap/>
            <w:vAlign w:val="center"/>
            <w:hideMark/>
          </w:tcPr>
          <w:p w:rsidR="00767C32" w:rsidRPr="00767C32" w:rsidRDefault="00767C32" w:rsidP="00767C32">
            <w:pPr>
              <w:spacing w:after="0" w:line="240" w:lineRule="auto"/>
              <w:jc w:val="center"/>
              <w:rPr>
                <w:rFonts w:ascii="Calibri" w:eastAsia="Times New Roman" w:hAnsi="Calibri" w:cs="Times New Roman"/>
                <w:color w:val="000000"/>
                <w:sz w:val="16"/>
                <w:szCs w:val="16"/>
                <w:lang w:eastAsia="en-GB"/>
              </w:rPr>
            </w:pPr>
            <w:r w:rsidRPr="00767C32">
              <w:rPr>
                <w:rFonts w:ascii="Calibri" w:eastAsia="Times New Roman" w:hAnsi="Calibri" w:cs="Times New Roman"/>
                <w:color w:val="000000"/>
                <w:sz w:val="16"/>
                <w:szCs w:val="16"/>
                <w:lang w:eastAsia="en-GB"/>
              </w:rPr>
              <w:t>Rheumatoid arthritis QOF prevalence 16+</w:t>
            </w:r>
          </w:p>
        </w:tc>
        <w:tc>
          <w:tcPr>
            <w:tcW w:w="256" w:type="pct"/>
            <w:tcBorders>
              <w:top w:val="nil"/>
              <w:left w:val="nil"/>
              <w:bottom w:val="single" w:sz="4" w:space="0" w:color="auto"/>
              <w:right w:val="single" w:sz="4" w:space="0" w:color="auto"/>
            </w:tcBorders>
            <w:shd w:val="clear" w:color="auto" w:fill="auto"/>
            <w:noWrap/>
            <w:vAlign w:val="center"/>
            <w:hideMark/>
          </w:tcPr>
          <w:p w:rsidR="00767C32" w:rsidRPr="00767C32" w:rsidRDefault="00767C32" w:rsidP="00767C32">
            <w:pPr>
              <w:spacing w:after="0" w:line="240" w:lineRule="auto"/>
              <w:jc w:val="center"/>
              <w:rPr>
                <w:rFonts w:ascii="Calibri" w:eastAsia="Times New Roman" w:hAnsi="Calibri" w:cs="Times New Roman"/>
                <w:color w:val="000000"/>
                <w:sz w:val="16"/>
                <w:szCs w:val="16"/>
                <w:lang w:eastAsia="en-GB"/>
              </w:rPr>
            </w:pPr>
            <w:r w:rsidRPr="00767C32">
              <w:rPr>
                <w:rFonts w:ascii="Calibri" w:eastAsia="Times New Roman" w:hAnsi="Calibri" w:cs="Times New Roman"/>
                <w:color w:val="000000"/>
                <w:sz w:val="16"/>
                <w:szCs w:val="16"/>
                <w:lang w:eastAsia="en-GB"/>
              </w:rPr>
              <w:t>2017-18</w:t>
            </w:r>
          </w:p>
        </w:tc>
        <w:tc>
          <w:tcPr>
            <w:tcW w:w="257" w:type="pct"/>
            <w:tcBorders>
              <w:top w:val="nil"/>
              <w:left w:val="nil"/>
              <w:bottom w:val="single" w:sz="4" w:space="0" w:color="auto"/>
              <w:right w:val="single" w:sz="4" w:space="0" w:color="auto"/>
            </w:tcBorders>
            <w:shd w:val="clear" w:color="000000" w:fill="FFFF99"/>
            <w:noWrap/>
            <w:vAlign w:val="center"/>
            <w:hideMark/>
          </w:tcPr>
          <w:p w:rsidR="00767C32" w:rsidRPr="00767C32" w:rsidRDefault="00767C32" w:rsidP="00767C32">
            <w:pPr>
              <w:spacing w:after="0" w:line="240" w:lineRule="auto"/>
              <w:jc w:val="center"/>
              <w:rPr>
                <w:rFonts w:ascii="Calibri" w:eastAsia="Times New Roman" w:hAnsi="Calibri" w:cs="Times New Roman"/>
                <w:color w:val="000000"/>
                <w:sz w:val="16"/>
                <w:szCs w:val="16"/>
                <w:lang w:eastAsia="en-GB"/>
              </w:rPr>
            </w:pPr>
            <w:r w:rsidRPr="00767C32">
              <w:rPr>
                <w:rFonts w:ascii="Calibri" w:eastAsia="Times New Roman" w:hAnsi="Calibri" w:cs="Times New Roman"/>
                <w:color w:val="000000"/>
                <w:sz w:val="16"/>
                <w:szCs w:val="16"/>
                <w:lang w:eastAsia="en-GB"/>
              </w:rPr>
              <w:t>4,455</w:t>
            </w:r>
          </w:p>
        </w:tc>
        <w:tc>
          <w:tcPr>
            <w:tcW w:w="256" w:type="pct"/>
            <w:tcBorders>
              <w:top w:val="nil"/>
              <w:left w:val="nil"/>
              <w:bottom w:val="single" w:sz="4" w:space="0" w:color="auto"/>
              <w:right w:val="single" w:sz="4" w:space="0" w:color="auto"/>
            </w:tcBorders>
            <w:shd w:val="clear" w:color="000000" w:fill="FFFF99"/>
            <w:noWrap/>
            <w:vAlign w:val="center"/>
            <w:hideMark/>
          </w:tcPr>
          <w:p w:rsidR="00767C32" w:rsidRPr="00767C32" w:rsidRDefault="00767C32" w:rsidP="00767C32">
            <w:pPr>
              <w:spacing w:after="0" w:line="240" w:lineRule="auto"/>
              <w:jc w:val="center"/>
              <w:rPr>
                <w:rFonts w:ascii="Calibri" w:eastAsia="Times New Roman" w:hAnsi="Calibri" w:cs="Times New Roman"/>
                <w:color w:val="000000"/>
                <w:sz w:val="16"/>
                <w:szCs w:val="16"/>
                <w:lang w:eastAsia="en-GB"/>
              </w:rPr>
            </w:pPr>
            <w:r w:rsidRPr="00767C32">
              <w:rPr>
                <w:rFonts w:ascii="Calibri" w:eastAsia="Times New Roman" w:hAnsi="Calibri" w:cs="Times New Roman"/>
                <w:color w:val="000000"/>
                <w:sz w:val="16"/>
                <w:szCs w:val="16"/>
                <w:lang w:eastAsia="en-GB"/>
              </w:rPr>
              <w:t>0.7%</w:t>
            </w:r>
          </w:p>
        </w:tc>
        <w:tc>
          <w:tcPr>
            <w:tcW w:w="257" w:type="pct"/>
            <w:tcBorders>
              <w:top w:val="nil"/>
              <w:left w:val="nil"/>
              <w:bottom w:val="single" w:sz="4" w:space="0" w:color="auto"/>
              <w:right w:val="single" w:sz="4" w:space="0" w:color="auto"/>
            </w:tcBorders>
            <w:shd w:val="clear" w:color="000000" w:fill="EBF1DE"/>
            <w:noWrap/>
            <w:vAlign w:val="center"/>
            <w:hideMark/>
          </w:tcPr>
          <w:p w:rsidR="00767C32" w:rsidRPr="00767C32" w:rsidRDefault="00767C32" w:rsidP="00767C32">
            <w:pPr>
              <w:spacing w:after="0" w:line="240" w:lineRule="auto"/>
              <w:jc w:val="center"/>
              <w:rPr>
                <w:rFonts w:ascii="Calibri" w:eastAsia="Times New Roman" w:hAnsi="Calibri" w:cs="Times New Roman"/>
                <w:color w:val="000000"/>
                <w:sz w:val="16"/>
                <w:szCs w:val="16"/>
                <w:lang w:eastAsia="en-GB"/>
              </w:rPr>
            </w:pPr>
            <w:r w:rsidRPr="00767C32">
              <w:rPr>
                <w:rFonts w:ascii="Calibri" w:eastAsia="Times New Roman" w:hAnsi="Calibri" w:cs="Times New Roman"/>
                <w:color w:val="000000"/>
                <w:sz w:val="16"/>
                <w:szCs w:val="16"/>
                <w:lang w:eastAsia="en-GB"/>
              </w:rPr>
              <w:t>1,041</w:t>
            </w:r>
          </w:p>
        </w:tc>
        <w:tc>
          <w:tcPr>
            <w:tcW w:w="256" w:type="pct"/>
            <w:tcBorders>
              <w:top w:val="nil"/>
              <w:left w:val="nil"/>
              <w:bottom w:val="single" w:sz="4" w:space="0" w:color="auto"/>
              <w:right w:val="single" w:sz="4" w:space="0" w:color="auto"/>
            </w:tcBorders>
            <w:shd w:val="clear" w:color="000000" w:fill="EBF1DE"/>
            <w:noWrap/>
            <w:vAlign w:val="center"/>
            <w:hideMark/>
          </w:tcPr>
          <w:p w:rsidR="00767C32" w:rsidRPr="00767C32" w:rsidRDefault="00767C32" w:rsidP="00767C32">
            <w:pPr>
              <w:spacing w:after="0" w:line="240" w:lineRule="auto"/>
              <w:jc w:val="center"/>
              <w:rPr>
                <w:rFonts w:ascii="Calibri" w:eastAsia="Times New Roman" w:hAnsi="Calibri" w:cs="Times New Roman"/>
                <w:color w:val="000000"/>
                <w:sz w:val="16"/>
                <w:szCs w:val="16"/>
                <w:lang w:eastAsia="en-GB"/>
              </w:rPr>
            </w:pPr>
            <w:r w:rsidRPr="00767C32">
              <w:rPr>
                <w:rFonts w:ascii="Calibri" w:eastAsia="Times New Roman" w:hAnsi="Calibri" w:cs="Times New Roman"/>
                <w:color w:val="000000"/>
                <w:sz w:val="16"/>
                <w:szCs w:val="16"/>
                <w:lang w:eastAsia="en-GB"/>
              </w:rPr>
              <w:t>0.6%</w:t>
            </w:r>
          </w:p>
        </w:tc>
        <w:tc>
          <w:tcPr>
            <w:tcW w:w="257" w:type="pct"/>
            <w:tcBorders>
              <w:top w:val="nil"/>
              <w:left w:val="nil"/>
              <w:bottom w:val="single" w:sz="4" w:space="0" w:color="auto"/>
              <w:right w:val="single" w:sz="4" w:space="0" w:color="auto"/>
            </w:tcBorders>
            <w:shd w:val="clear" w:color="000000" w:fill="EBF1DE"/>
            <w:noWrap/>
            <w:vAlign w:val="center"/>
            <w:hideMark/>
          </w:tcPr>
          <w:p w:rsidR="00767C32" w:rsidRPr="00767C32" w:rsidRDefault="00767C32" w:rsidP="00767C32">
            <w:pPr>
              <w:spacing w:after="0" w:line="240" w:lineRule="auto"/>
              <w:jc w:val="center"/>
              <w:rPr>
                <w:rFonts w:ascii="Calibri" w:eastAsia="Times New Roman" w:hAnsi="Calibri" w:cs="Times New Roman"/>
                <w:color w:val="000000"/>
                <w:sz w:val="16"/>
                <w:szCs w:val="16"/>
                <w:lang w:eastAsia="en-GB"/>
              </w:rPr>
            </w:pPr>
            <w:r w:rsidRPr="00767C32">
              <w:rPr>
                <w:rFonts w:ascii="Calibri" w:eastAsia="Times New Roman" w:hAnsi="Calibri" w:cs="Times New Roman"/>
                <w:color w:val="000000"/>
                <w:sz w:val="16"/>
                <w:szCs w:val="16"/>
                <w:lang w:eastAsia="en-GB"/>
              </w:rPr>
              <w:t>726</w:t>
            </w:r>
          </w:p>
        </w:tc>
        <w:tc>
          <w:tcPr>
            <w:tcW w:w="256" w:type="pct"/>
            <w:tcBorders>
              <w:top w:val="nil"/>
              <w:left w:val="nil"/>
              <w:bottom w:val="single" w:sz="4" w:space="0" w:color="auto"/>
              <w:right w:val="single" w:sz="4" w:space="0" w:color="auto"/>
            </w:tcBorders>
            <w:shd w:val="clear" w:color="000000" w:fill="EBF1DE"/>
            <w:noWrap/>
            <w:vAlign w:val="center"/>
            <w:hideMark/>
          </w:tcPr>
          <w:p w:rsidR="00767C32" w:rsidRPr="00767C32" w:rsidRDefault="00767C32" w:rsidP="00767C32">
            <w:pPr>
              <w:spacing w:after="0" w:line="240" w:lineRule="auto"/>
              <w:jc w:val="center"/>
              <w:rPr>
                <w:rFonts w:ascii="Calibri" w:eastAsia="Times New Roman" w:hAnsi="Calibri" w:cs="Times New Roman"/>
                <w:color w:val="000000"/>
                <w:sz w:val="16"/>
                <w:szCs w:val="16"/>
                <w:lang w:eastAsia="en-GB"/>
              </w:rPr>
            </w:pPr>
            <w:r w:rsidRPr="00767C32">
              <w:rPr>
                <w:rFonts w:ascii="Calibri" w:eastAsia="Times New Roman" w:hAnsi="Calibri" w:cs="Times New Roman"/>
                <w:color w:val="000000"/>
                <w:sz w:val="16"/>
                <w:szCs w:val="16"/>
                <w:lang w:eastAsia="en-GB"/>
              </w:rPr>
              <w:t>0.4%</w:t>
            </w:r>
          </w:p>
        </w:tc>
        <w:tc>
          <w:tcPr>
            <w:tcW w:w="257" w:type="pct"/>
            <w:tcBorders>
              <w:top w:val="nil"/>
              <w:left w:val="nil"/>
              <w:bottom w:val="single" w:sz="4" w:space="0" w:color="auto"/>
              <w:right w:val="single" w:sz="4" w:space="0" w:color="auto"/>
            </w:tcBorders>
            <w:shd w:val="clear" w:color="000000" w:fill="420000"/>
            <w:noWrap/>
            <w:vAlign w:val="center"/>
            <w:hideMark/>
          </w:tcPr>
          <w:p w:rsidR="00767C32" w:rsidRPr="00767C32" w:rsidRDefault="00767C32" w:rsidP="00767C32">
            <w:pPr>
              <w:spacing w:after="0" w:line="240" w:lineRule="auto"/>
              <w:jc w:val="center"/>
              <w:rPr>
                <w:rFonts w:ascii="Calibri" w:eastAsia="Times New Roman" w:hAnsi="Calibri" w:cs="Times New Roman"/>
                <w:color w:val="FFFFFF"/>
                <w:sz w:val="16"/>
                <w:szCs w:val="16"/>
                <w:lang w:eastAsia="en-GB"/>
              </w:rPr>
            </w:pPr>
            <w:r w:rsidRPr="00767C32">
              <w:rPr>
                <w:rFonts w:ascii="Calibri" w:eastAsia="Times New Roman" w:hAnsi="Calibri" w:cs="Times New Roman"/>
                <w:color w:val="FFFFFF"/>
                <w:sz w:val="16"/>
                <w:szCs w:val="16"/>
                <w:lang w:eastAsia="en-GB"/>
              </w:rPr>
              <w:t>588</w:t>
            </w:r>
          </w:p>
        </w:tc>
        <w:tc>
          <w:tcPr>
            <w:tcW w:w="299" w:type="pct"/>
            <w:tcBorders>
              <w:top w:val="nil"/>
              <w:left w:val="nil"/>
              <w:bottom w:val="single" w:sz="4" w:space="0" w:color="auto"/>
              <w:right w:val="single" w:sz="4" w:space="0" w:color="auto"/>
            </w:tcBorders>
            <w:shd w:val="clear" w:color="000000" w:fill="420000"/>
            <w:noWrap/>
            <w:vAlign w:val="center"/>
            <w:hideMark/>
          </w:tcPr>
          <w:p w:rsidR="00767C32" w:rsidRPr="00767C32" w:rsidRDefault="00767C32" w:rsidP="00767C32">
            <w:pPr>
              <w:spacing w:after="0" w:line="240" w:lineRule="auto"/>
              <w:jc w:val="center"/>
              <w:rPr>
                <w:rFonts w:ascii="Calibri" w:eastAsia="Times New Roman" w:hAnsi="Calibri" w:cs="Times New Roman"/>
                <w:color w:val="FFFFFF"/>
                <w:sz w:val="16"/>
                <w:szCs w:val="16"/>
                <w:lang w:eastAsia="en-GB"/>
              </w:rPr>
            </w:pPr>
            <w:r w:rsidRPr="00767C32">
              <w:rPr>
                <w:rFonts w:ascii="Calibri" w:eastAsia="Times New Roman" w:hAnsi="Calibri" w:cs="Times New Roman"/>
                <w:color w:val="FFFFFF"/>
                <w:sz w:val="16"/>
                <w:szCs w:val="16"/>
                <w:lang w:eastAsia="en-GB"/>
              </w:rPr>
              <w:t>0.8%</w:t>
            </w:r>
          </w:p>
        </w:tc>
        <w:tc>
          <w:tcPr>
            <w:tcW w:w="256" w:type="pct"/>
            <w:tcBorders>
              <w:top w:val="nil"/>
              <w:left w:val="nil"/>
              <w:bottom w:val="single" w:sz="4" w:space="0" w:color="auto"/>
              <w:right w:val="single" w:sz="4" w:space="0" w:color="auto"/>
            </w:tcBorders>
            <w:shd w:val="clear" w:color="000000" w:fill="420000"/>
            <w:noWrap/>
            <w:vAlign w:val="center"/>
            <w:hideMark/>
          </w:tcPr>
          <w:p w:rsidR="00767C32" w:rsidRPr="00767C32" w:rsidRDefault="00767C32" w:rsidP="00767C32">
            <w:pPr>
              <w:spacing w:after="0" w:line="240" w:lineRule="auto"/>
              <w:jc w:val="center"/>
              <w:rPr>
                <w:rFonts w:ascii="Calibri" w:eastAsia="Times New Roman" w:hAnsi="Calibri" w:cs="Times New Roman"/>
                <w:color w:val="FFFFFF"/>
                <w:sz w:val="16"/>
                <w:szCs w:val="16"/>
                <w:lang w:eastAsia="en-GB"/>
              </w:rPr>
            </w:pPr>
            <w:r w:rsidRPr="00767C32">
              <w:rPr>
                <w:rFonts w:ascii="Calibri" w:eastAsia="Times New Roman" w:hAnsi="Calibri" w:cs="Times New Roman"/>
                <w:color w:val="FFFFFF"/>
                <w:sz w:val="16"/>
                <w:szCs w:val="16"/>
                <w:lang w:eastAsia="en-GB"/>
              </w:rPr>
              <w:t>959</w:t>
            </w:r>
          </w:p>
        </w:tc>
        <w:tc>
          <w:tcPr>
            <w:tcW w:w="257" w:type="pct"/>
            <w:tcBorders>
              <w:top w:val="nil"/>
              <w:left w:val="nil"/>
              <w:bottom w:val="single" w:sz="4" w:space="0" w:color="auto"/>
              <w:right w:val="single" w:sz="4" w:space="0" w:color="auto"/>
            </w:tcBorders>
            <w:shd w:val="clear" w:color="000000" w:fill="420000"/>
            <w:noWrap/>
            <w:vAlign w:val="center"/>
            <w:hideMark/>
          </w:tcPr>
          <w:p w:rsidR="00767C32" w:rsidRPr="00767C32" w:rsidRDefault="00767C32" w:rsidP="00767C32">
            <w:pPr>
              <w:spacing w:after="0" w:line="240" w:lineRule="auto"/>
              <w:jc w:val="center"/>
              <w:rPr>
                <w:rFonts w:ascii="Calibri" w:eastAsia="Times New Roman" w:hAnsi="Calibri" w:cs="Times New Roman"/>
                <w:color w:val="FFFFFF"/>
                <w:sz w:val="16"/>
                <w:szCs w:val="16"/>
                <w:lang w:eastAsia="en-GB"/>
              </w:rPr>
            </w:pPr>
            <w:r w:rsidRPr="00767C32">
              <w:rPr>
                <w:rFonts w:ascii="Calibri" w:eastAsia="Times New Roman" w:hAnsi="Calibri" w:cs="Times New Roman"/>
                <w:color w:val="FFFFFF"/>
                <w:sz w:val="16"/>
                <w:szCs w:val="16"/>
                <w:lang w:eastAsia="en-GB"/>
              </w:rPr>
              <w:t>1.0%</w:t>
            </w:r>
          </w:p>
        </w:tc>
        <w:tc>
          <w:tcPr>
            <w:tcW w:w="304" w:type="pct"/>
            <w:tcBorders>
              <w:top w:val="nil"/>
              <w:left w:val="nil"/>
              <w:bottom w:val="single" w:sz="4" w:space="0" w:color="auto"/>
              <w:right w:val="single" w:sz="4" w:space="0" w:color="auto"/>
            </w:tcBorders>
            <w:shd w:val="clear" w:color="000000" w:fill="420000"/>
            <w:noWrap/>
            <w:vAlign w:val="center"/>
            <w:hideMark/>
          </w:tcPr>
          <w:p w:rsidR="00767C32" w:rsidRPr="00767C32" w:rsidRDefault="00767C32" w:rsidP="00767C32">
            <w:pPr>
              <w:spacing w:after="0" w:line="240" w:lineRule="auto"/>
              <w:jc w:val="center"/>
              <w:rPr>
                <w:rFonts w:ascii="Calibri" w:eastAsia="Times New Roman" w:hAnsi="Calibri" w:cs="Times New Roman"/>
                <w:color w:val="FFFFFF"/>
                <w:sz w:val="16"/>
                <w:szCs w:val="16"/>
                <w:lang w:eastAsia="en-GB"/>
              </w:rPr>
            </w:pPr>
            <w:r w:rsidRPr="00767C32">
              <w:rPr>
                <w:rFonts w:ascii="Calibri" w:eastAsia="Times New Roman" w:hAnsi="Calibri" w:cs="Times New Roman"/>
                <w:color w:val="FFFFFF"/>
                <w:sz w:val="16"/>
                <w:szCs w:val="16"/>
                <w:lang w:eastAsia="en-GB"/>
              </w:rPr>
              <w:t>1,258</w:t>
            </w:r>
          </w:p>
        </w:tc>
        <w:tc>
          <w:tcPr>
            <w:tcW w:w="258" w:type="pct"/>
            <w:tcBorders>
              <w:top w:val="nil"/>
              <w:left w:val="nil"/>
              <w:bottom w:val="single" w:sz="4" w:space="0" w:color="auto"/>
              <w:right w:val="single" w:sz="4" w:space="0" w:color="auto"/>
            </w:tcBorders>
            <w:shd w:val="clear" w:color="000000" w:fill="420000"/>
            <w:noWrap/>
            <w:vAlign w:val="center"/>
            <w:hideMark/>
          </w:tcPr>
          <w:p w:rsidR="00767C32" w:rsidRPr="00767C32" w:rsidRDefault="00767C32" w:rsidP="00767C32">
            <w:pPr>
              <w:spacing w:after="0" w:line="240" w:lineRule="auto"/>
              <w:jc w:val="center"/>
              <w:rPr>
                <w:rFonts w:ascii="Calibri" w:eastAsia="Times New Roman" w:hAnsi="Calibri" w:cs="Times New Roman"/>
                <w:color w:val="FFFFFF"/>
                <w:sz w:val="16"/>
                <w:szCs w:val="16"/>
                <w:lang w:eastAsia="en-GB"/>
              </w:rPr>
            </w:pPr>
            <w:r w:rsidRPr="00767C32">
              <w:rPr>
                <w:rFonts w:ascii="Calibri" w:eastAsia="Times New Roman" w:hAnsi="Calibri" w:cs="Times New Roman"/>
                <w:color w:val="FFFFFF"/>
                <w:sz w:val="16"/>
                <w:szCs w:val="16"/>
                <w:lang w:eastAsia="en-GB"/>
              </w:rPr>
              <w:t>0.8%</w:t>
            </w:r>
          </w:p>
        </w:tc>
        <w:tc>
          <w:tcPr>
            <w:tcW w:w="251" w:type="pct"/>
            <w:tcBorders>
              <w:top w:val="nil"/>
              <w:left w:val="nil"/>
              <w:bottom w:val="single" w:sz="4" w:space="0" w:color="auto"/>
              <w:right w:val="single" w:sz="4" w:space="0" w:color="auto"/>
            </w:tcBorders>
            <w:shd w:val="clear" w:color="000000" w:fill="420000"/>
            <w:noWrap/>
            <w:vAlign w:val="center"/>
            <w:hideMark/>
          </w:tcPr>
          <w:p w:rsidR="00767C32" w:rsidRPr="00767C32" w:rsidRDefault="00767C32" w:rsidP="00767C32">
            <w:pPr>
              <w:spacing w:after="0" w:line="240" w:lineRule="auto"/>
              <w:jc w:val="center"/>
              <w:rPr>
                <w:rFonts w:ascii="Calibri" w:eastAsia="Times New Roman" w:hAnsi="Calibri" w:cs="Times New Roman"/>
                <w:color w:val="FFFFFF"/>
                <w:sz w:val="16"/>
                <w:szCs w:val="16"/>
                <w:lang w:eastAsia="en-GB"/>
              </w:rPr>
            </w:pPr>
            <w:r w:rsidRPr="00767C32">
              <w:rPr>
                <w:rFonts w:ascii="Calibri" w:eastAsia="Times New Roman" w:hAnsi="Calibri" w:cs="Times New Roman"/>
                <w:color w:val="FFFFFF"/>
                <w:sz w:val="16"/>
                <w:szCs w:val="16"/>
                <w:lang w:eastAsia="en-GB"/>
              </w:rPr>
              <w:t>924</w:t>
            </w:r>
          </w:p>
        </w:tc>
        <w:tc>
          <w:tcPr>
            <w:tcW w:w="256" w:type="pct"/>
            <w:tcBorders>
              <w:top w:val="nil"/>
              <w:left w:val="nil"/>
              <w:bottom w:val="single" w:sz="4" w:space="0" w:color="auto"/>
              <w:right w:val="single" w:sz="4" w:space="0" w:color="auto"/>
            </w:tcBorders>
            <w:shd w:val="clear" w:color="000000" w:fill="420000"/>
            <w:noWrap/>
            <w:vAlign w:val="center"/>
            <w:hideMark/>
          </w:tcPr>
          <w:p w:rsidR="00767C32" w:rsidRPr="00767C32" w:rsidRDefault="00767C32" w:rsidP="00767C32">
            <w:pPr>
              <w:spacing w:after="0" w:line="240" w:lineRule="auto"/>
              <w:jc w:val="center"/>
              <w:rPr>
                <w:rFonts w:ascii="Calibri" w:eastAsia="Times New Roman" w:hAnsi="Calibri" w:cs="Times New Roman"/>
                <w:color w:val="FFFFFF"/>
                <w:sz w:val="16"/>
                <w:szCs w:val="16"/>
                <w:lang w:eastAsia="en-GB"/>
              </w:rPr>
            </w:pPr>
            <w:r w:rsidRPr="00767C32">
              <w:rPr>
                <w:rFonts w:ascii="Calibri" w:eastAsia="Times New Roman" w:hAnsi="Calibri" w:cs="Times New Roman"/>
                <w:color w:val="FFFFFF"/>
                <w:sz w:val="16"/>
                <w:szCs w:val="16"/>
                <w:lang w:eastAsia="en-GB"/>
              </w:rPr>
              <w:t>0.8%</w:t>
            </w:r>
          </w:p>
        </w:tc>
        <w:tc>
          <w:tcPr>
            <w:tcW w:w="300" w:type="pct"/>
            <w:tcBorders>
              <w:top w:val="nil"/>
              <w:left w:val="nil"/>
              <w:bottom w:val="single" w:sz="4" w:space="0" w:color="auto"/>
              <w:right w:val="single" w:sz="4" w:space="0" w:color="auto"/>
            </w:tcBorders>
            <w:shd w:val="clear" w:color="auto" w:fill="auto"/>
            <w:noWrap/>
            <w:vAlign w:val="center"/>
            <w:hideMark/>
          </w:tcPr>
          <w:p w:rsidR="00767C32" w:rsidRPr="00767C32" w:rsidRDefault="00767C32" w:rsidP="00767C32">
            <w:pPr>
              <w:spacing w:after="0" w:line="240" w:lineRule="auto"/>
              <w:jc w:val="center"/>
              <w:rPr>
                <w:rFonts w:ascii="Calibri" w:eastAsia="Times New Roman" w:hAnsi="Calibri" w:cs="Times New Roman"/>
                <w:color w:val="000000"/>
                <w:sz w:val="16"/>
                <w:szCs w:val="16"/>
                <w:lang w:eastAsia="en-GB"/>
              </w:rPr>
            </w:pPr>
            <w:r w:rsidRPr="00767C32">
              <w:rPr>
                <w:rFonts w:ascii="Calibri" w:eastAsia="Times New Roman" w:hAnsi="Calibri" w:cs="Times New Roman"/>
                <w:color w:val="000000"/>
                <w:sz w:val="16"/>
                <w:szCs w:val="16"/>
                <w:lang w:eastAsia="en-GB"/>
              </w:rPr>
              <w:t>356,372</w:t>
            </w:r>
          </w:p>
        </w:tc>
        <w:tc>
          <w:tcPr>
            <w:tcW w:w="254" w:type="pct"/>
            <w:tcBorders>
              <w:top w:val="nil"/>
              <w:left w:val="nil"/>
              <w:bottom w:val="single" w:sz="4" w:space="0" w:color="auto"/>
              <w:right w:val="single" w:sz="4" w:space="0" w:color="auto"/>
            </w:tcBorders>
            <w:shd w:val="clear" w:color="auto" w:fill="auto"/>
            <w:noWrap/>
            <w:vAlign w:val="center"/>
            <w:hideMark/>
          </w:tcPr>
          <w:p w:rsidR="00767C32" w:rsidRPr="00767C32" w:rsidRDefault="00767C32" w:rsidP="00767C32">
            <w:pPr>
              <w:spacing w:after="0" w:line="240" w:lineRule="auto"/>
              <w:jc w:val="center"/>
              <w:rPr>
                <w:rFonts w:ascii="Calibri" w:eastAsia="Times New Roman" w:hAnsi="Calibri" w:cs="Times New Roman"/>
                <w:color w:val="000000"/>
                <w:sz w:val="16"/>
                <w:szCs w:val="16"/>
                <w:lang w:eastAsia="en-GB"/>
              </w:rPr>
            </w:pPr>
            <w:r w:rsidRPr="00767C32">
              <w:rPr>
                <w:rFonts w:ascii="Calibri" w:eastAsia="Times New Roman" w:hAnsi="Calibri" w:cs="Times New Roman"/>
                <w:color w:val="000000"/>
                <w:sz w:val="16"/>
                <w:szCs w:val="16"/>
                <w:lang w:eastAsia="en-GB"/>
              </w:rPr>
              <w:t>0.7%</w:t>
            </w:r>
          </w:p>
        </w:tc>
      </w:tr>
      <w:tr w:rsidR="0085747D" w:rsidRPr="00767C32" w:rsidTr="0085747D">
        <w:trPr>
          <w:trHeight w:val="300"/>
        </w:trPr>
        <w:tc>
          <w:tcPr>
            <w:tcW w:w="513" w:type="pct"/>
            <w:tcBorders>
              <w:top w:val="nil"/>
              <w:left w:val="single" w:sz="4" w:space="0" w:color="auto"/>
              <w:bottom w:val="single" w:sz="4" w:space="0" w:color="auto"/>
              <w:right w:val="single" w:sz="4" w:space="0" w:color="auto"/>
            </w:tcBorders>
            <w:shd w:val="clear" w:color="auto" w:fill="auto"/>
            <w:noWrap/>
            <w:vAlign w:val="center"/>
            <w:hideMark/>
          </w:tcPr>
          <w:p w:rsidR="00767C32" w:rsidRPr="00767C32" w:rsidRDefault="00767C32" w:rsidP="00767C32">
            <w:pPr>
              <w:spacing w:after="0" w:line="240" w:lineRule="auto"/>
              <w:jc w:val="center"/>
              <w:rPr>
                <w:rFonts w:ascii="Calibri" w:eastAsia="Times New Roman" w:hAnsi="Calibri" w:cs="Times New Roman"/>
                <w:color w:val="000000"/>
                <w:sz w:val="16"/>
                <w:szCs w:val="16"/>
                <w:lang w:eastAsia="en-GB"/>
              </w:rPr>
            </w:pPr>
            <w:r w:rsidRPr="00767C32">
              <w:rPr>
                <w:rFonts w:ascii="Calibri" w:eastAsia="Times New Roman" w:hAnsi="Calibri" w:cs="Times New Roman"/>
                <w:color w:val="000000"/>
                <w:sz w:val="16"/>
                <w:szCs w:val="16"/>
                <w:lang w:eastAsia="en-GB"/>
              </w:rPr>
              <w:t>% reporting depression or anxiety, 18+</w:t>
            </w:r>
          </w:p>
        </w:tc>
        <w:tc>
          <w:tcPr>
            <w:tcW w:w="256" w:type="pct"/>
            <w:tcBorders>
              <w:top w:val="nil"/>
              <w:left w:val="nil"/>
              <w:bottom w:val="single" w:sz="4" w:space="0" w:color="auto"/>
              <w:right w:val="single" w:sz="4" w:space="0" w:color="auto"/>
            </w:tcBorders>
            <w:shd w:val="clear" w:color="auto" w:fill="auto"/>
            <w:noWrap/>
            <w:vAlign w:val="center"/>
            <w:hideMark/>
          </w:tcPr>
          <w:p w:rsidR="00767C32" w:rsidRPr="00767C32" w:rsidRDefault="00767C32" w:rsidP="00767C32">
            <w:pPr>
              <w:spacing w:after="0" w:line="240" w:lineRule="auto"/>
              <w:jc w:val="center"/>
              <w:rPr>
                <w:rFonts w:ascii="Calibri" w:eastAsia="Times New Roman" w:hAnsi="Calibri" w:cs="Times New Roman"/>
                <w:color w:val="000000"/>
                <w:sz w:val="16"/>
                <w:szCs w:val="16"/>
                <w:lang w:eastAsia="en-GB"/>
              </w:rPr>
            </w:pPr>
            <w:r w:rsidRPr="00767C32">
              <w:rPr>
                <w:rFonts w:ascii="Calibri" w:eastAsia="Times New Roman" w:hAnsi="Calibri" w:cs="Times New Roman"/>
                <w:color w:val="000000"/>
                <w:sz w:val="16"/>
                <w:szCs w:val="16"/>
                <w:lang w:eastAsia="en-GB"/>
              </w:rPr>
              <w:t>2016-17</w:t>
            </w:r>
          </w:p>
        </w:tc>
        <w:tc>
          <w:tcPr>
            <w:tcW w:w="257" w:type="pct"/>
            <w:tcBorders>
              <w:top w:val="nil"/>
              <w:left w:val="nil"/>
              <w:bottom w:val="single" w:sz="4" w:space="0" w:color="auto"/>
              <w:right w:val="single" w:sz="4" w:space="0" w:color="auto"/>
            </w:tcBorders>
            <w:shd w:val="clear" w:color="000000" w:fill="EBF1DE"/>
            <w:noWrap/>
            <w:vAlign w:val="center"/>
            <w:hideMark/>
          </w:tcPr>
          <w:p w:rsidR="00767C32" w:rsidRPr="00767C32" w:rsidRDefault="00767C32" w:rsidP="00767C32">
            <w:pPr>
              <w:spacing w:after="0" w:line="240" w:lineRule="auto"/>
              <w:jc w:val="center"/>
              <w:rPr>
                <w:rFonts w:ascii="Calibri" w:eastAsia="Times New Roman" w:hAnsi="Calibri" w:cs="Times New Roman"/>
                <w:color w:val="000000"/>
                <w:sz w:val="16"/>
                <w:szCs w:val="16"/>
                <w:lang w:eastAsia="en-GB"/>
              </w:rPr>
            </w:pPr>
            <w:r w:rsidRPr="00767C32">
              <w:rPr>
                <w:rFonts w:ascii="Calibri" w:eastAsia="Times New Roman" w:hAnsi="Calibri" w:cs="Times New Roman"/>
                <w:color w:val="000000"/>
                <w:sz w:val="16"/>
                <w:szCs w:val="16"/>
                <w:lang w:eastAsia="en-GB"/>
              </w:rPr>
              <w:t>-</w:t>
            </w:r>
          </w:p>
        </w:tc>
        <w:tc>
          <w:tcPr>
            <w:tcW w:w="256" w:type="pct"/>
            <w:tcBorders>
              <w:top w:val="nil"/>
              <w:left w:val="nil"/>
              <w:bottom w:val="single" w:sz="4" w:space="0" w:color="auto"/>
              <w:right w:val="single" w:sz="4" w:space="0" w:color="auto"/>
            </w:tcBorders>
            <w:shd w:val="clear" w:color="000000" w:fill="EBF1DE"/>
            <w:noWrap/>
            <w:vAlign w:val="center"/>
            <w:hideMark/>
          </w:tcPr>
          <w:p w:rsidR="00767C32" w:rsidRPr="00767C32" w:rsidRDefault="00767C32" w:rsidP="00767C32">
            <w:pPr>
              <w:spacing w:after="0" w:line="240" w:lineRule="auto"/>
              <w:jc w:val="center"/>
              <w:rPr>
                <w:rFonts w:ascii="Calibri" w:eastAsia="Times New Roman" w:hAnsi="Calibri" w:cs="Times New Roman"/>
                <w:color w:val="000000"/>
                <w:sz w:val="16"/>
                <w:szCs w:val="16"/>
                <w:lang w:eastAsia="en-GB"/>
              </w:rPr>
            </w:pPr>
            <w:r w:rsidRPr="00767C32">
              <w:rPr>
                <w:rFonts w:ascii="Calibri" w:eastAsia="Times New Roman" w:hAnsi="Calibri" w:cs="Times New Roman"/>
                <w:color w:val="000000"/>
                <w:sz w:val="16"/>
                <w:szCs w:val="16"/>
                <w:lang w:eastAsia="en-GB"/>
              </w:rPr>
              <w:t>11.7%</w:t>
            </w:r>
          </w:p>
        </w:tc>
        <w:tc>
          <w:tcPr>
            <w:tcW w:w="257" w:type="pct"/>
            <w:tcBorders>
              <w:top w:val="nil"/>
              <w:left w:val="nil"/>
              <w:bottom w:val="single" w:sz="4" w:space="0" w:color="auto"/>
              <w:right w:val="single" w:sz="4" w:space="0" w:color="auto"/>
            </w:tcBorders>
            <w:shd w:val="clear" w:color="000000" w:fill="FFFF99"/>
            <w:noWrap/>
            <w:vAlign w:val="center"/>
            <w:hideMark/>
          </w:tcPr>
          <w:p w:rsidR="00767C32" w:rsidRPr="00767C32" w:rsidRDefault="00767C32" w:rsidP="00767C32">
            <w:pPr>
              <w:spacing w:after="0" w:line="240" w:lineRule="auto"/>
              <w:jc w:val="center"/>
              <w:rPr>
                <w:rFonts w:ascii="Calibri" w:eastAsia="Times New Roman" w:hAnsi="Calibri" w:cs="Times New Roman"/>
                <w:color w:val="000000"/>
                <w:sz w:val="16"/>
                <w:szCs w:val="16"/>
                <w:lang w:eastAsia="en-GB"/>
              </w:rPr>
            </w:pPr>
            <w:r w:rsidRPr="00767C32">
              <w:rPr>
                <w:rFonts w:ascii="Calibri" w:eastAsia="Times New Roman" w:hAnsi="Calibri" w:cs="Times New Roman"/>
                <w:color w:val="000000"/>
                <w:sz w:val="16"/>
                <w:szCs w:val="16"/>
                <w:lang w:eastAsia="en-GB"/>
              </w:rPr>
              <w:t>-</w:t>
            </w:r>
          </w:p>
        </w:tc>
        <w:tc>
          <w:tcPr>
            <w:tcW w:w="256" w:type="pct"/>
            <w:tcBorders>
              <w:top w:val="nil"/>
              <w:left w:val="nil"/>
              <w:bottom w:val="single" w:sz="4" w:space="0" w:color="auto"/>
              <w:right w:val="single" w:sz="4" w:space="0" w:color="auto"/>
            </w:tcBorders>
            <w:shd w:val="clear" w:color="000000" w:fill="FFFF99"/>
            <w:noWrap/>
            <w:vAlign w:val="center"/>
            <w:hideMark/>
          </w:tcPr>
          <w:p w:rsidR="00767C32" w:rsidRPr="00767C32" w:rsidRDefault="00767C32" w:rsidP="00767C32">
            <w:pPr>
              <w:spacing w:after="0" w:line="240" w:lineRule="auto"/>
              <w:jc w:val="center"/>
              <w:rPr>
                <w:rFonts w:ascii="Calibri" w:eastAsia="Times New Roman" w:hAnsi="Calibri" w:cs="Times New Roman"/>
                <w:color w:val="000000"/>
                <w:sz w:val="16"/>
                <w:szCs w:val="16"/>
                <w:lang w:eastAsia="en-GB"/>
              </w:rPr>
            </w:pPr>
            <w:r w:rsidRPr="00767C32">
              <w:rPr>
                <w:rFonts w:ascii="Calibri" w:eastAsia="Times New Roman" w:hAnsi="Calibri" w:cs="Times New Roman"/>
                <w:color w:val="000000"/>
                <w:sz w:val="16"/>
                <w:szCs w:val="16"/>
                <w:lang w:eastAsia="en-GB"/>
              </w:rPr>
              <w:t>12.8%</w:t>
            </w:r>
          </w:p>
        </w:tc>
        <w:tc>
          <w:tcPr>
            <w:tcW w:w="257" w:type="pct"/>
            <w:tcBorders>
              <w:top w:val="nil"/>
              <w:left w:val="nil"/>
              <w:bottom w:val="single" w:sz="4" w:space="0" w:color="auto"/>
              <w:right w:val="single" w:sz="4" w:space="0" w:color="auto"/>
            </w:tcBorders>
            <w:shd w:val="clear" w:color="000000" w:fill="FFFF99"/>
            <w:noWrap/>
            <w:vAlign w:val="center"/>
            <w:hideMark/>
          </w:tcPr>
          <w:p w:rsidR="00767C32" w:rsidRPr="00767C32" w:rsidRDefault="00767C32" w:rsidP="00767C32">
            <w:pPr>
              <w:spacing w:after="0" w:line="240" w:lineRule="auto"/>
              <w:jc w:val="center"/>
              <w:rPr>
                <w:rFonts w:ascii="Calibri" w:eastAsia="Times New Roman" w:hAnsi="Calibri" w:cs="Times New Roman"/>
                <w:color w:val="000000"/>
                <w:sz w:val="16"/>
                <w:szCs w:val="16"/>
                <w:lang w:eastAsia="en-GB"/>
              </w:rPr>
            </w:pPr>
            <w:r w:rsidRPr="00767C32">
              <w:rPr>
                <w:rFonts w:ascii="Calibri" w:eastAsia="Times New Roman" w:hAnsi="Calibri" w:cs="Times New Roman"/>
                <w:color w:val="000000"/>
                <w:sz w:val="16"/>
                <w:szCs w:val="16"/>
                <w:lang w:eastAsia="en-GB"/>
              </w:rPr>
              <w:t>-</w:t>
            </w:r>
          </w:p>
        </w:tc>
        <w:tc>
          <w:tcPr>
            <w:tcW w:w="256" w:type="pct"/>
            <w:tcBorders>
              <w:top w:val="nil"/>
              <w:left w:val="nil"/>
              <w:bottom w:val="single" w:sz="4" w:space="0" w:color="auto"/>
              <w:right w:val="single" w:sz="4" w:space="0" w:color="auto"/>
            </w:tcBorders>
            <w:shd w:val="clear" w:color="000000" w:fill="FFFF99"/>
            <w:noWrap/>
            <w:vAlign w:val="center"/>
            <w:hideMark/>
          </w:tcPr>
          <w:p w:rsidR="00767C32" w:rsidRPr="00767C32" w:rsidRDefault="00767C32" w:rsidP="00767C32">
            <w:pPr>
              <w:spacing w:after="0" w:line="240" w:lineRule="auto"/>
              <w:jc w:val="center"/>
              <w:rPr>
                <w:rFonts w:ascii="Calibri" w:eastAsia="Times New Roman" w:hAnsi="Calibri" w:cs="Times New Roman"/>
                <w:color w:val="000000"/>
                <w:sz w:val="16"/>
                <w:szCs w:val="16"/>
                <w:lang w:eastAsia="en-GB"/>
              </w:rPr>
            </w:pPr>
            <w:r w:rsidRPr="00767C32">
              <w:rPr>
                <w:rFonts w:ascii="Calibri" w:eastAsia="Times New Roman" w:hAnsi="Calibri" w:cs="Times New Roman"/>
                <w:color w:val="000000"/>
                <w:sz w:val="16"/>
                <w:szCs w:val="16"/>
                <w:lang w:eastAsia="en-GB"/>
              </w:rPr>
              <w:t>12.7%</w:t>
            </w:r>
          </w:p>
        </w:tc>
        <w:tc>
          <w:tcPr>
            <w:tcW w:w="257" w:type="pct"/>
            <w:tcBorders>
              <w:top w:val="nil"/>
              <w:left w:val="nil"/>
              <w:bottom w:val="single" w:sz="4" w:space="0" w:color="auto"/>
              <w:right w:val="single" w:sz="4" w:space="0" w:color="auto"/>
            </w:tcBorders>
            <w:shd w:val="clear" w:color="000000" w:fill="EBF1DE"/>
            <w:noWrap/>
            <w:vAlign w:val="center"/>
            <w:hideMark/>
          </w:tcPr>
          <w:p w:rsidR="00767C32" w:rsidRPr="00767C32" w:rsidRDefault="00767C32" w:rsidP="00767C32">
            <w:pPr>
              <w:spacing w:after="0" w:line="240" w:lineRule="auto"/>
              <w:jc w:val="center"/>
              <w:rPr>
                <w:rFonts w:ascii="Calibri" w:eastAsia="Times New Roman" w:hAnsi="Calibri" w:cs="Times New Roman"/>
                <w:color w:val="000000"/>
                <w:sz w:val="16"/>
                <w:szCs w:val="16"/>
                <w:lang w:eastAsia="en-GB"/>
              </w:rPr>
            </w:pPr>
            <w:r w:rsidRPr="00767C32">
              <w:rPr>
                <w:rFonts w:ascii="Calibri" w:eastAsia="Times New Roman" w:hAnsi="Calibri" w:cs="Times New Roman"/>
                <w:color w:val="000000"/>
                <w:sz w:val="16"/>
                <w:szCs w:val="16"/>
                <w:lang w:eastAsia="en-GB"/>
              </w:rPr>
              <w:t>-</w:t>
            </w:r>
          </w:p>
        </w:tc>
        <w:tc>
          <w:tcPr>
            <w:tcW w:w="299" w:type="pct"/>
            <w:tcBorders>
              <w:top w:val="nil"/>
              <w:left w:val="nil"/>
              <w:bottom w:val="single" w:sz="4" w:space="0" w:color="auto"/>
              <w:right w:val="single" w:sz="4" w:space="0" w:color="auto"/>
            </w:tcBorders>
            <w:shd w:val="clear" w:color="000000" w:fill="EBF1DE"/>
            <w:noWrap/>
            <w:vAlign w:val="center"/>
            <w:hideMark/>
          </w:tcPr>
          <w:p w:rsidR="00767C32" w:rsidRPr="00767C32" w:rsidRDefault="00767C32" w:rsidP="00767C32">
            <w:pPr>
              <w:spacing w:after="0" w:line="240" w:lineRule="auto"/>
              <w:jc w:val="center"/>
              <w:rPr>
                <w:rFonts w:ascii="Calibri" w:eastAsia="Times New Roman" w:hAnsi="Calibri" w:cs="Times New Roman"/>
                <w:color w:val="000000"/>
                <w:sz w:val="16"/>
                <w:szCs w:val="16"/>
                <w:lang w:eastAsia="en-GB"/>
              </w:rPr>
            </w:pPr>
            <w:r w:rsidRPr="00767C32">
              <w:rPr>
                <w:rFonts w:ascii="Calibri" w:eastAsia="Times New Roman" w:hAnsi="Calibri" w:cs="Times New Roman"/>
                <w:color w:val="000000"/>
                <w:sz w:val="16"/>
                <w:szCs w:val="16"/>
                <w:lang w:eastAsia="en-GB"/>
              </w:rPr>
              <w:t>11.1%</w:t>
            </w:r>
          </w:p>
        </w:tc>
        <w:tc>
          <w:tcPr>
            <w:tcW w:w="256" w:type="pct"/>
            <w:tcBorders>
              <w:top w:val="nil"/>
              <w:left w:val="nil"/>
              <w:bottom w:val="single" w:sz="4" w:space="0" w:color="auto"/>
              <w:right w:val="single" w:sz="4" w:space="0" w:color="auto"/>
            </w:tcBorders>
            <w:shd w:val="clear" w:color="000000" w:fill="420000"/>
            <w:noWrap/>
            <w:vAlign w:val="center"/>
            <w:hideMark/>
          </w:tcPr>
          <w:p w:rsidR="00767C32" w:rsidRPr="00767C32" w:rsidRDefault="00767C32" w:rsidP="00767C32">
            <w:pPr>
              <w:spacing w:after="0" w:line="240" w:lineRule="auto"/>
              <w:jc w:val="center"/>
              <w:rPr>
                <w:rFonts w:ascii="Calibri" w:eastAsia="Times New Roman" w:hAnsi="Calibri" w:cs="Times New Roman"/>
                <w:color w:val="FFFFFF"/>
                <w:sz w:val="16"/>
                <w:szCs w:val="16"/>
                <w:lang w:eastAsia="en-GB"/>
              </w:rPr>
            </w:pPr>
            <w:r w:rsidRPr="00767C32">
              <w:rPr>
                <w:rFonts w:ascii="Calibri" w:eastAsia="Times New Roman" w:hAnsi="Calibri" w:cs="Times New Roman"/>
                <w:color w:val="FFFFFF"/>
                <w:sz w:val="16"/>
                <w:szCs w:val="16"/>
                <w:lang w:eastAsia="en-GB"/>
              </w:rPr>
              <w:t>-</w:t>
            </w:r>
          </w:p>
        </w:tc>
        <w:tc>
          <w:tcPr>
            <w:tcW w:w="257" w:type="pct"/>
            <w:tcBorders>
              <w:top w:val="nil"/>
              <w:left w:val="nil"/>
              <w:bottom w:val="single" w:sz="4" w:space="0" w:color="auto"/>
              <w:right w:val="single" w:sz="4" w:space="0" w:color="auto"/>
            </w:tcBorders>
            <w:shd w:val="clear" w:color="000000" w:fill="420000"/>
            <w:noWrap/>
            <w:vAlign w:val="center"/>
            <w:hideMark/>
          </w:tcPr>
          <w:p w:rsidR="00767C32" w:rsidRPr="00767C32" w:rsidRDefault="00767C32" w:rsidP="00767C32">
            <w:pPr>
              <w:spacing w:after="0" w:line="240" w:lineRule="auto"/>
              <w:jc w:val="center"/>
              <w:rPr>
                <w:rFonts w:ascii="Calibri" w:eastAsia="Times New Roman" w:hAnsi="Calibri" w:cs="Times New Roman"/>
                <w:color w:val="FFFFFF"/>
                <w:sz w:val="16"/>
                <w:szCs w:val="16"/>
                <w:lang w:eastAsia="en-GB"/>
              </w:rPr>
            </w:pPr>
            <w:r w:rsidRPr="00767C32">
              <w:rPr>
                <w:rFonts w:ascii="Calibri" w:eastAsia="Times New Roman" w:hAnsi="Calibri" w:cs="Times New Roman"/>
                <w:color w:val="FFFFFF"/>
                <w:sz w:val="16"/>
                <w:szCs w:val="16"/>
                <w:lang w:eastAsia="en-GB"/>
              </w:rPr>
              <w:t>15.9%</w:t>
            </w:r>
          </w:p>
        </w:tc>
        <w:tc>
          <w:tcPr>
            <w:tcW w:w="304" w:type="pct"/>
            <w:tcBorders>
              <w:top w:val="nil"/>
              <w:left w:val="nil"/>
              <w:bottom w:val="single" w:sz="4" w:space="0" w:color="auto"/>
              <w:right w:val="single" w:sz="4" w:space="0" w:color="auto"/>
            </w:tcBorders>
            <w:shd w:val="clear" w:color="000000" w:fill="EBF1DE"/>
            <w:noWrap/>
            <w:vAlign w:val="center"/>
            <w:hideMark/>
          </w:tcPr>
          <w:p w:rsidR="00767C32" w:rsidRPr="00767C32" w:rsidRDefault="00767C32" w:rsidP="00767C32">
            <w:pPr>
              <w:spacing w:after="0" w:line="240" w:lineRule="auto"/>
              <w:jc w:val="center"/>
              <w:rPr>
                <w:rFonts w:ascii="Calibri" w:eastAsia="Times New Roman" w:hAnsi="Calibri" w:cs="Times New Roman"/>
                <w:color w:val="000000"/>
                <w:sz w:val="16"/>
                <w:szCs w:val="16"/>
                <w:lang w:eastAsia="en-GB"/>
              </w:rPr>
            </w:pPr>
            <w:r w:rsidRPr="00767C32">
              <w:rPr>
                <w:rFonts w:ascii="Calibri" w:eastAsia="Times New Roman" w:hAnsi="Calibri" w:cs="Times New Roman"/>
                <w:color w:val="000000"/>
                <w:sz w:val="16"/>
                <w:szCs w:val="16"/>
                <w:lang w:eastAsia="en-GB"/>
              </w:rPr>
              <w:t>-</w:t>
            </w:r>
          </w:p>
        </w:tc>
        <w:tc>
          <w:tcPr>
            <w:tcW w:w="258" w:type="pct"/>
            <w:tcBorders>
              <w:top w:val="nil"/>
              <w:left w:val="nil"/>
              <w:bottom w:val="single" w:sz="4" w:space="0" w:color="auto"/>
              <w:right w:val="single" w:sz="4" w:space="0" w:color="auto"/>
            </w:tcBorders>
            <w:shd w:val="clear" w:color="000000" w:fill="EBF1DE"/>
            <w:noWrap/>
            <w:vAlign w:val="center"/>
            <w:hideMark/>
          </w:tcPr>
          <w:p w:rsidR="00767C32" w:rsidRPr="00767C32" w:rsidRDefault="00767C32" w:rsidP="00767C32">
            <w:pPr>
              <w:spacing w:after="0" w:line="240" w:lineRule="auto"/>
              <w:jc w:val="center"/>
              <w:rPr>
                <w:rFonts w:ascii="Calibri" w:eastAsia="Times New Roman" w:hAnsi="Calibri" w:cs="Times New Roman"/>
                <w:color w:val="000000"/>
                <w:sz w:val="16"/>
                <w:szCs w:val="16"/>
                <w:lang w:eastAsia="en-GB"/>
              </w:rPr>
            </w:pPr>
            <w:r w:rsidRPr="00767C32">
              <w:rPr>
                <w:rFonts w:ascii="Calibri" w:eastAsia="Times New Roman" w:hAnsi="Calibri" w:cs="Times New Roman"/>
                <w:color w:val="000000"/>
                <w:sz w:val="16"/>
                <w:szCs w:val="16"/>
                <w:lang w:eastAsia="en-GB"/>
              </w:rPr>
              <w:t>10.8%</w:t>
            </w:r>
          </w:p>
        </w:tc>
        <w:tc>
          <w:tcPr>
            <w:tcW w:w="251" w:type="pct"/>
            <w:tcBorders>
              <w:top w:val="nil"/>
              <w:left w:val="nil"/>
              <w:bottom w:val="single" w:sz="4" w:space="0" w:color="auto"/>
              <w:right w:val="single" w:sz="4" w:space="0" w:color="auto"/>
            </w:tcBorders>
            <w:shd w:val="clear" w:color="000000" w:fill="EBF1DE"/>
            <w:noWrap/>
            <w:vAlign w:val="center"/>
            <w:hideMark/>
          </w:tcPr>
          <w:p w:rsidR="00767C32" w:rsidRPr="00767C32" w:rsidRDefault="00767C32" w:rsidP="00767C32">
            <w:pPr>
              <w:spacing w:after="0" w:line="240" w:lineRule="auto"/>
              <w:jc w:val="center"/>
              <w:rPr>
                <w:rFonts w:ascii="Calibri" w:eastAsia="Times New Roman" w:hAnsi="Calibri" w:cs="Times New Roman"/>
                <w:color w:val="000000"/>
                <w:sz w:val="16"/>
                <w:szCs w:val="16"/>
                <w:lang w:eastAsia="en-GB"/>
              </w:rPr>
            </w:pPr>
            <w:r w:rsidRPr="00767C32">
              <w:rPr>
                <w:rFonts w:ascii="Calibri" w:eastAsia="Times New Roman" w:hAnsi="Calibri" w:cs="Times New Roman"/>
                <w:color w:val="000000"/>
                <w:sz w:val="16"/>
                <w:szCs w:val="16"/>
                <w:lang w:eastAsia="en-GB"/>
              </w:rPr>
              <w:t>-</w:t>
            </w:r>
          </w:p>
        </w:tc>
        <w:tc>
          <w:tcPr>
            <w:tcW w:w="256" w:type="pct"/>
            <w:tcBorders>
              <w:top w:val="nil"/>
              <w:left w:val="nil"/>
              <w:bottom w:val="single" w:sz="4" w:space="0" w:color="auto"/>
              <w:right w:val="single" w:sz="4" w:space="0" w:color="auto"/>
            </w:tcBorders>
            <w:shd w:val="clear" w:color="000000" w:fill="EBF1DE"/>
            <w:noWrap/>
            <w:vAlign w:val="center"/>
            <w:hideMark/>
          </w:tcPr>
          <w:p w:rsidR="00767C32" w:rsidRPr="00767C32" w:rsidRDefault="00767C32" w:rsidP="00767C32">
            <w:pPr>
              <w:spacing w:after="0" w:line="240" w:lineRule="auto"/>
              <w:jc w:val="center"/>
              <w:rPr>
                <w:rFonts w:ascii="Calibri" w:eastAsia="Times New Roman" w:hAnsi="Calibri" w:cs="Times New Roman"/>
                <w:color w:val="000000"/>
                <w:sz w:val="16"/>
                <w:szCs w:val="16"/>
                <w:lang w:eastAsia="en-GB"/>
              </w:rPr>
            </w:pPr>
            <w:r w:rsidRPr="00767C32">
              <w:rPr>
                <w:rFonts w:ascii="Calibri" w:eastAsia="Times New Roman" w:hAnsi="Calibri" w:cs="Times New Roman"/>
                <w:color w:val="000000"/>
                <w:sz w:val="16"/>
                <w:szCs w:val="16"/>
                <w:lang w:eastAsia="en-GB"/>
              </w:rPr>
              <w:t>9.0%</w:t>
            </w:r>
          </w:p>
        </w:tc>
        <w:tc>
          <w:tcPr>
            <w:tcW w:w="300" w:type="pct"/>
            <w:tcBorders>
              <w:top w:val="nil"/>
              <w:left w:val="nil"/>
              <w:bottom w:val="single" w:sz="4" w:space="0" w:color="auto"/>
              <w:right w:val="single" w:sz="4" w:space="0" w:color="auto"/>
            </w:tcBorders>
            <w:shd w:val="clear" w:color="auto" w:fill="auto"/>
            <w:noWrap/>
            <w:vAlign w:val="center"/>
            <w:hideMark/>
          </w:tcPr>
          <w:p w:rsidR="00767C32" w:rsidRPr="00767C32" w:rsidRDefault="00767C32" w:rsidP="00767C32">
            <w:pPr>
              <w:spacing w:after="0" w:line="240" w:lineRule="auto"/>
              <w:jc w:val="center"/>
              <w:rPr>
                <w:rFonts w:ascii="Calibri" w:eastAsia="Times New Roman" w:hAnsi="Calibri" w:cs="Times New Roman"/>
                <w:color w:val="000000"/>
                <w:sz w:val="16"/>
                <w:szCs w:val="16"/>
                <w:lang w:eastAsia="en-GB"/>
              </w:rPr>
            </w:pPr>
            <w:r w:rsidRPr="00767C32">
              <w:rPr>
                <w:rFonts w:ascii="Calibri" w:eastAsia="Times New Roman" w:hAnsi="Calibri" w:cs="Times New Roman"/>
                <w:color w:val="000000"/>
                <w:sz w:val="16"/>
                <w:szCs w:val="16"/>
                <w:lang w:eastAsia="en-GB"/>
              </w:rPr>
              <w:t>-</w:t>
            </w:r>
          </w:p>
        </w:tc>
        <w:tc>
          <w:tcPr>
            <w:tcW w:w="254" w:type="pct"/>
            <w:tcBorders>
              <w:top w:val="nil"/>
              <w:left w:val="nil"/>
              <w:bottom w:val="single" w:sz="4" w:space="0" w:color="auto"/>
              <w:right w:val="single" w:sz="4" w:space="0" w:color="auto"/>
            </w:tcBorders>
            <w:shd w:val="clear" w:color="auto" w:fill="auto"/>
            <w:noWrap/>
            <w:vAlign w:val="center"/>
            <w:hideMark/>
          </w:tcPr>
          <w:p w:rsidR="00767C32" w:rsidRPr="00767C32" w:rsidRDefault="00767C32" w:rsidP="00767C32">
            <w:pPr>
              <w:spacing w:after="0" w:line="240" w:lineRule="auto"/>
              <w:jc w:val="center"/>
              <w:rPr>
                <w:rFonts w:ascii="Calibri" w:eastAsia="Times New Roman" w:hAnsi="Calibri" w:cs="Times New Roman"/>
                <w:color w:val="000000"/>
                <w:sz w:val="16"/>
                <w:szCs w:val="16"/>
                <w:lang w:eastAsia="en-GB"/>
              </w:rPr>
            </w:pPr>
            <w:r w:rsidRPr="00767C32">
              <w:rPr>
                <w:rFonts w:ascii="Calibri" w:eastAsia="Times New Roman" w:hAnsi="Calibri" w:cs="Times New Roman"/>
                <w:color w:val="000000"/>
                <w:sz w:val="16"/>
                <w:szCs w:val="16"/>
                <w:lang w:eastAsia="en-GB"/>
              </w:rPr>
              <w:t>13.7%</w:t>
            </w:r>
          </w:p>
        </w:tc>
      </w:tr>
      <w:tr w:rsidR="0085747D" w:rsidRPr="00767C32" w:rsidTr="0085747D">
        <w:trPr>
          <w:trHeight w:val="300"/>
        </w:trPr>
        <w:tc>
          <w:tcPr>
            <w:tcW w:w="513" w:type="pct"/>
            <w:tcBorders>
              <w:top w:val="nil"/>
              <w:left w:val="single" w:sz="4" w:space="0" w:color="auto"/>
              <w:bottom w:val="single" w:sz="4" w:space="0" w:color="auto"/>
              <w:right w:val="single" w:sz="4" w:space="0" w:color="auto"/>
            </w:tcBorders>
            <w:shd w:val="clear" w:color="auto" w:fill="auto"/>
            <w:noWrap/>
            <w:vAlign w:val="center"/>
            <w:hideMark/>
          </w:tcPr>
          <w:p w:rsidR="00767C32" w:rsidRPr="00767C32" w:rsidRDefault="00767C32" w:rsidP="00767C32">
            <w:pPr>
              <w:spacing w:after="0" w:line="240" w:lineRule="auto"/>
              <w:jc w:val="center"/>
              <w:rPr>
                <w:rFonts w:ascii="Calibri" w:eastAsia="Times New Roman" w:hAnsi="Calibri" w:cs="Times New Roman"/>
                <w:color w:val="000000"/>
                <w:sz w:val="16"/>
                <w:szCs w:val="16"/>
                <w:lang w:eastAsia="en-GB"/>
              </w:rPr>
            </w:pPr>
            <w:r w:rsidRPr="00767C32">
              <w:rPr>
                <w:rFonts w:ascii="Calibri" w:eastAsia="Times New Roman" w:hAnsi="Calibri" w:cs="Times New Roman"/>
                <w:color w:val="000000"/>
                <w:sz w:val="16"/>
                <w:szCs w:val="16"/>
                <w:lang w:eastAsia="en-GB"/>
              </w:rPr>
              <w:t>Estimated dementia diagnosis rate, 65+</w:t>
            </w:r>
          </w:p>
        </w:tc>
        <w:tc>
          <w:tcPr>
            <w:tcW w:w="256" w:type="pct"/>
            <w:tcBorders>
              <w:top w:val="nil"/>
              <w:left w:val="nil"/>
              <w:bottom w:val="single" w:sz="4" w:space="0" w:color="auto"/>
              <w:right w:val="single" w:sz="4" w:space="0" w:color="auto"/>
            </w:tcBorders>
            <w:shd w:val="clear" w:color="auto" w:fill="auto"/>
            <w:noWrap/>
            <w:vAlign w:val="center"/>
            <w:hideMark/>
          </w:tcPr>
          <w:p w:rsidR="00767C32" w:rsidRPr="00767C32" w:rsidRDefault="00767C32" w:rsidP="00767C32">
            <w:pPr>
              <w:spacing w:after="0" w:line="240" w:lineRule="auto"/>
              <w:jc w:val="center"/>
              <w:rPr>
                <w:rFonts w:ascii="Calibri" w:eastAsia="Times New Roman" w:hAnsi="Calibri" w:cs="Times New Roman"/>
                <w:color w:val="000000"/>
                <w:sz w:val="16"/>
                <w:szCs w:val="16"/>
                <w:lang w:eastAsia="en-GB"/>
              </w:rPr>
            </w:pPr>
            <w:r w:rsidRPr="00767C32">
              <w:rPr>
                <w:rFonts w:ascii="Calibri" w:eastAsia="Times New Roman" w:hAnsi="Calibri" w:cs="Times New Roman"/>
                <w:color w:val="000000"/>
                <w:sz w:val="16"/>
                <w:szCs w:val="16"/>
                <w:lang w:eastAsia="en-GB"/>
              </w:rPr>
              <w:t>2018</w:t>
            </w:r>
          </w:p>
        </w:tc>
        <w:tc>
          <w:tcPr>
            <w:tcW w:w="257" w:type="pct"/>
            <w:tcBorders>
              <w:top w:val="nil"/>
              <w:left w:val="nil"/>
              <w:bottom w:val="single" w:sz="4" w:space="0" w:color="auto"/>
              <w:right w:val="single" w:sz="4" w:space="0" w:color="auto"/>
            </w:tcBorders>
            <w:shd w:val="clear" w:color="000000" w:fill="420000"/>
            <w:noWrap/>
            <w:vAlign w:val="center"/>
            <w:hideMark/>
          </w:tcPr>
          <w:p w:rsidR="00767C32" w:rsidRPr="00767C32" w:rsidRDefault="00767C32" w:rsidP="00767C32">
            <w:pPr>
              <w:spacing w:after="0" w:line="240" w:lineRule="auto"/>
              <w:jc w:val="center"/>
              <w:rPr>
                <w:rFonts w:ascii="Calibri" w:eastAsia="Times New Roman" w:hAnsi="Calibri" w:cs="Times New Roman"/>
                <w:color w:val="FFFFFF"/>
                <w:sz w:val="16"/>
                <w:szCs w:val="16"/>
                <w:lang w:eastAsia="en-GB"/>
              </w:rPr>
            </w:pPr>
            <w:r w:rsidRPr="00767C32">
              <w:rPr>
                <w:rFonts w:ascii="Calibri" w:eastAsia="Times New Roman" w:hAnsi="Calibri" w:cs="Times New Roman"/>
                <w:color w:val="FFFFFF"/>
                <w:sz w:val="16"/>
                <w:szCs w:val="16"/>
                <w:lang w:eastAsia="en-GB"/>
              </w:rPr>
              <w:t>4,686</w:t>
            </w:r>
          </w:p>
        </w:tc>
        <w:tc>
          <w:tcPr>
            <w:tcW w:w="256" w:type="pct"/>
            <w:tcBorders>
              <w:top w:val="nil"/>
              <w:left w:val="nil"/>
              <w:bottom w:val="single" w:sz="4" w:space="0" w:color="auto"/>
              <w:right w:val="single" w:sz="4" w:space="0" w:color="auto"/>
            </w:tcBorders>
            <w:shd w:val="clear" w:color="000000" w:fill="420000"/>
            <w:noWrap/>
            <w:vAlign w:val="center"/>
            <w:hideMark/>
          </w:tcPr>
          <w:p w:rsidR="00767C32" w:rsidRPr="00767C32" w:rsidRDefault="00767C32" w:rsidP="00767C32">
            <w:pPr>
              <w:spacing w:after="0" w:line="240" w:lineRule="auto"/>
              <w:jc w:val="center"/>
              <w:rPr>
                <w:rFonts w:ascii="Calibri" w:eastAsia="Times New Roman" w:hAnsi="Calibri" w:cs="Times New Roman"/>
                <w:color w:val="FFFFFF"/>
                <w:sz w:val="16"/>
                <w:szCs w:val="16"/>
                <w:lang w:eastAsia="en-GB"/>
              </w:rPr>
            </w:pPr>
            <w:r w:rsidRPr="00767C32">
              <w:rPr>
                <w:rFonts w:ascii="Calibri" w:eastAsia="Times New Roman" w:hAnsi="Calibri" w:cs="Times New Roman"/>
                <w:color w:val="FFFFFF"/>
                <w:sz w:val="16"/>
                <w:szCs w:val="16"/>
                <w:lang w:eastAsia="en-GB"/>
              </w:rPr>
              <w:t>61.0%</w:t>
            </w:r>
          </w:p>
        </w:tc>
        <w:tc>
          <w:tcPr>
            <w:tcW w:w="257" w:type="pct"/>
            <w:tcBorders>
              <w:top w:val="nil"/>
              <w:left w:val="nil"/>
              <w:bottom w:val="single" w:sz="4" w:space="0" w:color="auto"/>
              <w:right w:val="single" w:sz="4" w:space="0" w:color="auto"/>
            </w:tcBorders>
            <w:shd w:val="clear" w:color="000000" w:fill="EBF1DE"/>
            <w:noWrap/>
            <w:vAlign w:val="center"/>
            <w:hideMark/>
          </w:tcPr>
          <w:p w:rsidR="00767C32" w:rsidRPr="00767C32" w:rsidRDefault="00767C32" w:rsidP="00767C32">
            <w:pPr>
              <w:spacing w:after="0" w:line="240" w:lineRule="auto"/>
              <w:jc w:val="center"/>
              <w:rPr>
                <w:rFonts w:ascii="Calibri" w:eastAsia="Times New Roman" w:hAnsi="Calibri" w:cs="Times New Roman"/>
                <w:color w:val="000000"/>
                <w:sz w:val="16"/>
                <w:szCs w:val="16"/>
                <w:lang w:eastAsia="en-GB"/>
              </w:rPr>
            </w:pPr>
            <w:r w:rsidRPr="00767C32">
              <w:rPr>
                <w:rFonts w:ascii="Calibri" w:eastAsia="Times New Roman" w:hAnsi="Calibri" w:cs="Times New Roman"/>
                <w:color w:val="000000"/>
                <w:sz w:val="16"/>
                <w:szCs w:val="16"/>
                <w:lang w:eastAsia="en-GB"/>
              </w:rPr>
              <w:t>1,336</w:t>
            </w:r>
          </w:p>
        </w:tc>
        <w:tc>
          <w:tcPr>
            <w:tcW w:w="256" w:type="pct"/>
            <w:tcBorders>
              <w:top w:val="nil"/>
              <w:left w:val="nil"/>
              <w:bottom w:val="single" w:sz="4" w:space="0" w:color="auto"/>
              <w:right w:val="single" w:sz="4" w:space="0" w:color="auto"/>
            </w:tcBorders>
            <w:shd w:val="clear" w:color="000000" w:fill="EBF1DE"/>
            <w:noWrap/>
            <w:vAlign w:val="center"/>
            <w:hideMark/>
          </w:tcPr>
          <w:p w:rsidR="00767C32" w:rsidRPr="00767C32" w:rsidRDefault="00767C32" w:rsidP="00767C32">
            <w:pPr>
              <w:spacing w:after="0" w:line="240" w:lineRule="auto"/>
              <w:jc w:val="center"/>
              <w:rPr>
                <w:rFonts w:ascii="Calibri" w:eastAsia="Times New Roman" w:hAnsi="Calibri" w:cs="Times New Roman"/>
                <w:color w:val="000000"/>
                <w:sz w:val="16"/>
                <w:szCs w:val="16"/>
                <w:lang w:eastAsia="en-GB"/>
              </w:rPr>
            </w:pPr>
            <w:r w:rsidRPr="00767C32">
              <w:rPr>
                <w:rFonts w:ascii="Calibri" w:eastAsia="Times New Roman" w:hAnsi="Calibri" w:cs="Times New Roman"/>
                <w:color w:val="000000"/>
                <w:sz w:val="16"/>
                <w:szCs w:val="16"/>
                <w:lang w:eastAsia="en-GB"/>
              </w:rPr>
              <w:t>78.3%</w:t>
            </w:r>
          </w:p>
        </w:tc>
        <w:tc>
          <w:tcPr>
            <w:tcW w:w="257" w:type="pct"/>
            <w:tcBorders>
              <w:top w:val="nil"/>
              <w:left w:val="nil"/>
              <w:bottom w:val="single" w:sz="4" w:space="0" w:color="auto"/>
              <w:right w:val="single" w:sz="4" w:space="0" w:color="auto"/>
            </w:tcBorders>
            <w:shd w:val="clear" w:color="000000" w:fill="FFFF99"/>
            <w:noWrap/>
            <w:vAlign w:val="center"/>
            <w:hideMark/>
          </w:tcPr>
          <w:p w:rsidR="00767C32" w:rsidRPr="00767C32" w:rsidRDefault="00767C32" w:rsidP="00767C32">
            <w:pPr>
              <w:spacing w:after="0" w:line="240" w:lineRule="auto"/>
              <w:jc w:val="center"/>
              <w:rPr>
                <w:rFonts w:ascii="Calibri" w:eastAsia="Times New Roman" w:hAnsi="Calibri" w:cs="Times New Roman"/>
                <w:color w:val="000000"/>
                <w:sz w:val="16"/>
                <w:szCs w:val="16"/>
                <w:lang w:eastAsia="en-GB"/>
              </w:rPr>
            </w:pPr>
            <w:r w:rsidRPr="00767C32">
              <w:rPr>
                <w:rFonts w:ascii="Calibri" w:eastAsia="Times New Roman" w:hAnsi="Calibri" w:cs="Times New Roman"/>
                <w:color w:val="000000"/>
                <w:sz w:val="16"/>
                <w:szCs w:val="16"/>
                <w:lang w:eastAsia="en-GB"/>
              </w:rPr>
              <w:t>896</w:t>
            </w:r>
          </w:p>
        </w:tc>
        <w:tc>
          <w:tcPr>
            <w:tcW w:w="256" w:type="pct"/>
            <w:tcBorders>
              <w:top w:val="nil"/>
              <w:left w:val="nil"/>
              <w:bottom w:val="single" w:sz="4" w:space="0" w:color="auto"/>
              <w:right w:val="single" w:sz="4" w:space="0" w:color="auto"/>
            </w:tcBorders>
            <w:shd w:val="clear" w:color="000000" w:fill="FFFF99"/>
            <w:noWrap/>
            <w:vAlign w:val="center"/>
            <w:hideMark/>
          </w:tcPr>
          <w:p w:rsidR="00767C32" w:rsidRPr="00767C32" w:rsidRDefault="00767C32" w:rsidP="00767C32">
            <w:pPr>
              <w:spacing w:after="0" w:line="240" w:lineRule="auto"/>
              <w:jc w:val="center"/>
              <w:rPr>
                <w:rFonts w:ascii="Calibri" w:eastAsia="Times New Roman" w:hAnsi="Calibri" w:cs="Times New Roman"/>
                <w:color w:val="000000"/>
                <w:sz w:val="16"/>
                <w:szCs w:val="16"/>
                <w:lang w:eastAsia="en-GB"/>
              </w:rPr>
            </w:pPr>
            <w:r w:rsidRPr="00767C32">
              <w:rPr>
                <w:rFonts w:ascii="Calibri" w:eastAsia="Times New Roman" w:hAnsi="Calibri" w:cs="Times New Roman"/>
                <w:color w:val="000000"/>
                <w:sz w:val="16"/>
                <w:szCs w:val="16"/>
                <w:lang w:eastAsia="en-GB"/>
              </w:rPr>
              <w:t>64.6%</w:t>
            </w:r>
          </w:p>
        </w:tc>
        <w:tc>
          <w:tcPr>
            <w:tcW w:w="257" w:type="pct"/>
            <w:tcBorders>
              <w:top w:val="nil"/>
              <w:left w:val="nil"/>
              <w:bottom w:val="single" w:sz="4" w:space="0" w:color="auto"/>
              <w:right w:val="single" w:sz="4" w:space="0" w:color="auto"/>
            </w:tcBorders>
            <w:shd w:val="clear" w:color="000000" w:fill="420000"/>
            <w:noWrap/>
            <w:vAlign w:val="center"/>
            <w:hideMark/>
          </w:tcPr>
          <w:p w:rsidR="00767C32" w:rsidRPr="00767C32" w:rsidRDefault="00767C32" w:rsidP="00767C32">
            <w:pPr>
              <w:spacing w:after="0" w:line="240" w:lineRule="auto"/>
              <w:jc w:val="center"/>
              <w:rPr>
                <w:rFonts w:ascii="Calibri" w:eastAsia="Times New Roman" w:hAnsi="Calibri" w:cs="Times New Roman"/>
                <w:color w:val="FFFFFF"/>
                <w:sz w:val="16"/>
                <w:szCs w:val="16"/>
                <w:lang w:eastAsia="en-GB"/>
              </w:rPr>
            </w:pPr>
            <w:r w:rsidRPr="00767C32">
              <w:rPr>
                <w:rFonts w:ascii="Calibri" w:eastAsia="Times New Roman" w:hAnsi="Calibri" w:cs="Times New Roman"/>
                <w:color w:val="FFFFFF"/>
                <w:sz w:val="16"/>
                <w:szCs w:val="16"/>
                <w:lang w:eastAsia="en-GB"/>
              </w:rPr>
              <w:t>586</w:t>
            </w:r>
          </w:p>
        </w:tc>
        <w:tc>
          <w:tcPr>
            <w:tcW w:w="299" w:type="pct"/>
            <w:tcBorders>
              <w:top w:val="nil"/>
              <w:left w:val="nil"/>
              <w:bottom w:val="single" w:sz="4" w:space="0" w:color="auto"/>
              <w:right w:val="single" w:sz="4" w:space="0" w:color="auto"/>
            </w:tcBorders>
            <w:shd w:val="clear" w:color="000000" w:fill="420000"/>
            <w:noWrap/>
            <w:vAlign w:val="center"/>
            <w:hideMark/>
          </w:tcPr>
          <w:p w:rsidR="00767C32" w:rsidRPr="00767C32" w:rsidRDefault="00767C32" w:rsidP="00767C32">
            <w:pPr>
              <w:spacing w:after="0" w:line="240" w:lineRule="auto"/>
              <w:jc w:val="center"/>
              <w:rPr>
                <w:rFonts w:ascii="Calibri" w:eastAsia="Times New Roman" w:hAnsi="Calibri" w:cs="Times New Roman"/>
                <w:color w:val="FFFFFF"/>
                <w:sz w:val="16"/>
                <w:szCs w:val="16"/>
                <w:lang w:eastAsia="en-GB"/>
              </w:rPr>
            </w:pPr>
            <w:r w:rsidRPr="00767C32">
              <w:rPr>
                <w:rFonts w:ascii="Calibri" w:eastAsia="Times New Roman" w:hAnsi="Calibri" w:cs="Times New Roman"/>
                <w:color w:val="FFFFFF"/>
                <w:sz w:val="16"/>
                <w:szCs w:val="16"/>
                <w:lang w:eastAsia="en-GB"/>
              </w:rPr>
              <w:t>56.9%</w:t>
            </w:r>
          </w:p>
        </w:tc>
        <w:tc>
          <w:tcPr>
            <w:tcW w:w="256" w:type="pct"/>
            <w:tcBorders>
              <w:top w:val="nil"/>
              <w:left w:val="nil"/>
              <w:bottom w:val="single" w:sz="4" w:space="0" w:color="auto"/>
              <w:right w:val="single" w:sz="4" w:space="0" w:color="auto"/>
            </w:tcBorders>
            <w:shd w:val="clear" w:color="000000" w:fill="420000"/>
            <w:noWrap/>
            <w:vAlign w:val="center"/>
            <w:hideMark/>
          </w:tcPr>
          <w:p w:rsidR="00767C32" w:rsidRPr="00767C32" w:rsidRDefault="00767C32" w:rsidP="00767C32">
            <w:pPr>
              <w:spacing w:after="0" w:line="240" w:lineRule="auto"/>
              <w:jc w:val="center"/>
              <w:rPr>
                <w:rFonts w:ascii="Calibri" w:eastAsia="Times New Roman" w:hAnsi="Calibri" w:cs="Times New Roman"/>
                <w:color w:val="FFFFFF"/>
                <w:sz w:val="16"/>
                <w:szCs w:val="16"/>
                <w:lang w:eastAsia="en-GB"/>
              </w:rPr>
            </w:pPr>
            <w:r w:rsidRPr="00767C32">
              <w:rPr>
                <w:rFonts w:ascii="Calibri" w:eastAsia="Times New Roman" w:hAnsi="Calibri" w:cs="Times New Roman"/>
                <w:color w:val="FFFFFF"/>
                <w:sz w:val="16"/>
                <w:szCs w:val="16"/>
                <w:lang w:eastAsia="en-GB"/>
              </w:rPr>
              <w:t>915</w:t>
            </w:r>
          </w:p>
        </w:tc>
        <w:tc>
          <w:tcPr>
            <w:tcW w:w="257" w:type="pct"/>
            <w:tcBorders>
              <w:top w:val="nil"/>
              <w:left w:val="nil"/>
              <w:bottom w:val="single" w:sz="4" w:space="0" w:color="auto"/>
              <w:right w:val="single" w:sz="4" w:space="0" w:color="auto"/>
            </w:tcBorders>
            <w:shd w:val="clear" w:color="000000" w:fill="420000"/>
            <w:noWrap/>
            <w:vAlign w:val="center"/>
            <w:hideMark/>
          </w:tcPr>
          <w:p w:rsidR="00767C32" w:rsidRPr="00767C32" w:rsidRDefault="00767C32" w:rsidP="00767C32">
            <w:pPr>
              <w:spacing w:after="0" w:line="240" w:lineRule="auto"/>
              <w:jc w:val="center"/>
              <w:rPr>
                <w:rFonts w:ascii="Calibri" w:eastAsia="Times New Roman" w:hAnsi="Calibri" w:cs="Times New Roman"/>
                <w:color w:val="FFFFFF"/>
                <w:sz w:val="16"/>
                <w:szCs w:val="16"/>
                <w:lang w:eastAsia="en-GB"/>
              </w:rPr>
            </w:pPr>
            <w:r w:rsidRPr="00767C32">
              <w:rPr>
                <w:rFonts w:ascii="Calibri" w:eastAsia="Times New Roman" w:hAnsi="Calibri" w:cs="Times New Roman"/>
                <w:color w:val="FFFFFF"/>
                <w:sz w:val="16"/>
                <w:szCs w:val="16"/>
                <w:lang w:eastAsia="en-GB"/>
              </w:rPr>
              <w:t>57.7%</w:t>
            </w:r>
          </w:p>
        </w:tc>
        <w:tc>
          <w:tcPr>
            <w:tcW w:w="304" w:type="pct"/>
            <w:tcBorders>
              <w:top w:val="nil"/>
              <w:left w:val="nil"/>
              <w:bottom w:val="single" w:sz="4" w:space="0" w:color="auto"/>
              <w:right w:val="single" w:sz="4" w:space="0" w:color="auto"/>
            </w:tcBorders>
            <w:shd w:val="clear" w:color="000000" w:fill="FFFF99"/>
            <w:noWrap/>
            <w:vAlign w:val="center"/>
            <w:hideMark/>
          </w:tcPr>
          <w:p w:rsidR="00767C32" w:rsidRPr="00767C32" w:rsidRDefault="00767C32" w:rsidP="00767C32">
            <w:pPr>
              <w:spacing w:after="0" w:line="240" w:lineRule="auto"/>
              <w:jc w:val="center"/>
              <w:rPr>
                <w:rFonts w:ascii="Calibri" w:eastAsia="Times New Roman" w:hAnsi="Calibri" w:cs="Times New Roman"/>
                <w:color w:val="000000"/>
                <w:sz w:val="16"/>
                <w:szCs w:val="16"/>
                <w:lang w:eastAsia="en-GB"/>
              </w:rPr>
            </w:pPr>
            <w:r w:rsidRPr="00767C32">
              <w:rPr>
                <w:rFonts w:ascii="Calibri" w:eastAsia="Times New Roman" w:hAnsi="Calibri" w:cs="Times New Roman"/>
                <w:color w:val="000000"/>
                <w:sz w:val="16"/>
                <w:szCs w:val="16"/>
                <w:lang w:eastAsia="en-GB"/>
              </w:rPr>
              <w:t>1,420</w:t>
            </w:r>
          </w:p>
        </w:tc>
        <w:tc>
          <w:tcPr>
            <w:tcW w:w="258" w:type="pct"/>
            <w:tcBorders>
              <w:top w:val="nil"/>
              <w:left w:val="nil"/>
              <w:bottom w:val="single" w:sz="4" w:space="0" w:color="auto"/>
              <w:right w:val="single" w:sz="4" w:space="0" w:color="auto"/>
            </w:tcBorders>
            <w:shd w:val="clear" w:color="000000" w:fill="FFFF99"/>
            <w:noWrap/>
            <w:vAlign w:val="center"/>
            <w:hideMark/>
          </w:tcPr>
          <w:p w:rsidR="00767C32" w:rsidRPr="00767C32" w:rsidRDefault="00767C32" w:rsidP="00767C32">
            <w:pPr>
              <w:spacing w:after="0" w:line="240" w:lineRule="auto"/>
              <w:jc w:val="center"/>
              <w:rPr>
                <w:rFonts w:ascii="Calibri" w:eastAsia="Times New Roman" w:hAnsi="Calibri" w:cs="Times New Roman"/>
                <w:color w:val="000000"/>
                <w:sz w:val="16"/>
                <w:szCs w:val="16"/>
                <w:lang w:eastAsia="en-GB"/>
              </w:rPr>
            </w:pPr>
            <w:r w:rsidRPr="00767C32">
              <w:rPr>
                <w:rFonts w:ascii="Calibri" w:eastAsia="Times New Roman" w:hAnsi="Calibri" w:cs="Times New Roman"/>
                <w:color w:val="000000"/>
                <w:sz w:val="16"/>
                <w:szCs w:val="16"/>
                <w:lang w:eastAsia="en-GB"/>
              </w:rPr>
              <w:t>68.8%</w:t>
            </w:r>
          </w:p>
        </w:tc>
        <w:tc>
          <w:tcPr>
            <w:tcW w:w="251" w:type="pct"/>
            <w:tcBorders>
              <w:top w:val="nil"/>
              <w:left w:val="nil"/>
              <w:bottom w:val="single" w:sz="4" w:space="0" w:color="auto"/>
              <w:right w:val="single" w:sz="4" w:space="0" w:color="auto"/>
            </w:tcBorders>
            <w:shd w:val="clear" w:color="000000" w:fill="420000"/>
            <w:noWrap/>
            <w:vAlign w:val="center"/>
            <w:hideMark/>
          </w:tcPr>
          <w:p w:rsidR="00767C32" w:rsidRPr="00767C32" w:rsidRDefault="00767C32" w:rsidP="00767C32">
            <w:pPr>
              <w:spacing w:after="0" w:line="240" w:lineRule="auto"/>
              <w:jc w:val="center"/>
              <w:rPr>
                <w:rFonts w:ascii="Calibri" w:eastAsia="Times New Roman" w:hAnsi="Calibri" w:cs="Times New Roman"/>
                <w:color w:val="FFFFFF"/>
                <w:sz w:val="16"/>
                <w:szCs w:val="16"/>
                <w:lang w:eastAsia="en-GB"/>
              </w:rPr>
            </w:pPr>
            <w:r w:rsidRPr="00767C32">
              <w:rPr>
                <w:rFonts w:ascii="Calibri" w:eastAsia="Times New Roman" w:hAnsi="Calibri" w:cs="Times New Roman"/>
                <w:color w:val="FFFFFF"/>
                <w:sz w:val="16"/>
                <w:szCs w:val="16"/>
                <w:lang w:eastAsia="en-GB"/>
              </w:rPr>
              <w:t>869</w:t>
            </w:r>
          </w:p>
        </w:tc>
        <w:tc>
          <w:tcPr>
            <w:tcW w:w="256" w:type="pct"/>
            <w:tcBorders>
              <w:top w:val="nil"/>
              <w:left w:val="nil"/>
              <w:bottom w:val="single" w:sz="4" w:space="0" w:color="auto"/>
              <w:right w:val="single" w:sz="4" w:space="0" w:color="auto"/>
            </w:tcBorders>
            <w:shd w:val="clear" w:color="000000" w:fill="420000"/>
            <w:noWrap/>
            <w:vAlign w:val="center"/>
            <w:hideMark/>
          </w:tcPr>
          <w:p w:rsidR="00767C32" w:rsidRPr="00767C32" w:rsidRDefault="00767C32" w:rsidP="00767C32">
            <w:pPr>
              <w:spacing w:after="0" w:line="240" w:lineRule="auto"/>
              <w:jc w:val="center"/>
              <w:rPr>
                <w:rFonts w:ascii="Calibri" w:eastAsia="Times New Roman" w:hAnsi="Calibri" w:cs="Times New Roman"/>
                <w:color w:val="FFFFFF"/>
                <w:sz w:val="16"/>
                <w:szCs w:val="16"/>
                <w:lang w:eastAsia="en-GB"/>
              </w:rPr>
            </w:pPr>
            <w:r w:rsidRPr="00767C32">
              <w:rPr>
                <w:rFonts w:ascii="Calibri" w:eastAsia="Times New Roman" w:hAnsi="Calibri" w:cs="Times New Roman"/>
                <w:color w:val="FFFFFF"/>
                <w:sz w:val="16"/>
                <w:szCs w:val="16"/>
                <w:lang w:eastAsia="en-GB"/>
              </w:rPr>
              <w:t>53.8%</w:t>
            </w:r>
          </w:p>
        </w:tc>
        <w:tc>
          <w:tcPr>
            <w:tcW w:w="300" w:type="pct"/>
            <w:tcBorders>
              <w:top w:val="nil"/>
              <w:left w:val="nil"/>
              <w:bottom w:val="single" w:sz="4" w:space="0" w:color="auto"/>
              <w:right w:val="single" w:sz="4" w:space="0" w:color="auto"/>
            </w:tcBorders>
            <w:shd w:val="clear" w:color="auto" w:fill="auto"/>
            <w:noWrap/>
            <w:vAlign w:val="center"/>
            <w:hideMark/>
          </w:tcPr>
          <w:p w:rsidR="00767C32" w:rsidRPr="00767C32" w:rsidRDefault="00767C32" w:rsidP="00767C32">
            <w:pPr>
              <w:spacing w:after="0" w:line="240" w:lineRule="auto"/>
              <w:jc w:val="center"/>
              <w:rPr>
                <w:rFonts w:ascii="Calibri" w:eastAsia="Times New Roman" w:hAnsi="Calibri" w:cs="Times New Roman"/>
                <w:color w:val="000000"/>
                <w:sz w:val="16"/>
                <w:szCs w:val="16"/>
                <w:lang w:eastAsia="en-GB"/>
              </w:rPr>
            </w:pPr>
            <w:r w:rsidRPr="00767C32">
              <w:rPr>
                <w:rFonts w:ascii="Calibri" w:eastAsia="Times New Roman" w:hAnsi="Calibri" w:cs="Times New Roman"/>
                <w:color w:val="000000"/>
                <w:sz w:val="16"/>
                <w:szCs w:val="16"/>
                <w:lang w:eastAsia="en-GB"/>
              </w:rPr>
              <w:t>435,574</w:t>
            </w:r>
          </w:p>
        </w:tc>
        <w:tc>
          <w:tcPr>
            <w:tcW w:w="254" w:type="pct"/>
            <w:tcBorders>
              <w:top w:val="nil"/>
              <w:left w:val="nil"/>
              <w:bottom w:val="single" w:sz="4" w:space="0" w:color="auto"/>
              <w:right w:val="single" w:sz="4" w:space="0" w:color="auto"/>
            </w:tcBorders>
            <w:shd w:val="clear" w:color="auto" w:fill="auto"/>
            <w:noWrap/>
            <w:vAlign w:val="center"/>
            <w:hideMark/>
          </w:tcPr>
          <w:p w:rsidR="00767C32" w:rsidRPr="00767C32" w:rsidRDefault="00767C32" w:rsidP="00767C32">
            <w:pPr>
              <w:spacing w:after="0" w:line="240" w:lineRule="auto"/>
              <w:jc w:val="center"/>
              <w:rPr>
                <w:rFonts w:ascii="Calibri" w:eastAsia="Times New Roman" w:hAnsi="Calibri" w:cs="Times New Roman"/>
                <w:color w:val="000000"/>
                <w:sz w:val="16"/>
                <w:szCs w:val="16"/>
                <w:lang w:eastAsia="en-GB"/>
              </w:rPr>
            </w:pPr>
            <w:r w:rsidRPr="00767C32">
              <w:rPr>
                <w:rFonts w:ascii="Calibri" w:eastAsia="Times New Roman" w:hAnsi="Calibri" w:cs="Times New Roman"/>
                <w:color w:val="000000"/>
                <w:sz w:val="16"/>
                <w:szCs w:val="16"/>
                <w:lang w:eastAsia="en-GB"/>
              </w:rPr>
              <w:t>67.5%</w:t>
            </w:r>
          </w:p>
        </w:tc>
      </w:tr>
      <w:tr w:rsidR="0085747D" w:rsidRPr="00767C32" w:rsidTr="0085747D">
        <w:trPr>
          <w:trHeight w:val="300"/>
        </w:trPr>
        <w:tc>
          <w:tcPr>
            <w:tcW w:w="513" w:type="pct"/>
            <w:tcBorders>
              <w:top w:val="nil"/>
              <w:left w:val="single" w:sz="4" w:space="0" w:color="auto"/>
              <w:bottom w:val="single" w:sz="4" w:space="0" w:color="auto"/>
              <w:right w:val="single" w:sz="4" w:space="0" w:color="auto"/>
            </w:tcBorders>
            <w:shd w:val="clear" w:color="auto" w:fill="auto"/>
            <w:noWrap/>
            <w:vAlign w:val="center"/>
            <w:hideMark/>
          </w:tcPr>
          <w:p w:rsidR="00767C32" w:rsidRPr="00767C32" w:rsidRDefault="00767C32" w:rsidP="00767C32">
            <w:pPr>
              <w:spacing w:after="0" w:line="240" w:lineRule="auto"/>
              <w:jc w:val="center"/>
              <w:rPr>
                <w:rFonts w:ascii="Calibri" w:eastAsia="Times New Roman" w:hAnsi="Calibri" w:cs="Times New Roman"/>
                <w:color w:val="000000"/>
                <w:sz w:val="16"/>
                <w:szCs w:val="16"/>
                <w:lang w:eastAsia="en-GB"/>
              </w:rPr>
            </w:pPr>
            <w:r w:rsidRPr="00767C32">
              <w:rPr>
                <w:rFonts w:ascii="Calibri" w:eastAsia="Times New Roman" w:hAnsi="Calibri" w:cs="Times New Roman"/>
                <w:color w:val="000000"/>
                <w:sz w:val="16"/>
                <w:szCs w:val="16"/>
                <w:lang w:eastAsia="en-GB"/>
              </w:rPr>
              <w:t>Hypertension QOF prevalence, all ages</w:t>
            </w:r>
          </w:p>
        </w:tc>
        <w:tc>
          <w:tcPr>
            <w:tcW w:w="256" w:type="pct"/>
            <w:tcBorders>
              <w:top w:val="nil"/>
              <w:left w:val="nil"/>
              <w:bottom w:val="single" w:sz="4" w:space="0" w:color="auto"/>
              <w:right w:val="single" w:sz="4" w:space="0" w:color="auto"/>
            </w:tcBorders>
            <w:shd w:val="clear" w:color="auto" w:fill="auto"/>
            <w:noWrap/>
            <w:vAlign w:val="center"/>
            <w:hideMark/>
          </w:tcPr>
          <w:p w:rsidR="00767C32" w:rsidRPr="00767C32" w:rsidRDefault="00767C32" w:rsidP="00767C32">
            <w:pPr>
              <w:spacing w:after="0" w:line="240" w:lineRule="auto"/>
              <w:jc w:val="center"/>
              <w:rPr>
                <w:rFonts w:ascii="Calibri" w:eastAsia="Times New Roman" w:hAnsi="Calibri" w:cs="Times New Roman"/>
                <w:color w:val="000000"/>
                <w:sz w:val="16"/>
                <w:szCs w:val="16"/>
                <w:lang w:eastAsia="en-GB"/>
              </w:rPr>
            </w:pPr>
            <w:r w:rsidRPr="00767C32">
              <w:rPr>
                <w:rFonts w:ascii="Calibri" w:eastAsia="Times New Roman" w:hAnsi="Calibri" w:cs="Times New Roman"/>
                <w:color w:val="000000"/>
                <w:sz w:val="16"/>
                <w:szCs w:val="16"/>
                <w:lang w:eastAsia="en-GB"/>
              </w:rPr>
              <w:t>2017-18</w:t>
            </w:r>
          </w:p>
        </w:tc>
        <w:tc>
          <w:tcPr>
            <w:tcW w:w="257" w:type="pct"/>
            <w:tcBorders>
              <w:top w:val="nil"/>
              <w:left w:val="nil"/>
              <w:bottom w:val="single" w:sz="4" w:space="0" w:color="auto"/>
              <w:right w:val="single" w:sz="4" w:space="0" w:color="auto"/>
            </w:tcBorders>
            <w:shd w:val="clear" w:color="000000" w:fill="538DD5"/>
            <w:noWrap/>
            <w:vAlign w:val="center"/>
            <w:hideMark/>
          </w:tcPr>
          <w:p w:rsidR="00767C32" w:rsidRPr="00767C32" w:rsidRDefault="00767C32" w:rsidP="00767C32">
            <w:pPr>
              <w:spacing w:after="0" w:line="240" w:lineRule="auto"/>
              <w:jc w:val="center"/>
              <w:rPr>
                <w:rFonts w:ascii="Calibri" w:eastAsia="Times New Roman" w:hAnsi="Calibri" w:cs="Times New Roman"/>
                <w:color w:val="FFFFFF"/>
                <w:sz w:val="16"/>
                <w:szCs w:val="16"/>
                <w:lang w:eastAsia="en-GB"/>
              </w:rPr>
            </w:pPr>
            <w:r w:rsidRPr="00767C32">
              <w:rPr>
                <w:rFonts w:ascii="Calibri" w:eastAsia="Times New Roman" w:hAnsi="Calibri" w:cs="Times New Roman"/>
                <w:color w:val="FFFFFF"/>
                <w:sz w:val="16"/>
                <w:szCs w:val="16"/>
                <w:lang w:eastAsia="en-GB"/>
              </w:rPr>
              <w:t>91,675</w:t>
            </w:r>
          </w:p>
        </w:tc>
        <w:tc>
          <w:tcPr>
            <w:tcW w:w="256" w:type="pct"/>
            <w:tcBorders>
              <w:top w:val="nil"/>
              <w:left w:val="nil"/>
              <w:bottom w:val="single" w:sz="4" w:space="0" w:color="auto"/>
              <w:right w:val="single" w:sz="4" w:space="0" w:color="auto"/>
            </w:tcBorders>
            <w:shd w:val="clear" w:color="000000" w:fill="538DD5"/>
            <w:noWrap/>
            <w:vAlign w:val="center"/>
            <w:hideMark/>
          </w:tcPr>
          <w:p w:rsidR="00767C32" w:rsidRPr="00767C32" w:rsidRDefault="00767C32" w:rsidP="00767C32">
            <w:pPr>
              <w:spacing w:after="0" w:line="240" w:lineRule="auto"/>
              <w:jc w:val="center"/>
              <w:rPr>
                <w:rFonts w:ascii="Calibri" w:eastAsia="Times New Roman" w:hAnsi="Calibri" w:cs="Times New Roman"/>
                <w:color w:val="FFFFFF"/>
                <w:sz w:val="16"/>
                <w:szCs w:val="16"/>
                <w:lang w:eastAsia="en-GB"/>
              </w:rPr>
            </w:pPr>
            <w:r w:rsidRPr="00767C32">
              <w:rPr>
                <w:rFonts w:ascii="Calibri" w:eastAsia="Times New Roman" w:hAnsi="Calibri" w:cs="Times New Roman"/>
                <w:color w:val="FFFFFF"/>
                <w:sz w:val="16"/>
                <w:szCs w:val="16"/>
                <w:lang w:eastAsia="en-GB"/>
              </w:rPr>
              <w:t>12.8%</w:t>
            </w:r>
          </w:p>
        </w:tc>
        <w:tc>
          <w:tcPr>
            <w:tcW w:w="257" w:type="pct"/>
            <w:tcBorders>
              <w:top w:val="nil"/>
              <w:left w:val="nil"/>
              <w:bottom w:val="single" w:sz="4" w:space="0" w:color="auto"/>
              <w:right w:val="single" w:sz="4" w:space="0" w:color="auto"/>
            </w:tcBorders>
            <w:shd w:val="clear" w:color="000000" w:fill="538DD5"/>
            <w:noWrap/>
            <w:vAlign w:val="center"/>
            <w:hideMark/>
          </w:tcPr>
          <w:p w:rsidR="00767C32" w:rsidRPr="00767C32" w:rsidRDefault="00767C32" w:rsidP="00767C32">
            <w:pPr>
              <w:spacing w:after="0" w:line="240" w:lineRule="auto"/>
              <w:jc w:val="center"/>
              <w:rPr>
                <w:rFonts w:ascii="Calibri" w:eastAsia="Times New Roman" w:hAnsi="Calibri" w:cs="Times New Roman"/>
                <w:color w:val="FFFFFF"/>
                <w:sz w:val="16"/>
                <w:szCs w:val="16"/>
                <w:lang w:eastAsia="en-GB"/>
              </w:rPr>
            </w:pPr>
            <w:r w:rsidRPr="00767C32">
              <w:rPr>
                <w:rFonts w:ascii="Calibri" w:eastAsia="Times New Roman" w:hAnsi="Calibri" w:cs="Times New Roman"/>
                <w:color w:val="FFFFFF"/>
                <w:sz w:val="16"/>
                <w:szCs w:val="16"/>
                <w:lang w:eastAsia="en-GB"/>
              </w:rPr>
              <w:t>25,082</w:t>
            </w:r>
          </w:p>
        </w:tc>
        <w:tc>
          <w:tcPr>
            <w:tcW w:w="256" w:type="pct"/>
            <w:tcBorders>
              <w:top w:val="nil"/>
              <w:left w:val="nil"/>
              <w:bottom w:val="single" w:sz="4" w:space="0" w:color="auto"/>
              <w:right w:val="single" w:sz="4" w:space="0" w:color="auto"/>
            </w:tcBorders>
            <w:shd w:val="clear" w:color="000000" w:fill="538DD5"/>
            <w:noWrap/>
            <w:vAlign w:val="center"/>
            <w:hideMark/>
          </w:tcPr>
          <w:p w:rsidR="00767C32" w:rsidRPr="00767C32" w:rsidRDefault="00767C32" w:rsidP="00767C32">
            <w:pPr>
              <w:spacing w:after="0" w:line="240" w:lineRule="auto"/>
              <w:jc w:val="center"/>
              <w:rPr>
                <w:rFonts w:ascii="Calibri" w:eastAsia="Times New Roman" w:hAnsi="Calibri" w:cs="Times New Roman"/>
                <w:color w:val="FFFFFF"/>
                <w:sz w:val="16"/>
                <w:szCs w:val="16"/>
                <w:lang w:eastAsia="en-GB"/>
              </w:rPr>
            </w:pPr>
            <w:r w:rsidRPr="00767C32">
              <w:rPr>
                <w:rFonts w:ascii="Calibri" w:eastAsia="Times New Roman" w:hAnsi="Calibri" w:cs="Times New Roman"/>
                <w:color w:val="FFFFFF"/>
                <w:sz w:val="16"/>
                <w:szCs w:val="16"/>
                <w:lang w:eastAsia="en-GB"/>
              </w:rPr>
              <w:t>11.8%</w:t>
            </w:r>
          </w:p>
        </w:tc>
        <w:tc>
          <w:tcPr>
            <w:tcW w:w="257" w:type="pct"/>
            <w:tcBorders>
              <w:top w:val="nil"/>
              <w:left w:val="nil"/>
              <w:bottom w:val="single" w:sz="4" w:space="0" w:color="auto"/>
              <w:right w:val="single" w:sz="4" w:space="0" w:color="auto"/>
            </w:tcBorders>
            <w:shd w:val="clear" w:color="auto" w:fill="auto"/>
            <w:noWrap/>
            <w:vAlign w:val="center"/>
            <w:hideMark/>
          </w:tcPr>
          <w:p w:rsidR="00767C32" w:rsidRPr="00767C32" w:rsidRDefault="00767C32" w:rsidP="00767C32">
            <w:pPr>
              <w:spacing w:after="0" w:line="240" w:lineRule="auto"/>
              <w:jc w:val="center"/>
              <w:rPr>
                <w:rFonts w:ascii="Calibri" w:eastAsia="Times New Roman" w:hAnsi="Calibri" w:cs="Times New Roman"/>
                <w:color w:val="000000"/>
                <w:sz w:val="16"/>
                <w:szCs w:val="16"/>
                <w:lang w:eastAsia="en-GB"/>
              </w:rPr>
            </w:pPr>
            <w:r w:rsidRPr="00767C32">
              <w:rPr>
                <w:rFonts w:ascii="Calibri" w:eastAsia="Times New Roman" w:hAnsi="Calibri" w:cs="Times New Roman"/>
                <w:color w:val="000000"/>
                <w:sz w:val="16"/>
                <w:szCs w:val="16"/>
                <w:lang w:eastAsia="en-GB"/>
              </w:rPr>
              <w:t>-</w:t>
            </w:r>
          </w:p>
        </w:tc>
        <w:tc>
          <w:tcPr>
            <w:tcW w:w="256" w:type="pct"/>
            <w:tcBorders>
              <w:top w:val="nil"/>
              <w:left w:val="nil"/>
              <w:bottom w:val="single" w:sz="4" w:space="0" w:color="auto"/>
              <w:right w:val="single" w:sz="4" w:space="0" w:color="auto"/>
            </w:tcBorders>
            <w:shd w:val="clear" w:color="auto" w:fill="auto"/>
            <w:noWrap/>
            <w:vAlign w:val="center"/>
            <w:hideMark/>
          </w:tcPr>
          <w:p w:rsidR="00767C32" w:rsidRPr="00767C32" w:rsidRDefault="00767C32" w:rsidP="00767C32">
            <w:pPr>
              <w:spacing w:after="0" w:line="240" w:lineRule="auto"/>
              <w:jc w:val="center"/>
              <w:rPr>
                <w:rFonts w:ascii="Calibri" w:eastAsia="Times New Roman" w:hAnsi="Calibri" w:cs="Times New Roman"/>
                <w:color w:val="000000"/>
                <w:sz w:val="16"/>
                <w:szCs w:val="16"/>
                <w:lang w:eastAsia="en-GB"/>
              </w:rPr>
            </w:pPr>
            <w:r w:rsidRPr="00767C32">
              <w:rPr>
                <w:rFonts w:ascii="Calibri" w:eastAsia="Times New Roman" w:hAnsi="Calibri" w:cs="Times New Roman"/>
                <w:color w:val="000000"/>
                <w:sz w:val="16"/>
                <w:szCs w:val="16"/>
                <w:lang w:eastAsia="en-GB"/>
              </w:rPr>
              <w:t>-</w:t>
            </w:r>
          </w:p>
        </w:tc>
        <w:tc>
          <w:tcPr>
            <w:tcW w:w="257" w:type="pct"/>
            <w:tcBorders>
              <w:top w:val="nil"/>
              <w:left w:val="nil"/>
              <w:bottom w:val="single" w:sz="4" w:space="0" w:color="auto"/>
              <w:right w:val="single" w:sz="4" w:space="0" w:color="auto"/>
            </w:tcBorders>
            <w:shd w:val="clear" w:color="auto" w:fill="auto"/>
            <w:noWrap/>
            <w:vAlign w:val="center"/>
            <w:hideMark/>
          </w:tcPr>
          <w:p w:rsidR="00767C32" w:rsidRPr="00767C32" w:rsidRDefault="00767C32" w:rsidP="00767C32">
            <w:pPr>
              <w:spacing w:after="0" w:line="240" w:lineRule="auto"/>
              <w:jc w:val="center"/>
              <w:rPr>
                <w:rFonts w:ascii="Calibri" w:eastAsia="Times New Roman" w:hAnsi="Calibri" w:cs="Times New Roman"/>
                <w:color w:val="000000"/>
                <w:sz w:val="16"/>
                <w:szCs w:val="16"/>
                <w:lang w:eastAsia="en-GB"/>
              </w:rPr>
            </w:pPr>
            <w:r w:rsidRPr="00767C32">
              <w:rPr>
                <w:rFonts w:ascii="Calibri" w:eastAsia="Times New Roman" w:hAnsi="Calibri" w:cs="Times New Roman"/>
                <w:color w:val="000000"/>
                <w:sz w:val="16"/>
                <w:szCs w:val="16"/>
                <w:lang w:eastAsia="en-GB"/>
              </w:rPr>
              <w:t>-</w:t>
            </w:r>
          </w:p>
        </w:tc>
        <w:tc>
          <w:tcPr>
            <w:tcW w:w="299" w:type="pct"/>
            <w:tcBorders>
              <w:top w:val="nil"/>
              <w:left w:val="nil"/>
              <w:bottom w:val="single" w:sz="4" w:space="0" w:color="auto"/>
              <w:right w:val="single" w:sz="4" w:space="0" w:color="auto"/>
            </w:tcBorders>
            <w:shd w:val="clear" w:color="auto" w:fill="auto"/>
            <w:noWrap/>
            <w:vAlign w:val="center"/>
            <w:hideMark/>
          </w:tcPr>
          <w:p w:rsidR="00767C32" w:rsidRPr="00767C32" w:rsidRDefault="00767C32" w:rsidP="00767C32">
            <w:pPr>
              <w:spacing w:after="0" w:line="240" w:lineRule="auto"/>
              <w:jc w:val="center"/>
              <w:rPr>
                <w:rFonts w:ascii="Calibri" w:eastAsia="Times New Roman" w:hAnsi="Calibri" w:cs="Times New Roman"/>
                <w:color w:val="000000"/>
                <w:sz w:val="16"/>
                <w:szCs w:val="16"/>
                <w:lang w:eastAsia="en-GB"/>
              </w:rPr>
            </w:pPr>
            <w:r w:rsidRPr="00767C32">
              <w:rPr>
                <w:rFonts w:ascii="Calibri" w:eastAsia="Times New Roman" w:hAnsi="Calibri" w:cs="Times New Roman"/>
                <w:color w:val="000000"/>
                <w:sz w:val="16"/>
                <w:szCs w:val="16"/>
                <w:lang w:eastAsia="en-GB"/>
              </w:rPr>
              <w:t>-</w:t>
            </w:r>
          </w:p>
        </w:tc>
        <w:tc>
          <w:tcPr>
            <w:tcW w:w="256" w:type="pct"/>
            <w:tcBorders>
              <w:top w:val="nil"/>
              <w:left w:val="nil"/>
              <w:bottom w:val="single" w:sz="4" w:space="0" w:color="auto"/>
              <w:right w:val="single" w:sz="4" w:space="0" w:color="auto"/>
            </w:tcBorders>
            <w:shd w:val="clear" w:color="auto" w:fill="auto"/>
            <w:noWrap/>
            <w:vAlign w:val="center"/>
            <w:hideMark/>
          </w:tcPr>
          <w:p w:rsidR="00767C32" w:rsidRPr="00767C32" w:rsidRDefault="00767C32" w:rsidP="00767C32">
            <w:pPr>
              <w:spacing w:after="0" w:line="240" w:lineRule="auto"/>
              <w:jc w:val="center"/>
              <w:rPr>
                <w:rFonts w:ascii="Calibri" w:eastAsia="Times New Roman" w:hAnsi="Calibri" w:cs="Times New Roman"/>
                <w:color w:val="000000"/>
                <w:sz w:val="16"/>
                <w:szCs w:val="16"/>
                <w:lang w:eastAsia="en-GB"/>
              </w:rPr>
            </w:pPr>
            <w:r w:rsidRPr="00767C32">
              <w:rPr>
                <w:rFonts w:ascii="Calibri" w:eastAsia="Times New Roman" w:hAnsi="Calibri" w:cs="Times New Roman"/>
                <w:color w:val="000000"/>
                <w:sz w:val="16"/>
                <w:szCs w:val="16"/>
                <w:lang w:eastAsia="en-GB"/>
              </w:rPr>
              <w:t>-</w:t>
            </w:r>
          </w:p>
        </w:tc>
        <w:tc>
          <w:tcPr>
            <w:tcW w:w="257" w:type="pct"/>
            <w:tcBorders>
              <w:top w:val="nil"/>
              <w:left w:val="nil"/>
              <w:bottom w:val="single" w:sz="4" w:space="0" w:color="auto"/>
              <w:right w:val="single" w:sz="4" w:space="0" w:color="auto"/>
            </w:tcBorders>
            <w:shd w:val="clear" w:color="auto" w:fill="auto"/>
            <w:noWrap/>
            <w:vAlign w:val="center"/>
            <w:hideMark/>
          </w:tcPr>
          <w:p w:rsidR="00767C32" w:rsidRPr="00767C32" w:rsidRDefault="00767C32" w:rsidP="00767C32">
            <w:pPr>
              <w:spacing w:after="0" w:line="240" w:lineRule="auto"/>
              <w:jc w:val="center"/>
              <w:rPr>
                <w:rFonts w:ascii="Calibri" w:eastAsia="Times New Roman" w:hAnsi="Calibri" w:cs="Times New Roman"/>
                <w:color w:val="000000"/>
                <w:sz w:val="16"/>
                <w:szCs w:val="16"/>
                <w:lang w:eastAsia="en-GB"/>
              </w:rPr>
            </w:pPr>
            <w:r w:rsidRPr="00767C32">
              <w:rPr>
                <w:rFonts w:ascii="Calibri" w:eastAsia="Times New Roman" w:hAnsi="Calibri" w:cs="Times New Roman"/>
                <w:color w:val="000000"/>
                <w:sz w:val="16"/>
                <w:szCs w:val="16"/>
                <w:lang w:eastAsia="en-GB"/>
              </w:rPr>
              <w:t>-</w:t>
            </w:r>
          </w:p>
        </w:tc>
        <w:tc>
          <w:tcPr>
            <w:tcW w:w="304" w:type="pct"/>
            <w:tcBorders>
              <w:top w:val="nil"/>
              <w:left w:val="nil"/>
              <w:bottom w:val="single" w:sz="4" w:space="0" w:color="auto"/>
              <w:right w:val="single" w:sz="4" w:space="0" w:color="auto"/>
            </w:tcBorders>
            <w:shd w:val="clear" w:color="auto" w:fill="auto"/>
            <w:noWrap/>
            <w:vAlign w:val="center"/>
            <w:hideMark/>
          </w:tcPr>
          <w:p w:rsidR="00767C32" w:rsidRPr="00767C32" w:rsidRDefault="00767C32" w:rsidP="00767C32">
            <w:pPr>
              <w:spacing w:after="0" w:line="240" w:lineRule="auto"/>
              <w:jc w:val="center"/>
              <w:rPr>
                <w:rFonts w:ascii="Calibri" w:eastAsia="Times New Roman" w:hAnsi="Calibri" w:cs="Times New Roman"/>
                <w:color w:val="000000"/>
                <w:sz w:val="16"/>
                <w:szCs w:val="16"/>
                <w:lang w:eastAsia="en-GB"/>
              </w:rPr>
            </w:pPr>
            <w:r w:rsidRPr="00767C32">
              <w:rPr>
                <w:rFonts w:ascii="Calibri" w:eastAsia="Times New Roman" w:hAnsi="Calibri" w:cs="Times New Roman"/>
                <w:color w:val="000000"/>
                <w:sz w:val="16"/>
                <w:szCs w:val="16"/>
                <w:lang w:eastAsia="en-GB"/>
              </w:rPr>
              <w:t>-</w:t>
            </w:r>
          </w:p>
        </w:tc>
        <w:tc>
          <w:tcPr>
            <w:tcW w:w="258" w:type="pct"/>
            <w:tcBorders>
              <w:top w:val="nil"/>
              <w:left w:val="nil"/>
              <w:bottom w:val="single" w:sz="4" w:space="0" w:color="auto"/>
              <w:right w:val="single" w:sz="4" w:space="0" w:color="auto"/>
            </w:tcBorders>
            <w:shd w:val="clear" w:color="auto" w:fill="auto"/>
            <w:noWrap/>
            <w:vAlign w:val="center"/>
            <w:hideMark/>
          </w:tcPr>
          <w:p w:rsidR="00767C32" w:rsidRPr="00767C32" w:rsidRDefault="00767C32" w:rsidP="00767C32">
            <w:pPr>
              <w:spacing w:after="0" w:line="240" w:lineRule="auto"/>
              <w:jc w:val="center"/>
              <w:rPr>
                <w:rFonts w:ascii="Calibri" w:eastAsia="Times New Roman" w:hAnsi="Calibri" w:cs="Times New Roman"/>
                <w:color w:val="000000"/>
                <w:sz w:val="16"/>
                <w:szCs w:val="16"/>
                <w:lang w:eastAsia="en-GB"/>
              </w:rPr>
            </w:pPr>
            <w:r w:rsidRPr="00767C32">
              <w:rPr>
                <w:rFonts w:ascii="Calibri" w:eastAsia="Times New Roman" w:hAnsi="Calibri" w:cs="Times New Roman"/>
                <w:color w:val="000000"/>
                <w:sz w:val="16"/>
                <w:szCs w:val="16"/>
                <w:lang w:eastAsia="en-GB"/>
              </w:rPr>
              <w:t>-</w:t>
            </w:r>
          </w:p>
        </w:tc>
        <w:tc>
          <w:tcPr>
            <w:tcW w:w="251" w:type="pct"/>
            <w:tcBorders>
              <w:top w:val="nil"/>
              <w:left w:val="nil"/>
              <w:bottom w:val="single" w:sz="4" w:space="0" w:color="auto"/>
              <w:right w:val="single" w:sz="4" w:space="0" w:color="auto"/>
            </w:tcBorders>
            <w:shd w:val="clear" w:color="auto" w:fill="auto"/>
            <w:noWrap/>
            <w:vAlign w:val="center"/>
            <w:hideMark/>
          </w:tcPr>
          <w:p w:rsidR="00767C32" w:rsidRPr="00767C32" w:rsidRDefault="00767C32" w:rsidP="00767C32">
            <w:pPr>
              <w:spacing w:after="0" w:line="240" w:lineRule="auto"/>
              <w:jc w:val="center"/>
              <w:rPr>
                <w:rFonts w:ascii="Calibri" w:eastAsia="Times New Roman" w:hAnsi="Calibri" w:cs="Times New Roman"/>
                <w:color w:val="000000"/>
                <w:sz w:val="16"/>
                <w:szCs w:val="16"/>
                <w:lang w:eastAsia="en-GB"/>
              </w:rPr>
            </w:pPr>
            <w:r w:rsidRPr="00767C32">
              <w:rPr>
                <w:rFonts w:ascii="Calibri" w:eastAsia="Times New Roman" w:hAnsi="Calibri" w:cs="Times New Roman"/>
                <w:color w:val="000000"/>
                <w:sz w:val="16"/>
                <w:szCs w:val="16"/>
                <w:lang w:eastAsia="en-GB"/>
              </w:rPr>
              <w:t>-</w:t>
            </w:r>
          </w:p>
        </w:tc>
        <w:tc>
          <w:tcPr>
            <w:tcW w:w="256" w:type="pct"/>
            <w:tcBorders>
              <w:top w:val="nil"/>
              <w:left w:val="nil"/>
              <w:bottom w:val="single" w:sz="4" w:space="0" w:color="auto"/>
              <w:right w:val="single" w:sz="4" w:space="0" w:color="auto"/>
            </w:tcBorders>
            <w:shd w:val="clear" w:color="auto" w:fill="auto"/>
            <w:noWrap/>
            <w:vAlign w:val="center"/>
            <w:hideMark/>
          </w:tcPr>
          <w:p w:rsidR="00767C32" w:rsidRPr="00767C32" w:rsidRDefault="00767C32" w:rsidP="00767C32">
            <w:pPr>
              <w:spacing w:after="0" w:line="240" w:lineRule="auto"/>
              <w:jc w:val="center"/>
              <w:rPr>
                <w:rFonts w:ascii="Calibri" w:eastAsia="Times New Roman" w:hAnsi="Calibri" w:cs="Times New Roman"/>
                <w:color w:val="000000"/>
                <w:sz w:val="16"/>
                <w:szCs w:val="16"/>
                <w:lang w:eastAsia="en-GB"/>
              </w:rPr>
            </w:pPr>
            <w:r w:rsidRPr="00767C32">
              <w:rPr>
                <w:rFonts w:ascii="Calibri" w:eastAsia="Times New Roman" w:hAnsi="Calibri" w:cs="Times New Roman"/>
                <w:color w:val="000000"/>
                <w:sz w:val="16"/>
                <w:szCs w:val="16"/>
                <w:lang w:eastAsia="en-GB"/>
              </w:rPr>
              <w:t>-</w:t>
            </w:r>
          </w:p>
        </w:tc>
        <w:tc>
          <w:tcPr>
            <w:tcW w:w="300" w:type="pct"/>
            <w:tcBorders>
              <w:top w:val="nil"/>
              <w:left w:val="nil"/>
              <w:bottom w:val="single" w:sz="4" w:space="0" w:color="auto"/>
              <w:right w:val="single" w:sz="4" w:space="0" w:color="auto"/>
            </w:tcBorders>
            <w:shd w:val="clear" w:color="auto" w:fill="auto"/>
            <w:noWrap/>
            <w:vAlign w:val="center"/>
            <w:hideMark/>
          </w:tcPr>
          <w:p w:rsidR="00767C32" w:rsidRPr="00767C32" w:rsidRDefault="00767C32" w:rsidP="00767C32">
            <w:pPr>
              <w:spacing w:after="0" w:line="240" w:lineRule="auto"/>
              <w:jc w:val="center"/>
              <w:rPr>
                <w:rFonts w:ascii="Calibri" w:eastAsia="Times New Roman" w:hAnsi="Calibri" w:cs="Times New Roman"/>
                <w:color w:val="000000"/>
                <w:sz w:val="16"/>
                <w:szCs w:val="16"/>
                <w:lang w:eastAsia="en-GB"/>
              </w:rPr>
            </w:pPr>
            <w:r w:rsidRPr="00767C32">
              <w:rPr>
                <w:rFonts w:ascii="Calibri" w:eastAsia="Times New Roman" w:hAnsi="Calibri" w:cs="Times New Roman"/>
                <w:color w:val="000000"/>
                <w:sz w:val="16"/>
                <w:szCs w:val="16"/>
                <w:lang w:eastAsia="en-GB"/>
              </w:rPr>
              <w:t>8,141,488</w:t>
            </w:r>
          </w:p>
        </w:tc>
        <w:tc>
          <w:tcPr>
            <w:tcW w:w="254" w:type="pct"/>
            <w:tcBorders>
              <w:top w:val="nil"/>
              <w:left w:val="nil"/>
              <w:bottom w:val="single" w:sz="4" w:space="0" w:color="auto"/>
              <w:right w:val="single" w:sz="4" w:space="0" w:color="auto"/>
            </w:tcBorders>
            <w:shd w:val="clear" w:color="auto" w:fill="auto"/>
            <w:noWrap/>
            <w:vAlign w:val="center"/>
            <w:hideMark/>
          </w:tcPr>
          <w:p w:rsidR="00767C32" w:rsidRPr="00767C32" w:rsidRDefault="00767C32" w:rsidP="00767C32">
            <w:pPr>
              <w:spacing w:after="0" w:line="240" w:lineRule="auto"/>
              <w:jc w:val="center"/>
              <w:rPr>
                <w:rFonts w:ascii="Calibri" w:eastAsia="Times New Roman" w:hAnsi="Calibri" w:cs="Times New Roman"/>
                <w:color w:val="000000"/>
                <w:sz w:val="16"/>
                <w:szCs w:val="16"/>
                <w:lang w:eastAsia="en-GB"/>
              </w:rPr>
            </w:pPr>
            <w:r w:rsidRPr="00767C32">
              <w:rPr>
                <w:rFonts w:ascii="Calibri" w:eastAsia="Times New Roman" w:hAnsi="Calibri" w:cs="Times New Roman"/>
                <w:color w:val="000000"/>
                <w:sz w:val="16"/>
                <w:szCs w:val="16"/>
                <w:lang w:eastAsia="en-GB"/>
              </w:rPr>
              <w:t>13.9%</w:t>
            </w:r>
          </w:p>
        </w:tc>
      </w:tr>
      <w:tr w:rsidR="0085747D" w:rsidRPr="00767C32" w:rsidTr="0085747D">
        <w:trPr>
          <w:trHeight w:val="300"/>
        </w:trPr>
        <w:tc>
          <w:tcPr>
            <w:tcW w:w="513" w:type="pct"/>
            <w:tcBorders>
              <w:top w:val="nil"/>
              <w:left w:val="single" w:sz="4" w:space="0" w:color="auto"/>
              <w:bottom w:val="single" w:sz="4" w:space="0" w:color="auto"/>
              <w:right w:val="single" w:sz="4" w:space="0" w:color="auto"/>
            </w:tcBorders>
            <w:shd w:val="clear" w:color="auto" w:fill="auto"/>
            <w:noWrap/>
            <w:vAlign w:val="center"/>
            <w:hideMark/>
          </w:tcPr>
          <w:p w:rsidR="00767C32" w:rsidRPr="00767C32" w:rsidRDefault="00767C32" w:rsidP="00767C32">
            <w:pPr>
              <w:spacing w:after="0" w:line="240" w:lineRule="auto"/>
              <w:jc w:val="center"/>
              <w:rPr>
                <w:rFonts w:ascii="Calibri" w:eastAsia="Times New Roman" w:hAnsi="Calibri" w:cs="Times New Roman"/>
                <w:color w:val="000000"/>
                <w:sz w:val="16"/>
                <w:szCs w:val="16"/>
                <w:lang w:eastAsia="en-GB"/>
              </w:rPr>
            </w:pPr>
            <w:r w:rsidRPr="00767C32">
              <w:rPr>
                <w:rFonts w:ascii="Calibri" w:eastAsia="Times New Roman" w:hAnsi="Calibri" w:cs="Times New Roman"/>
                <w:color w:val="000000"/>
                <w:sz w:val="16"/>
                <w:szCs w:val="16"/>
                <w:lang w:eastAsia="en-GB"/>
              </w:rPr>
              <w:t>CHD QOF prevalence, all ages</w:t>
            </w:r>
          </w:p>
        </w:tc>
        <w:tc>
          <w:tcPr>
            <w:tcW w:w="256" w:type="pct"/>
            <w:tcBorders>
              <w:top w:val="nil"/>
              <w:left w:val="nil"/>
              <w:bottom w:val="single" w:sz="4" w:space="0" w:color="auto"/>
              <w:right w:val="single" w:sz="4" w:space="0" w:color="auto"/>
            </w:tcBorders>
            <w:shd w:val="clear" w:color="auto" w:fill="auto"/>
            <w:noWrap/>
            <w:vAlign w:val="center"/>
            <w:hideMark/>
          </w:tcPr>
          <w:p w:rsidR="00767C32" w:rsidRPr="00767C32" w:rsidRDefault="00767C32" w:rsidP="00767C32">
            <w:pPr>
              <w:spacing w:after="0" w:line="240" w:lineRule="auto"/>
              <w:jc w:val="center"/>
              <w:rPr>
                <w:rFonts w:ascii="Calibri" w:eastAsia="Times New Roman" w:hAnsi="Calibri" w:cs="Times New Roman"/>
                <w:color w:val="000000"/>
                <w:sz w:val="16"/>
                <w:szCs w:val="16"/>
                <w:lang w:eastAsia="en-GB"/>
              </w:rPr>
            </w:pPr>
            <w:r w:rsidRPr="00767C32">
              <w:rPr>
                <w:rFonts w:ascii="Calibri" w:eastAsia="Times New Roman" w:hAnsi="Calibri" w:cs="Times New Roman"/>
                <w:color w:val="000000"/>
                <w:sz w:val="16"/>
                <w:szCs w:val="16"/>
                <w:lang w:eastAsia="en-GB"/>
              </w:rPr>
              <w:t>2017-18</w:t>
            </w:r>
          </w:p>
        </w:tc>
        <w:tc>
          <w:tcPr>
            <w:tcW w:w="257" w:type="pct"/>
            <w:tcBorders>
              <w:top w:val="nil"/>
              <w:left w:val="nil"/>
              <w:bottom w:val="single" w:sz="4" w:space="0" w:color="auto"/>
              <w:right w:val="single" w:sz="4" w:space="0" w:color="auto"/>
            </w:tcBorders>
            <w:shd w:val="clear" w:color="000000" w:fill="538DD5"/>
            <w:noWrap/>
            <w:vAlign w:val="center"/>
            <w:hideMark/>
          </w:tcPr>
          <w:p w:rsidR="00767C32" w:rsidRPr="00767C32" w:rsidRDefault="00767C32" w:rsidP="00767C32">
            <w:pPr>
              <w:spacing w:after="0" w:line="240" w:lineRule="auto"/>
              <w:jc w:val="center"/>
              <w:rPr>
                <w:rFonts w:ascii="Calibri" w:eastAsia="Times New Roman" w:hAnsi="Calibri" w:cs="Times New Roman"/>
                <w:color w:val="FFFFFF"/>
                <w:sz w:val="16"/>
                <w:szCs w:val="16"/>
                <w:lang w:eastAsia="en-GB"/>
              </w:rPr>
            </w:pPr>
            <w:r w:rsidRPr="00767C32">
              <w:rPr>
                <w:rFonts w:ascii="Calibri" w:eastAsia="Times New Roman" w:hAnsi="Calibri" w:cs="Times New Roman"/>
                <w:color w:val="FFFFFF"/>
                <w:sz w:val="16"/>
                <w:szCs w:val="16"/>
                <w:lang w:eastAsia="en-GB"/>
              </w:rPr>
              <w:t>20,249</w:t>
            </w:r>
          </w:p>
        </w:tc>
        <w:tc>
          <w:tcPr>
            <w:tcW w:w="256" w:type="pct"/>
            <w:tcBorders>
              <w:top w:val="nil"/>
              <w:left w:val="nil"/>
              <w:bottom w:val="single" w:sz="4" w:space="0" w:color="auto"/>
              <w:right w:val="single" w:sz="4" w:space="0" w:color="auto"/>
            </w:tcBorders>
            <w:shd w:val="clear" w:color="000000" w:fill="538DD5"/>
            <w:noWrap/>
            <w:vAlign w:val="center"/>
            <w:hideMark/>
          </w:tcPr>
          <w:p w:rsidR="00767C32" w:rsidRPr="00767C32" w:rsidRDefault="00767C32" w:rsidP="00767C32">
            <w:pPr>
              <w:spacing w:after="0" w:line="240" w:lineRule="auto"/>
              <w:jc w:val="center"/>
              <w:rPr>
                <w:rFonts w:ascii="Calibri" w:eastAsia="Times New Roman" w:hAnsi="Calibri" w:cs="Times New Roman"/>
                <w:color w:val="FFFFFF"/>
                <w:sz w:val="16"/>
                <w:szCs w:val="16"/>
                <w:lang w:eastAsia="en-GB"/>
              </w:rPr>
            </w:pPr>
            <w:r w:rsidRPr="00767C32">
              <w:rPr>
                <w:rFonts w:ascii="Calibri" w:eastAsia="Times New Roman" w:hAnsi="Calibri" w:cs="Times New Roman"/>
                <w:color w:val="FFFFFF"/>
                <w:sz w:val="16"/>
                <w:szCs w:val="16"/>
                <w:lang w:eastAsia="en-GB"/>
              </w:rPr>
              <w:t>2.8%</w:t>
            </w:r>
          </w:p>
        </w:tc>
        <w:tc>
          <w:tcPr>
            <w:tcW w:w="257" w:type="pct"/>
            <w:tcBorders>
              <w:top w:val="nil"/>
              <w:left w:val="nil"/>
              <w:bottom w:val="single" w:sz="4" w:space="0" w:color="auto"/>
              <w:right w:val="single" w:sz="4" w:space="0" w:color="auto"/>
            </w:tcBorders>
            <w:shd w:val="clear" w:color="000000" w:fill="538DD5"/>
            <w:noWrap/>
            <w:vAlign w:val="center"/>
            <w:hideMark/>
          </w:tcPr>
          <w:p w:rsidR="00767C32" w:rsidRPr="00767C32" w:rsidRDefault="00767C32" w:rsidP="00767C32">
            <w:pPr>
              <w:spacing w:after="0" w:line="240" w:lineRule="auto"/>
              <w:jc w:val="center"/>
              <w:rPr>
                <w:rFonts w:ascii="Calibri" w:eastAsia="Times New Roman" w:hAnsi="Calibri" w:cs="Times New Roman"/>
                <w:color w:val="FFFFFF"/>
                <w:sz w:val="16"/>
                <w:szCs w:val="16"/>
                <w:lang w:eastAsia="en-GB"/>
              </w:rPr>
            </w:pPr>
            <w:r w:rsidRPr="00767C32">
              <w:rPr>
                <w:rFonts w:ascii="Calibri" w:eastAsia="Times New Roman" w:hAnsi="Calibri" w:cs="Times New Roman"/>
                <w:color w:val="FFFFFF"/>
                <w:sz w:val="16"/>
                <w:szCs w:val="16"/>
                <w:lang w:eastAsia="en-GB"/>
              </w:rPr>
              <w:t>5,221</w:t>
            </w:r>
          </w:p>
        </w:tc>
        <w:tc>
          <w:tcPr>
            <w:tcW w:w="256" w:type="pct"/>
            <w:tcBorders>
              <w:top w:val="nil"/>
              <w:left w:val="nil"/>
              <w:bottom w:val="single" w:sz="4" w:space="0" w:color="auto"/>
              <w:right w:val="single" w:sz="4" w:space="0" w:color="auto"/>
            </w:tcBorders>
            <w:shd w:val="clear" w:color="000000" w:fill="538DD5"/>
            <w:noWrap/>
            <w:vAlign w:val="center"/>
            <w:hideMark/>
          </w:tcPr>
          <w:p w:rsidR="00767C32" w:rsidRPr="00767C32" w:rsidRDefault="00767C32" w:rsidP="00767C32">
            <w:pPr>
              <w:spacing w:after="0" w:line="240" w:lineRule="auto"/>
              <w:jc w:val="center"/>
              <w:rPr>
                <w:rFonts w:ascii="Calibri" w:eastAsia="Times New Roman" w:hAnsi="Calibri" w:cs="Times New Roman"/>
                <w:color w:val="FFFFFF"/>
                <w:sz w:val="16"/>
                <w:szCs w:val="16"/>
                <w:lang w:eastAsia="en-GB"/>
              </w:rPr>
            </w:pPr>
            <w:r w:rsidRPr="00767C32">
              <w:rPr>
                <w:rFonts w:ascii="Calibri" w:eastAsia="Times New Roman" w:hAnsi="Calibri" w:cs="Times New Roman"/>
                <w:color w:val="FFFFFF"/>
                <w:sz w:val="16"/>
                <w:szCs w:val="16"/>
                <w:lang w:eastAsia="en-GB"/>
              </w:rPr>
              <w:t>2.5%</w:t>
            </w:r>
          </w:p>
        </w:tc>
        <w:tc>
          <w:tcPr>
            <w:tcW w:w="257" w:type="pct"/>
            <w:tcBorders>
              <w:top w:val="nil"/>
              <w:left w:val="nil"/>
              <w:bottom w:val="single" w:sz="4" w:space="0" w:color="auto"/>
              <w:right w:val="single" w:sz="4" w:space="0" w:color="auto"/>
            </w:tcBorders>
            <w:shd w:val="clear" w:color="auto" w:fill="auto"/>
            <w:noWrap/>
            <w:vAlign w:val="center"/>
            <w:hideMark/>
          </w:tcPr>
          <w:p w:rsidR="00767C32" w:rsidRPr="00767C32" w:rsidRDefault="00767C32" w:rsidP="00767C32">
            <w:pPr>
              <w:spacing w:after="0" w:line="240" w:lineRule="auto"/>
              <w:jc w:val="center"/>
              <w:rPr>
                <w:rFonts w:ascii="Calibri" w:eastAsia="Times New Roman" w:hAnsi="Calibri" w:cs="Times New Roman"/>
                <w:color w:val="000000"/>
                <w:sz w:val="16"/>
                <w:szCs w:val="16"/>
                <w:lang w:eastAsia="en-GB"/>
              </w:rPr>
            </w:pPr>
            <w:r w:rsidRPr="00767C32">
              <w:rPr>
                <w:rFonts w:ascii="Calibri" w:eastAsia="Times New Roman" w:hAnsi="Calibri" w:cs="Times New Roman"/>
                <w:color w:val="000000"/>
                <w:sz w:val="16"/>
                <w:szCs w:val="16"/>
                <w:lang w:eastAsia="en-GB"/>
              </w:rPr>
              <w:t>-</w:t>
            </w:r>
          </w:p>
        </w:tc>
        <w:tc>
          <w:tcPr>
            <w:tcW w:w="256" w:type="pct"/>
            <w:tcBorders>
              <w:top w:val="nil"/>
              <w:left w:val="nil"/>
              <w:bottom w:val="single" w:sz="4" w:space="0" w:color="auto"/>
              <w:right w:val="single" w:sz="4" w:space="0" w:color="auto"/>
            </w:tcBorders>
            <w:shd w:val="clear" w:color="auto" w:fill="auto"/>
            <w:noWrap/>
            <w:vAlign w:val="center"/>
            <w:hideMark/>
          </w:tcPr>
          <w:p w:rsidR="00767C32" w:rsidRPr="00767C32" w:rsidRDefault="00767C32" w:rsidP="00767C32">
            <w:pPr>
              <w:spacing w:after="0" w:line="240" w:lineRule="auto"/>
              <w:jc w:val="center"/>
              <w:rPr>
                <w:rFonts w:ascii="Calibri" w:eastAsia="Times New Roman" w:hAnsi="Calibri" w:cs="Times New Roman"/>
                <w:color w:val="000000"/>
                <w:sz w:val="16"/>
                <w:szCs w:val="16"/>
                <w:lang w:eastAsia="en-GB"/>
              </w:rPr>
            </w:pPr>
            <w:r w:rsidRPr="00767C32">
              <w:rPr>
                <w:rFonts w:ascii="Calibri" w:eastAsia="Times New Roman" w:hAnsi="Calibri" w:cs="Times New Roman"/>
                <w:color w:val="000000"/>
                <w:sz w:val="16"/>
                <w:szCs w:val="16"/>
                <w:lang w:eastAsia="en-GB"/>
              </w:rPr>
              <w:t>-</w:t>
            </w:r>
          </w:p>
        </w:tc>
        <w:tc>
          <w:tcPr>
            <w:tcW w:w="257" w:type="pct"/>
            <w:tcBorders>
              <w:top w:val="nil"/>
              <w:left w:val="nil"/>
              <w:bottom w:val="single" w:sz="4" w:space="0" w:color="auto"/>
              <w:right w:val="single" w:sz="4" w:space="0" w:color="auto"/>
            </w:tcBorders>
            <w:shd w:val="clear" w:color="auto" w:fill="auto"/>
            <w:noWrap/>
            <w:vAlign w:val="center"/>
            <w:hideMark/>
          </w:tcPr>
          <w:p w:rsidR="00767C32" w:rsidRPr="00767C32" w:rsidRDefault="00767C32" w:rsidP="00767C32">
            <w:pPr>
              <w:spacing w:after="0" w:line="240" w:lineRule="auto"/>
              <w:jc w:val="center"/>
              <w:rPr>
                <w:rFonts w:ascii="Calibri" w:eastAsia="Times New Roman" w:hAnsi="Calibri" w:cs="Times New Roman"/>
                <w:color w:val="000000"/>
                <w:sz w:val="16"/>
                <w:szCs w:val="16"/>
                <w:lang w:eastAsia="en-GB"/>
              </w:rPr>
            </w:pPr>
            <w:r w:rsidRPr="00767C32">
              <w:rPr>
                <w:rFonts w:ascii="Calibri" w:eastAsia="Times New Roman" w:hAnsi="Calibri" w:cs="Times New Roman"/>
                <w:color w:val="000000"/>
                <w:sz w:val="16"/>
                <w:szCs w:val="16"/>
                <w:lang w:eastAsia="en-GB"/>
              </w:rPr>
              <w:t>-</w:t>
            </w:r>
          </w:p>
        </w:tc>
        <w:tc>
          <w:tcPr>
            <w:tcW w:w="299" w:type="pct"/>
            <w:tcBorders>
              <w:top w:val="nil"/>
              <w:left w:val="nil"/>
              <w:bottom w:val="single" w:sz="4" w:space="0" w:color="auto"/>
              <w:right w:val="single" w:sz="4" w:space="0" w:color="auto"/>
            </w:tcBorders>
            <w:shd w:val="clear" w:color="auto" w:fill="auto"/>
            <w:noWrap/>
            <w:vAlign w:val="center"/>
            <w:hideMark/>
          </w:tcPr>
          <w:p w:rsidR="00767C32" w:rsidRPr="00767C32" w:rsidRDefault="00767C32" w:rsidP="00767C32">
            <w:pPr>
              <w:spacing w:after="0" w:line="240" w:lineRule="auto"/>
              <w:jc w:val="center"/>
              <w:rPr>
                <w:rFonts w:ascii="Calibri" w:eastAsia="Times New Roman" w:hAnsi="Calibri" w:cs="Times New Roman"/>
                <w:color w:val="000000"/>
                <w:sz w:val="16"/>
                <w:szCs w:val="16"/>
                <w:lang w:eastAsia="en-GB"/>
              </w:rPr>
            </w:pPr>
            <w:r w:rsidRPr="00767C32">
              <w:rPr>
                <w:rFonts w:ascii="Calibri" w:eastAsia="Times New Roman" w:hAnsi="Calibri" w:cs="Times New Roman"/>
                <w:color w:val="000000"/>
                <w:sz w:val="16"/>
                <w:szCs w:val="16"/>
                <w:lang w:eastAsia="en-GB"/>
              </w:rPr>
              <w:t>-</w:t>
            </w:r>
          </w:p>
        </w:tc>
        <w:tc>
          <w:tcPr>
            <w:tcW w:w="256" w:type="pct"/>
            <w:tcBorders>
              <w:top w:val="nil"/>
              <w:left w:val="nil"/>
              <w:bottom w:val="single" w:sz="4" w:space="0" w:color="auto"/>
              <w:right w:val="single" w:sz="4" w:space="0" w:color="auto"/>
            </w:tcBorders>
            <w:shd w:val="clear" w:color="auto" w:fill="auto"/>
            <w:noWrap/>
            <w:vAlign w:val="center"/>
            <w:hideMark/>
          </w:tcPr>
          <w:p w:rsidR="00767C32" w:rsidRPr="00767C32" w:rsidRDefault="00767C32" w:rsidP="00767C32">
            <w:pPr>
              <w:spacing w:after="0" w:line="240" w:lineRule="auto"/>
              <w:jc w:val="center"/>
              <w:rPr>
                <w:rFonts w:ascii="Calibri" w:eastAsia="Times New Roman" w:hAnsi="Calibri" w:cs="Times New Roman"/>
                <w:color w:val="000000"/>
                <w:sz w:val="16"/>
                <w:szCs w:val="16"/>
                <w:lang w:eastAsia="en-GB"/>
              </w:rPr>
            </w:pPr>
            <w:r w:rsidRPr="00767C32">
              <w:rPr>
                <w:rFonts w:ascii="Calibri" w:eastAsia="Times New Roman" w:hAnsi="Calibri" w:cs="Times New Roman"/>
                <w:color w:val="000000"/>
                <w:sz w:val="16"/>
                <w:szCs w:val="16"/>
                <w:lang w:eastAsia="en-GB"/>
              </w:rPr>
              <w:t>-</w:t>
            </w:r>
          </w:p>
        </w:tc>
        <w:tc>
          <w:tcPr>
            <w:tcW w:w="257" w:type="pct"/>
            <w:tcBorders>
              <w:top w:val="nil"/>
              <w:left w:val="nil"/>
              <w:bottom w:val="single" w:sz="4" w:space="0" w:color="auto"/>
              <w:right w:val="single" w:sz="4" w:space="0" w:color="auto"/>
            </w:tcBorders>
            <w:shd w:val="clear" w:color="auto" w:fill="auto"/>
            <w:noWrap/>
            <w:vAlign w:val="center"/>
            <w:hideMark/>
          </w:tcPr>
          <w:p w:rsidR="00767C32" w:rsidRPr="00767C32" w:rsidRDefault="00767C32" w:rsidP="00767C32">
            <w:pPr>
              <w:spacing w:after="0" w:line="240" w:lineRule="auto"/>
              <w:jc w:val="center"/>
              <w:rPr>
                <w:rFonts w:ascii="Calibri" w:eastAsia="Times New Roman" w:hAnsi="Calibri" w:cs="Times New Roman"/>
                <w:color w:val="000000"/>
                <w:sz w:val="16"/>
                <w:szCs w:val="16"/>
                <w:lang w:eastAsia="en-GB"/>
              </w:rPr>
            </w:pPr>
            <w:r w:rsidRPr="00767C32">
              <w:rPr>
                <w:rFonts w:ascii="Calibri" w:eastAsia="Times New Roman" w:hAnsi="Calibri" w:cs="Times New Roman"/>
                <w:color w:val="000000"/>
                <w:sz w:val="16"/>
                <w:szCs w:val="16"/>
                <w:lang w:eastAsia="en-GB"/>
              </w:rPr>
              <w:t>-</w:t>
            </w:r>
          </w:p>
        </w:tc>
        <w:tc>
          <w:tcPr>
            <w:tcW w:w="304" w:type="pct"/>
            <w:tcBorders>
              <w:top w:val="nil"/>
              <w:left w:val="nil"/>
              <w:bottom w:val="single" w:sz="4" w:space="0" w:color="auto"/>
              <w:right w:val="single" w:sz="4" w:space="0" w:color="auto"/>
            </w:tcBorders>
            <w:shd w:val="clear" w:color="auto" w:fill="auto"/>
            <w:noWrap/>
            <w:vAlign w:val="center"/>
            <w:hideMark/>
          </w:tcPr>
          <w:p w:rsidR="00767C32" w:rsidRPr="00767C32" w:rsidRDefault="00767C32" w:rsidP="00767C32">
            <w:pPr>
              <w:spacing w:after="0" w:line="240" w:lineRule="auto"/>
              <w:jc w:val="center"/>
              <w:rPr>
                <w:rFonts w:ascii="Calibri" w:eastAsia="Times New Roman" w:hAnsi="Calibri" w:cs="Times New Roman"/>
                <w:color w:val="000000"/>
                <w:sz w:val="16"/>
                <w:szCs w:val="16"/>
                <w:lang w:eastAsia="en-GB"/>
              </w:rPr>
            </w:pPr>
            <w:r w:rsidRPr="00767C32">
              <w:rPr>
                <w:rFonts w:ascii="Calibri" w:eastAsia="Times New Roman" w:hAnsi="Calibri" w:cs="Times New Roman"/>
                <w:color w:val="000000"/>
                <w:sz w:val="16"/>
                <w:szCs w:val="16"/>
                <w:lang w:eastAsia="en-GB"/>
              </w:rPr>
              <w:t>-</w:t>
            </w:r>
          </w:p>
        </w:tc>
        <w:tc>
          <w:tcPr>
            <w:tcW w:w="258" w:type="pct"/>
            <w:tcBorders>
              <w:top w:val="nil"/>
              <w:left w:val="nil"/>
              <w:bottom w:val="single" w:sz="4" w:space="0" w:color="auto"/>
              <w:right w:val="single" w:sz="4" w:space="0" w:color="auto"/>
            </w:tcBorders>
            <w:shd w:val="clear" w:color="auto" w:fill="auto"/>
            <w:noWrap/>
            <w:vAlign w:val="center"/>
            <w:hideMark/>
          </w:tcPr>
          <w:p w:rsidR="00767C32" w:rsidRPr="00767C32" w:rsidRDefault="00767C32" w:rsidP="00767C32">
            <w:pPr>
              <w:spacing w:after="0" w:line="240" w:lineRule="auto"/>
              <w:jc w:val="center"/>
              <w:rPr>
                <w:rFonts w:ascii="Calibri" w:eastAsia="Times New Roman" w:hAnsi="Calibri" w:cs="Times New Roman"/>
                <w:color w:val="000000"/>
                <w:sz w:val="16"/>
                <w:szCs w:val="16"/>
                <w:lang w:eastAsia="en-GB"/>
              </w:rPr>
            </w:pPr>
            <w:r w:rsidRPr="00767C32">
              <w:rPr>
                <w:rFonts w:ascii="Calibri" w:eastAsia="Times New Roman" w:hAnsi="Calibri" w:cs="Times New Roman"/>
                <w:color w:val="000000"/>
                <w:sz w:val="16"/>
                <w:szCs w:val="16"/>
                <w:lang w:eastAsia="en-GB"/>
              </w:rPr>
              <w:t>-</w:t>
            </w:r>
          </w:p>
        </w:tc>
        <w:tc>
          <w:tcPr>
            <w:tcW w:w="251" w:type="pct"/>
            <w:tcBorders>
              <w:top w:val="nil"/>
              <w:left w:val="nil"/>
              <w:bottom w:val="single" w:sz="4" w:space="0" w:color="auto"/>
              <w:right w:val="single" w:sz="4" w:space="0" w:color="auto"/>
            </w:tcBorders>
            <w:shd w:val="clear" w:color="auto" w:fill="auto"/>
            <w:noWrap/>
            <w:vAlign w:val="center"/>
            <w:hideMark/>
          </w:tcPr>
          <w:p w:rsidR="00767C32" w:rsidRPr="00767C32" w:rsidRDefault="00767C32" w:rsidP="00767C32">
            <w:pPr>
              <w:spacing w:after="0" w:line="240" w:lineRule="auto"/>
              <w:jc w:val="center"/>
              <w:rPr>
                <w:rFonts w:ascii="Calibri" w:eastAsia="Times New Roman" w:hAnsi="Calibri" w:cs="Times New Roman"/>
                <w:color w:val="000000"/>
                <w:sz w:val="16"/>
                <w:szCs w:val="16"/>
                <w:lang w:eastAsia="en-GB"/>
              </w:rPr>
            </w:pPr>
            <w:r w:rsidRPr="00767C32">
              <w:rPr>
                <w:rFonts w:ascii="Calibri" w:eastAsia="Times New Roman" w:hAnsi="Calibri" w:cs="Times New Roman"/>
                <w:color w:val="000000"/>
                <w:sz w:val="16"/>
                <w:szCs w:val="16"/>
                <w:lang w:eastAsia="en-GB"/>
              </w:rPr>
              <w:t>-</w:t>
            </w:r>
          </w:p>
        </w:tc>
        <w:tc>
          <w:tcPr>
            <w:tcW w:w="256" w:type="pct"/>
            <w:tcBorders>
              <w:top w:val="nil"/>
              <w:left w:val="nil"/>
              <w:bottom w:val="single" w:sz="4" w:space="0" w:color="auto"/>
              <w:right w:val="single" w:sz="4" w:space="0" w:color="auto"/>
            </w:tcBorders>
            <w:shd w:val="clear" w:color="auto" w:fill="auto"/>
            <w:noWrap/>
            <w:vAlign w:val="center"/>
            <w:hideMark/>
          </w:tcPr>
          <w:p w:rsidR="00767C32" w:rsidRPr="00767C32" w:rsidRDefault="00767C32" w:rsidP="00767C32">
            <w:pPr>
              <w:spacing w:after="0" w:line="240" w:lineRule="auto"/>
              <w:jc w:val="center"/>
              <w:rPr>
                <w:rFonts w:ascii="Calibri" w:eastAsia="Times New Roman" w:hAnsi="Calibri" w:cs="Times New Roman"/>
                <w:color w:val="000000"/>
                <w:sz w:val="16"/>
                <w:szCs w:val="16"/>
                <w:lang w:eastAsia="en-GB"/>
              </w:rPr>
            </w:pPr>
            <w:r w:rsidRPr="00767C32">
              <w:rPr>
                <w:rFonts w:ascii="Calibri" w:eastAsia="Times New Roman" w:hAnsi="Calibri" w:cs="Times New Roman"/>
                <w:color w:val="000000"/>
                <w:sz w:val="16"/>
                <w:szCs w:val="16"/>
                <w:lang w:eastAsia="en-GB"/>
              </w:rPr>
              <w:t>-</w:t>
            </w:r>
          </w:p>
        </w:tc>
        <w:tc>
          <w:tcPr>
            <w:tcW w:w="300" w:type="pct"/>
            <w:tcBorders>
              <w:top w:val="nil"/>
              <w:left w:val="nil"/>
              <w:bottom w:val="single" w:sz="4" w:space="0" w:color="auto"/>
              <w:right w:val="single" w:sz="4" w:space="0" w:color="auto"/>
            </w:tcBorders>
            <w:shd w:val="clear" w:color="auto" w:fill="auto"/>
            <w:noWrap/>
            <w:vAlign w:val="center"/>
            <w:hideMark/>
          </w:tcPr>
          <w:p w:rsidR="00767C32" w:rsidRPr="00767C32" w:rsidRDefault="00767C32" w:rsidP="00767C32">
            <w:pPr>
              <w:spacing w:after="0" w:line="240" w:lineRule="auto"/>
              <w:jc w:val="center"/>
              <w:rPr>
                <w:rFonts w:ascii="Calibri" w:eastAsia="Times New Roman" w:hAnsi="Calibri" w:cs="Times New Roman"/>
                <w:color w:val="000000"/>
                <w:sz w:val="16"/>
                <w:szCs w:val="16"/>
                <w:lang w:eastAsia="en-GB"/>
              </w:rPr>
            </w:pPr>
            <w:r w:rsidRPr="00767C32">
              <w:rPr>
                <w:rFonts w:ascii="Calibri" w:eastAsia="Times New Roman" w:hAnsi="Calibri" w:cs="Times New Roman"/>
                <w:color w:val="000000"/>
                <w:sz w:val="16"/>
                <w:szCs w:val="16"/>
                <w:lang w:eastAsia="en-GB"/>
              </w:rPr>
              <w:t>1,827,352</w:t>
            </w:r>
          </w:p>
        </w:tc>
        <w:tc>
          <w:tcPr>
            <w:tcW w:w="254" w:type="pct"/>
            <w:tcBorders>
              <w:top w:val="nil"/>
              <w:left w:val="nil"/>
              <w:bottom w:val="single" w:sz="4" w:space="0" w:color="auto"/>
              <w:right w:val="single" w:sz="4" w:space="0" w:color="auto"/>
            </w:tcBorders>
            <w:shd w:val="clear" w:color="auto" w:fill="auto"/>
            <w:noWrap/>
            <w:vAlign w:val="center"/>
            <w:hideMark/>
          </w:tcPr>
          <w:p w:rsidR="00767C32" w:rsidRPr="00767C32" w:rsidRDefault="00767C32" w:rsidP="00767C32">
            <w:pPr>
              <w:spacing w:after="0" w:line="240" w:lineRule="auto"/>
              <w:jc w:val="center"/>
              <w:rPr>
                <w:rFonts w:ascii="Calibri" w:eastAsia="Times New Roman" w:hAnsi="Calibri" w:cs="Times New Roman"/>
                <w:color w:val="000000"/>
                <w:sz w:val="16"/>
                <w:szCs w:val="16"/>
                <w:lang w:eastAsia="en-GB"/>
              </w:rPr>
            </w:pPr>
            <w:r w:rsidRPr="00767C32">
              <w:rPr>
                <w:rFonts w:ascii="Calibri" w:eastAsia="Times New Roman" w:hAnsi="Calibri" w:cs="Times New Roman"/>
                <w:color w:val="000000"/>
                <w:sz w:val="16"/>
                <w:szCs w:val="16"/>
                <w:lang w:eastAsia="en-GB"/>
              </w:rPr>
              <w:t>3.1%</w:t>
            </w:r>
          </w:p>
        </w:tc>
      </w:tr>
      <w:tr w:rsidR="0085747D" w:rsidRPr="00767C32" w:rsidTr="0085747D">
        <w:trPr>
          <w:trHeight w:val="300"/>
        </w:trPr>
        <w:tc>
          <w:tcPr>
            <w:tcW w:w="513" w:type="pct"/>
            <w:tcBorders>
              <w:top w:val="nil"/>
              <w:left w:val="single" w:sz="4" w:space="0" w:color="auto"/>
              <w:bottom w:val="single" w:sz="4" w:space="0" w:color="auto"/>
              <w:right w:val="single" w:sz="4" w:space="0" w:color="auto"/>
            </w:tcBorders>
            <w:shd w:val="clear" w:color="auto" w:fill="auto"/>
            <w:noWrap/>
            <w:vAlign w:val="center"/>
            <w:hideMark/>
          </w:tcPr>
          <w:p w:rsidR="00767C32" w:rsidRPr="00767C32" w:rsidRDefault="00767C32" w:rsidP="00767C32">
            <w:pPr>
              <w:spacing w:after="0" w:line="240" w:lineRule="auto"/>
              <w:jc w:val="center"/>
              <w:rPr>
                <w:rFonts w:ascii="Calibri" w:eastAsia="Times New Roman" w:hAnsi="Calibri" w:cs="Times New Roman"/>
                <w:color w:val="000000"/>
                <w:sz w:val="16"/>
                <w:szCs w:val="16"/>
                <w:lang w:eastAsia="en-GB"/>
              </w:rPr>
            </w:pPr>
            <w:r w:rsidRPr="00767C32">
              <w:rPr>
                <w:rFonts w:ascii="Calibri" w:eastAsia="Times New Roman" w:hAnsi="Calibri" w:cs="Times New Roman"/>
                <w:color w:val="000000"/>
                <w:sz w:val="16"/>
                <w:szCs w:val="16"/>
                <w:lang w:eastAsia="en-GB"/>
              </w:rPr>
              <w:t>Stroke QOF prevalence, all ages</w:t>
            </w:r>
          </w:p>
        </w:tc>
        <w:tc>
          <w:tcPr>
            <w:tcW w:w="256" w:type="pct"/>
            <w:tcBorders>
              <w:top w:val="nil"/>
              <w:left w:val="nil"/>
              <w:bottom w:val="single" w:sz="4" w:space="0" w:color="auto"/>
              <w:right w:val="single" w:sz="4" w:space="0" w:color="auto"/>
            </w:tcBorders>
            <w:shd w:val="clear" w:color="auto" w:fill="auto"/>
            <w:noWrap/>
            <w:vAlign w:val="center"/>
            <w:hideMark/>
          </w:tcPr>
          <w:p w:rsidR="00767C32" w:rsidRPr="00767C32" w:rsidRDefault="00767C32" w:rsidP="00767C32">
            <w:pPr>
              <w:spacing w:after="0" w:line="240" w:lineRule="auto"/>
              <w:jc w:val="center"/>
              <w:rPr>
                <w:rFonts w:ascii="Calibri" w:eastAsia="Times New Roman" w:hAnsi="Calibri" w:cs="Times New Roman"/>
                <w:color w:val="000000"/>
                <w:sz w:val="16"/>
                <w:szCs w:val="16"/>
                <w:lang w:eastAsia="en-GB"/>
              </w:rPr>
            </w:pPr>
            <w:r w:rsidRPr="00767C32">
              <w:rPr>
                <w:rFonts w:ascii="Calibri" w:eastAsia="Times New Roman" w:hAnsi="Calibri" w:cs="Times New Roman"/>
                <w:color w:val="000000"/>
                <w:sz w:val="16"/>
                <w:szCs w:val="16"/>
                <w:lang w:eastAsia="en-GB"/>
              </w:rPr>
              <w:t>2017-18</w:t>
            </w:r>
          </w:p>
        </w:tc>
        <w:tc>
          <w:tcPr>
            <w:tcW w:w="257" w:type="pct"/>
            <w:tcBorders>
              <w:top w:val="nil"/>
              <w:left w:val="nil"/>
              <w:bottom w:val="single" w:sz="4" w:space="0" w:color="auto"/>
              <w:right w:val="single" w:sz="4" w:space="0" w:color="auto"/>
            </w:tcBorders>
            <w:shd w:val="clear" w:color="000000" w:fill="538DD5"/>
            <w:noWrap/>
            <w:vAlign w:val="center"/>
            <w:hideMark/>
          </w:tcPr>
          <w:p w:rsidR="00767C32" w:rsidRPr="00767C32" w:rsidRDefault="00767C32" w:rsidP="00767C32">
            <w:pPr>
              <w:spacing w:after="0" w:line="240" w:lineRule="auto"/>
              <w:jc w:val="center"/>
              <w:rPr>
                <w:rFonts w:ascii="Calibri" w:eastAsia="Times New Roman" w:hAnsi="Calibri" w:cs="Times New Roman"/>
                <w:color w:val="FFFFFF"/>
                <w:sz w:val="16"/>
                <w:szCs w:val="16"/>
                <w:lang w:eastAsia="en-GB"/>
              </w:rPr>
            </w:pPr>
            <w:r w:rsidRPr="00767C32">
              <w:rPr>
                <w:rFonts w:ascii="Calibri" w:eastAsia="Times New Roman" w:hAnsi="Calibri" w:cs="Times New Roman"/>
                <w:color w:val="FFFFFF"/>
                <w:sz w:val="16"/>
                <w:szCs w:val="16"/>
                <w:lang w:eastAsia="en-GB"/>
              </w:rPr>
              <w:t>10,693</w:t>
            </w:r>
          </w:p>
        </w:tc>
        <w:tc>
          <w:tcPr>
            <w:tcW w:w="256" w:type="pct"/>
            <w:tcBorders>
              <w:top w:val="nil"/>
              <w:left w:val="nil"/>
              <w:bottom w:val="single" w:sz="4" w:space="0" w:color="auto"/>
              <w:right w:val="single" w:sz="4" w:space="0" w:color="auto"/>
            </w:tcBorders>
            <w:shd w:val="clear" w:color="000000" w:fill="538DD5"/>
            <w:noWrap/>
            <w:vAlign w:val="center"/>
            <w:hideMark/>
          </w:tcPr>
          <w:p w:rsidR="00767C32" w:rsidRPr="00767C32" w:rsidRDefault="00767C32" w:rsidP="00767C32">
            <w:pPr>
              <w:spacing w:after="0" w:line="240" w:lineRule="auto"/>
              <w:jc w:val="center"/>
              <w:rPr>
                <w:rFonts w:ascii="Calibri" w:eastAsia="Times New Roman" w:hAnsi="Calibri" w:cs="Times New Roman"/>
                <w:color w:val="FFFFFF"/>
                <w:sz w:val="16"/>
                <w:szCs w:val="16"/>
                <w:lang w:eastAsia="en-GB"/>
              </w:rPr>
            </w:pPr>
            <w:r w:rsidRPr="00767C32">
              <w:rPr>
                <w:rFonts w:ascii="Calibri" w:eastAsia="Times New Roman" w:hAnsi="Calibri" w:cs="Times New Roman"/>
                <w:color w:val="FFFFFF"/>
                <w:sz w:val="16"/>
                <w:szCs w:val="16"/>
                <w:lang w:eastAsia="en-GB"/>
              </w:rPr>
              <w:t>1.5%</w:t>
            </w:r>
          </w:p>
        </w:tc>
        <w:tc>
          <w:tcPr>
            <w:tcW w:w="257" w:type="pct"/>
            <w:tcBorders>
              <w:top w:val="nil"/>
              <w:left w:val="nil"/>
              <w:bottom w:val="single" w:sz="4" w:space="0" w:color="auto"/>
              <w:right w:val="single" w:sz="4" w:space="0" w:color="auto"/>
            </w:tcBorders>
            <w:shd w:val="clear" w:color="000000" w:fill="538DD5"/>
            <w:noWrap/>
            <w:vAlign w:val="center"/>
            <w:hideMark/>
          </w:tcPr>
          <w:p w:rsidR="00767C32" w:rsidRPr="00767C32" w:rsidRDefault="00767C32" w:rsidP="00767C32">
            <w:pPr>
              <w:spacing w:after="0" w:line="240" w:lineRule="auto"/>
              <w:jc w:val="center"/>
              <w:rPr>
                <w:rFonts w:ascii="Calibri" w:eastAsia="Times New Roman" w:hAnsi="Calibri" w:cs="Times New Roman"/>
                <w:color w:val="FFFFFF"/>
                <w:sz w:val="16"/>
                <w:szCs w:val="16"/>
                <w:lang w:eastAsia="en-GB"/>
              </w:rPr>
            </w:pPr>
            <w:r w:rsidRPr="00767C32">
              <w:rPr>
                <w:rFonts w:ascii="Calibri" w:eastAsia="Times New Roman" w:hAnsi="Calibri" w:cs="Times New Roman"/>
                <w:color w:val="FFFFFF"/>
                <w:sz w:val="16"/>
                <w:szCs w:val="16"/>
                <w:lang w:eastAsia="en-GB"/>
              </w:rPr>
              <w:t>2,724</w:t>
            </w:r>
          </w:p>
        </w:tc>
        <w:tc>
          <w:tcPr>
            <w:tcW w:w="256" w:type="pct"/>
            <w:tcBorders>
              <w:top w:val="nil"/>
              <w:left w:val="nil"/>
              <w:bottom w:val="single" w:sz="4" w:space="0" w:color="auto"/>
              <w:right w:val="single" w:sz="4" w:space="0" w:color="auto"/>
            </w:tcBorders>
            <w:shd w:val="clear" w:color="000000" w:fill="538DD5"/>
            <w:noWrap/>
            <w:vAlign w:val="center"/>
            <w:hideMark/>
          </w:tcPr>
          <w:p w:rsidR="00767C32" w:rsidRPr="00767C32" w:rsidRDefault="00767C32" w:rsidP="00767C32">
            <w:pPr>
              <w:spacing w:after="0" w:line="240" w:lineRule="auto"/>
              <w:jc w:val="center"/>
              <w:rPr>
                <w:rFonts w:ascii="Calibri" w:eastAsia="Times New Roman" w:hAnsi="Calibri" w:cs="Times New Roman"/>
                <w:color w:val="FFFFFF"/>
                <w:sz w:val="16"/>
                <w:szCs w:val="16"/>
                <w:lang w:eastAsia="en-GB"/>
              </w:rPr>
            </w:pPr>
            <w:r w:rsidRPr="00767C32">
              <w:rPr>
                <w:rFonts w:ascii="Calibri" w:eastAsia="Times New Roman" w:hAnsi="Calibri" w:cs="Times New Roman"/>
                <w:color w:val="FFFFFF"/>
                <w:sz w:val="16"/>
                <w:szCs w:val="16"/>
                <w:lang w:eastAsia="en-GB"/>
              </w:rPr>
              <w:t>1.3%</w:t>
            </w:r>
          </w:p>
        </w:tc>
        <w:tc>
          <w:tcPr>
            <w:tcW w:w="257" w:type="pct"/>
            <w:tcBorders>
              <w:top w:val="nil"/>
              <w:left w:val="nil"/>
              <w:bottom w:val="single" w:sz="4" w:space="0" w:color="auto"/>
              <w:right w:val="single" w:sz="4" w:space="0" w:color="auto"/>
            </w:tcBorders>
            <w:shd w:val="clear" w:color="auto" w:fill="auto"/>
            <w:noWrap/>
            <w:vAlign w:val="center"/>
            <w:hideMark/>
          </w:tcPr>
          <w:p w:rsidR="00767C32" w:rsidRPr="00767C32" w:rsidRDefault="00767C32" w:rsidP="00767C32">
            <w:pPr>
              <w:spacing w:after="0" w:line="240" w:lineRule="auto"/>
              <w:jc w:val="center"/>
              <w:rPr>
                <w:rFonts w:ascii="Calibri" w:eastAsia="Times New Roman" w:hAnsi="Calibri" w:cs="Times New Roman"/>
                <w:color w:val="000000"/>
                <w:sz w:val="16"/>
                <w:szCs w:val="16"/>
                <w:lang w:eastAsia="en-GB"/>
              </w:rPr>
            </w:pPr>
            <w:r w:rsidRPr="00767C32">
              <w:rPr>
                <w:rFonts w:ascii="Calibri" w:eastAsia="Times New Roman" w:hAnsi="Calibri" w:cs="Times New Roman"/>
                <w:color w:val="000000"/>
                <w:sz w:val="16"/>
                <w:szCs w:val="16"/>
                <w:lang w:eastAsia="en-GB"/>
              </w:rPr>
              <w:t>-</w:t>
            </w:r>
          </w:p>
        </w:tc>
        <w:tc>
          <w:tcPr>
            <w:tcW w:w="256" w:type="pct"/>
            <w:tcBorders>
              <w:top w:val="nil"/>
              <w:left w:val="nil"/>
              <w:bottom w:val="single" w:sz="4" w:space="0" w:color="auto"/>
              <w:right w:val="single" w:sz="4" w:space="0" w:color="auto"/>
            </w:tcBorders>
            <w:shd w:val="clear" w:color="auto" w:fill="auto"/>
            <w:noWrap/>
            <w:vAlign w:val="center"/>
            <w:hideMark/>
          </w:tcPr>
          <w:p w:rsidR="00767C32" w:rsidRPr="00767C32" w:rsidRDefault="00767C32" w:rsidP="00767C32">
            <w:pPr>
              <w:spacing w:after="0" w:line="240" w:lineRule="auto"/>
              <w:jc w:val="center"/>
              <w:rPr>
                <w:rFonts w:ascii="Calibri" w:eastAsia="Times New Roman" w:hAnsi="Calibri" w:cs="Times New Roman"/>
                <w:color w:val="000000"/>
                <w:sz w:val="16"/>
                <w:szCs w:val="16"/>
                <w:lang w:eastAsia="en-GB"/>
              </w:rPr>
            </w:pPr>
            <w:r w:rsidRPr="00767C32">
              <w:rPr>
                <w:rFonts w:ascii="Calibri" w:eastAsia="Times New Roman" w:hAnsi="Calibri" w:cs="Times New Roman"/>
                <w:color w:val="000000"/>
                <w:sz w:val="16"/>
                <w:szCs w:val="16"/>
                <w:lang w:eastAsia="en-GB"/>
              </w:rPr>
              <w:t>-</w:t>
            </w:r>
          </w:p>
        </w:tc>
        <w:tc>
          <w:tcPr>
            <w:tcW w:w="257" w:type="pct"/>
            <w:tcBorders>
              <w:top w:val="nil"/>
              <w:left w:val="nil"/>
              <w:bottom w:val="single" w:sz="4" w:space="0" w:color="auto"/>
              <w:right w:val="single" w:sz="4" w:space="0" w:color="auto"/>
            </w:tcBorders>
            <w:shd w:val="clear" w:color="auto" w:fill="auto"/>
            <w:noWrap/>
            <w:vAlign w:val="center"/>
            <w:hideMark/>
          </w:tcPr>
          <w:p w:rsidR="00767C32" w:rsidRPr="00767C32" w:rsidRDefault="00767C32" w:rsidP="00767C32">
            <w:pPr>
              <w:spacing w:after="0" w:line="240" w:lineRule="auto"/>
              <w:jc w:val="center"/>
              <w:rPr>
                <w:rFonts w:ascii="Calibri" w:eastAsia="Times New Roman" w:hAnsi="Calibri" w:cs="Times New Roman"/>
                <w:color w:val="000000"/>
                <w:sz w:val="16"/>
                <w:szCs w:val="16"/>
                <w:lang w:eastAsia="en-GB"/>
              </w:rPr>
            </w:pPr>
            <w:r w:rsidRPr="00767C32">
              <w:rPr>
                <w:rFonts w:ascii="Calibri" w:eastAsia="Times New Roman" w:hAnsi="Calibri" w:cs="Times New Roman"/>
                <w:color w:val="000000"/>
                <w:sz w:val="16"/>
                <w:szCs w:val="16"/>
                <w:lang w:eastAsia="en-GB"/>
              </w:rPr>
              <w:t>-</w:t>
            </w:r>
          </w:p>
        </w:tc>
        <w:tc>
          <w:tcPr>
            <w:tcW w:w="299" w:type="pct"/>
            <w:tcBorders>
              <w:top w:val="nil"/>
              <w:left w:val="nil"/>
              <w:bottom w:val="single" w:sz="4" w:space="0" w:color="auto"/>
              <w:right w:val="single" w:sz="4" w:space="0" w:color="auto"/>
            </w:tcBorders>
            <w:shd w:val="clear" w:color="auto" w:fill="auto"/>
            <w:noWrap/>
            <w:vAlign w:val="center"/>
            <w:hideMark/>
          </w:tcPr>
          <w:p w:rsidR="00767C32" w:rsidRPr="00767C32" w:rsidRDefault="00767C32" w:rsidP="00767C32">
            <w:pPr>
              <w:spacing w:after="0" w:line="240" w:lineRule="auto"/>
              <w:jc w:val="center"/>
              <w:rPr>
                <w:rFonts w:ascii="Calibri" w:eastAsia="Times New Roman" w:hAnsi="Calibri" w:cs="Times New Roman"/>
                <w:color w:val="000000"/>
                <w:sz w:val="16"/>
                <w:szCs w:val="16"/>
                <w:lang w:eastAsia="en-GB"/>
              </w:rPr>
            </w:pPr>
            <w:r w:rsidRPr="00767C32">
              <w:rPr>
                <w:rFonts w:ascii="Calibri" w:eastAsia="Times New Roman" w:hAnsi="Calibri" w:cs="Times New Roman"/>
                <w:color w:val="000000"/>
                <w:sz w:val="16"/>
                <w:szCs w:val="16"/>
                <w:lang w:eastAsia="en-GB"/>
              </w:rPr>
              <w:t>-</w:t>
            </w:r>
          </w:p>
        </w:tc>
        <w:tc>
          <w:tcPr>
            <w:tcW w:w="256" w:type="pct"/>
            <w:tcBorders>
              <w:top w:val="nil"/>
              <w:left w:val="nil"/>
              <w:bottom w:val="single" w:sz="4" w:space="0" w:color="auto"/>
              <w:right w:val="single" w:sz="4" w:space="0" w:color="auto"/>
            </w:tcBorders>
            <w:shd w:val="clear" w:color="auto" w:fill="auto"/>
            <w:noWrap/>
            <w:vAlign w:val="center"/>
            <w:hideMark/>
          </w:tcPr>
          <w:p w:rsidR="00767C32" w:rsidRPr="00767C32" w:rsidRDefault="00767C32" w:rsidP="00767C32">
            <w:pPr>
              <w:spacing w:after="0" w:line="240" w:lineRule="auto"/>
              <w:jc w:val="center"/>
              <w:rPr>
                <w:rFonts w:ascii="Calibri" w:eastAsia="Times New Roman" w:hAnsi="Calibri" w:cs="Times New Roman"/>
                <w:color w:val="000000"/>
                <w:sz w:val="16"/>
                <w:szCs w:val="16"/>
                <w:lang w:eastAsia="en-GB"/>
              </w:rPr>
            </w:pPr>
            <w:r w:rsidRPr="00767C32">
              <w:rPr>
                <w:rFonts w:ascii="Calibri" w:eastAsia="Times New Roman" w:hAnsi="Calibri" w:cs="Times New Roman"/>
                <w:color w:val="000000"/>
                <w:sz w:val="16"/>
                <w:szCs w:val="16"/>
                <w:lang w:eastAsia="en-GB"/>
              </w:rPr>
              <w:t>-</w:t>
            </w:r>
          </w:p>
        </w:tc>
        <w:tc>
          <w:tcPr>
            <w:tcW w:w="257" w:type="pct"/>
            <w:tcBorders>
              <w:top w:val="nil"/>
              <w:left w:val="nil"/>
              <w:bottom w:val="single" w:sz="4" w:space="0" w:color="auto"/>
              <w:right w:val="single" w:sz="4" w:space="0" w:color="auto"/>
            </w:tcBorders>
            <w:shd w:val="clear" w:color="auto" w:fill="auto"/>
            <w:noWrap/>
            <w:vAlign w:val="center"/>
            <w:hideMark/>
          </w:tcPr>
          <w:p w:rsidR="00767C32" w:rsidRPr="00767C32" w:rsidRDefault="00767C32" w:rsidP="00767C32">
            <w:pPr>
              <w:spacing w:after="0" w:line="240" w:lineRule="auto"/>
              <w:jc w:val="center"/>
              <w:rPr>
                <w:rFonts w:ascii="Calibri" w:eastAsia="Times New Roman" w:hAnsi="Calibri" w:cs="Times New Roman"/>
                <w:color w:val="000000"/>
                <w:sz w:val="16"/>
                <w:szCs w:val="16"/>
                <w:lang w:eastAsia="en-GB"/>
              </w:rPr>
            </w:pPr>
            <w:r w:rsidRPr="00767C32">
              <w:rPr>
                <w:rFonts w:ascii="Calibri" w:eastAsia="Times New Roman" w:hAnsi="Calibri" w:cs="Times New Roman"/>
                <w:color w:val="000000"/>
                <w:sz w:val="16"/>
                <w:szCs w:val="16"/>
                <w:lang w:eastAsia="en-GB"/>
              </w:rPr>
              <w:t>-</w:t>
            </w:r>
          </w:p>
        </w:tc>
        <w:tc>
          <w:tcPr>
            <w:tcW w:w="304" w:type="pct"/>
            <w:tcBorders>
              <w:top w:val="nil"/>
              <w:left w:val="nil"/>
              <w:bottom w:val="single" w:sz="4" w:space="0" w:color="auto"/>
              <w:right w:val="single" w:sz="4" w:space="0" w:color="auto"/>
            </w:tcBorders>
            <w:shd w:val="clear" w:color="auto" w:fill="auto"/>
            <w:noWrap/>
            <w:vAlign w:val="center"/>
            <w:hideMark/>
          </w:tcPr>
          <w:p w:rsidR="00767C32" w:rsidRPr="00767C32" w:rsidRDefault="00767C32" w:rsidP="00767C32">
            <w:pPr>
              <w:spacing w:after="0" w:line="240" w:lineRule="auto"/>
              <w:jc w:val="center"/>
              <w:rPr>
                <w:rFonts w:ascii="Calibri" w:eastAsia="Times New Roman" w:hAnsi="Calibri" w:cs="Times New Roman"/>
                <w:color w:val="000000"/>
                <w:sz w:val="16"/>
                <w:szCs w:val="16"/>
                <w:lang w:eastAsia="en-GB"/>
              </w:rPr>
            </w:pPr>
            <w:r w:rsidRPr="00767C32">
              <w:rPr>
                <w:rFonts w:ascii="Calibri" w:eastAsia="Times New Roman" w:hAnsi="Calibri" w:cs="Times New Roman"/>
                <w:color w:val="000000"/>
                <w:sz w:val="16"/>
                <w:szCs w:val="16"/>
                <w:lang w:eastAsia="en-GB"/>
              </w:rPr>
              <w:t>-</w:t>
            </w:r>
          </w:p>
        </w:tc>
        <w:tc>
          <w:tcPr>
            <w:tcW w:w="258" w:type="pct"/>
            <w:tcBorders>
              <w:top w:val="nil"/>
              <w:left w:val="nil"/>
              <w:bottom w:val="single" w:sz="4" w:space="0" w:color="auto"/>
              <w:right w:val="single" w:sz="4" w:space="0" w:color="auto"/>
            </w:tcBorders>
            <w:shd w:val="clear" w:color="auto" w:fill="auto"/>
            <w:noWrap/>
            <w:vAlign w:val="center"/>
            <w:hideMark/>
          </w:tcPr>
          <w:p w:rsidR="00767C32" w:rsidRPr="00767C32" w:rsidRDefault="00767C32" w:rsidP="00767C32">
            <w:pPr>
              <w:spacing w:after="0" w:line="240" w:lineRule="auto"/>
              <w:jc w:val="center"/>
              <w:rPr>
                <w:rFonts w:ascii="Calibri" w:eastAsia="Times New Roman" w:hAnsi="Calibri" w:cs="Times New Roman"/>
                <w:color w:val="000000"/>
                <w:sz w:val="16"/>
                <w:szCs w:val="16"/>
                <w:lang w:eastAsia="en-GB"/>
              </w:rPr>
            </w:pPr>
            <w:r w:rsidRPr="00767C32">
              <w:rPr>
                <w:rFonts w:ascii="Calibri" w:eastAsia="Times New Roman" w:hAnsi="Calibri" w:cs="Times New Roman"/>
                <w:color w:val="000000"/>
                <w:sz w:val="16"/>
                <w:szCs w:val="16"/>
                <w:lang w:eastAsia="en-GB"/>
              </w:rPr>
              <w:t>-</w:t>
            </w:r>
          </w:p>
        </w:tc>
        <w:tc>
          <w:tcPr>
            <w:tcW w:w="251" w:type="pct"/>
            <w:tcBorders>
              <w:top w:val="nil"/>
              <w:left w:val="nil"/>
              <w:bottom w:val="single" w:sz="4" w:space="0" w:color="auto"/>
              <w:right w:val="single" w:sz="4" w:space="0" w:color="auto"/>
            </w:tcBorders>
            <w:shd w:val="clear" w:color="auto" w:fill="auto"/>
            <w:noWrap/>
            <w:vAlign w:val="center"/>
            <w:hideMark/>
          </w:tcPr>
          <w:p w:rsidR="00767C32" w:rsidRPr="00767C32" w:rsidRDefault="00767C32" w:rsidP="00767C32">
            <w:pPr>
              <w:spacing w:after="0" w:line="240" w:lineRule="auto"/>
              <w:jc w:val="center"/>
              <w:rPr>
                <w:rFonts w:ascii="Calibri" w:eastAsia="Times New Roman" w:hAnsi="Calibri" w:cs="Times New Roman"/>
                <w:color w:val="000000"/>
                <w:sz w:val="16"/>
                <w:szCs w:val="16"/>
                <w:lang w:eastAsia="en-GB"/>
              </w:rPr>
            </w:pPr>
            <w:r w:rsidRPr="00767C32">
              <w:rPr>
                <w:rFonts w:ascii="Calibri" w:eastAsia="Times New Roman" w:hAnsi="Calibri" w:cs="Times New Roman"/>
                <w:color w:val="000000"/>
                <w:sz w:val="16"/>
                <w:szCs w:val="16"/>
                <w:lang w:eastAsia="en-GB"/>
              </w:rPr>
              <w:t>-</w:t>
            </w:r>
          </w:p>
        </w:tc>
        <w:tc>
          <w:tcPr>
            <w:tcW w:w="256" w:type="pct"/>
            <w:tcBorders>
              <w:top w:val="nil"/>
              <w:left w:val="nil"/>
              <w:bottom w:val="single" w:sz="4" w:space="0" w:color="auto"/>
              <w:right w:val="single" w:sz="4" w:space="0" w:color="auto"/>
            </w:tcBorders>
            <w:shd w:val="clear" w:color="auto" w:fill="auto"/>
            <w:noWrap/>
            <w:vAlign w:val="center"/>
            <w:hideMark/>
          </w:tcPr>
          <w:p w:rsidR="00767C32" w:rsidRPr="00767C32" w:rsidRDefault="00767C32" w:rsidP="00767C32">
            <w:pPr>
              <w:spacing w:after="0" w:line="240" w:lineRule="auto"/>
              <w:jc w:val="center"/>
              <w:rPr>
                <w:rFonts w:ascii="Calibri" w:eastAsia="Times New Roman" w:hAnsi="Calibri" w:cs="Times New Roman"/>
                <w:color w:val="000000"/>
                <w:sz w:val="16"/>
                <w:szCs w:val="16"/>
                <w:lang w:eastAsia="en-GB"/>
              </w:rPr>
            </w:pPr>
            <w:r w:rsidRPr="00767C32">
              <w:rPr>
                <w:rFonts w:ascii="Calibri" w:eastAsia="Times New Roman" w:hAnsi="Calibri" w:cs="Times New Roman"/>
                <w:color w:val="000000"/>
                <w:sz w:val="16"/>
                <w:szCs w:val="16"/>
                <w:lang w:eastAsia="en-GB"/>
              </w:rPr>
              <w:t>-</w:t>
            </w:r>
          </w:p>
        </w:tc>
        <w:tc>
          <w:tcPr>
            <w:tcW w:w="300" w:type="pct"/>
            <w:tcBorders>
              <w:top w:val="nil"/>
              <w:left w:val="nil"/>
              <w:bottom w:val="single" w:sz="4" w:space="0" w:color="auto"/>
              <w:right w:val="single" w:sz="4" w:space="0" w:color="auto"/>
            </w:tcBorders>
            <w:shd w:val="clear" w:color="auto" w:fill="auto"/>
            <w:noWrap/>
            <w:vAlign w:val="center"/>
            <w:hideMark/>
          </w:tcPr>
          <w:p w:rsidR="00767C32" w:rsidRPr="00767C32" w:rsidRDefault="00767C32" w:rsidP="00767C32">
            <w:pPr>
              <w:spacing w:after="0" w:line="240" w:lineRule="auto"/>
              <w:jc w:val="center"/>
              <w:rPr>
                <w:rFonts w:ascii="Calibri" w:eastAsia="Times New Roman" w:hAnsi="Calibri" w:cs="Times New Roman"/>
                <w:color w:val="000000"/>
                <w:sz w:val="16"/>
                <w:szCs w:val="16"/>
                <w:lang w:eastAsia="en-GB"/>
              </w:rPr>
            </w:pPr>
            <w:r w:rsidRPr="00767C32">
              <w:rPr>
                <w:rFonts w:ascii="Calibri" w:eastAsia="Times New Roman" w:hAnsi="Calibri" w:cs="Times New Roman"/>
                <w:color w:val="000000"/>
                <w:sz w:val="16"/>
                <w:szCs w:val="16"/>
                <w:lang w:eastAsia="en-GB"/>
              </w:rPr>
              <w:t>1,030,869</w:t>
            </w:r>
          </w:p>
        </w:tc>
        <w:tc>
          <w:tcPr>
            <w:tcW w:w="254" w:type="pct"/>
            <w:tcBorders>
              <w:top w:val="nil"/>
              <w:left w:val="nil"/>
              <w:bottom w:val="single" w:sz="4" w:space="0" w:color="auto"/>
              <w:right w:val="single" w:sz="4" w:space="0" w:color="auto"/>
            </w:tcBorders>
            <w:shd w:val="clear" w:color="auto" w:fill="auto"/>
            <w:noWrap/>
            <w:vAlign w:val="center"/>
            <w:hideMark/>
          </w:tcPr>
          <w:p w:rsidR="00767C32" w:rsidRPr="00767C32" w:rsidRDefault="00767C32" w:rsidP="00767C32">
            <w:pPr>
              <w:spacing w:after="0" w:line="240" w:lineRule="auto"/>
              <w:jc w:val="center"/>
              <w:rPr>
                <w:rFonts w:ascii="Calibri" w:eastAsia="Times New Roman" w:hAnsi="Calibri" w:cs="Times New Roman"/>
                <w:color w:val="000000"/>
                <w:sz w:val="16"/>
                <w:szCs w:val="16"/>
                <w:lang w:eastAsia="en-GB"/>
              </w:rPr>
            </w:pPr>
            <w:r w:rsidRPr="00767C32">
              <w:rPr>
                <w:rFonts w:ascii="Calibri" w:eastAsia="Times New Roman" w:hAnsi="Calibri" w:cs="Times New Roman"/>
                <w:color w:val="000000"/>
                <w:sz w:val="16"/>
                <w:szCs w:val="16"/>
                <w:lang w:eastAsia="en-GB"/>
              </w:rPr>
              <w:t>1.8%</w:t>
            </w:r>
          </w:p>
        </w:tc>
      </w:tr>
      <w:tr w:rsidR="0085747D" w:rsidRPr="00767C32" w:rsidTr="0085747D">
        <w:trPr>
          <w:trHeight w:val="300"/>
        </w:trPr>
        <w:tc>
          <w:tcPr>
            <w:tcW w:w="513" w:type="pct"/>
            <w:tcBorders>
              <w:top w:val="nil"/>
              <w:left w:val="single" w:sz="4" w:space="0" w:color="auto"/>
              <w:bottom w:val="single" w:sz="4" w:space="0" w:color="auto"/>
              <w:right w:val="single" w:sz="4" w:space="0" w:color="auto"/>
            </w:tcBorders>
            <w:shd w:val="clear" w:color="auto" w:fill="auto"/>
            <w:noWrap/>
            <w:vAlign w:val="center"/>
            <w:hideMark/>
          </w:tcPr>
          <w:p w:rsidR="00767C32" w:rsidRPr="00767C32" w:rsidRDefault="00767C32" w:rsidP="00767C32">
            <w:pPr>
              <w:spacing w:after="0" w:line="240" w:lineRule="auto"/>
              <w:jc w:val="center"/>
              <w:rPr>
                <w:rFonts w:ascii="Calibri" w:eastAsia="Times New Roman" w:hAnsi="Calibri" w:cs="Times New Roman"/>
                <w:color w:val="000000"/>
                <w:sz w:val="16"/>
                <w:szCs w:val="16"/>
                <w:lang w:eastAsia="en-GB"/>
              </w:rPr>
            </w:pPr>
            <w:r w:rsidRPr="00767C32">
              <w:rPr>
                <w:rFonts w:ascii="Calibri" w:eastAsia="Times New Roman" w:hAnsi="Calibri" w:cs="Times New Roman"/>
                <w:color w:val="000000"/>
                <w:sz w:val="16"/>
                <w:szCs w:val="16"/>
                <w:lang w:eastAsia="en-GB"/>
              </w:rPr>
              <w:lastRenderedPageBreak/>
              <w:t>Diabetes QOF prevalence, 17+</w:t>
            </w:r>
          </w:p>
        </w:tc>
        <w:tc>
          <w:tcPr>
            <w:tcW w:w="256" w:type="pct"/>
            <w:tcBorders>
              <w:top w:val="nil"/>
              <w:left w:val="nil"/>
              <w:bottom w:val="single" w:sz="4" w:space="0" w:color="auto"/>
              <w:right w:val="single" w:sz="4" w:space="0" w:color="auto"/>
            </w:tcBorders>
            <w:shd w:val="clear" w:color="auto" w:fill="auto"/>
            <w:noWrap/>
            <w:vAlign w:val="center"/>
            <w:hideMark/>
          </w:tcPr>
          <w:p w:rsidR="00767C32" w:rsidRPr="00767C32" w:rsidRDefault="00767C32" w:rsidP="00767C32">
            <w:pPr>
              <w:spacing w:after="0" w:line="240" w:lineRule="auto"/>
              <w:jc w:val="center"/>
              <w:rPr>
                <w:rFonts w:ascii="Calibri" w:eastAsia="Times New Roman" w:hAnsi="Calibri" w:cs="Times New Roman"/>
                <w:color w:val="000000"/>
                <w:sz w:val="16"/>
                <w:szCs w:val="16"/>
                <w:lang w:eastAsia="en-GB"/>
              </w:rPr>
            </w:pPr>
            <w:r w:rsidRPr="00767C32">
              <w:rPr>
                <w:rFonts w:ascii="Calibri" w:eastAsia="Times New Roman" w:hAnsi="Calibri" w:cs="Times New Roman"/>
                <w:color w:val="000000"/>
                <w:sz w:val="16"/>
                <w:szCs w:val="16"/>
                <w:lang w:eastAsia="en-GB"/>
              </w:rPr>
              <w:t>2017-18</w:t>
            </w:r>
          </w:p>
        </w:tc>
        <w:tc>
          <w:tcPr>
            <w:tcW w:w="257" w:type="pct"/>
            <w:tcBorders>
              <w:top w:val="nil"/>
              <w:left w:val="nil"/>
              <w:bottom w:val="single" w:sz="4" w:space="0" w:color="auto"/>
              <w:right w:val="single" w:sz="4" w:space="0" w:color="auto"/>
            </w:tcBorders>
            <w:shd w:val="clear" w:color="000000" w:fill="538DD5"/>
            <w:noWrap/>
            <w:vAlign w:val="center"/>
            <w:hideMark/>
          </w:tcPr>
          <w:p w:rsidR="00767C32" w:rsidRPr="00767C32" w:rsidRDefault="00767C32" w:rsidP="00767C32">
            <w:pPr>
              <w:spacing w:after="0" w:line="240" w:lineRule="auto"/>
              <w:jc w:val="center"/>
              <w:rPr>
                <w:rFonts w:ascii="Calibri" w:eastAsia="Times New Roman" w:hAnsi="Calibri" w:cs="Times New Roman"/>
                <w:color w:val="FFFFFF"/>
                <w:sz w:val="16"/>
                <w:szCs w:val="16"/>
                <w:lang w:eastAsia="en-GB"/>
              </w:rPr>
            </w:pPr>
            <w:r w:rsidRPr="00767C32">
              <w:rPr>
                <w:rFonts w:ascii="Calibri" w:eastAsia="Times New Roman" w:hAnsi="Calibri" w:cs="Times New Roman"/>
                <w:color w:val="FFFFFF"/>
                <w:sz w:val="16"/>
                <w:szCs w:val="16"/>
                <w:lang w:eastAsia="en-GB"/>
              </w:rPr>
              <w:t>33,422</w:t>
            </w:r>
          </w:p>
        </w:tc>
        <w:tc>
          <w:tcPr>
            <w:tcW w:w="256" w:type="pct"/>
            <w:tcBorders>
              <w:top w:val="nil"/>
              <w:left w:val="nil"/>
              <w:bottom w:val="single" w:sz="4" w:space="0" w:color="auto"/>
              <w:right w:val="single" w:sz="4" w:space="0" w:color="auto"/>
            </w:tcBorders>
            <w:shd w:val="clear" w:color="000000" w:fill="538DD5"/>
            <w:noWrap/>
            <w:vAlign w:val="center"/>
            <w:hideMark/>
          </w:tcPr>
          <w:p w:rsidR="00767C32" w:rsidRPr="00767C32" w:rsidRDefault="00767C32" w:rsidP="00767C32">
            <w:pPr>
              <w:spacing w:after="0" w:line="240" w:lineRule="auto"/>
              <w:jc w:val="center"/>
              <w:rPr>
                <w:rFonts w:ascii="Calibri" w:eastAsia="Times New Roman" w:hAnsi="Calibri" w:cs="Times New Roman"/>
                <w:color w:val="FFFFFF"/>
                <w:sz w:val="16"/>
                <w:szCs w:val="16"/>
                <w:lang w:eastAsia="en-GB"/>
              </w:rPr>
            </w:pPr>
            <w:r w:rsidRPr="00767C32">
              <w:rPr>
                <w:rFonts w:ascii="Calibri" w:eastAsia="Times New Roman" w:hAnsi="Calibri" w:cs="Times New Roman"/>
                <w:color w:val="FFFFFF"/>
                <w:sz w:val="16"/>
                <w:szCs w:val="16"/>
                <w:lang w:eastAsia="en-GB"/>
              </w:rPr>
              <w:t>5.7%</w:t>
            </w:r>
          </w:p>
        </w:tc>
        <w:tc>
          <w:tcPr>
            <w:tcW w:w="257" w:type="pct"/>
            <w:tcBorders>
              <w:top w:val="nil"/>
              <w:left w:val="nil"/>
              <w:bottom w:val="single" w:sz="4" w:space="0" w:color="auto"/>
              <w:right w:val="single" w:sz="4" w:space="0" w:color="auto"/>
            </w:tcBorders>
            <w:shd w:val="clear" w:color="000000" w:fill="FFFF99"/>
            <w:noWrap/>
            <w:vAlign w:val="center"/>
            <w:hideMark/>
          </w:tcPr>
          <w:p w:rsidR="00767C32" w:rsidRPr="00767C32" w:rsidRDefault="00767C32" w:rsidP="00767C32">
            <w:pPr>
              <w:spacing w:after="0" w:line="240" w:lineRule="auto"/>
              <w:jc w:val="center"/>
              <w:rPr>
                <w:rFonts w:ascii="Calibri" w:eastAsia="Times New Roman" w:hAnsi="Calibri" w:cs="Times New Roman"/>
                <w:color w:val="000000"/>
                <w:sz w:val="16"/>
                <w:szCs w:val="16"/>
                <w:lang w:eastAsia="en-GB"/>
              </w:rPr>
            </w:pPr>
            <w:r w:rsidRPr="00767C32">
              <w:rPr>
                <w:rFonts w:ascii="Calibri" w:eastAsia="Times New Roman" w:hAnsi="Calibri" w:cs="Times New Roman"/>
                <w:color w:val="000000"/>
                <w:sz w:val="16"/>
                <w:szCs w:val="16"/>
                <w:lang w:eastAsia="en-GB"/>
              </w:rPr>
              <w:t>11,356</w:t>
            </w:r>
          </w:p>
        </w:tc>
        <w:tc>
          <w:tcPr>
            <w:tcW w:w="256" w:type="pct"/>
            <w:tcBorders>
              <w:top w:val="nil"/>
              <w:left w:val="nil"/>
              <w:bottom w:val="single" w:sz="4" w:space="0" w:color="auto"/>
              <w:right w:val="single" w:sz="4" w:space="0" w:color="auto"/>
            </w:tcBorders>
            <w:shd w:val="clear" w:color="000000" w:fill="FFFF99"/>
            <w:noWrap/>
            <w:vAlign w:val="center"/>
            <w:hideMark/>
          </w:tcPr>
          <w:p w:rsidR="00767C32" w:rsidRPr="00767C32" w:rsidRDefault="00767C32" w:rsidP="00767C32">
            <w:pPr>
              <w:spacing w:after="0" w:line="240" w:lineRule="auto"/>
              <w:jc w:val="center"/>
              <w:rPr>
                <w:rFonts w:ascii="Calibri" w:eastAsia="Times New Roman" w:hAnsi="Calibri" w:cs="Times New Roman"/>
                <w:color w:val="000000"/>
                <w:sz w:val="16"/>
                <w:szCs w:val="16"/>
                <w:lang w:eastAsia="en-GB"/>
              </w:rPr>
            </w:pPr>
            <w:r w:rsidRPr="00767C32">
              <w:rPr>
                <w:rFonts w:ascii="Calibri" w:eastAsia="Times New Roman" w:hAnsi="Calibri" w:cs="Times New Roman"/>
                <w:color w:val="000000"/>
                <w:sz w:val="16"/>
                <w:szCs w:val="16"/>
                <w:lang w:eastAsia="en-GB"/>
              </w:rPr>
              <w:t>6.9%</w:t>
            </w:r>
          </w:p>
        </w:tc>
        <w:tc>
          <w:tcPr>
            <w:tcW w:w="257" w:type="pct"/>
            <w:tcBorders>
              <w:top w:val="nil"/>
              <w:left w:val="nil"/>
              <w:bottom w:val="single" w:sz="4" w:space="0" w:color="auto"/>
              <w:right w:val="single" w:sz="4" w:space="0" w:color="auto"/>
            </w:tcBorders>
            <w:shd w:val="clear" w:color="auto" w:fill="auto"/>
            <w:noWrap/>
            <w:vAlign w:val="center"/>
            <w:hideMark/>
          </w:tcPr>
          <w:p w:rsidR="00767C32" w:rsidRPr="00767C32" w:rsidRDefault="00767C32" w:rsidP="00767C32">
            <w:pPr>
              <w:spacing w:after="0" w:line="240" w:lineRule="auto"/>
              <w:jc w:val="center"/>
              <w:rPr>
                <w:rFonts w:ascii="Calibri" w:eastAsia="Times New Roman" w:hAnsi="Calibri" w:cs="Times New Roman"/>
                <w:color w:val="000000"/>
                <w:sz w:val="16"/>
                <w:szCs w:val="16"/>
                <w:lang w:eastAsia="en-GB"/>
              </w:rPr>
            </w:pPr>
            <w:r w:rsidRPr="00767C32">
              <w:rPr>
                <w:rFonts w:ascii="Calibri" w:eastAsia="Times New Roman" w:hAnsi="Calibri" w:cs="Times New Roman"/>
                <w:color w:val="000000"/>
                <w:sz w:val="16"/>
                <w:szCs w:val="16"/>
                <w:lang w:eastAsia="en-GB"/>
              </w:rPr>
              <w:t>-</w:t>
            </w:r>
          </w:p>
        </w:tc>
        <w:tc>
          <w:tcPr>
            <w:tcW w:w="256" w:type="pct"/>
            <w:tcBorders>
              <w:top w:val="nil"/>
              <w:left w:val="nil"/>
              <w:bottom w:val="single" w:sz="4" w:space="0" w:color="auto"/>
              <w:right w:val="single" w:sz="4" w:space="0" w:color="auto"/>
            </w:tcBorders>
            <w:shd w:val="clear" w:color="auto" w:fill="auto"/>
            <w:noWrap/>
            <w:vAlign w:val="center"/>
            <w:hideMark/>
          </w:tcPr>
          <w:p w:rsidR="00767C32" w:rsidRPr="00767C32" w:rsidRDefault="00767C32" w:rsidP="00767C32">
            <w:pPr>
              <w:spacing w:after="0" w:line="240" w:lineRule="auto"/>
              <w:jc w:val="center"/>
              <w:rPr>
                <w:rFonts w:ascii="Calibri" w:eastAsia="Times New Roman" w:hAnsi="Calibri" w:cs="Times New Roman"/>
                <w:color w:val="000000"/>
                <w:sz w:val="16"/>
                <w:szCs w:val="16"/>
                <w:lang w:eastAsia="en-GB"/>
              </w:rPr>
            </w:pPr>
            <w:r w:rsidRPr="00767C32">
              <w:rPr>
                <w:rFonts w:ascii="Calibri" w:eastAsia="Times New Roman" w:hAnsi="Calibri" w:cs="Times New Roman"/>
                <w:color w:val="000000"/>
                <w:sz w:val="16"/>
                <w:szCs w:val="16"/>
                <w:lang w:eastAsia="en-GB"/>
              </w:rPr>
              <w:t>-</w:t>
            </w:r>
          </w:p>
        </w:tc>
        <w:tc>
          <w:tcPr>
            <w:tcW w:w="257" w:type="pct"/>
            <w:tcBorders>
              <w:top w:val="nil"/>
              <w:left w:val="nil"/>
              <w:bottom w:val="single" w:sz="4" w:space="0" w:color="auto"/>
              <w:right w:val="single" w:sz="4" w:space="0" w:color="auto"/>
            </w:tcBorders>
            <w:shd w:val="clear" w:color="auto" w:fill="auto"/>
            <w:noWrap/>
            <w:vAlign w:val="center"/>
            <w:hideMark/>
          </w:tcPr>
          <w:p w:rsidR="00767C32" w:rsidRPr="00767C32" w:rsidRDefault="00767C32" w:rsidP="00767C32">
            <w:pPr>
              <w:spacing w:after="0" w:line="240" w:lineRule="auto"/>
              <w:jc w:val="center"/>
              <w:rPr>
                <w:rFonts w:ascii="Calibri" w:eastAsia="Times New Roman" w:hAnsi="Calibri" w:cs="Times New Roman"/>
                <w:color w:val="000000"/>
                <w:sz w:val="16"/>
                <w:szCs w:val="16"/>
                <w:lang w:eastAsia="en-GB"/>
              </w:rPr>
            </w:pPr>
            <w:r w:rsidRPr="00767C32">
              <w:rPr>
                <w:rFonts w:ascii="Calibri" w:eastAsia="Times New Roman" w:hAnsi="Calibri" w:cs="Times New Roman"/>
                <w:color w:val="000000"/>
                <w:sz w:val="16"/>
                <w:szCs w:val="16"/>
                <w:lang w:eastAsia="en-GB"/>
              </w:rPr>
              <w:t>-</w:t>
            </w:r>
          </w:p>
        </w:tc>
        <w:tc>
          <w:tcPr>
            <w:tcW w:w="299" w:type="pct"/>
            <w:tcBorders>
              <w:top w:val="nil"/>
              <w:left w:val="nil"/>
              <w:bottom w:val="single" w:sz="4" w:space="0" w:color="auto"/>
              <w:right w:val="single" w:sz="4" w:space="0" w:color="auto"/>
            </w:tcBorders>
            <w:shd w:val="clear" w:color="auto" w:fill="auto"/>
            <w:noWrap/>
            <w:vAlign w:val="center"/>
            <w:hideMark/>
          </w:tcPr>
          <w:p w:rsidR="00767C32" w:rsidRPr="00767C32" w:rsidRDefault="00767C32" w:rsidP="00767C32">
            <w:pPr>
              <w:spacing w:after="0" w:line="240" w:lineRule="auto"/>
              <w:jc w:val="center"/>
              <w:rPr>
                <w:rFonts w:ascii="Calibri" w:eastAsia="Times New Roman" w:hAnsi="Calibri" w:cs="Times New Roman"/>
                <w:color w:val="000000"/>
                <w:sz w:val="16"/>
                <w:szCs w:val="16"/>
                <w:lang w:eastAsia="en-GB"/>
              </w:rPr>
            </w:pPr>
            <w:r w:rsidRPr="00767C32">
              <w:rPr>
                <w:rFonts w:ascii="Calibri" w:eastAsia="Times New Roman" w:hAnsi="Calibri" w:cs="Times New Roman"/>
                <w:color w:val="000000"/>
                <w:sz w:val="16"/>
                <w:szCs w:val="16"/>
                <w:lang w:eastAsia="en-GB"/>
              </w:rPr>
              <w:t>-</w:t>
            </w:r>
          </w:p>
        </w:tc>
        <w:tc>
          <w:tcPr>
            <w:tcW w:w="256" w:type="pct"/>
            <w:tcBorders>
              <w:top w:val="nil"/>
              <w:left w:val="nil"/>
              <w:bottom w:val="single" w:sz="4" w:space="0" w:color="auto"/>
              <w:right w:val="single" w:sz="4" w:space="0" w:color="auto"/>
            </w:tcBorders>
            <w:shd w:val="clear" w:color="auto" w:fill="auto"/>
            <w:noWrap/>
            <w:vAlign w:val="center"/>
            <w:hideMark/>
          </w:tcPr>
          <w:p w:rsidR="00767C32" w:rsidRPr="00767C32" w:rsidRDefault="00767C32" w:rsidP="00767C32">
            <w:pPr>
              <w:spacing w:after="0" w:line="240" w:lineRule="auto"/>
              <w:jc w:val="center"/>
              <w:rPr>
                <w:rFonts w:ascii="Calibri" w:eastAsia="Times New Roman" w:hAnsi="Calibri" w:cs="Times New Roman"/>
                <w:color w:val="000000"/>
                <w:sz w:val="16"/>
                <w:szCs w:val="16"/>
                <w:lang w:eastAsia="en-GB"/>
              </w:rPr>
            </w:pPr>
            <w:r w:rsidRPr="00767C32">
              <w:rPr>
                <w:rFonts w:ascii="Calibri" w:eastAsia="Times New Roman" w:hAnsi="Calibri" w:cs="Times New Roman"/>
                <w:color w:val="000000"/>
                <w:sz w:val="16"/>
                <w:szCs w:val="16"/>
                <w:lang w:eastAsia="en-GB"/>
              </w:rPr>
              <w:t>-</w:t>
            </w:r>
          </w:p>
        </w:tc>
        <w:tc>
          <w:tcPr>
            <w:tcW w:w="257" w:type="pct"/>
            <w:tcBorders>
              <w:top w:val="nil"/>
              <w:left w:val="nil"/>
              <w:bottom w:val="single" w:sz="4" w:space="0" w:color="auto"/>
              <w:right w:val="single" w:sz="4" w:space="0" w:color="auto"/>
            </w:tcBorders>
            <w:shd w:val="clear" w:color="auto" w:fill="auto"/>
            <w:noWrap/>
            <w:vAlign w:val="center"/>
            <w:hideMark/>
          </w:tcPr>
          <w:p w:rsidR="00767C32" w:rsidRPr="00767C32" w:rsidRDefault="00767C32" w:rsidP="00767C32">
            <w:pPr>
              <w:spacing w:after="0" w:line="240" w:lineRule="auto"/>
              <w:jc w:val="center"/>
              <w:rPr>
                <w:rFonts w:ascii="Calibri" w:eastAsia="Times New Roman" w:hAnsi="Calibri" w:cs="Times New Roman"/>
                <w:color w:val="000000"/>
                <w:sz w:val="16"/>
                <w:szCs w:val="16"/>
                <w:lang w:eastAsia="en-GB"/>
              </w:rPr>
            </w:pPr>
            <w:r w:rsidRPr="00767C32">
              <w:rPr>
                <w:rFonts w:ascii="Calibri" w:eastAsia="Times New Roman" w:hAnsi="Calibri" w:cs="Times New Roman"/>
                <w:color w:val="000000"/>
                <w:sz w:val="16"/>
                <w:szCs w:val="16"/>
                <w:lang w:eastAsia="en-GB"/>
              </w:rPr>
              <w:t>-</w:t>
            </w:r>
          </w:p>
        </w:tc>
        <w:tc>
          <w:tcPr>
            <w:tcW w:w="304" w:type="pct"/>
            <w:tcBorders>
              <w:top w:val="nil"/>
              <w:left w:val="nil"/>
              <w:bottom w:val="single" w:sz="4" w:space="0" w:color="auto"/>
              <w:right w:val="single" w:sz="4" w:space="0" w:color="auto"/>
            </w:tcBorders>
            <w:shd w:val="clear" w:color="auto" w:fill="auto"/>
            <w:noWrap/>
            <w:vAlign w:val="center"/>
            <w:hideMark/>
          </w:tcPr>
          <w:p w:rsidR="00767C32" w:rsidRPr="00767C32" w:rsidRDefault="00767C32" w:rsidP="00767C32">
            <w:pPr>
              <w:spacing w:after="0" w:line="240" w:lineRule="auto"/>
              <w:jc w:val="center"/>
              <w:rPr>
                <w:rFonts w:ascii="Calibri" w:eastAsia="Times New Roman" w:hAnsi="Calibri" w:cs="Times New Roman"/>
                <w:color w:val="000000"/>
                <w:sz w:val="16"/>
                <w:szCs w:val="16"/>
                <w:lang w:eastAsia="en-GB"/>
              </w:rPr>
            </w:pPr>
            <w:r w:rsidRPr="00767C32">
              <w:rPr>
                <w:rFonts w:ascii="Calibri" w:eastAsia="Times New Roman" w:hAnsi="Calibri" w:cs="Times New Roman"/>
                <w:color w:val="000000"/>
                <w:sz w:val="16"/>
                <w:szCs w:val="16"/>
                <w:lang w:eastAsia="en-GB"/>
              </w:rPr>
              <w:t>-</w:t>
            </w:r>
          </w:p>
        </w:tc>
        <w:tc>
          <w:tcPr>
            <w:tcW w:w="258" w:type="pct"/>
            <w:tcBorders>
              <w:top w:val="nil"/>
              <w:left w:val="nil"/>
              <w:bottom w:val="single" w:sz="4" w:space="0" w:color="auto"/>
              <w:right w:val="single" w:sz="4" w:space="0" w:color="auto"/>
            </w:tcBorders>
            <w:shd w:val="clear" w:color="auto" w:fill="auto"/>
            <w:noWrap/>
            <w:vAlign w:val="center"/>
            <w:hideMark/>
          </w:tcPr>
          <w:p w:rsidR="00767C32" w:rsidRPr="00767C32" w:rsidRDefault="00767C32" w:rsidP="00767C32">
            <w:pPr>
              <w:spacing w:after="0" w:line="240" w:lineRule="auto"/>
              <w:jc w:val="center"/>
              <w:rPr>
                <w:rFonts w:ascii="Calibri" w:eastAsia="Times New Roman" w:hAnsi="Calibri" w:cs="Times New Roman"/>
                <w:color w:val="000000"/>
                <w:sz w:val="16"/>
                <w:szCs w:val="16"/>
                <w:lang w:eastAsia="en-GB"/>
              </w:rPr>
            </w:pPr>
            <w:r w:rsidRPr="00767C32">
              <w:rPr>
                <w:rFonts w:ascii="Calibri" w:eastAsia="Times New Roman" w:hAnsi="Calibri" w:cs="Times New Roman"/>
                <w:color w:val="000000"/>
                <w:sz w:val="16"/>
                <w:szCs w:val="16"/>
                <w:lang w:eastAsia="en-GB"/>
              </w:rPr>
              <w:t>-</w:t>
            </w:r>
          </w:p>
        </w:tc>
        <w:tc>
          <w:tcPr>
            <w:tcW w:w="251" w:type="pct"/>
            <w:tcBorders>
              <w:top w:val="nil"/>
              <w:left w:val="nil"/>
              <w:bottom w:val="single" w:sz="4" w:space="0" w:color="auto"/>
              <w:right w:val="single" w:sz="4" w:space="0" w:color="auto"/>
            </w:tcBorders>
            <w:shd w:val="clear" w:color="auto" w:fill="auto"/>
            <w:noWrap/>
            <w:vAlign w:val="center"/>
            <w:hideMark/>
          </w:tcPr>
          <w:p w:rsidR="00767C32" w:rsidRPr="00767C32" w:rsidRDefault="00767C32" w:rsidP="00767C32">
            <w:pPr>
              <w:spacing w:after="0" w:line="240" w:lineRule="auto"/>
              <w:jc w:val="center"/>
              <w:rPr>
                <w:rFonts w:ascii="Calibri" w:eastAsia="Times New Roman" w:hAnsi="Calibri" w:cs="Times New Roman"/>
                <w:color w:val="000000"/>
                <w:sz w:val="16"/>
                <w:szCs w:val="16"/>
                <w:lang w:eastAsia="en-GB"/>
              </w:rPr>
            </w:pPr>
            <w:r w:rsidRPr="00767C32">
              <w:rPr>
                <w:rFonts w:ascii="Calibri" w:eastAsia="Times New Roman" w:hAnsi="Calibri" w:cs="Times New Roman"/>
                <w:color w:val="000000"/>
                <w:sz w:val="16"/>
                <w:szCs w:val="16"/>
                <w:lang w:eastAsia="en-GB"/>
              </w:rPr>
              <w:t>-</w:t>
            </w:r>
          </w:p>
        </w:tc>
        <w:tc>
          <w:tcPr>
            <w:tcW w:w="256" w:type="pct"/>
            <w:tcBorders>
              <w:top w:val="nil"/>
              <w:left w:val="nil"/>
              <w:bottom w:val="single" w:sz="4" w:space="0" w:color="auto"/>
              <w:right w:val="single" w:sz="4" w:space="0" w:color="auto"/>
            </w:tcBorders>
            <w:shd w:val="clear" w:color="auto" w:fill="auto"/>
            <w:noWrap/>
            <w:vAlign w:val="center"/>
            <w:hideMark/>
          </w:tcPr>
          <w:p w:rsidR="00767C32" w:rsidRPr="00767C32" w:rsidRDefault="00767C32" w:rsidP="00767C32">
            <w:pPr>
              <w:spacing w:after="0" w:line="240" w:lineRule="auto"/>
              <w:jc w:val="center"/>
              <w:rPr>
                <w:rFonts w:ascii="Calibri" w:eastAsia="Times New Roman" w:hAnsi="Calibri" w:cs="Times New Roman"/>
                <w:color w:val="000000"/>
                <w:sz w:val="16"/>
                <w:szCs w:val="16"/>
                <w:lang w:eastAsia="en-GB"/>
              </w:rPr>
            </w:pPr>
            <w:r w:rsidRPr="00767C32">
              <w:rPr>
                <w:rFonts w:ascii="Calibri" w:eastAsia="Times New Roman" w:hAnsi="Calibri" w:cs="Times New Roman"/>
                <w:color w:val="000000"/>
                <w:sz w:val="16"/>
                <w:szCs w:val="16"/>
                <w:lang w:eastAsia="en-GB"/>
              </w:rPr>
              <w:t>-</w:t>
            </w:r>
          </w:p>
        </w:tc>
        <w:tc>
          <w:tcPr>
            <w:tcW w:w="300" w:type="pct"/>
            <w:tcBorders>
              <w:top w:val="nil"/>
              <w:left w:val="nil"/>
              <w:bottom w:val="single" w:sz="4" w:space="0" w:color="auto"/>
              <w:right w:val="single" w:sz="4" w:space="0" w:color="auto"/>
            </w:tcBorders>
            <w:shd w:val="clear" w:color="auto" w:fill="auto"/>
            <w:noWrap/>
            <w:vAlign w:val="center"/>
            <w:hideMark/>
          </w:tcPr>
          <w:p w:rsidR="00767C32" w:rsidRPr="00767C32" w:rsidRDefault="00767C32" w:rsidP="00767C32">
            <w:pPr>
              <w:spacing w:after="0" w:line="240" w:lineRule="auto"/>
              <w:jc w:val="center"/>
              <w:rPr>
                <w:rFonts w:ascii="Calibri" w:eastAsia="Times New Roman" w:hAnsi="Calibri" w:cs="Times New Roman"/>
                <w:color w:val="000000"/>
                <w:sz w:val="16"/>
                <w:szCs w:val="16"/>
                <w:lang w:eastAsia="en-GB"/>
              </w:rPr>
            </w:pPr>
            <w:r w:rsidRPr="00767C32">
              <w:rPr>
                <w:rFonts w:ascii="Calibri" w:eastAsia="Times New Roman" w:hAnsi="Calibri" w:cs="Times New Roman"/>
                <w:color w:val="000000"/>
                <w:sz w:val="16"/>
                <w:szCs w:val="16"/>
                <w:lang w:eastAsia="en-GB"/>
              </w:rPr>
              <w:t>3,196,124</w:t>
            </w:r>
          </w:p>
        </w:tc>
        <w:tc>
          <w:tcPr>
            <w:tcW w:w="254" w:type="pct"/>
            <w:tcBorders>
              <w:top w:val="nil"/>
              <w:left w:val="nil"/>
              <w:bottom w:val="single" w:sz="4" w:space="0" w:color="auto"/>
              <w:right w:val="single" w:sz="4" w:space="0" w:color="auto"/>
            </w:tcBorders>
            <w:shd w:val="clear" w:color="auto" w:fill="auto"/>
            <w:noWrap/>
            <w:vAlign w:val="center"/>
            <w:hideMark/>
          </w:tcPr>
          <w:p w:rsidR="00767C32" w:rsidRPr="00767C32" w:rsidRDefault="00767C32" w:rsidP="00767C32">
            <w:pPr>
              <w:spacing w:after="0" w:line="240" w:lineRule="auto"/>
              <w:jc w:val="center"/>
              <w:rPr>
                <w:rFonts w:ascii="Calibri" w:eastAsia="Times New Roman" w:hAnsi="Calibri" w:cs="Times New Roman"/>
                <w:color w:val="000000"/>
                <w:sz w:val="16"/>
                <w:szCs w:val="16"/>
                <w:lang w:eastAsia="en-GB"/>
              </w:rPr>
            </w:pPr>
            <w:r w:rsidRPr="00767C32">
              <w:rPr>
                <w:rFonts w:ascii="Calibri" w:eastAsia="Times New Roman" w:hAnsi="Calibri" w:cs="Times New Roman"/>
                <w:color w:val="000000"/>
                <w:sz w:val="16"/>
                <w:szCs w:val="16"/>
                <w:lang w:eastAsia="en-GB"/>
              </w:rPr>
              <w:t>6.8%</w:t>
            </w:r>
          </w:p>
        </w:tc>
      </w:tr>
      <w:tr w:rsidR="0085747D" w:rsidRPr="00767C32" w:rsidTr="0085747D">
        <w:trPr>
          <w:trHeight w:val="300"/>
        </w:trPr>
        <w:tc>
          <w:tcPr>
            <w:tcW w:w="513" w:type="pct"/>
            <w:tcBorders>
              <w:top w:val="nil"/>
              <w:left w:val="single" w:sz="4" w:space="0" w:color="auto"/>
              <w:bottom w:val="single" w:sz="4" w:space="0" w:color="auto"/>
              <w:right w:val="single" w:sz="4" w:space="0" w:color="auto"/>
            </w:tcBorders>
            <w:shd w:val="clear" w:color="auto" w:fill="auto"/>
            <w:noWrap/>
            <w:vAlign w:val="center"/>
            <w:hideMark/>
          </w:tcPr>
          <w:p w:rsidR="00767C32" w:rsidRPr="00767C32" w:rsidRDefault="00767C32" w:rsidP="00767C32">
            <w:pPr>
              <w:spacing w:after="0" w:line="240" w:lineRule="auto"/>
              <w:jc w:val="center"/>
              <w:rPr>
                <w:rFonts w:ascii="Calibri" w:eastAsia="Times New Roman" w:hAnsi="Calibri" w:cs="Times New Roman"/>
                <w:color w:val="000000"/>
                <w:sz w:val="16"/>
                <w:szCs w:val="16"/>
                <w:lang w:eastAsia="en-GB"/>
              </w:rPr>
            </w:pPr>
            <w:r w:rsidRPr="00767C32">
              <w:rPr>
                <w:rFonts w:ascii="Calibri" w:eastAsia="Times New Roman" w:hAnsi="Calibri" w:cs="Times New Roman"/>
                <w:color w:val="000000"/>
                <w:sz w:val="16"/>
                <w:szCs w:val="16"/>
                <w:lang w:eastAsia="en-GB"/>
              </w:rPr>
              <w:t>Estimated prevalence of common mental disorders, 65+</w:t>
            </w:r>
          </w:p>
        </w:tc>
        <w:tc>
          <w:tcPr>
            <w:tcW w:w="256" w:type="pct"/>
            <w:tcBorders>
              <w:top w:val="nil"/>
              <w:left w:val="nil"/>
              <w:bottom w:val="single" w:sz="4" w:space="0" w:color="auto"/>
              <w:right w:val="single" w:sz="4" w:space="0" w:color="auto"/>
            </w:tcBorders>
            <w:shd w:val="clear" w:color="auto" w:fill="auto"/>
            <w:noWrap/>
            <w:vAlign w:val="center"/>
            <w:hideMark/>
          </w:tcPr>
          <w:p w:rsidR="00767C32" w:rsidRPr="00767C32" w:rsidRDefault="00767C32" w:rsidP="00767C32">
            <w:pPr>
              <w:spacing w:after="0" w:line="240" w:lineRule="auto"/>
              <w:jc w:val="center"/>
              <w:rPr>
                <w:rFonts w:ascii="Calibri" w:eastAsia="Times New Roman" w:hAnsi="Calibri" w:cs="Times New Roman"/>
                <w:color w:val="000000"/>
                <w:sz w:val="16"/>
                <w:szCs w:val="16"/>
                <w:lang w:eastAsia="en-GB"/>
              </w:rPr>
            </w:pPr>
            <w:r w:rsidRPr="00767C32">
              <w:rPr>
                <w:rFonts w:ascii="Calibri" w:eastAsia="Times New Roman" w:hAnsi="Calibri" w:cs="Times New Roman"/>
                <w:color w:val="000000"/>
                <w:sz w:val="16"/>
                <w:szCs w:val="16"/>
                <w:lang w:eastAsia="en-GB"/>
              </w:rPr>
              <w:t>2017</w:t>
            </w:r>
          </w:p>
        </w:tc>
        <w:tc>
          <w:tcPr>
            <w:tcW w:w="257" w:type="pct"/>
            <w:tcBorders>
              <w:top w:val="nil"/>
              <w:left w:val="nil"/>
              <w:bottom w:val="single" w:sz="4" w:space="0" w:color="auto"/>
              <w:right w:val="single" w:sz="4" w:space="0" w:color="auto"/>
            </w:tcBorders>
            <w:shd w:val="clear" w:color="000000" w:fill="FFFF99"/>
            <w:noWrap/>
            <w:vAlign w:val="center"/>
            <w:hideMark/>
          </w:tcPr>
          <w:p w:rsidR="00767C32" w:rsidRPr="00767C32" w:rsidRDefault="00767C32" w:rsidP="00767C32">
            <w:pPr>
              <w:spacing w:after="0" w:line="240" w:lineRule="auto"/>
              <w:jc w:val="center"/>
              <w:rPr>
                <w:rFonts w:ascii="Calibri" w:eastAsia="Times New Roman" w:hAnsi="Calibri" w:cs="Times New Roman"/>
                <w:color w:val="000000"/>
                <w:sz w:val="16"/>
                <w:szCs w:val="16"/>
                <w:lang w:eastAsia="en-GB"/>
              </w:rPr>
            </w:pPr>
            <w:r w:rsidRPr="00767C32">
              <w:rPr>
                <w:rFonts w:ascii="Calibri" w:eastAsia="Times New Roman" w:hAnsi="Calibri" w:cs="Times New Roman"/>
                <w:color w:val="000000"/>
                <w:sz w:val="16"/>
                <w:szCs w:val="16"/>
                <w:lang w:eastAsia="en-GB"/>
              </w:rPr>
              <w:t>10,752</w:t>
            </w:r>
          </w:p>
        </w:tc>
        <w:tc>
          <w:tcPr>
            <w:tcW w:w="256" w:type="pct"/>
            <w:tcBorders>
              <w:top w:val="nil"/>
              <w:left w:val="nil"/>
              <w:bottom w:val="single" w:sz="4" w:space="0" w:color="auto"/>
              <w:right w:val="single" w:sz="4" w:space="0" w:color="auto"/>
            </w:tcBorders>
            <w:shd w:val="clear" w:color="000000" w:fill="FFFF99"/>
            <w:noWrap/>
            <w:vAlign w:val="center"/>
            <w:hideMark/>
          </w:tcPr>
          <w:p w:rsidR="00767C32" w:rsidRPr="00767C32" w:rsidRDefault="00767C32" w:rsidP="00767C32">
            <w:pPr>
              <w:spacing w:after="0" w:line="240" w:lineRule="auto"/>
              <w:jc w:val="center"/>
              <w:rPr>
                <w:rFonts w:ascii="Calibri" w:eastAsia="Times New Roman" w:hAnsi="Calibri" w:cs="Times New Roman"/>
                <w:color w:val="000000"/>
                <w:sz w:val="16"/>
                <w:szCs w:val="16"/>
                <w:lang w:eastAsia="en-GB"/>
              </w:rPr>
            </w:pPr>
            <w:r w:rsidRPr="00767C32">
              <w:rPr>
                <w:rFonts w:ascii="Calibri" w:eastAsia="Times New Roman" w:hAnsi="Calibri" w:cs="Times New Roman"/>
                <w:color w:val="000000"/>
                <w:sz w:val="16"/>
                <w:szCs w:val="16"/>
                <w:lang w:eastAsia="en-GB"/>
              </w:rPr>
              <w:t>8.9%</w:t>
            </w:r>
          </w:p>
        </w:tc>
        <w:tc>
          <w:tcPr>
            <w:tcW w:w="257" w:type="pct"/>
            <w:tcBorders>
              <w:top w:val="nil"/>
              <w:left w:val="nil"/>
              <w:bottom w:val="single" w:sz="4" w:space="0" w:color="auto"/>
              <w:right w:val="single" w:sz="4" w:space="0" w:color="auto"/>
            </w:tcBorders>
            <w:shd w:val="clear" w:color="000000" w:fill="FFFF99"/>
            <w:noWrap/>
            <w:vAlign w:val="center"/>
            <w:hideMark/>
          </w:tcPr>
          <w:p w:rsidR="00767C32" w:rsidRPr="00767C32" w:rsidRDefault="00767C32" w:rsidP="00767C32">
            <w:pPr>
              <w:spacing w:after="0" w:line="240" w:lineRule="auto"/>
              <w:jc w:val="center"/>
              <w:rPr>
                <w:rFonts w:ascii="Calibri" w:eastAsia="Times New Roman" w:hAnsi="Calibri" w:cs="Times New Roman"/>
                <w:color w:val="000000"/>
                <w:sz w:val="16"/>
                <w:szCs w:val="16"/>
                <w:lang w:eastAsia="en-GB"/>
              </w:rPr>
            </w:pPr>
            <w:r w:rsidRPr="00767C32">
              <w:rPr>
                <w:rFonts w:ascii="Calibri" w:eastAsia="Times New Roman" w:hAnsi="Calibri" w:cs="Times New Roman"/>
                <w:color w:val="000000"/>
                <w:sz w:val="16"/>
                <w:szCs w:val="16"/>
                <w:lang w:eastAsia="en-GB"/>
              </w:rPr>
              <w:t>3,287</w:t>
            </w:r>
          </w:p>
        </w:tc>
        <w:tc>
          <w:tcPr>
            <w:tcW w:w="256" w:type="pct"/>
            <w:tcBorders>
              <w:top w:val="nil"/>
              <w:left w:val="nil"/>
              <w:bottom w:val="single" w:sz="4" w:space="0" w:color="auto"/>
              <w:right w:val="single" w:sz="4" w:space="0" w:color="auto"/>
            </w:tcBorders>
            <w:shd w:val="clear" w:color="000000" w:fill="FFFF99"/>
            <w:noWrap/>
            <w:vAlign w:val="center"/>
            <w:hideMark/>
          </w:tcPr>
          <w:p w:rsidR="00767C32" w:rsidRPr="00767C32" w:rsidRDefault="00767C32" w:rsidP="00767C32">
            <w:pPr>
              <w:spacing w:after="0" w:line="240" w:lineRule="auto"/>
              <w:jc w:val="center"/>
              <w:rPr>
                <w:rFonts w:ascii="Calibri" w:eastAsia="Times New Roman" w:hAnsi="Calibri" w:cs="Times New Roman"/>
                <w:color w:val="000000"/>
                <w:sz w:val="16"/>
                <w:szCs w:val="16"/>
                <w:lang w:eastAsia="en-GB"/>
              </w:rPr>
            </w:pPr>
            <w:r w:rsidRPr="00767C32">
              <w:rPr>
                <w:rFonts w:ascii="Calibri" w:eastAsia="Times New Roman" w:hAnsi="Calibri" w:cs="Times New Roman"/>
                <w:color w:val="000000"/>
                <w:sz w:val="16"/>
                <w:szCs w:val="16"/>
                <w:lang w:eastAsia="en-GB"/>
              </w:rPr>
              <w:t>11.3%</w:t>
            </w:r>
          </w:p>
        </w:tc>
        <w:tc>
          <w:tcPr>
            <w:tcW w:w="257" w:type="pct"/>
            <w:tcBorders>
              <w:top w:val="nil"/>
              <w:left w:val="nil"/>
              <w:bottom w:val="single" w:sz="4" w:space="0" w:color="auto"/>
              <w:right w:val="single" w:sz="4" w:space="0" w:color="auto"/>
            </w:tcBorders>
            <w:shd w:val="clear" w:color="000000" w:fill="FFFF99"/>
            <w:noWrap/>
            <w:vAlign w:val="center"/>
            <w:hideMark/>
          </w:tcPr>
          <w:p w:rsidR="00767C32" w:rsidRPr="00767C32" w:rsidRDefault="00767C32" w:rsidP="00767C32">
            <w:pPr>
              <w:spacing w:after="0" w:line="240" w:lineRule="auto"/>
              <w:jc w:val="center"/>
              <w:rPr>
                <w:rFonts w:ascii="Calibri" w:eastAsia="Times New Roman" w:hAnsi="Calibri" w:cs="Times New Roman"/>
                <w:color w:val="000000"/>
                <w:sz w:val="16"/>
                <w:szCs w:val="16"/>
                <w:lang w:eastAsia="en-GB"/>
              </w:rPr>
            </w:pPr>
            <w:r w:rsidRPr="00767C32">
              <w:rPr>
                <w:rFonts w:ascii="Calibri" w:eastAsia="Times New Roman" w:hAnsi="Calibri" w:cs="Times New Roman"/>
                <w:color w:val="000000"/>
                <w:sz w:val="16"/>
                <w:szCs w:val="16"/>
                <w:lang w:eastAsia="en-GB"/>
              </w:rPr>
              <w:t>1,571</w:t>
            </w:r>
          </w:p>
        </w:tc>
        <w:tc>
          <w:tcPr>
            <w:tcW w:w="256" w:type="pct"/>
            <w:tcBorders>
              <w:top w:val="nil"/>
              <w:left w:val="nil"/>
              <w:bottom w:val="single" w:sz="4" w:space="0" w:color="auto"/>
              <w:right w:val="single" w:sz="4" w:space="0" w:color="auto"/>
            </w:tcBorders>
            <w:shd w:val="clear" w:color="000000" w:fill="FFFF99"/>
            <w:noWrap/>
            <w:vAlign w:val="center"/>
            <w:hideMark/>
          </w:tcPr>
          <w:p w:rsidR="00767C32" w:rsidRPr="00767C32" w:rsidRDefault="00767C32" w:rsidP="00767C32">
            <w:pPr>
              <w:spacing w:after="0" w:line="240" w:lineRule="auto"/>
              <w:jc w:val="center"/>
              <w:rPr>
                <w:rFonts w:ascii="Calibri" w:eastAsia="Times New Roman" w:hAnsi="Calibri" w:cs="Times New Roman"/>
                <w:color w:val="000000"/>
                <w:sz w:val="16"/>
                <w:szCs w:val="16"/>
                <w:lang w:eastAsia="en-GB"/>
              </w:rPr>
            </w:pPr>
            <w:r w:rsidRPr="00767C32">
              <w:rPr>
                <w:rFonts w:ascii="Calibri" w:eastAsia="Times New Roman" w:hAnsi="Calibri" w:cs="Times New Roman"/>
                <w:color w:val="000000"/>
                <w:sz w:val="16"/>
                <w:szCs w:val="16"/>
                <w:lang w:eastAsia="en-GB"/>
              </w:rPr>
              <w:t>9.9%</w:t>
            </w:r>
          </w:p>
        </w:tc>
        <w:tc>
          <w:tcPr>
            <w:tcW w:w="257" w:type="pct"/>
            <w:tcBorders>
              <w:top w:val="nil"/>
              <w:left w:val="nil"/>
              <w:bottom w:val="single" w:sz="4" w:space="0" w:color="auto"/>
              <w:right w:val="single" w:sz="4" w:space="0" w:color="auto"/>
            </w:tcBorders>
            <w:shd w:val="clear" w:color="000000" w:fill="EBF1DE"/>
            <w:noWrap/>
            <w:vAlign w:val="center"/>
            <w:hideMark/>
          </w:tcPr>
          <w:p w:rsidR="00767C32" w:rsidRPr="00767C32" w:rsidRDefault="00767C32" w:rsidP="00767C32">
            <w:pPr>
              <w:spacing w:after="0" w:line="240" w:lineRule="auto"/>
              <w:jc w:val="center"/>
              <w:rPr>
                <w:rFonts w:ascii="Calibri" w:eastAsia="Times New Roman" w:hAnsi="Calibri" w:cs="Times New Roman"/>
                <w:color w:val="000000"/>
                <w:sz w:val="16"/>
                <w:szCs w:val="16"/>
                <w:lang w:eastAsia="en-GB"/>
              </w:rPr>
            </w:pPr>
            <w:r w:rsidRPr="00767C32">
              <w:rPr>
                <w:rFonts w:ascii="Calibri" w:eastAsia="Times New Roman" w:hAnsi="Calibri" w:cs="Times New Roman"/>
                <w:color w:val="000000"/>
                <w:sz w:val="16"/>
                <w:szCs w:val="16"/>
                <w:lang w:eastAsia="en-GB"/>
              </w:rPr>
              <w:t>1,480</w:t>
            </w:r>
          </w:p>
        </w:tc>
        <w:tc>
          <w:tcPr>
            <w:tcW w:w="299" w:type="pct"/>
            <w:tcBorders>
              <w:top w:val="nil"/>
              <w:left w:val="nil"/>
              <w:bottom w:val="single" w:sz="4" w:space="0" w:color="auto"/>
              <w:right w:val="single" w:sz="4" w:space="0" w:color="auto"/>
            </w:tcBorders>
            <w:shd w:val="clear" w:color="000000" w:fill="EBF1DE"/>
            <w:noWrap/>
            <w:vAlign w:val="center"/>
            <w:hideMark/>
          </w:tcPr>
          <w:p w:rsidR="00767C32" w:rsidRPr="00767C32" w:rsidRDefault="00767C32" w:rsidP="00767C32">
            <w:pPr>
              <w:spacing w:after="0" w:line="240" w:lineRule="auto"/>
              <w:jc w:val="center"/>
              <w:rPr>
                <w:rFonts w:ascii="Calibri" w:eastAsia="Times New Roman" w:hAnsi="Calibri" w:cs="Times New Roman"/>
                <w:color w:val="000000"/>
                <w:sz w:val="16"/>
                <w:szCs w:val="16"/>
                <w:lang w:eastAsia="en-GB"/>
              </w:rPr>
            </w:pPr>
            <w:r w:rsidRPr="00767C32">
              <w:rPr>
                <w:rFonts w:ascii="Calibri" w:eastAsia="Times New Roman" w:hAnsi="Calibri" w:cs="Times New Roman"/>
                <w:color w:val="000000"/>
                <w:sz w:val="16"/>
                <w:szCs w:val="16"/>
                <w:lang w:eastAsia="en-GB"/>
              </w:rPr>
              <w:t>8.4%</w:t>
            </w:r>
          </w:p>
        </w:tc>
        <w:tc>
          <w:tcPr>
            <w:tcW w:w="256" w:type="pct"/>
            <w:tcBorders>
              <w:top w:val="nil"/>
              <w:left w:val="nil"/>
              <w:bottom w:val="single" w:sz="4" w:space="0" w:color="auto"/>
              <w:right w:val="single" w:sz="4" w:space="0" w:color="auto"/>
            </w:tcBorders>
            <w:shd w:val="clear" w:color="000000" w:fill="FFFF99"/>
            <w:noWrap/>
            <w:vAlign w:val="center"/>
            <w:hideMark/>
          </w:tcPr>
          <w:p w:rsidR="00767C32" w:rsidRPr="00767C32" w:rsidRDefault="00767C32" w:rsidP="00767C32">
            <w:pPr>
              <w:spacing w:after="0" w:line="240" w:lineRule="auto"/>
              <w:jc w:val="center"/>
              <w:rPr>
                <w:rFonts w:ascii="Calibri" w:eastAsia="Times New Roman" w:hAnsi="Calibri" w:cs="Times New Roman"/>
                <w:color w:val="000000"/>
                <w:sz w:val="16"/>
                <w:szCs w:val="16"/>
                <w:lang w:eastAsia="en-GB"/>
              </w:rPr>
            </w:pPr>
            <w:r w:rsidRPr="00767C32">
              <w:rPr>
                <w:rFonts w:ascii="Calibri" w:eastAsia="Times New Roman" w:hAnsi="Calibri" w:cs="Times New Roman"/>
                <w:color w:val="000000"/>
                <w:sz w:val="16"/>
                <w:szCs w:val="16"/>
                <w:lang w:eastAsia="en-GB"/>
              </w:rPr>
              <w:t>2,558</w:t>
            </w:r>
          </w:p>
        </w:tc>
        <w:tc>
          <w:tcPr>
            <w:tcW w:w="257" w:type="pct"/>
            <w:tcBorders>
              <w:top w:val="nil"/>
              <w:left w:val="nil"/>
              <w:bottom w:val="single" w:sz="4" w:space="0" w:color="auto"/>
              <w:right w:val="single" w:sz="4" w:space="0" w:color="auto"/>
            </w:tcBorders>
            <w:shd w:val="clear" w:color="000000" w:fill="FFFF99"/>
            <w:noWrap/>
            <w:vAlign w:val="center"/>
            <w:hideMark/>
          </w:tcPr>
          <w:p w:rsidR="00767C32" w:rsidRPr="00767C32" w:rsidRDefault="00767C32" w:rsidP="00767C32">
            <w:pPr>
              <w:spacing w:after="0" w:line="240" w:lineRule="auto"/>
              <w:jc w:val="center"/>
              <w:rPr>
                <w:rFonts w:ascii="Calibri" w:eastAsia="Times New Roman" w:hAnsi="Calibri" w:cs="Times New Roman"/>
                <w:color w:val="000000"/>
                <w:sz w:val="16"/>
                <w:szCs w:val="16"/>
                <w:lang w:eastAsia="en-GB"/>
              </w:rPr>
            </w:pPr>
            <w:r w:rsidRPr="00767C32">
              <w:rPr>
                <w:rFonts w:ascii="Calibri" w:eastAsia="Times New Roman" w:hAnsi="Calibri" w:cs="Times New Roman"/>
                <w:color w:val="000000"/>
                <w:sz w:val="16"/>
                <w:szCs w:val="16"/>
                <w:lang w:eastAsia="en-GB"/>
              </w:rPr>
              <w:t>11.3%</w:t>
            </w:r>
          </w:p>
        </w:tc>
        <w:tc>
          <w:tcPr>
            <w:tcW w:w="304" w:type="pct"/>
            <w:tcBorders>
              <w:top w:val="nil"/>
              <w:left w:val="nil"/>
              <w:bottom w:val="single" w:sz="4" w:space="0" w:color="auto"/>
              <w:right w:val="single" w:sz="4" w:space="0" w:color="auto"/>
            </w:tcBorders>
            <w:shd w:val="clear" w:color="000000" w:fill="EBF1DE"/>
            <w:noWrap/>
            <w:vAlign w:val="center"/>
            <w:hideMark/>
          </w:tcPr>
          <w:p w:rsidR="00767C32" w:rsidRPr="00767C32" w:rsidRDefault="00767C32" w:rsidP="00767C32">
            <w:pPr>
              <w:spacing w:after="0" w:line="240" w:lineRule="auto"/>
              <w:jc w:val="center"/>
              <w:rPr>
                <w:rFonts w:ascii="Calibri" w:eastAsia="Times New Roman" w:hAnsi="Calibri" w:cs="Times New Roman"/>
                <w:color w:val="000000"/>
                <w:sz w:val="16"/>
                <w:szCs w:val="16"/>
                <w:lang w:eastAsia="en-GB"/>
              </w:rPr>
            </w:pPr>
            <w:r w:rsidRPr="00767C32">
              <w:rPr>
                <w:rFonts w:ascii="Calibri" w:eastAsia="Times New Roman" w:hAnsi="Calibri" w:cs="Times New Roman"/>
                <w:color w:val="000000"/>
                <w:sz w:val="16"/>
                <w:szCs w:val="16"/>
                <w:lang w:eastAsia="en-GB"/>
              </w:rPr>
              <w:t>2,888</w:t>
            </w:r>
          </w:p>
        </w:tc>
        <w:tc>
          <w:tcPr>
            <w:tcW w:w="258" w:type="pct"/>
            <w:tcBorders>
              <w:top w:val="nil"/>
              <w:left w:val="nil"/>
              <w:bottom w:val="single" w:sz="4" w:space="0" w:color="auto"/>
              <w:right w:val="single" w:sz="4" w:space="0" w:color="auto"/>
            </w:tcBorders>
            <w:shd w:val="clear" w:color="000000" w:fill="EBF1DE"/>
            <w:noWrap/>
            <w:vAlign w:val="center"/>
            <w:hideMark/>
          </w:tcPr>
          <w:p w:rsidR="00767C32" w:rsidRPr="00767C32" w:rsidRDefault="00767C32" w:rsidP="00767C32">
            <w:pPr>
              <w:spacing w:after="0" w:line="240" w:lineRule="auto"/>
              <w:jc w:val="center"/>
              <w:rPr>
                <w:rFonts w:ascii="Calibri" w:eastAsia="Times New Roman" w:hAnsi="Calibri" w:cs="Times New Roman"/>
                <w:color w:val="000000"/>
                <w:sz w:val="16"/>
                <w:szCs w:val="16"/>
                <w:lang w:eastAsia="en-GB"/>
              </w:rPr>
            </w:pPr>
            <w:r w:rsidRPr="00767C32">
              <w:rPr>
                <w:rFonts w:ascii="Calibri" w:eastAsia="Times New Roman" w:hAnsi="Calibri" w:cs="Times New Roman"/>
                <w:color w:val="000000"/>
                <w:sz w:val="16"/>
                <w:szCs w:val="16"/>
                <w:lang w:eastAsia="en-GB"/>
              </w:rPr>
              <w:t>8.3%</w:t>
            </w:r>
          </w:p>
        </w:tc>
        <w:tc>
          <w:tcPr>
            <w:tcW w:w="251" w:type="pct"/>
            <w:tcBorders>
              <w:top w:val="nil"/>
              <w:left w:val="nil"/>
              <w:bottom w:val="single" w:sz="4" w:space="0" w:color="auto"/>
              <w:right w:val="single" w:sz="4" w:space="0" w:color="auto"/>
            </w:tcBorders>
            <w:shd w:val="clear" w:color="000000" w:fill="EBF1DE"/>
            <w:noWrap/>
            <w:vAlign w:val="center"/>
            <w:hideMark/>
          </w:tcPr>
          <w:p w:rsidR="00767C32" w:rsidRPr="00767C32" w:rsidRDefault="00767C32" w:rsidP="00767C32">
            <w:pPr>
              <w:spacing w:after="0" w:line="240" w:lineRule="auto"/>
              <w:jc w:val="center"/>
              <w:rPr>
                <w:rFonts w:ascii="Calibri" w:eastAsia="Times New Roman" w:hAnsi="Calibri" w:cs="Times New Roman"/>
                <w:color w:val="000000"/>
                <w:sz w:val="16"/>
                <w:szCs w:val="16"/>
                <w:lang w:eastAsia="en-GB"/>
              </w:rPr>
            </w:pPr>
            <w:r w:rsidRPr="00767C32">
              <w:rPr>
                <w:rFonts w:ascii="Calibri" w:eastAsia="Times New Roman" w:hAnsi="Calibri" w:cs="Times New Roman"/>
                <w:color w:val="000000"/>
                <w:sz w:val="16"/>
                <w:szCs w:val="16"/>
                <w:lang w:eastAsia="en-GB"/>
              </w:rPr>
              <w:t>2,255</w:t>
            </w:r>
          </w:p>
        </w:tc>
        <w:tc>
          <w:tcPr>
            <w:tcW w:w="256" w:type="pct"/>
            <w:tcBorders>
              <w:top w:val="nil"/>
              <w:left w:val="nil"/>
              <w:bottom w:val="single" w:sz="4" w:space="0" w:color="auto"/>
              <w:right w:val="single" w:sz="4" w:space="0" w:color="auto"/>
            </w:tcBorders>
            <w:shd w:val="clear" w:color="000000" w:fill="EBF1DE"/>
            <w:noWrap/>
            <w:vAlign w:val="center"/>
            <w:hideMark/>
          </w:tcPr>
          <w:p w:rsidR="00767C32" w:rsidRPr="00767C32" w:rsidRDefault="00767C32" w:rsidP="00767C32">
            <w:pPr>
              <w:spacing w:after="0" w:line="240" w:lineRule="auto"/>
              <w:jc w:val="center"/>
              <w:rPr>
                <w:rFonts w:ascii="Calibri" w:eastAsia="Times New Roman" w:hAnsi="Calibri" w:cs="Times New Roman"/>
                <w:color w:val="000000"/>
                <w:sz w:val="16"/>
                <w:szCs w:val="16"/>
                <w:lang w:eastAsia="en-GB"/>
              </w:rPr>
            </w:pPr>
            <w:r w:rsidRPr="00767C32">
              <w:rPr>
                <w:rFonts w:ascii="Calibri" w:eastAsia="Times New Roman" w:hAnsi="Calibri" w:cs="Times New Roman"/>
                <w:color w:val="000000"/>
                <w:sz w:val="16"/>
                <w:szCs w:val="16"/>
                <w:lang w:eastAsia="en-GB"/>
              </w:rPr>
              <w:t>7.5%</w:t>
            </w:r>
          </w:p>
        </w:tc>
        <w:tc>
          <w:tcPr>
            <w:tcW w:w="300" w:type="pct"/>
            <w:tcBorders>
              <w:top w:val="nil"/>
              <w:left w:val="nil"/>
              <w:bottom w:val="single" w:sz="4" w:space="0" w:color="auto"/>
              <w:right w:val="single" w:sz="4" w:space="0" w:color="auto"/>
            </w:tcBorders>
            <w:shd w:val="clear" w:color="auto" w:fill="auto"/>
            <w:noWrap/>
            <w:vAlign w:val="center"/>
            <w:hideMark/>
          </w:tcPr>
          <w:p w:rsidR="00767C32" w:rsidRPr="00767C32" w:rsidRDefault="00767C32" w:rsidP="00767C32">
            <w:pPr>
              <w:spacing w:after="0" w:line="240" w:lineRule="auto"/>
              <w:jc w:val="center"/>
              <w:rPr>
                <w:rFonts w:ascii="Calibri" w:eastAsia="Times New Roman" w:hAnsi="Calibri" w:cs="Times New Roman"/>
                <w:color w:val="000000"/>
                <w:sz w:val="16"/>
                <w:szCs w:val="16"/>
                <w:lang w:eastAsia="en-GB"/>
              </w:rPr>
            </w:pPr>
            <w:r w:rsidRPr="00767C32">
              <w:rPr>
                <w:rFonts w:ascii="Calibri" w:eastAsia="Times New Roman" w:hAnsi="Calibri" w:cs="Times New Roman"/>
                <w:color w:val="000000"/>
                <w:sz w:val="16"/>
                <w:szCs w:val="16"/>
                <w:lang w:eastAsia="en-GB"/>
              </w:rPr>
              <w:t>1,027,792</w:t>
            </w:r>
          </w:p>
        </w:tc>
        <w:tc>
          <w:tcPr>
            <w:tcW w:w="254" w:type="pct"/>
            <w:tcBorders>
              <w:top w:val="nil"/>
              <w:left w:val="nil"/>
              <w:bottom w:val="single" w:sz="4" w:space="0" w:color="auto"/>
              <w:right w:val="single" w:sz="4" w:space="0" w:color="auto"/>
            </w:tcBorders>
            <w:shd w:val="clear" w:color="auto" w:fill="auto"/>
            <w:noWrap/>
            <w:vAlign w:val="center"/>
            <w:hideMark/>
          </w:tcPr>
          <w:p w:rsidR="00767C32" w:rsidRPr="00767C32" w:rsidRDefault="00767C32" w:rsidP="00767C32">
            <w:pPr>
              <w:spacing w:after="0" w:line="240" w:lineRule="auto"/>
              <w:jc w:val="center"/>
              <w:rPr>
                <w:rFonts w:ascii="Calibri" w:eastAsia="Times New Roman" w:hAnsi="Calibri" w:cs="Times New Roman"/>
                <w:color w:val="000000"/>
                <w:sz w:val="16"/>
                <w:szCs w:val="16"/>
                <w:lang w:eastAsia="en-GB"/>
              </w:rPr>
            </w:pPr>
            <w:r w:rsidRPr="00767C32">
              <w:rPr>
                <w:rFonts w:ascii="Calibri" w:eastAsia="Times New Roman" w:hAnsi="Calibri" w:cs="Times New Roman"/>
                <w:color w:val="000000"/>
                <w:sz w:val="16"/>
                <w:szCs w:val="16"/>
                <w:lang w:eastAsia="en-GB"/>
              </w:rPr>
              <w:t>10.2%</w:t>
            </w:r>
          </w:p>
        </w:tc>
      </w:tr>
    </w:tbl>
    <w:p w:rsidR="00767C32" w:rsidRDefault="00767C32"/>
    <w:tbl>
      <w:tblPr>
        <w:tblW w:w="1707" w:type="pct"/>
        <w:tblInd w:w="-572" w:type="dxa"/>
        <w:tblLook w:val="04A0" w:firstRow="1" w:lastRow="0" w:firstColumn="1" w:lastColumn="0" w:noHBand="0" w:noVBand="1"/>
      </w:tblPr>
      <w:tblGrid>
        <w:gridCol w:w="3396"/>
        <w:gridCol w:w="1857"/>
      </w:tblGrid>
      <w:tr w:rsidR="00E63BB6" w:rsidRPr="00A43BF3" w:rsidTr="0085747D">
        <w:trPr>
          <w:trHeight w:val="300"/>
        </w:trPr>
        <w:tc>
          <w:tcPr>
            <w:tcW w:w="500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3BB6" w:rsidRPr="00A43BF3" w:rsidRDefault="00E63BB6" w:rsidP="00166E43">
            <w:pPr>
              <w:spacing w:after="0" w:line="240" w:lineRule="auto"/>
              <w:jc w:val="center"/>
              <w:rPr>
                <w:rFonts w:ascii="Calibri" w:eastAsia="Times New Roman" w:hAnsi="Calibri" w:cs="Times New Roman"/>
                <w:b/>
                <w:bCs/>
                <w:color w:val="000000"/>
                <w:sz w:val="16"/>
                <w:szCs w:val="16"/>
                <w:lang w:eastAsia="en-GB"/>
              </w:rPr>
            </w:pPr>
            <w:r w:rsidRPr="00A43BF3">
              <w:rPr>
                <w:rFonts w:ascii="Calibri" w:eastAsia="Times New Roman" w:hAnsi="Calibri" w:cs="Times New Roman"/>
                <w:b/>
                <w:bCs/>
                <w:color w:val="000000"/>
                <w:sz w:val="16"/>
                <w:szCs w:val="16"/>
                <w:lang w:eastAsia="en-GB"/>
              </w:rPr>
              <w:t>Key</w:t>
            </w:r>
          </w:p>
        </w:tc>
      </w:tr>
      <w:tr w:rsidR="00E63BB6" w:rsidRPr="00A43BF3" w:rsidTr="0085747D">
        <w:trPr>
          <w:trHeight w:val="300"/>
        </w:trPr>
        <w:tc>
          <w:tcPr>
            <w:tcW w:w="3232" w:type="pct"/>
            <w:tcBorders>
              <w:top w:val="nil"/>
              <w:left w:val="single" w:sz="4" w:space="0" w:color="auto"/>
              <w:bottom w:val="single" w:sz="4" w:space="0" w:color="auto"/>
              <w:right w:val="single" w:sz="4" w:space="0" w:color="auto"/>
            </w:tcBorders>
            <w:shd w:val="clear" w:color="000000" w:fill="EBF1DE"/>
            <w:noWrap/>
            <w:vAlign w:val="center"/>
            <w:hideMark/>
          </w:tcPr>
          <w:p w:rsidR="00E63BB6" w:rsidRPr="00A43BF3" w:rsidRDefault="00E63BB6" w:rsidP="00166E43">
            <w:pPr>
              <w:spacing w:after="0" w:line="240" w:lineRule="auto"/>
              <w:jc w:val="center"/>
              <w:rPr>
                <w:rFonts w:ascii="Calibri" w:eastAsia="Times New Roman" w:hAnsi="Calibri" w:cs="Times New Roman"/>
                <w:color w:val="000000"/>
                <w:sz w:val="16"/>
                <w:szCs w:val="16"/>
                <w:lang w:eastAsia="en-GB"/>
              </w:rPr>
            </w:pPr>
            <w:r w:rsidRPr="00A43BF3">
              <w:rPr>
                <w:rFonts w:ascii="Calibri" w:eastAsia="Times New Roman" w:hAnsi="Calibri" w:cs="Times New Roman"/>
                <w:color w:val="000000"/>
                <w:sz w:val="16"/>
                <w:szCs w:val="16"/>
                <w:lang w:eastAsia="en-GB"/>
              </w:rPr>
              <w:t>Statistically significantly better than benchmark</w:t>
            </w:r>
          </w:p>
        </w:tc>
        <w:tc>
          <w:tcPr>
            <w:tcW w:w="1768" w:type="pct"/>
            <w:tcBorders>
              <w:top w:val="nil"/>
              <w:left w:val="nil"/>
              <w:bottom w:val="single" w:sz="4" w:space="0" w:color="auto"/>
              <w:right w:val="single" w:sz="4" w:space="0" w:color="auto"/>
            </w:tcBorders>
            <w:shd w:val="clear" w:color="000000" w:fill="FDE9D9"/>
            <w:noWrap/>
            <w:vAlign w:val="center"/>
            <w:hideMark/>
          </w:tcPr>
          <w:p w:rsidR="00E63BB6" w:rsidRPr="00A43BF3" w:rsidRDefault="00E63BB6" w:rsidP="00166E43">
            <w:pPr>
              <w:spacing w:after="0" w:line="240" w:lineRule="auto"/>
              <w:jc w:val="center"/>
              <w:rPr>
                <w:rFonts w:ascii="Calibri" w:eastAsia="Times New Roman" w:hAnsi="Calibri" w:cs="Times New Roman"/>
                <w:sz w:val="16"/>
                <w:szCs w:val="16"/>
                <w:lang w:eastAsia="en-GB"/>
              </w:rPr>
            </w:pPr>
            <w:r w:rsidRPr="00A43BF3">
              <w:rPr>
                <w:rFonts w:ascii="Calibri" w:eastAsia="Times New Roman" w:hAnsi="Calibri" w:cs="Times New Roman"/>
                <w:sz w:val="16"/>
                <w:szCs w:val="16"/>
                <w:lang w:eastAsia="en-GB"/>
              </w:rPr>
              <w:t>In best quintile</w:t>
            </w:r>
          </w:p>
        </w:tc>
      </w:tr>
      <w:tr w:rsidR="00E63BB6" w:rsidRPr="00A43BF3" w:rsidTr="0085747D">
        <w:trPr>
          <w:trHeight w:val="300"/>
        </w:trPr>
        <w:tc>
          <w:tcPr>
            <w:tcW w:w="3232" w:type="pct"/>
            <w:tcBorders>
              <w:top w:val="nil"/>
              <w:left w:val="single" w:sz="4" w:space="0" w:color="auto"/>
              <w:bottom w:val="single" w:sz="4" w:space="0" w:color="auto"/>
              <w:right w:val="single" w:sz="4" w:space="0" w:color="auto"/>
            </w:tcBorders>
            <w:shd w:val="clear" w:color="000000" w:fill="FFFF99"/>
            <w:noWrap/>
            <w:vAlign w:val="center"/>
            <w:hideMark/>
          </w:tcPr>
          <w:p w:rsidR="00E63BB6" w:rsidRPr="00A43BF3" w:rsidRDefault="00E63BB6" w:rsidP="00166E43">
            <w:pPr>
              <w:spacing w:after="0" w:line="240" w:lineRule="auto"/>
              <w:jc w:val="center"/>
              <w:rPr>
                <w:rFonts w:ascii="Calibri" w:eastAsia="Times New Roman" w:hAnsi="Calibri" w:cs="Times New Roman"/>
                <w:color w:val="000000"/>
                <w:sz w:val="16"/>
                <w:szCs w:val="16"/>
                <w:lang w:eastAsia="en-GB"/>
              </w:rPr>
            </w:pPr>
            <w:r w:rsidRPr="00A43BF3">
              <w:rPr>
                <w:rFonts w:ascii="Calibri" w:eastAsia="Times New Roman" w:hAnsi="Calibri" w:cs="Times New Roman"/>
                <w:color w:val="000000"/>
                <w:sz w:val="16"/>
                <w:szCs w:val="16"/>
                <w:lang w:eastAsia="en-GB"/>
              </w:rPr>
              <w:t>Statistically similar to benchmark</w:t>
            </w:r>
          </w:p>
        </w:tc>
        <w:tc>
          <w:tcPr>
            <w:tcW w:w="1768" w:type="pct"/>
            <w:tcBorders>
              <w:top w:val="nil"/>
              <w:left w:val="nil"/>
              <w:bottom w:val="single" w:sz="4" w:space="0" w:color="auto"/>
              <w:right w:val="single" w:sz="4" w:space="0" w:color="auto"/>
            </w:tcBorders>
            <w:shd w:val="clear" w:color="000000" w:fill="FCD5B4"/>
            <w:noWrap/>
            <w:vAlign w:val="center"/>
            <w:hideMark/>
          </w:tcPr>
          <w:p w:rsidR="00E63BB6" w:rsidRPr="00A43BF3" w:rsidRDefault="00E63BB6" w:rsidP="00166E43">
            <w:pPr>
              <w:spacing w:after="0" w:line="240" w:lineRule="auto"/>
              <w:jc w:val="center"/>
              <w:rPr>
                <w:rFonts w:ascii="Calibri" w:eastAsia="Times New Roman" w:hAnsi="Calibri" w:cs="Times New Roman"/>
                <w:color w:val="000000"/>
                <w:sz w:val="16"/>
                <w:szCs w:val="16"/>
                <w:lang w:eastAsia="en-GB"/>
              </w:rPr>
            </w:pPr>
            <w:r w:rsidRPr="00A43BF3">
              <w:rPr>
                <w:rFonts w:ascii="Calibri" w:eastAsia="Times New Roman" w:hAnsi="Calibri" w:cs="Times New Roman"/>
                <w:color w:val="000000"/>
                <w:sz w:val="16"/>
                <w:szCs w:val="16"/>
                <w:lang w:eastAsia="en-GB"/>
              </w:rPr>
              <w:t>In second best quintile</w:t>
            </w:r>
          </w:p>
        </w:tc>
      </w:tr>
      <w:tr w:rsidR="00E63BB6" w:rsidRPr="00A43BF3" w:rsidTr="0085747D">
        <w:trPr>
          <w:trHeight w:val="300"/>
        </w:trPr>
        <w:tc>
          <w:tcPr>
            <w:tcW w:w="3232" w:type="pct"/>
            <w:tcBorders>
              <w:top w:val="nil"/>
              <w:left w:val="single" w:sz="4" w:space="0" w:color="auto"/>
              <w:bottom w:val="single" w:sz="4" w:space="0" w:color="auto"/>
              <w:right w:val="single" w:sz="4" w:space="0" w:color="auto"/>
            </w:tcBorders>
            <w:shd w:val="clear" w:color="000000" w:fill="420000"/>
            <w:noWrap/>
            <w:vAlign w:val="center"/>
            <w:hideMark/>
          </w:tcPr>
          <w:p w:rsidR="00E63BB6" w:rsidRPr="00A43BF3" w:rsidRDefault="00E63BB6" w:rsidP="00166E43">
            <w:pPr>
              <w:spacing w:after="0" w:line="240" w:lineRule="auto"/>
              <w:jc w:val="center"/>
              <w:rPr>
                <w:rFonts w:ascii="Calibri" w:eastAsia="Times New Roman" w:hAnsi="Calibri" w:cs="Times New Roman"/>
                <w:color w:val="FFFFFF"/>
                <w:sz w:val="16"/>
                <w:szCs w:val="16"/>
                <w:lang w:eastAsia="en-GB"/>
              </w:rPr>
            </w:pPr>
            <w:r w:rsidRPr="00A43BF3">
              <w:rPr>
                <w:rFonts w:ascii="Calibri" w:eastAsia="Times New Roman" w:hAnsi="Calibri" w:cs="Times New Roman"/>
                <w:color w:val="FFFFFF"/>
                <w:sz w:val="16"/>
                <w:szCs w:val="16"/>
                <w:lang w:eastAsia="en-GB"/>
              </w:rPr>
              <w:t>Statistically significantly lower than benchmark</w:t>
            </w:r>
          </w:p>
        </w:tc>
        <w:tc>
          <w:tcPr>
            <w:tcW w:w="1768" w:type="pct"/>
            <w:tcBorders>
              <w:top w:val="nil"/>
              <w:left w:val="nil"/>
              <w:bottom w:val="single" w:sz="4" w:space="0" w:color="auto"/>
              <w:right w:val="single" w:sz="4" w:space="0" w:color="auto"/>
            </w:tcBorders>
            <w:shd w:val="clear" w:color="000000" w:fill="FABF8F"/>
            <w:noWrap/>
            <w:vAlign w:val="center"/>
            <w:hideMark/>
          </w:tcPr>
          <w:p w:rsidR="00E63BB6" w:rsidRPr="00A43BF3" w:rsidRDefault="00E63BB6" w:rsidP="00166E43">
            <w:pPr>
              <w:spacing w:after="0" w:line="240" w:lineRule="auto"/>
              <w:jc w:val="center"/>
              <w:rPr>
                <w:rFonts w:ascii="Calibri" w:eastAsia="Times New Roman" w:hAnsi="Calibri" w:cs="Times New Roman"/>
                <w:color w:val="000000"/>
                <w:sz w:val="16"/>
                <w:szCs w:val="16"/>
                <w:lang w:eastAsia="en-GB"/>
              </w:rPr>
            </w:pPr>
            <w:r w:rsidRPr="00A43BF3">
              <w:rPr>
                <w:rFonts w:ascii="Calibri" w:eastAsia="Times New Roman" w:hAnsi="Calibri" w:cs="Times New Roman"/>
                <w:color w:val="000000"/>
                <w:sz w:val="16"/>
                <w:szCs w:val="16"/>
                <w:lang w:eastAsia="en-GB"/>
              </w:rPr>
              <w:t>In third quintile</w:t>
            </w:r>
          </w:p>
        </w:tc>
      </w:tr>
      <w:tr w:rsidR="00E63BB6" w:rsidRPr="00A43BF3" w:rsidTr="0085747D">
        <w:trPr>
          <w:trHeight w:val="300"/>
        </w:trPr>
        <w:tc>
          <w:tcPr>
            <w:tcW w:w="3232" w:type="pct"/>
            <w:tcBorders>
              <w:top w:val="nil"/>
              <w:left w:val="single" w:sz="4" w:space="0" w:color="auto"/>
              <w:bottom w:val="single" w:sz="4" w:space="0" w:color="auto"/>
              <w:right w:val="single" w:sz="4" w:space="0" w:color="auto"/>
            </w:tcBorders>
            <w:shd w:val="clear" w:color="000000" w:fill="DCE6F1"/>
            <w:noWrap/>
            <w:vAlign w:val="center"/>
            <w:hideMark/>
          </w:tcPr>
          <w:p w:rsidR="00E63BB6" w:rsidRPr="00A43BF3" w:rsidRDefault="00E63BB6" w:rsidP="00166E43">
            <w:pPr>
              <w:spacing w:after="0" w:line="240" w:lineRule="auto"/>
              <w:jc w:val="center"/>
              <w:rPr>
                <w:rFonts w:ascii="Calibri" w:eastAsia="Times New Roman" w:hAnsi="Calibri" w:cs="Times New Roman"/>
                <w:color w:val="000000"/>
                <w:sz w:val="16"/>
                <w:szCs w:val="16"/>
                <w:lang w:eastAsia="en-GB"/>
              </w:rPr>
            </w:pPr>
            <w:r w:rsidRPr="00A43BF3">
              <w:rPr>
                <w:rFonts w:ascii="Calibri" w:eastAsia="Times New Roman" w:hAnsi="Calibri" w:cs="Times New Roman"/>
                <w:color w:val="000000"/>
                <w:sz w:val="16"/>
                <w:szCs w:val="16"/>
                <w:lang w:eastAsia="en-GB"/>
              </w:rPr>
              <w:t>Statistically significantly higher than benchmark</w:t>
            </w:r>
          </w:p>
        </w:tc>
        <w:tc>
          <w:tcPr>
            <w:tcW w:w="1768" w:type="pct"/>
            <w:tcBorders>
              <w:top w:val="nil"/>
              <w:left w:val="nil"/>
              <w:bottom w:val="single" w:sz="4" w:space="0" w:color="auto"/>
              <w:right w:val="single" w:sz="4" w:space="0" w:color="auto"/>
            </w:tcBorders>
            <w:shd w:val="clear" w:color="000000" w:fill="E26B0A"/>
            <w:noWrap/>
            <w:vAlign w:val="center"/>
            <w:hideMark/>
          </w:tcPr>
          <w:p w:rsidR="00E63BB6" w:rsidRPr="00A43BF3" w:rsidRDefault="00E63BB6" w:rsidP="00166E43">
            <w:pPr>
              <w:spacing w:after="0" w:line="240" w:lineRule="auto"/>
              <w:jc w:val="center"/>
              <w:rPr>
                <w:rFonts w:ascii="Calibri" w:eastAsia="Times New Roman" w:hAnsi="Calibri" w:cs="Times New Roman"/>
                <w:color w:val="FFFFFF"/>
                <w:sz w:val="16"/>
                <w:szCs w:val="16"/>
                <w:lang w:eastAsia="en-GB"/>
              </w:rPr>
            </w:pPr>
            <w:r w:rsidRPr="00A43BF3">
              <w:rPr>
                <w:rFonts w:ascii="Calibri" w:eastAsia="Times New Roman" w:hAnsi="Calibri" w:cs="Times New Roman"/>
                <w:color w:val="FFFFFF"/>
                <w:sz w:val="16"/>
                <w:szCs w:val="16"/>
                <w:lang w:eastAsia="en-GB"/>
              </w:rPr>
              <w:t>In second worst quintile</w:t>
            </w:r>
          </w:p>
        </w:tc>
      </w:tr>
      <w:tr w:rsidR="00E63BB6" w:rsidRPr="00A43BF3" w:rsidTr="0085747D">
        <w:trPr>
          <w:trHeight w:val="300"/>
        </w:trPr>
        <w:tc>
          <w:tcPr>
            <w:tcW w:w="3232" w:type="pct"/>
            <w:tcBorders>
              <w:top w:val="nil"/>
              <w:left w:val="single" w:sz="4" w:space="0" w:color="auto"/>
              <w:bottom w:val="single" w:sz="4" w:space="0" w:color="auto"/>
              <w:right w:val="single" w:sz="4" w:space="0" w:color="auto"/>
            </w:tcBorders>
            <w:shd w:val="clear" w:color="000000" w:fill="0070C0"/>
            <w:noWrap/>
            <w:vAlign w:val="center"/>
            <w:hideMark/>
          </w:tcPr>
          <w:p w:rsidR="00E63BB6" w:rsidRPr="00A43BF3" w:rsidRDefault="00E63BB6" w:rsidP="00166E43">
            <w:pPr>
              <w:spacing w:after="0" w:line="240" w:lineRule="auto"/>
              <w:jc w:val="center"/>
              <w:rPr>
                <w:rFonts w:ascii="Calibri" w:eastAsia="Times New Roman" w:hAnsi="Calibri" w:cs="Times New Roman"/>
                <w:color w:val="FFFFFF"/>
                <w:sz w:val="16"/>
                <w:szCs w:val="16"/>
                <w:lang w:eastAsia="en-GB"/>
              </w:rPr>
            </w:pPr>
            <w:r w:rsidRPr="00A43BF3">
              <w:rPr>
                <w:rFonts w:ascii="Calibri" w:eastAsia="Times New Roman" w:hAnsi="Calibri" w:cs="Times New Roman"/>
                <w:color w:val="FFFFFF"/>
                <w:sz w:val="16"/>
                <w:szCs w:val="16"/>
                <w:lang w:eastAsia="en-GB"/>
              </w:rPr>
              <w:t>Statistically significantly lower than benchmark</w:t>
            </w:r>
          </w:p>
        </w:tc>
        <w:tc>
          <w:tcPr>
            <w:tcW w:w="1768" w:type="pct"/>
            <w:tcBorders>
              <w:top w:val="nil"/>
              <w:left w:val="nil"/>
              <w:bottom w:val="single" w:sz="4" w:space="0" w:color="auto"/>
              <w:right w:val="single" w:sz="4" w:space="0" w:color="auto"/>
            </w:tcBorders>
            <w:shd w:val="clear" w:color="000000" w:fill="974706"/>
            <w:noWrap/>
            <w:vAlign w:val="center"/>
            <w:hideMark/>
          </w:tcPr>
          <w:p w:rsidR="00E63BB6" w:rsidRPr="00A43BF3" w:rsidRDefault="00E63BB6" w:rsidP="00166E43">
            <w:pPr>
              <w:spacing w:after="0" w:line="240" w:lineRule="auto"/>
              <w:jc w:val="center"/>
              <w:rPr>
                <w:rFonts w:ascii="Calibri" w:eastAsia="Times New Roman" w:hAnsi="Calibri" w:cs="Times New Roman"/>
                <w:color w:val="FFFFFF"/>
                <w:sz w:val="16"/>
                <w:szCs w:val="16"/>
                <w:lang w:eastAsia="en-GB"/>
              </w:rPr>
            </w:pPr>
            <w:r w:rsidRPr="00A43BF3">
              <w:rPr>
                <w:rFonts w:ascii="Calibri" w:eastAsia="Times New Roman" w:hAnsi="Calibri" w:cs="Times New Roman"/>
                <w:color w:val="FFFFFF"/>
                <w:sz w:val="16"/>
                <w:szCs w:val="16"/>
                <w:lang w:eastAsia="en-GB"/>
              </w:rPr>
              <w:t>In worst quintile</w:t>
            </w:r>
          </w:p>
        </w:tc>
      </w:tr>
    </w:tbl>
    <w:p w:rsidR="00E63BB6" w:rsidRDefault="00E63BB6"/>
    <w:p w:rsidR="008B508A" w:rsidRDefault="00834592" w:rsidP="008B508A">
      <w:pPr>
        <w:rPr>
          <w:b/>
        </w:rPr>
      </w:pPr>
      <w:r>
        <w:rPr>
          <w:b/>
        </w:rPr>
        <w:t>F</w:t>
      </w:r>
      <w:r w:rsidR="00B675EC">
        <w:rPr>
          <w:b/>
        </w:rPr>
        <w:t>igure 11</w:t>
      </w:r>
      <w:r w:rsidR="008B508A" w:rsidRPr="00E14C74">
        <w:rPr>
          <w:b/>
        </w:rPr>
        <w:t xml:space="preserve">: </w:t>
      </w:r>
      <w:r w:rsidR="005F5F10">
        <w:rPr>
          <w:b/>
        </w:rPr>
        <w:t>Estimated diabetes diagnosis rate, 2018: Districts &amp; unitary authorities in the East of England with statistically significantly low diagnosis rates:</w:t>
      </w:r>
    </w:p>
    <w:p w:rsidR="00F97E28" w:rsidRDefault="005F5F10" w:rsidP="008B508A">
      <w:pPr>
        <w:rPr>
          <w:b/>
          <w:sz w:val="16"/>
          <w:szCs w:val="16"/>
        </w:rPr>
      </w:pPr>
      <w:r>
        <w:rPr>
          <w:noProof/>
          <w:lang w:eastAsia="en-GB"/>
        </w:rPr>
        <w:drawing>
          <wp:inline distT="0" distB="0" distL="0" distR="0" wp14:anchorId="7B0A41E8" wp14:editId="25879764">
            <wp:extent cx="5654675" cy="2724150"/>
            <wp:effectExtent l="0" t="0" r="317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702393" cy="2747138"/>
                    </a:xfrm>
                    <a:prstGeom prst="rect">
                      <a:avLst/>
                    </a:prstGeom>
                  </pic:spPr>
                </pic:pic>
              </a:graphicData>
            </a:graphic>
          </wp:inline>
        </w:drawing>
      </w:r>
    </w:p>
    <w:p w:rsidR="005F5F10" w:rsidRPr="005F5F10" w:rsidRDefault="005F5F10" w:rsidP="008B508A">
      <w:pPr>
        <w:rPr>
          <w:b/>
        </w:rPr>
      </w:pPr>
      <w:r w:rsidRPr="005F5F10">
        <w:rPr>
          <w:b/>
          <w:sz w:val="16"/>
          <w:szCs w:val="16"/>
        </w:rPr>
        <w:t>Source: Public Health England</w:t>
      </w:r>
    </w:p>
    <w:p w:rsidR="008B508A" w:rsidRDefault="005F5F10">
      <w:r>
        <w:lastRenderedPageBreak/>
        <w:t>21 of 47 districts/unitary authorities in the East of England have a statistically significantly lower (worse) estimated diabetes diagnosis rate than the national average of 78</w:t>
      </w:r>
      <w:r w:rsidR="00554AA2">
        <w:t xml:space="preserve">.0%, including both Cambridge and South Cambridgeshire. Once confidence intervals are incorporated, Cambridge’s value of 61.0 (confidence intervals = 57.5% to 64.0%) is within the seven areas in the East of England with the lowest diagnosis rate (confidence intervals for Cambridge and areas above South Cambridgeshire overlap). </w:t>
      </w:r>
    </w:p>
    <w:p w:rsidR="008B508A" w:rsidRDefault="000D2534">
      <w:r w:rsidRPr="000D2534">
        <w:t>Peterborough, Cambridge and Fenland all have statistically significantly higher directly age-standardised rates of emergency hospital admissions for COPD compared to the national average, whereas all other areas of Cambridgeshire and Peterborough have statistically significantly lower rates.</w:t>
      </w:r>
    </w:p>
    <w:p w:rsidR="000D2534" w:rsidRDefault="000D2534">
      <w:r w:rsidRPr="000D2534">
        <w:t>Rheumatoid arthritis prevalence is statistically significantly higher than the national average of 0.7% in Fenland (1.0%), East Cambridgeshire (0.8%), Huntingdonshire (0.8%) and South Cambridgeshire (0.8%), although as the data are not age-standardised, this could be partly as a result of a greater proportion of older residents within these areas compared to England.</w:t>
      </w:r>
    </w:p>
    <w:p w:rsidR="0056150B" w:rsidRDefault="00B675EC" w:rsidP="0056150B">
      <w:pPr>
        <w:rPr>
          <w:b/>
        </w:rPr>
      </w:pPr>
      <w:r>
        <w:rPr>
          <w:b/>
        </w:rPr>
        <w:t>Figure 12</w:t>
      </w:r>
      <w:r w:rsidR="0056150B" w:rsidRPr="00E14C74">
        <w:rPr>
          <w:b/>
        </w:rPr>
        <w:t xml:space="preserve">: </w:t>
      </w:r>
      <w:r w:rsidR="00EC4E7A">
        <w:rPr>
          <w:b/>
        </w:rPr>
        <w:t xml:space="preserve">Proportion of residents </w:t>
      </w:r>
      <w:r w:rsidR="0056150B">
        <w:rPr>
          <w:b/>
        </w:rPr>
        <w:t>reporting depression or anxiety, Fenland, 2014/15 – 2016/17</w:t>
      </w:r>
    </w:p>
    <w:p w:rsidR="0056150B" w:rsidRDefault="0056150B" w:rsidP="0056150B">
      <w:pPr>
        <w:rPr>
          <w:b/>
        </w:rPr>
      </w:pPr>
      <w:r>
        <w:rPr>
          <w:noProof/>
          <w:lang w:eastAsia="en-GB"/>
        </w:rPr>
        <w:drawing>
          <wp:inline distT="0" distB="0" distL="0" distR="0" wp14:anchorId="7EA09F94" wp14:editId="2DFEA2B0">
            <wp:extent cx="7034530" cy="2014855"/>
            <wp:effectExtent l="0" t="0" r="0"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7034530" cy="2014855"/>
                    </a:xfrm>
                    <a:prstGeom prst="rect">
                      <a:avLst/>
                    </a:prstGeom>
                  </pic:spPr>
                </pic:pic>
              </a:graphicData>
            </a:graphic>
          </wp:inline>
        </w:drawing>
      </w:r>
    </w:p>
    <w:p w:rsidR="0056150B" w:rsidRPr="0056150B" w:rsidRDefault="0056150B" w:rsidP="0056150B">
      <w:pPr>
        <w:rPr>
          <w:b/>
          <w:sz w:val="16"/>
          <w:szCs w:val="16"/>
        </w:rPr>
      </w:pPr>
      <w:r w:rsidRPr="0056150B">
        <w:rPr>
          <w:b/>
          <w:sz w:val="16"/>
          <w:szCs w:val="16"/>
        </w:rPr>
        <w:t>Source: Public Health England</w:t>
      </w:r>
    </w:p>
    <w:p w:rsidR="008B508A" w:rsidRDefault="0051538E">
      <w:r>
        <w:t xml:space="preserve">In 2016/17, 15.9% of Fenland residents reported depression or anxiety, statistically significantly worse than the national average of 13.7%. Fenland was statistically similar to England in both 2014/15 and 2015/16. Fenland is one of only four areas in the East of England (of a total of 47) with statistically significantly high proportions of residents reporting depression or anxiety, along with Norwich, Ipswich and Southend on Sea. </w:t>
      </w:r>
    </w:p>
    <w:p w:rsidR="008B508A" w:rsidRDefault="00FB79B6">
      <w:r w:rsidRPr="00FB79B6">
        <w:t>The estimated dementia diagnosis rate in 2018 is statistically significantly below the national average of 67.5% in Cambridgeshire (61.0%) and statistically significantly higher than the national average in Peterborough (78.3%). East Cambridgeshire, Fenland and South Cambridgeshire are also statistically significantly worse than England for this indicator.</w:t>
      </w:r>
    </w:p>
    <w:p w:rsidR="00EC4E7A" w:rsidRDefault="00EC4E7A"/>
    <w:p w:rsidR="00F97E28" w:rsidRDefault="00F97E28"/>
    <w:p w:rsidR="00804B57" w:rsidRDefault="00B675EC" w:rsidP="00804B57">
      <w:pPr>
        <w:rPr>
          <w:b/>
        </w:rPr>
      </w:pPr>
      <w:r>
        <w:rPr>
          <w:b/>
        </w:rPr>
        <w:lastRenderedPageBreak/>
        <w:t>Figure 13</w:t>
      </w:r>
      <w:r w:rsidR="00804B57" w:rsidRPr="00E14C74">
        <w:rPr>
          <w:b/>
        </w:rPr>
        <w:t xml:space="preserve">: </w:t>
      </w:r>
      <w:r w:rsidR="00804B57">
        <w:rPr>
          <w:b/>
        </w:rPr>
        <w:t>E</w:t>
      </w:r>
      <w:r w:rsidR="002E16E6">
        <w:rPr>
          <w:b/>
        </w:rPr>
        <w:t>nhanced care &amp; support indicators (b</w:t>
      </w:r>
      <w:r w:rsidR="00804B57">
        <w:rPr>
          <w:b/>
        </w:rPr>
        <w:t>enchmark – Cambridgeshire &amp; Peterborough):</w:t>
      </w:r>
    </w:p>
    <w:tbl>
      <w:tblPr>
        <w:tblW w:w="5389" w:type="pct"/>
        <w:tblInd w:w="-572" w:type="dxa"/>
        <w:tblLayout w:type="fixed"/>
        <w:tblLook w:val="04A0" w:firstRow="1" w:lastRow="0" w:firstColumn="1" w:lastColumn="0" w:noHBand="0" w:noVBand="1"/>
      </w:tblPr>
      <w:tblGrid>
        <w:gridCol w:w="1703"/>
        <w:gridCol w:w="853"/>
        <w:gridCol w:w="850"/>
        <w:gridCol w:w="853"/>
        <w:gridCol w:w="849"/>
        <w:gridCol w:w="852"/>
        <w:gridCol w:w="849"/>
        <w:gridCol w:w="849"/>
        <w:gridCol w:w="852"/>
        <w:gridCol w:w="849"/>
        <w:gridCol w:w="849"/>
        <w:gridCol w:w="852"/>
        <w:gridCol w:w="992"/>
        <w:gridCol w:w="836"/>
        <w:gridCol w:w="862"/>
        <w:gridCol w:w="995"/>
        <w:gridCol w:w="852"/>
        <w:gridCol w:w="988"/>
      </w:tblGrid>
      <w:tr w:rsidR="00804B57" w:rsidRPr="00804B57" w:rsidTr="00F97E28">
        <w:trPr>
          <w:trHeight w:val="300"/>
        </w:trPr>
        <w:tc>
          <w:tcPr>
            <w:tcW w:w="51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4B57" w:rsidRPr="00804B57" w:rsidRDefault="00804B57" w:rsidP="00804B57">
            <w:pPr>
              <w:spacing w:after="0" w:line="240" w:lineRule="auto"/>
              <w:jc w:val="center"/>
              <w:rPr>
                <w:rFonts w:ascii="Calibri" w:eastAsia="Times New Roman" w:hAnsi="Calibri" w:cs="Times New Roman"/>
                <w:color w:val="000000"/>
                <w:sz w:val="16"/>
                <w:szCs w:val="16"/>
                <w:lang w:eastAsia="en-GB"/>
              </w:rPr>
            </w:pPr>
            <w:r w:rsidRPr="00804B57">
              <w:rPr>
                <w:rFonts w:ascii="Calibri" w:eastAsia="Times New Roman" w:hAnsi="Calibri" w:cs="Times New Roman"/>
                <w:color w:val="000000"/>
                <w:sz w:val="16"/>
                <w:szCs w:val="16"/>
                <w:lang w:eastAsia="en-GB"/>
              </w:rPr>
              <w:t>Indicator</w:t>
            </w:r>
          </w:p>
        </w:tc>
        <w:tc>
          <w:tcPr>
            <w:tcW w:w="257"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4B57" w:rsidRPr="00804B57" w:rsidRDefault="00804B57" w:rsidP="00804B57">
            <w:pPr>
              <w:spacing w:after="0" w:line="240" w:lineRule="auto"/>
              <w:jc w:val="center"/>
              <w:rPr>
                <w:rFonts w:ascii="Calibri" w:eastAsia="Times New Roman" w:hAnsi="Calibri" w:cs="Times New Roman"/>
                <w:color w:val="000000"/>
                <w:sz w:val="16"/>
                <w:szCs w:val="16"/>
                <w:lang w:eastAsia="en-GB"/>
              </w:rPr>
            </w:pPr>
            <w:r w:rsidRPr="00804B57">
              <w:rPr>
                <w:rFonts w:ascii="Calibri" w:eastAsia="Times New Roman" w:hAnsi="Calibri" w:cs="Times New Roman"/>
                <w:color w:val="000000"/>
                <w:sz w:val="16"/>
                <w:szCs w:val="16"/>
                <w:lang w:eastAsia="en-GB"/>
              </w:rPr>
              <w:t>Time Period</w:t>
            </w:r>
          </w:p>
        </w:tc>
        <w:tc>
          <w:tcPr>
            <w:tcW w:w="4229" w:type="pct"/>
            <w:gridSpan w:val="16"/>
            <w:tcBorders>
              <w:top w:val="single" w:sz="4" w:space="0" w:color="auto"/>
              <w:left w:val="nil"/>
              <w:bottom w:val="single" w:sz="4" w:space="0" w:color="auto"/>
              <w:right w:val="single" w:sz="4" w:space="0" w:color="auto"/>
            </w:tcBorders>
            <w:shd w:val="clear" w:color="auto" w:fill="auto"/>
            <w:noWrap/>
            <w:vAlign w:val="center"/>
            <w:hideMark/>
          </w:tcPr>
          <w:p w:rsidR="00804B57" w:rsidRPr="00804B57" w:rsidRDefault="00804B57" w:rsidP="00804B57">
            <w:pPr>
              <w:spacing w:after="0" w:line="240" w:lineRule="auto"/>
              <w:jc w:val="center"/>
              <w:rPr>
                <w:rFonts w:ascii="Calibri" w:eastAsia="Times New Roman" w:hAnsi="Calibri" w:cs="Times New Roman"/>
                <w:color w:val="000000"/>
                <w:sz w:val="16"/>
                <w:szCs w:val="16"/>
                <w:lang w:eastAsia="en-GB"/>
              </w:rPr>
            </w:pPr>
            <w:r w:rsidRPr="00804B57">
              <w:rPr>
                <w:rFonts w:ascii="Calibri" w:eastAsia="Times New Roman" w:hAnsi="Calibri" w:cs="Times New Roman"/>
                <w:color w:val="000000"/>
                <w:sz w:val="16"/>
                <w:szCs w:val="16"/>
                <w:lang w:eastAsia="en-GB"/>
              </w:rPr>
              <w:t>Area</w:t>
            </w:r>
          </w:p>
        </w:tc>
      </w:tr>
      <w:tr w:rsidR="00F97E28" w:rsidRPr="00804B57" w:rsidTr="00F97E28">
        <w:trPr>
          <w:trHeight w:val="300"/>
        </w:trPr>
        <w:tc>
          <w:tcPr>
            <w:tcW w:w="513" w:type="pct"/>
            <w:vMerge/>
            <w:tcBorders>
              <w:top w:val="single" w:sz="4" w:space="0" w:color="auto"/>
              <w:left w:val="single" w:sz="4" w:space="0" w:color="auto"/>
              <w:bottom w:val="single" w:sz="4" w:space="0" w:color="auto"/>
              <w:right w:val="single" w:sz="4" w:space="0" w:color="auto"/>
            </w:tcBorders>
            <w:vAlign w:val="center"/>
            <w:hideMark/>
          </w:tcPr>
          <w:p w:rsidR="00804B57" w:rsidRPr="00804B57" w:rsidRDefault="00804B57" w:rsidP="00804B57">
            <w:pPr>
              <w:spacing w:after="0" w:line="240" w:lineRule="auto"/>
              <w:rPr>
                <w:rFonts w:ascii="Calibri" w:eastAsia="Times New Roman" w:hAnsi="Calibri" w:cs="Times New Roman"/>
                <w:color w:val="000000"/>
                <w:sz w:val="16"/>
                <w:szCs w:val="16"/>
                <w:lang w:eastAsia="en-GB"/>
              </w:rPr>
            </w:pPr>
          </w:p>
        </w:tc>
        <w:tc>
          <w:tcPr>
            <w:tcW w:w="257" w:type="pct"/>
            <w:vMerge/>
            <w:tcBorders>
              <w:top w:val="single" w:sz="4" w:space="0" w:color="auto"/>
              <w:left w:val="single" w:sz="4" w:space="0" w:color="auto"/>
              <w:bottom w:val="single" w:sz="4" w:space="0" w:color="auto"/>
              <w:right w:val="single" w:sz="4" w:space="0" w:color="auto"/>
            </w:tcBorders>
            <w:vAlign w:val="center"/>
            <w:hideMark/>
          </w:tcPr>
          <w:p w:rsidR="00804B57" w:rsidRPr="00804B57" w:rsidRDefault="00804B57" w:rsidP="00804B57">
            <w:pPr>
              <w:spacing w:after="0" w:line="240" w:lineRule="auto"/>
              <w:rPr>
                <w:rFonts w:ascii="Calibri" w:eastAsia="Times New Roman" w:hAnsi="Calibri" w:cs="Times New Roman"/>
                <w:color w:val="000000"/>
                <w:sz w:val="16"/>
                <w:szCs w:val="16"/>
                <w:lang w:eastAsia="en-GB"/>
              </w:rPr>
            </w:pPr>
          </w:p>
        </w:tc>
        <w:tc>
          <w:tcPr>
            <w:tcW w:w="513" w:type="pct"/>
            <w:gridSpan w:val="2"/>
            <w:tcBorders>
              <w:top w:val="single" w:sz="4" w:space="0" w:color="auto"/>
              <w:left w:val="nil"/>
              <w:bottom w:val="single" w:sz="4" w:space="0" w:color="auto"/>
              <w:right w:val="single" w:sz="4" w:space="0" w:color="auto"/>
            </w:tcBorders>
            <w:shd w:val="clear" w:color="auto" w:fill="auto"/>
            <w:noWrap/>
            <w:vAlign w:val="center"/>
            <w:hideMark/>
          </w:tcPr>
          <w:p w:rsidR="00804B57" w:rsidRPr="00804B57" w:rsidRDefault="00804B57" w:rsidP="00804B57">
            <w:pPr>
              <w:spacing w:after="0" w:line="240" w:lineRule="auto"/>
              <w:jc w:val="center"/>
              <w:rPr>
                <w:rFonts w:ascii="Calibri" w:eastAsia="Times New Roman" w:hAnsi="Calibri" w:cs="Times New Roman"/>
                <w:color w:val="000000"/>
                <w:sz w:val="16"/>
                <w:szCs w:val="16"/>
                <w:lang w:eastAsia="en-GB"/>
              </w:rPr>
            </w:pPr>
            <w:r w:rsidRPr="00804B57">
              <w:rPr>
                <w:rFonts w:ascii="Calibri" w:eastAsia="Times New Roman" w:hAnsi="Calibri" w:cs="Times New Roman"/>
                <w:color w:val="000000"/>
                <w:sz w:val="16"/>
                <w:szCs w:val="16"/>
                <w:lang w:eastAsia="en-GB"/>
              </w:rPr>
              <w:t>Cambridgeshire</w:t>
            </w:r>
          </w:p>
        </w:tc>
        <w:tc>
          <w:tcPr>
            <w:tcW w:w="513" w:type="pct"/>
            <w:gridSpan w:val="2"/>
            <w:tcBorders>
              <w:top w:val="single" w:sz="4" w:space="0" w:color="auto"/>
              <w:left w:val="nil"/>
              <w:bottom w:val="single" w:sz="4" w:space="0" w:color="auto"/>
              <w:right w:val="single" w:sz="4" w:space="0" w:color="auto"/>
            </w:tcBorders>
            <w:shd w:val="clear" w:color="auto" w:fill="auto"/>
            <w:noWrap/>
            <w:vAlign w:val="center"/>
            <w:hideMark/>
          </w:tcPr>
          <w:p w:rsidR="00804B57" w:rsidRPr="00804B57" w:rsidRDefault="00804B57" w:rsidP="00804B57">
            <w:pPr>
              <w:spacing w:after="0" w:line="240" w:lineRule="auto"/>
              <w:jc w:val="center"/>
              <w:rPr>
                <w:rFonts w:ascii="Calibri" w:eastAsia="Times New Roman" w:hAnsi="Calibri" w:cs="Times New Roman"/>
                <w:color w:val="000000"/>
                <w:sz w:val="16"/>
                <w:szCs w:val="16"/>
                <w:lang w:eastAsia="en-GB"/>
              </w:rPr>
            </w:pPr>
            <w:r w:rsidRPr="00804B57">
              <w:rPr>
                <w:rFonts w:ascii="Calibri" w:eastAsia="Times New Roman" w:hAnsi="Calibri" w:cs="Times New Roman"/>
                <w:color w:val="000000"/>
                <w:sz w:val="16"/>
                <w:szCs w:val="16"/>
                <w:lang w:eastAsia="en-GB"/>
              </w:rPr>
              <w:t>Peterborough</w:t>
            </w:r>
          </w:p>
        </w:tc>
        <w:tc>
          <w:tcPr>
            <w:tcW w:w="512" w:type="pct"/>
            <w:gridSpan w:val="2"/>
            <w:tcBorders>
              <w:top w:val="single" w:sz="4" w:space="0" w:color="auto"/>
              <w:left w:val="nil"/>
              <w:bottom w:val="single" w:sz="4" w:space="0" w:color="auto"/>
              <w:right w:val="single" w:sz="4" w:space="0" w:color="auto"/>
            </w:tcBorders>
            <w:shd w:val="clear" w:color="auto" w:fill="auto"/>
            <w:noWrap/>
            <w:vAlign w:val="center"/>
            <w:hideMark/>
          </w:tcPr>
          <w:p w:rsidR="00804B57" w:rsidRPr="00804B57" w:rsidRDefault="00804B57" w:rsidP="00804B57">
            <w:pPr>
              <w:spacing w:after="0" w:line="240" w:lineRule="auto"/>
              <w:jc w:val="center"/>
              <w:rPr>
                <w:rFonts w:ascii="Calibri" w:eastAsia="Times New Roman" w:hAnsi="Calibri" w:cs="Times New Roman"/>
                <w:color w:val="000000"/>
                <w:sz w:val="16"/>
                <w:szCs w:val="16"/>
                <w:lang w:eastAsia="en-GB"/>
              </w:rPr>
            </w:pPr>
            <w:r w:rsidRPr="00804B57">
              <w:rPr>
                <w:rFonts w:ascii="Calibri" w:eastAsia="Times New Roman" w:hAnsi="Calibri" w:cs="Times New Roman"/>
                <w:color w:val="000000"/>
                <w:sz w:val="16"/>
                <w:szCs w:val="16"/>
                <w:lang w:eastAsia="en-GB"/>
              </w:rPr>
              <w:t>Cambridge</w:t>
            </w:r>
          </w:p>
        </w:tc>
        <w:tc>
          <w:tcPr>
            <w:tcW w:w="513" w:type="pct"/>
            <w:gridSpan w:val="2"/>
            <w:tcBorders>
              <w:top w:val="single" w:sz="4" w:space="0" w:color="auto"/>
              <w:left w:val="nil"/>
              <w:bottom w:val="single" w:sz="4" w:space="0" w:color="auto"/>
              <w:right w:val="single" w:sz="4" w:space="0" w:color="auto"/>
            </w:tcBorders>
            <w:shd w:val="clear" w:color="auto" w:fill="auto"/>
            <w:noWrap/>
            <w:vAlign w:val="center"/>
            <w:hideMark/>
          </w:tcPr>
          <w:p w:rsidR="00804B57" w:rsidRPr="00804B57" w:rsidRDefault="00804B57" w:rsidP="00804B57">
            <w:pPr>
              <w:spacing w:after="0" w:line="240" w:lineRule="auto"/>
              <w:jc w:val="center"/>
              <w:rPr>
                <w:rFonts w:ascii="Calibri" w:eastAsia="Times New Roman" w:hAnsi="Calibri" w:cs="Times New Roman"/>
                <w:color w:val="000000"/>
                <w:sz w:val="16"/>
                <w:szCs w:val="16"/>
                <w:lang w:eastAsia="en-GB"/>
              </w:rPr>
            </w:pPr>
            <w:r w:rsidRPr="00804B57">
              <w:rPr>
                <w:rFonts w:ascii="Calibri" w:eastAsia="Times New Roman" w:hAnsi="Calibri" w:cs="Times New Roman"/>
                <w:color w:val="000000"/>
                <w:sz w:val="16"/>
                <w:szCs w:val="16"/>
                <w:lang w:eastAsia="en-GB"/>
              </w:rPr>
              <w:t>East Cambridgeshire</w:t>
            </w:r>
          </w:p>
        </w:tc>
        <w:tc>
          <w:tcPr>
            <w:tcW w:w="513" w:type="pct"/>
            <w:gridSpan w:val="2"/>
            <w:tcBorders>
              <w:top w:val="single" w:sz="4" w:space="0" w:color="auto"/>
              <w:left w:val="nil"/>
              <w:bottom w:val="single" w:sz="4" w:space="0" w:color="auto"/>
              <w:right w:val="single" w:sz="4" w:space="0" w:color="auto"/>
            </w:tcBorders>
            <w:shd w:val="clear" w:color="auto" w:fill="auto"/>
            <w:noWrap/>
            <w:vAlign w:val="center"/>
            <w:hideMark/>
          </w:tcPr>
          <w:p w:rsidR="00804B57" w:rsidRPr="00804B57" w:rsidRDefault="00804B57" w:rsidP="00804B57">
            <w:pPr>
              <w:spacing w:after="0" w:line="240" w:lineRule="auto"/>
              <w:jc w:val="center"/>
              <w:rPr>
                <w:rFonts w:ascii="Calibri" w:eastAsia="Times New Roman" w:hAnsi="Calibri" w:cs="Times New Roman"/>
                <w:color w:val="000000"/>
                <w:sz w:val="16"/>
                <w:szCs w:val="16"/>
                <w:lang w:eastAsia="en-GB"/>
              </w:rPr>
            </w:pPr>
            <w:r w:rsidRPr="00804B57">
              <w:rPr>
                <w:rFonts w:ascii="Calibri" w:eastAsia="Times New Roman" w:hAnsi="Calibri" w:cs="Times New Roman"/>
                <w:color w:val="000000"/>
                <w:sz w:val="16"/>
                <w:szCs w:val="16"/>
                <w:lang w:eastAsia="en-GB"/>
              </w:rPr>
              <w:t>Fenland</w:t>
            </w:r>
          </w:p>
        </w:tc>
        <w:tc>
          <w:tcPr>
            <w:tcW w:w="551" w:type="pct"/>
            <w:gridSpan w:val="2"/>
            <w:tcBorders>
              <w:top w:val="single" w:sz="4" w:space="0" w:color="auto"/>
              <w:left w:val="nil"/>
              <w:bottom w:val="single" w:sz="4" w:space="0" w:color="auto"/>
              <w:right w:val="single" w:sz="4" w:space="0" w:color="auto"/>
            </w:tcBorders>
            <w:shd w:val="clear" w:color="auto" w:fill="auto"/>
            <w:noWrap/>
            <w:vAlign w:val="center"/>
            <w:hideMark/>
          </w:tcPr>
          <w:p w:rsidR="00804B57" w:rsidRPr="00804B57" w:rsidRDefault="00804B57" w:rsidP="00804B57">
            <w:pPr>
              <w:spacing w:after="0" w:line="240" w:lineRule="auto"/>
              <w:jc w:val="center"/>
              <w:rPr>
                <w:rFonts w:ascii="Calibri" w:eastAsia="Times New Roman" w:hAnsi="Calibri" w:cs="Times New Roman"/>
                <w:color w:val="000000"/>
                <w:sz w:val="16"/>
                <w:szCs w:val="16"/>
                <w:lang w:eastAsia="en-GB"/>
              </w:rPr>
            </w:pPr>
            <w:r w:rsidRPr="00804B57">
              <w:rPr>
                <w:rFonts w:ascii="Calibri" w:eastAsia="Times New Roman" w:hAnsi="Calibri" w:cs="Times New Roman"/>
                <w:color w:val="000000"/>
                <w:sz w:val="16"/>
                <w:szCs w:val="16"/>
                <w:lang w:eastAsia="en-GB"/>
              </w:rPr>
              <w:t>Huntingdonshire</w:t>
            </w:r>
          </w:p>
        </w:tc>
        <w:tc>
          <w:tcPr>
            <w:tcW w:w="560" w:type="pct"/>
            <w:gridSpan w:val="2"/>
            <w:tcBorders>
              <w:top w:val="single" w:sz="4" w:space="0" w:color="auto"/>
              <w:left w:val="nil"/>
              <w:bottom w:val="single" w:sz="4" w:space="0" w:color="auto"/>
              <w:right w:val="single" w:sz="4" w:space="0" w:color="auto"/>
            </w:tcBorders>
            <w:shd w:val="clear" w:color="auto" w:fill="auto"/>
            <w:noWrap/>
            <w:vAlign w:val="center"/>
            <w:hideMark/>
          </w:tcPr>
          <w:p w:rsidR="00804B57" w:rsidRPr="00804B57" w:rsidRDefault="00804B57" w:rsidP="00804B57">
            <w:pPr>
              <w:spacing w:after="0" w:line="240" w:lineRule="auto"/>
              <w:jc w:val="center"/>
              <w:rPr>
                <w:rFonts w:ascii="Calibri" w:eastAsia="Times New Roman" w:hAnsi="Calibri" w:cs="Times New Roman"/>
                <w:color w:val="000000"/>
                <w:sz w:val="16"/>
                <w:szCs w:val="16"/>
                <w:lang w:eastAsia="en-GB"/>
              </w:rPr>
            </w:pPr>
            <w:r w:rsidRPr="00804B57">
              <w:rPr>
                <w:rFonts w:ascii="Calibri" w:eastAsia="Times New Roman" w:hAnsi="Calibri" w:cs="Times New Roman"/>
                <w:color w:val="000000"/>
                <w:sz w:val="16"/>
                <w:szCs w:val="16"/>
                <w:lang w:eastAsia="en-GB"/>
              </w:rPr>
              <w:t>South Cambridgeshire</w:t>
            </w:r>
          </w:p>
        </w:tc>
        <w:tc>
          <w:tcPr>
            <w:tcW w:w="555" w:type="pct"/>
            <w:gridSpan w:val="2"/>
            <w:tcBorders>
              <w:top w:val="single" w:sz="4" w:space="0" w:color="auto"/>
              <w:left w:val="nil"/>
              <w:bottom w:val="single" w:sz="4" w:space="0" w:color="auto"/>
              <w:right w:val="single" w:sz="4" w:space="0" w:color="auto"/>
            </w:tcBorders>
            <w:shd w:val="clear" w:color="auto" w:fill="auto"/>
            <w:noWrap/>
            <w:vAlign w:val="center"/>
            <w:hideMark/>
          </w:tcPr>
          <w:p w:rsidR="00804B57" w:rsidRPr="00804B57" w:rsidRDefault="00804B57" w:rsidP="00804B57">
            <w:pPr>
              <w:spacing w:after="0" w:line="240" w:lineRule="auto"/>
              <w:jc w:val="center"/>
              <w:rPr>
                <w:rFonts w:ascii="Calibri" w:eastAsia="Times New Roman" w:hAnsi="Calibri" w:cs="Times New Roman"/>
                <w:color w:val="000000"/>
                <w:sz w:val="16"/>
                <w:szCs w:val="16"/>
                <w:lang w:eastAsia="en-GB"/>
              </w:rPr>
            </w:pPr>
            <w:r w:rsidRPr="00804B57">
              <w:rPr>
                <w:rFonts w:ascii="Calibri" w:eastAsia="Times New Roman" w:hAnsi="Calibri" w:cs="Times New Roman"/>
                <w:color w:val="000000"/>
                <w:sz w:val="16"/>
                <w:szCs w:val="16"/>
                <w:lang w:eastAsia="en-GB"/>
              </w:rPr>
              <w:t>Cambridgeshire &amp; Peterborough</w:t>
            </w:r>
          </w:p>
        </w:tc>
      </w:tr>
      <w:tr w:rsidR="00F97E28" w:rsidRPr="00804B57" w:rsidTr="00F97E28">
        <w:trPr>
          <w:trHeight w:val="300"/>
        </w:trPr>
        <w:tc>
          <w:tcPr>
            <w:tcW w:w="513" w:type="pct"/>
            <w:vMerge/>
            <w:tcBorders>
              <w:top w:val="single" w:sz="4" w:space="0" w:color="auto"/>
              <w:left w:val="single" w:sz="4" w:space="0" w:color="auto"/>
              <w:bottom w:val="single" w:sz="4" w:space="0" w:color="auto"/>
              <w:right w:val="single" w:sz="4" w:space="0" w:color="auto"/>
            </w:tcBorders>
            <w:vAlign w:val="center"/>
            <w:hideMark/>
          </w:tcPr>
          <w:p w:rsidR="00804B57" w:rsidRPr="00804B57" w:rsidRDefault="00804B57" w:rsidP="00804B57">
            <w:pPr>
              <w:spacing w:after="0" w:line="240" w:lineRule="auto"/>
              <w:rPr>
                <w:rFonts w:ascii="Calibri" w:eastAsia="Times New Roman" w:hAnsi="Calibri" w:cs="Times New Roman"/>
                <w:color w:val="000000"/>
                <w:sz w:val="16"/>
                <w:szCs w:val="16"/>
                <w:lang w:eastAsia="en-GB"/>
              </w:rPr>
            </w:pPr>
          </w:p>
        </w:tc>
        <w:tc>
          <w:tcPr>
            <w:tcW w:w="257" w:type="pct"/>
            <w:vMerge/>
            <w:tcBorders>
              <w:top w:val="single" w:sz="4" w:space="0" w:color="auto"/>
              <w:left w:val="single" w:sz="4" w:space="0" w:color="auto"/>
              <w:bottom w:val="single" w:sz="4" w:space="0" w:color="auto"/>
              <w:right w:val="single" w:sz="4" w:space="0" w:color="auto"/>
            </w:tcBorders>
            <w:vAlign w:val="center"/>
            <w:hideMark/>
          </w:tcPr>
          <w:p w:rsidR="00804B57" w:rsidRPr="00804B57" w:rsidRDefault="00804B57" w:rsidP="00804B57">
            <w:pPr>
              <w:spacing w:after="0" w:line="240" w:lineRule="auto"/>
              <w:rPr>
                <w:rFonts w:ascii="Calibri" w:eastAsia="Times New Roman" w:hAnsi="Calibri" w:cs="Times New Roman"/>
                <w:color w:val="000000"/>
                <w:sz w:val="16"/>
                <w:szCs w:val="16"/>
                <w:lang w:eastAsia="en-GB"/>
              </w:rPr>
            </w:pPr>
          </w:p>
        </w:tc>
        <w:tc>
          <w:tcPr>
            <w:tcW w:w="256" w:type="pct"/>
            <w:tcBorders>
              <w:top w:val="nil"/>
              <w:left w:val="nil"/>
              <w:bottom w:val="single" w:sz="4" w:space="0" w:color="auto"/>
              <w:right w:val="single" w:sz="4" w:space="0" w:color="auto"/>
            </w:tcBorders>
            <w:shd w:val="clear" w:color="auto" w:fill="auto"/>
            <w:noWrap/>
            <w:vAlign w:val="center"/>
            <w:hideMark/>
          </w:tcPr>
          <w:p w:rsidR="00804B57" w:rsidRPr="00804B57" w:rsidRDefault="00804B57" w:rsidP="00804B57">
            <w:pPr>
              <w:spacing w:after="0" w:line="240" w:lineRule="auto"/>
              <w:jc w:val="center"/>
              <w:rPr>
                <w:rFonts w:ascii="Calibri" w:eastAsia="Times New Roman" w:hAnsi="Calibri" w:cs="Times New Roman"/>
                <w:color w:val="000000"/>
                <w:sz w:val="16"/>
                <w:szCs w:val="16"/>
                <w:lang w:eastAsia="en-GB"/>
              </w:rPr>
            </w:pPr>
            <w:r w:rsidRPr="00804B57">
              <w:rPr>
                <w:rFonts w:ascii="Calibri" w:eastAsia="Times New Roman" w:hAnsi="Calibri" w:cs="Times New Roman"/>
                <w:color w:val="000000"/>
                <w:sz w:val="16"/>
                <w:szCs w:val="16"/>
                <w:lang w:eastAsia="en-GB"/>
              </w:rPr>
              <w:t>Number</w:t>
            </w:r>
          </w:p>
        </w:tc>
        <w:tc>
          <w:tcPr>
            <w:tcW w:w="257" w:type="pct"/>
            <w:tcBorders>
              <w:top w:val="nil"/>
              <w:left w:val="nil"/>
              <w:bottom w:val="single" w:sz="4" w:space="0" w:color="auto"/>
              <w:right w:val="single" w:sz="4" w:space="0" w:color="auto"/>
            </w:tcBorders>
            <w:shd w:val="clear" w:color="auto" w:fill="auto"/>
            <w:noWrap/>
            <w:vAlign w:val="center"/>
            <w:hideMark/>
          </w:tcPr>
          <w:p w:rsidR="00804B57" w:rsidRPr="00804B57" w:rsidRDefault="00804B57" w:rsidP="00804B57">
            <w:pPr>
              <w:spacing w:after="0" w:line="240" w:lineRule="auto"/>
              <w:jc w:val="center"/>
              <w:rPr>
                <w:rFonts w:ascii="Calibri" w:eastAsia="Times New Roman" w:hAnsi="Calibri" w:cs="Times New Roman"/>
                <w:color w:val="000000"/>
                <w:sz w:val="16"/>
                <w:szCs w:val="16"/>
                <w:lang w:eastAsia="en-GB"/>
              </w:rPr>
            </w:pPr>
            <w:r w:rsidRPr="00804B57">
              <w:rPr>
                <w:rFonts w:ascii="Calibri" w:eastAsia="Times New Roman" w:hAnsi="Calibri" w:cs="Times New Roman"/>
                <w:color w:val="000000"/>
                <w:sz w:val="16"/>
                <w:szCs w:val="16"/>
                <w:lang w:eastAsia="en-GB"/>
              </w:rPr>
              <w:t>Indicator Value</w:t>
            </w:r>
          </w:p>
        </w:tc>
        <w:tc>
          <w:tcPr>
            <w:tcW w:w="256" w:type="pct"/>
            <w:tcBorders>
              <w:top w:val="nil"/>
              <w:left w:val="nil"/>
              <w:bottom w:val="single" w:sz="4" w:space="0" w:color="auto"/>
              <w:right w:val="single" w:sz="4" w:space="0" w:color="auto"/>
            </w:tcBorders>
            <w:shd w:val="clear" w:color="auto" w:fill="auto"/>
            <w:noWrap/>
            <w:vAlign w:val="center"/>
            <w:hideMark/>
          </w:tcPr>
          <w:p w:rsidR="00804B57" w:rsidRPr="00804B57" w:rsidRDefault="00804B57" w:rsidP="00804B57">
            <w:pPr>
              <w:spacing w:after="0" w:line="240" w:lineRule="auto"/>
              <w:jc w:val="center"/>
              <w:rPr>
                <w:rFonts w:ascii="Calibri" w:eastAsia="Times New Roman" w:hAnsi="Calibri" w:cs="Times New Roman"/>
                <w:color w:val="000000"/>
                <w:sz w:val="16"/>
                <w:szCs w:val="16"/>
                <w:lang w:eastAsia="en-GB"/>
              </w:rPr>
            </w:pPr>
            <w:r w:rsidRPr="00804B57">
              <w:rPr>
                <w:rFonts w:ascii="Calibri" w:eastAsia="Times New Roman" w:hAnsi="Calibri" w:cs="Times New Roman"/>
                <w:color w:val="000000"/>
                <w:sz w:val="16"/>
                <w:szCs w:val="16"/>
                <w:lang w:eastAsia="en-GB"/>
              </w:rPr>
              <w:t>Number</w:t>
            </w:r>
          </w:p>
        </w:tc>
        <w:tc>
          <w:tcPr>
            <w:tcW w:w="257" w:type="pct"/>
            <w:tcBorders>
              <w:top w:val="nil"/>
              <w:left w:val="nil"/>
              <w:bottom w:val="single" w:sz="4" w:space="0" w:color="auto"/>
              <w:right w:val="single" w:sz="4" w:space="0" w:color="auto"/>
            </w:tcBorders>
            <w:shd w:val="clear" w:color="auto" w:fill="auto"/>
            <w:noWrap/>
            <w:vAlign w:val="center"/>
            <w:hideMark/>
          </w:tcPr>
          <w:p w:rsidR="00804B57" w:rsidRPr="00804B57" w:rsidRDefault="00804B57" w:rsidP="00804B57">
            <w:pPr>
              <w:spacing w:after="0" w:line="240" w:lineRule="auto"/>
              <w:jc w:val="center"/>
              <w:rPr>
                <w:rFonts w:ascii="Calibri" w:eastAsia="Times New Roman" w:hAnsi="Calibri" w:cs="Times New Roman"/>
                <w:color w:val="000000"/>
                <w:sz w:val="16"/>
                <w:szCs w:val="16"/>
                <w:lang w:eastAsia="en-GB"/>
              </w:rPr>
            </w:pPr>
            <w:r w:rsidRPr="00804B57">
              <w:rPr>
                <w:rFonts w:ascii="Calibri" w:eastAsia="Times New Roman" w:hAnsi="Calibri" w:cs="Times New Roman"/>
                <w:color w:val="000000"/>
                <w:sz w:val="16"/>
                <w:szCs w:val="16"/>
                <w:lang w:eastAsia="en-GB"/>
              </w:rPr>
              <w:t>Indicator Value</w:t>
            </w:r>
          </w:p>
        </w:tc>
        <w:tc>
          <w:tcPr>
            <w:tcW w:w="256" w:type="pct"/>
            <w:tcBorders>
              <w:top w:val="nil"/>
              <w:left w:val="nil"/>
              <w:bottom w:val="single" w:sz="4" w:space="0" w:color="auto"/>
              <w:right w:val="single" w:sz="4" w:space="0" w:color="auto"/>
            </w:tcBorders>
            <w:shd w:val="clear" w:color="auto" w:fill="auto"/>
            <w:noWrap/>
            <w:vAlign w:val="center"/>
            <w:hideMark/>
          </w:tcPr>
          <w:p w:rsidR="00804B57" w:rsidRPr="00804B57" w:rsidRDefault="00804B57" w:rsidP="00804B57">
            <w:pPr>
              <w:spacing w:after="0" w:line="240" w:lineRule="auto"/>
              <w:jc w:val="center"/>
              <w:rPr>
                <w:rFonts w:ascii="Calibri" w:eastAsia="Times New Roman" w:hAnsi="Calibri" w:cs="Times New Roman"/>
                <w:color w:val="000000"/>
                <w:sz w:val="16"/>
                <w:szCs w:val="16"/>
                <w:lang w:eastAsia="en-GB"/>
              </w:rPr>
            </w:pPr>
            <w:r w:rsidRPr="00804B57">
              <w:rPr>
                <w:rFonts w:ascii="Calibri" w:eastAsia="Times New Roman" w:hAnsi="Calibri" w:cs="Times New Roman"/>
                <w:color w:val="000000"/>
                <w:sz w:val="16"/>
                <w:szCs w:val="16"/>
                <w:lang w:eastAsia="en-GB"/>
              </w:rPr>
              <w:t>Number</w:t>
            </w:r>
          </w:p>
        </w:tc>
        <w:tc>
          <w:tcPr>
            <w:tcW w:w="256" w:type="pct"/>
            <w:tcBorders>
              <w:top w:val="nil"/>
              <w:left w:val="nil"/>
              <w:bottom w:val="single" w:sz="4" w:space="0" w:color="auto"/>
              <w:right w:val="single" w:sz="4" w:space="0" w:color="auto"/>
            </w:tcBorders>
            <w:shd w:val="clear" w:color="auto" w:fill="auto"/>
            <w:noWrap/>
            <w:vAlign w:val="center"/>
            <w:hideMark/>
          </w:tcPr>
          <w:p w:rsidR="00804B57" w:rsidRPr="00804B57" w:rsidRDefault="00804B57" w:rsidP="00804B57">
            <w:pPr>
              <w:spacing w:after="0" w:line="240" w:lineRule="auto"/>
              <w:jc w:val="center"/>
              <w:rPr>
                <w:rFonts w:ascii="Calibri" w:eastAsia="Times New Roman" w:hAnsi="Calibri" w:cs="Times New Roman"/>
                <w:color w:val="000000"/>
                <w:sz w:val="16"/>
                <w:szCs w:val="16"/>
                <w:lang w:eastAsia="en-GB"/>
              </w:rPr>
            </w:pPr>
            <w:r w:rsidRPr="00804B57">
              <w:rPr>
                <w:rFonts w:ascii="Calibri" w:eastAsia="Times New Roman" w:hAnsi="Calibri" w:cs="Times New Roman"/>
                <w:color w:val="000000"/>
                <w:sz w:val="16"/>
                <w:szCs w:val="16"/>
                <w:lang w:eastAsia="en-GB"/>
              </w:rPr>
              <w:t>Indicator Value</w:t>
            </w:r>
          </w:p>
        </w:tc>
        <w:tc>
          <w:tcPr>
            <w:tcW w:w="257" w:type="pct"/>
            <w:tcBorders>
              <w:top w:val="nil"/>
              <w:left w:val="nil"/>
              <w:bottom w:val="single" w:sz="4" w:space="0" w:color="auto"/>
              <w:right w:val="single" w:sz="4" w:space="0" w:color="auto"/>
            </w:tcBorders>
            <w:shd w:val="clear" w:color="auto" w:fill="auto"/>
            <w:noWrap/>
            <w:vAlign w:val="center"/>
            <w:hideMark/>
          </w:tcPr>
          <w:p w:rsidR="00804B57" w:rsidRPr="00804B57" w:rsidRDefault="00804B57" w:rsidP="00804B57">
            <w:pPr>
              <w:spacing w:after="0" w:line="240" w:lineRule="auto"/>
              <w:jc w:val="center"/>
              <w:rPr>
                <w:rFonts w:ascii="Calibri" w:eastAsia="Times New Roman" w:hAnsi="Calibri" w:cs="Times New Roman"/>
                <w:color w:val="000000"/>
                <w:sz w:val="16"/>
                <w:szCs w:val="16"/>
                <w:lang w:eastAsia="en-GB"/>
              </w:rPr>
            </w:pPr>
            <w:r w:rsidRPr="00804B57">
              <w:rPr>
                <w:rFonts w:ascii="Calibri" w:eastAsia="Times New Roman" w:hAnsi="Calibri" w:cs="Times New Roman"/>
                <w:color w:val="000000"/>
                <w:sz w:val="16"/>
                <w:szCs w:val="16"/>
                <w:lang w:eastAsia="en-GB"/>
              </w:rPr>
              <w:t>Number</w:t>
            </w:r>
          </w:p>
        </w:tc>
        <w:tc>
          <w:tcPr>
            <w:tcW w:w="256" w:type="pct"/>
            <w:tcBorders>
              <w:top w:val="nil"/>
              <w:left w:val="nil"/>
              <w:bottom w:val="single" w:sz="4" w:space="0" w:color="auto"/>
              <w:right w:val="single" w:sz="4" w:space="0" w:color="auto"/>
            </w:tcBorders>
            <w:shd w:val="clear" w:color="auto" w:fill="auto"/>
            <w:noWrap/>
            <w:vAlign w:val="center"/>
            <w:hideMark/>
          </w:tcPr>
          <w:p w:rsidR="00804B57" w:rsidRPr="00804B57" w:rsidRDefault="00804B57" w:rsidP="00804B57">
            <w:pPr>
              <w:spacing w:after="0" w:line="240" w:lineRule="auto"/>
              <w:jc w:val="center"/>
              <w:rPr>
                <w:rFonts w:ascii="Calibri" w:eastAsia="Times New Roman" w:hAnsi="Calibri" w:cs="Times New Roman"/>
                <w:color w:val="000000"/>
                <w:sz w:val="16"/>
                <w:szCs w:val="16"/>
                <w:lang w:eastAsia="en-GB"/>
              </w:rPr>
            </w:pPr>
            <w:r w:rsidRPr="00804B57">
              <w:rPr>
                <w:rFonts w:ascii="Calibri" w:eastAsia="Times New Roman" w:hAnsi="Calibri" w:cs="Times New Roman"/>
                <w:color w:val="000000"/>
                <w:sz w:val="16"/>
                <w:szCs w:val="16"/>
                <w:lang w:eastAsia="en-GB"/>
              </w:rPr>
              <w:t>Indicator Value</w:t>
            </w:r>
          </w:p>
        </w:tc>
        <w:tc>
          <w:tcPr>
            <w:tcW w:w="256" w:type="pct"/>
            <w:tcBorders>
              <w:top w:val="nil"/>
              <w:left w:val="nil"/>
              <w:bottom w:val="single" w:sz="4" w:space="0" w:color="auto"/>
              <w:right w:val="single" w:sz="4" w:space="0" w:color="auto"/>
            </w:tcBorders>
            <w:shd w:val="clear" w:color="auto" w:fill="auto"/>
            <w:noWrap/>
            <w:vAlign w:val="center"/>
            <w:hideMark/>
          </w:tcPr>
          <w:p w:rsidR="00804B57" w:rsidRPr="00804B57" w:rsidRDefault="00804B57" w:rsidP="00804B57">
            <w:pPr>
              <w:spacing w:after="0" w:line="240" w:lineRule="auto"/>
              <w:jc w:val="center"/>
              <w:rPr>
                <w:rFonts w:ascii="Calibri" w:eastAsia="Times New Roman" w:hAnsi="Calibri" w:cs="Times New Roman"/>
                <w:color w:val="000000"/>
                <w:sz w:val="16"/>
                <w:szCs w:val="16"/>
                <w:lang w:eastAsia="en-GB"/>
              </w:rPr>
            </w:pPr>
            <w:r w:rsidRPr="00804B57">
              <w:rPr>
                <w:rFonts w:ascii="Calibri" w:eastAsia="Times New Roman" w:hAnsi="Calibri" w:cs="Times New Roman"/>
                <w:color w:val="000000"/>
                <w:sz w:val="16"/>
                <w:szCs w:val="16"/>
                <w:lang w:eastAsia="en-GB"/>
              </w:rPr>
              <w:t>Number</w:t>
            </w:r>
          </w:p>
        </w:tc>
        <w:tc>
          <w:tcPr>
            <w:tcW w:w="257" w:type="pct"/>
            <w:tcBorders>
              <w:top w:val="nil"/>
              <w:left w:val="nil"/>
              <w:bottom w:val="single" w:sz="4" w:space="0" w:color="auto"/>
              <w:right w:val="single" w:sz="4" w:space="0" w:color="auto"/>
            </w:tcBorders>
            <w:shd w:val="clear" w:color="auto" w:fill="auto"/>
            <w:noWrap/>
            <w:vAlign w:val="center"/>
            <w:hideMark/>
          </w:tcPr>
          <w:p w:rsidR="00804B57" w:rsidRPr="00804B57" w:rsidRDefault="00804B57" w:rsidP="00804B57">
            <w:pPr>
              <w:spacing w:after="0" w:line="240" w:lineRule="auto"/>
              <w:jc w:val="center"/>
              <w:rPr>
                <w:rFonts w:ascii="Calibri" w:eastAsia="Times New Roman" w:hAnsi="Calibri" w:cs="Times New Roman"/>
                <w:color w:val="000000"/>
                <w:sz w:val="16"/>
                <w:szCs w:val="16"/>
                <w:lang w:eastAsia="en-GB"/>
              </w:rPr>
            </w:pPr>
            <w:r w:rsidRPr="00804B57">
              <w:rPr>
                <w:rFonts w:ascii="Calibri" w:eastAsia="Times New Roman" w:hAnsi="Calibri" w:cs="Times New Roman"/>
                <w:color w:val="000000"/>
                <w:sz w:val="16"/>
                <w:szCs w:val="16"/>
                <w:lang w:eastAsia="en-GB"/>
              </w:rPr>
              <w:t>Indicator Value</w:t>
            </w:r>
          </w:p>
        </w:tc>
        <w:tc>
          <w:tcPr>
            <w:tcW w:w="299" w:type="pct"/>
            <w:tcBorders>
              <w:top w:val="nil"/>
              <w:left w:val="nil"/>
              <w:bottom w:val="single" w:sz="4" w:space="0" w:color="auto"/>
              <w:right w:val="single" w:sz="4" w:space="0" w:color="auto"/>
            </w:tcBorders>
            <w:shd w:val="clear" w:color="auto" w:fill="auto"/>
            <w:noWrap/>
            <w:vAlign w:val="center"/>
            <w:hideMark/>
          </w:tcPr>
          <w:p w:rsidR="00804B57" w:rsidRPr="00804B57" w:rsidRDefault="00804B57" w:rsidP="00804B57">
            <w:pPr>
              <w:spacing w:after="0" w:line="240" w:lineRule="auto"/>
              <w:jc w:val="center"/>
              <w:rPr>
                <w:rFonts w:ascii="Calibri" w:eastAsia="Times New Roman" w:hAnsi="Calibri" w:cs="Times New Roman"/>
                <w:color w:val="000000"/>
                <w:sz w:val="16"/>
                <w:szCs w:val="16"/>
                <w:lang w:eastAsia="en-GB"/>
              </w:rPr>
            </w:pPr>
            <w:r w:rsidRPr="00804B57">
              <w:rPr>
                <w:rFonts w:ascii="Calibri" w:eastAsia="Times New Roman" w:hAnsi="Calibri" w:cs="Times New Roman"/>
                <w:color w:val="000000"/>
                <w:sz w:val="16"/>
                <w:szCs w:val="16"/>
                <w:lang w:eastAsia="en-GB"/>
              </w:rPr>
              <w:t>Number</w:t>
            </w:r>
          </w:p>
        </w:tc>
        <w:tc>
          <w:tcPr>
            <w:tcW w:w="252" w:type="pct"/>
            <w:tcBorders>
              <w:top w:val="nil"/>
              <w:left w:val="nil"/>
              <w:bottom w:val="single" w:sz="4" w:space="0" w:color="auto"/>
              <w:right w:val="single" w:sz="4" w:space="0" w:color="auto"/>
            </w:tcBorders>
            <w:shd w:val="clear" w:color="auto" w:fill="auto"/>
            <w:noWrap/>
            <w:vAlign w:val="center"/>
            <w:hideMark/>
          </w:tcPr>
          <w:p w:rsidR="00804B57" w:rsidRPr="00804B57" w:rsidRDefault="00804B57" w:rsidP="00804B57">
            <w:pPr>
              <w:spacing w:after="0" w:line="240" w:lineRule="auto"/>
              <w:jc w:val="center"/>
              <w:rPr>
                <w:rFonts w:ascii="Calibri" w:eastAsia="Times New Roman" w:hAnsi="Calibri" w:cs="Times New Roman"/>
                <w:color w:val="000000"/>
                <w:sz w:val="16"/>
                <w:szCs w:val="16"/>
                <w:lang w:eastAsia="en-GB"/>
              </w:rPr>
            </w:pPr>
            <w:r w:rsidRPr="00804B57">
              <w:rPr>
                <w:rFonts w:ascii="Calibri" w:eastAsia="Times New Roman" w:hAnsi="Calibri" w:cs="Times New Roman"/>
                <w:color w:val="000000"/>
                <w:sz w:val="16"/>
                <w:szCs w:val="16"/>
                <w:lang w:eastAsia="en-GB"/>
              </w:rPr>
              <w:t>Indicator Value</w:t>
            </w:r>
          </w:p>
        </w:tc>
        <w:tc>
          <w:tcPr>
            <w:tcW w:w="260" w:type="pct"/>
            <w:tcBorders>
              <w:top w:val="nil"/>
              <w:left w:val="nil"/>
              <w:bottom w:val="single" w:sz="4" w:space="0" w:color="auto"/>
              <w:right w:val="single" w:sz="4" w:space="0" w:color="auto"/>
            </w:tcBorders>
            <w:shd w:val="clear" w:color="auto" w:fill="auto"/>
            <w:noWrap/>
            <w:vAlign w:val="center"/>
            <w:hideMark/>
          </w:tcPr>
          <w:p w:rsidR="00804B57" w:rsidRPr="00804B57" w:rsidRDefault="00804B57" w:rsidP="00804B57">
            <w:pPr>
              <w:spacing w:after="0" w:line="240" w:lineRule="auto"/>
              <w:jc w:val="center"/>
              <w:rPr>
                <w:rFonts w:ascii="Calibri" w:eastAsia="Times New Roman" w:hAnsi="Calibri" w:cs="Times New Roman"/>
                <w:color w:val="000000"/>
                <w:sz w:val="16"/>
                <w:szCs w:val="16"/>
                <w:lang w:eastAsia="en-GB"/>
              </w:rPr>
            </w:pPr>
            <w:r w:rsidRPr="00804B57">
              <w:rPr>
                <w:rFonts w:ascii="Calibri" w:eastAsia="Times New Roman" w:hAnsi="Calibri" w:cs="Times New Roman"/>
                <w:color w:val="000000"/>
                <w:sz w:val="16"/>
                <w:szCs w:val="16"/>
                <w:lang w:eastAsia="en-GB"/>
              </w:rPr>
              <w:t>Number</w:t>
            </w:r>
          </w:p>
        </w:tc>
        <w:tc>
          <w:tcPr>
            <w:tcW w:w="300" w:type="pct"/>
            <w:tcBorders>
              <w:top w:val="nil"/>
              <w:left w:val="nil"/>
              <w:bottom w:val="single" w:sz="4" w:space="0" w:color="auto"/>
              <w:right w:val="single" w:sz="4" w:space="0" w:color="auto"/>
            </w:tcBorders>
            <w:shd w:val="clear" w:color="auto" w:fill="auto"/>
            <w:noWrap/>
            <w:vAlign w:val="center"/>
            <w:hideMark/>
          </w:tcPr>
          <w:p w:rsidR="00804B57" w:rsidRPr="00804B57" w:rsidRDefault="00804B57" w:rsidP="00804B57">
            <w:pPr>
              <w:spacing w:after="0" w:line="240" w:lineRule="auto"/>
              <w:jc w:val="center"/>
              <w:rPr>
                <w:rFonts w:ascii="Calibri" w:eastAsia="Times New Roman" w:hAnsi="Calibri" w:cs="Times New Roman"/>
                <w:color w:val="000000"/>
                <w:sz w:val="16"/>
                <w:szCs w:val="16"/>
                <w:lang w:eastAsia="en-GB"/>
              </w:rPr>
            </w:pPr>
            <w:r w:rsidRPr="00804B57">
              <w:rPr>
                <w:rFonts w:ascii="Calibri" w:eastAsia="Times New Roman" w:hAnsi="Calibri" w:cs="Times New Roman"/>
                <w:color w:val="000000"/>
                <w:sz w:val="16"/>
                <w:szCs w:val="16"/>
                <w:lang w:eastAsia="en-GB"/>
              </w:rPr>
              <w:t>Indicator Value</w:t>
            </w:r>
          </w:p>
        </w:tc>
        <w:tc>
          <w:tcPr>
            <w:tcW w:w="257" w:type="pct"/>
            <w:tcBorders>
              <w:top w:val="nil"/>
              <w:left w:val="nil"/>
              <w:bottom w:val="single" w:sz="4" w:space="0" w:color="auto"/>
              <w:right w:val="single" w:sz="4" w:space="0" w:color="auto"/>
            </w:tcBorders>
            <w:shd w:val="clear" w:color="auto" w:fill="auto"/>
            <w:noWrap/>
            <w:vAlign w:val="center"/>
            <w:hideMark/>
          </w:tcPr>
          <w:p w:rsidR="00804B57" w:rsidRPr="00804B57" w:rsidRDefault="00804B57" w:rsidP="00804B57">
            <w:pPr>
              <w:spacing w:after="0" w:line="240" w:lineRule="auto"/>
              <w:jc w:val="center"/>
              <w:rPr>
                <w:rFonts w:ascii="Calibri" w:eastAsia="Times New Roman" w:hAnsi="Calibri" w:cs="Times New Roman"/>
                <w:color w:val="000000"/>
                <w:sz w:val="16"/>
                <w:szCs w:val="16"/>
                <w:lang w:eastAsia="en-GB"/>
              </w:rPr>
            </w:pPr>
            <w:r w:rsidRPr="00804B57">
              <w:rPr>
                <w:rFonts w:ascii="Calibri" w:eastAsia="Times New Roman" w:hAnsi="Calibri" w:cs="Times New Roman"/>
                <w:color w:val="000000"/>
                <w:sz w:val="16"/>
                <w:szCs w:val="16"/>
                <w:lang w:eastAsia="en-GB"/>
              </w:rPr>
              <w:t>Number</w:t>
            </w:r>
          </w:p>
        </w:tc>
        <w:tc>
          <w:tcPr>
            <w:tcW w:w="298" w:type="pct"/>
            <w:tcBorders>
              <w:top w:val="nil"/>
              <w:left w:val="nil"/>
              <w:bottom w:val="single" w:sz="4" w:space="0" w:color="auto"/>
              <w:right w:val="single" w:sz="4" w:space="0" w:color="auto"/>
            </w:tcBorders>
            <w:shd w:val="clear" w:color="auto" w:fill="auto"/>
            <w:noWrap/>
            <w:vAlign w:val="center"/>
            <w:hideMark/>
          </w:tcPr>
          <w:p w:rsidR="00804B57" w:rsidRPr="00804B57" w:rsidRDefault="00804B57" w:rsidP="00804B57">
            <w:pPr>
              <w:spacing w:after="0" w:line="240" w:lineRule="auto"/>
              <w:jc w:val="center"/>
              <w:rPr>
                <w:rFonts w:ascii="Calibri" w:eastAsia="Times New Roman" w:hAnsi="Calibri" w:cs="Times New Roman"/>
                <w:color w:val="000000"/>
                <w:sz w:val="16"/>
                <w:szCs w:val="16"/>
                <w:lang w:eastAsia="en-GB"/>
              </w:rPr>
            </w:pPr>
            <w:r w:rsidRPr="00804B57">
              <w:rPr>
                <w:rFonts w:ascii="Calibri" w:eastAsia="Times New Roman" w:hAnsi="Calibri" w:cs="Times New Roman"/>
                <w:color w:val="000000"/>
                <w:sz w:val="16"/>
                <w:szCs w:val="16"/>
                <w:lang w:eastAsia="en-GB"/>
              </w:rPr>
              <w:t>Indicator Value</w:t>
            </w:r>
          </w:p>
        </w:tc>
      </w:tr>
      <w:tr w:rsidR="00F97E28" w:rsidRPr="00804B57" w:rsidTr="00F97E28">
        <w:trPr>
          <w:trHeight w:val="300"/>
        </w:trPr>
        <w:tc>
          <w:tcPr>
            <w:tcW w:w="513" w:type="pct"/>
            <w:tcBorders>
              <w:top w:val="nil"/>
              <w:left w:val="single" w:sz="4" w:space="0" w:color="auto"/>
              <w:bottom w:val="single" w:sz="4" w:space="0" w:color="auto"/>
              <w:right w:val="single" w:sz="4" w:space="0" w:color="auto"/>
            </w:tcBorders>
            <w:shd w:val="clear" w:color="auto" w:fill="auto"/>
            <w:noWrap/>
            <w:vAlign w:val="center"/>
            <w:hideMark/>
          </w:tcPr>
          <w:p w:rsidR="00804B57" w:rsidRPr="00804B57" w:rsidRDefault="00804B57" w:rsidP="00804B57">
            <w:pPr>
              <w:spacing w:after="0" w:line="240" w:lineRule="auto"/>
              <w:jc w:val="center"/>
              <w:rPr>
                <w:rFonts w:ascii="Calibri" w:eastAsia="Times New Roman" w:hAnsi="Calibri" w:cs="Times New Roman"/>
                <w:sz w:val="16"/>
                <w:szCs w:val="16"/>
                <w:lang w:eastAsia="en-GB"/>
              </w:rPr>
            </w:pPr>
            <w:r w:rsidRPr="00804B57">
              <w:rPr>
                <w:rFonts w:ascii="Calibri" w:eastAsia="Times New Roman" w:hAnsi="Calibri" w:cs="Times New Roman"/>
                <w:sz w:val="16"/>
                <w:szCs w:val="16"/>
                <w:lang w:eastAsia="en-GB"/>
              </w:rPr>
              <w:t>Directly age-standardised rate of inpatient admissions, 75+, DASR per 1,000</w:t>
            </w:r>
          </w:p>
        </w:tc>
        <w:tc>
          <w:tcPr>
            <w:tcW w:w="257" w:type="pct"/>
            <w:tcBorders>
              <w:top w:val="nil"/>
              <w:left w:val="nil"/>
              <w:bottom w:val="single" w:sz="4" w:space="0" w:color="auto"/>
              <w:right w:val="single" w:sz="4" w:space="0" w:color="auto"/>
            </w:tcBorders>
            <w:shd w:val="clear" w:color="auto" w:fill="auto"/>
            <w:noWrap/>
            <w:vAlign w:val="center"/>
            <w:hideMark/>
          </w:tcPr>
          <w:p w:rsidR="00804B57" w:rsidRPr="00804B57" w:rsidRDefault="00804B57" w:rsidP="00804B57">
            <w:pPr>
              <w:spacing w:after="0" w:line="240" w:lineRule="auto"/>
              <w:jc w:val="center"/>
              <w:rPr>
                <w:rFonts w:ascii="Calibri" w:eastAsia="Times New Roman" w:hAnsi="Calibri" w:cs="Times New Roman"/>
                <w:color w:val="000000"/>
                <w:sz w:val="16"/>
                <w:szCs w:val="16"/>
                <w:lang w:eastAsia="en-GB"/>
              </w:rPr>
            </w:pPr>
            <w:r w:rsidRPr="00804B57">
              <w:rPr>
                <w:rFonts w:ascii="Calibri" w:eastAsia="Times New Roman" w:hAnsi="Calibri" w:cs="Times New Roman"/>
                <w:color w:val="000000"/>
                <w:sz w:val="16"/>
                <w:szCs w:val="16"/>
                <w:lang w:eastAsia="en-GB"/>
              </w:rPr>
              <w:t>2017-18</w:t>
            </w:r>
          </w:p>
        </w:tc>
        <w:tc>
          <w:tcPr>
            <w:tcW w:w="256" w:type="pct"/>
            <w:tcBorders>
              <w:top w:val="nil"/>
              <w:left w:val="nil"/>
              <w:bottom w:val="single" w:sz="4" w:space="0" w:color="auto"/>
              <w:right w:val="single" w:sz="4" w:space="0" w:color="auto"/>
            </w:tcBorders>
            <w:shd w:val="clear" w:color="000000" w:fill="420000"/>
            <w:noWrap/>
            <w:vAlign w:val="center"/>
            <w:hideMark/>
          </w:tcPr>
          <w:p w:rsidR="00804B57" w:rsidRPr="00804B57" w:rsidRDefault="00804B57" w:rsidP="00804B57">
            <w:pPr>
              <w:spacing w:after="0" w:line="240" w:lineRule="auto"/>
              <w:jc w:val="center"/>
              <w:rPr>
                <w:rFonts w:ascii="Calibri" w:eastAsia="Times New Roman" w:hAnsi="Calibri" w:cs="Times New Roman"/>
                <w:color w:val="FFFFFF"/>
                <w:sz w:val="16"/>
                <w:szCs w:val="16"/>
                <w:lang w:eastAsia="en-GB"/>
              </w:rPr>
            </w:pPr>
            <w:r w:rsidRPr="00804B57">
              <w:rPr>
                <w:rFonts w:ascii="Calibri" w:eastAsia="Times New Roman" w:hAnsi="Calibri" w:cs="Times New Roman"/>
                <w:color w:val="FFFFFF"/>
                <w:sz w:val="16"/>
                <w:szCs w:val="16"/>
                <w:lang w:eastAsia="en-GB"/>
              </w:rPr>
              <w:t>40,490</w:t>
            </w:r>
          </w:p>
        </w:tc>
        <w:tc>
          <w:tcPr>
            <w:tcW w:w="257" w:type="pct"/>
            <w:tcBorders>
              <w:top w:val="nil"/>
              <w:left w:val="nil"/>
              <w:bottom w:val="single" w:sz="4" w:space="0" w:color="auto"/>
              <w:right w:val="single" w:sz="4" w:space="0" w:color="auto"/>
            </w:tcBorders>
            <w:shd w:val="clear" w:color="000000" w:fill="420000"/>
            <w:noWrap/>
            <w:vAlign w:val="center"/>
            <w:hideMark/>
          </w:tcPr>
          <w:p w:rsidR="00804B57" w:rsidRPr="00804B57" w:rsidRDefault="00804B57" w:rsidP="00804B57">
            <w:pPr>
              <w:spacing w:after="0" w:line="240" w:lineRule="auto"/>
              <w:jc w:val="center"/>
              <w:rPr>
                <w:rFonts w:ascii="Calibri" w:eastAsia="Times New Roman" w:hAnsi="Calibri" w:cs="Times New Roman"/>
                <w:color w:val="FFFFFF"/>
                <w:sz w:val="16"/>
                <w:szCs w:val="16"/>
                <w:lang w:eastAsia="en-GB"/>
              </w:rPr>
            </w:pPr>
            <w:r w:rsidRPr="00804B57">
              <w:rPr>
                <w:rFonts w:ascii="Calibri" w:eastAsia="Times New Roman" w:hAnsi="Calibri" w:cs="Times New Roman"/>
                <w:color w:val="FFFFFF"/>
                <w:sz w:val="16"/>
                <w:szCs w:val="16"/>
                <w:lang w:eastAsia="en-GB"/>
              </w:rPr>
              <w:t>746</w:t>
            </w:r>
          </w:p>
        </w:tc>
        <w:tc>
          <w:tcPr>
            <w:tcW w:w="256" w:type="pct"/>
            <w:tcBorders>
              <w:top w:val="nil"/>
              <w:left w:val="nil"/>
              <w:bottom w:val="single" w:sz="4" w:space="0" w:color="auto"/>
              <w:right w:val="single" w:sz="4" w:space="0" w:color="auto"/>
            </w:tcBorders>
            <w:shd w:val="clear" w:color="000000" w:fill="EBF1DE"/>
            <w:noWrap/>
            <w:vAlign w:val="center"/>
            <w:hideMark/>
          </w:tcPr>
          <w:p w:rsidR="00804B57" w:rsidRPr="00804B57" w:rsidRDefault="00804B57" w:rsidP="00804B57">
            <w:pPr>
              <w:spacing w:after="0" w:line="240" w:lineRule="auto"/>
              <w:jc w:val="center"/>
              <w:rPr>
                <w:rFonts w:ascii="Calibri" w:eastAsia="Times New Roman" w:hAnsi="Calibri" w:cs="Times New Roman"/>
                <w:color w:val="000000"/>
                <w:sz w:val="16"/>
                <w:szCs w:val="16"/>
                <w:lang w:eastAsia="en-GB"/>
              </w:rPr>
            </w:pPr>
            <w:r w:rsidRPr="00804B57">
              <w:rPr>
                <w:rFonts w:ascii="Calibri" w:eastAsia="Times New Roman" w:hAnsi="Calibri" w:cs="Times New Roman"/>
                <w:color w:val="000000"/>
                <w:sz w:val="16"/>
                <w:szCs w:val="16"/>
                <w:lang w:eastAsia="en-GB"/>
              </w:rPr>
              <w:t>9,355</w:t>
            </w:r>
          </w:p>
        </w:tc>
        <w:tc>
          <w:tcPr>
            <w:tcW w:w="257" w:type="pct"/>
            <w:tcBorders>
              <w:top w:val="nil"/>
              <w:left w:val="nil"/>
              <w:bottom w:val="single" w:sz="4" w:space="0" w:color="auto"/>
              <w:right w:val="single" w:sz="4" w:space="0" w:color="auto"/>
            </w:tcBorders>
            <w:shd w:val="clear" w:color="000000" w:fill="EBF1DE"/>
            <w:noWrap/>
            <w:vAlign w:val="center"/>
            <w:hideMark/>
          </w:tcPr>
          <w:p w:rsidR="00804B57" w:rsidRPr="00804B57" w:rsidRDefault="00804B57" w:rsidP="00804B57">
            <w:pPr>
              <w:spacing w:after="0" w:line="240" w:lineRule="auto"/>
              <w:jc w:val="center"/>
              <w:rPr>
                <w:rFonts w:ascii="Calibri" w:eastAsia="Times New Roman" w:hAnsi="Calibri" w:cs="Times New Roman"/>
                <w:color w:val="000000"/>
                <w:sz w:val="16"/>
                <w:szCs w:val="16"/>
                <w:lang w:eastAsia="en-GB"/>
              </w:rPr>
            </w:pPr>
            <w:r w:rsidRPr="00804B57">
              <w:rPr>
                <w:rFonts w:ascii="Calibri" w:eastAsia="Times New Roman" w:hAnsi="Calibri" w:cs="Times New Roman"/>
                <w:color w:val="000000"/>
                <w:sz w:val="16"/>
                <w:szCs w:val="16"/>
                <w:lang w:eastAsia="en-GB"/>
              </w:rPr>
              <w:t>707</w:t>
            </w:r>
          </w:p>
        </w:tc>
        <w:tc>
          <w:tcPr>
            <w:tcW w:w="256" w:type="pct"/>
            <w:tcBorders>
              <w:top w:val="nil"/>
              <w:left w:val="nil"/>
              <w:bottom w:val="single" w:sz="4" w:space="0" w:color="auto"/>
              <w:right w:val="single" w:sz="4" w:space="0" w:color="auto"/>
            </w:tcBorders>
            <w:shd w:val="clear" w:color="000000" w:fill="EBF1DE"/>
            <w:noWrap/>
            <w:vAlign w:val="center"/>
            <w:hideMark/>
          </w:tcPr>
          <w:p w:rsidR="00804B57" w:rsidRPr="00804B57" w:rsidRDefault="00804B57" w:rsidP="00804B57">
            <w:pPr>
              <w:spacing w:after="0" w:line="240" w:lineRule="auto"/>
              <w:jc w:val="center"/>
              <w:rPr>
                <w:rFonts w:ascii="Calibri" w:eastAsia="Times New Roman" w:hAnsi="Calibri" w:cs="Times New Roman"/>
                <w:color w:val="000000"/>
                <w:sz w:val="16"/>
                <w:szCs w:val="16"/>
                <w:lang w:eastAsia="en-GB"/>
              </w:rPr>
            </w:pPr>
            <w:r w:rsidRPr="00804B57">
              <w:rPr>
                <w:rFonts w:ascii="Calibri" w:eastAsia="Times New Roman" w:hAnsi="Calibri" w:cs="Times New Roman"/>
                <w:color w:val="000000"/>
                <w:sz w:val="16"/>
                <w:szCs w:val="16"/>
                <w:lang w:eastAsia="en-GB"/>
              </w:rPr>
              <w:t>5,412</w:t>
            </w:r>
          </w:p>
        </w:tc>
        <w:tc>
          <w:tcPr>
            <w:tcW w:w="256" w:type="pct"/>
            <w:tcBorders>
              <w:top w:val="nil"/>
              <w:left w:val="nil"/>
              <w:bottom w:val="single" w:sz="4" w:space="0" w:color="auto"/>
              <w:right w:val="single" w:sz="4" w:space="0" w:color="auto"/>
            </w:tcBorders>
            <w:shd w:val="clear" w:color="000000" w:fill="EBF1DE"/>
            <w:noWrap/>
            <w:vAlign w:val="center"/>
            <w:hideMark/>
          </w:tcPr>
          <w:p w:rsidR="00804B57" w:rsidRPr="00804B57" w:rsidRDefault="00804B57" w:rsidP="00804B57">
            <w:pPr>
              <w:spacing w:after="0" w:line="240" w:lineRule="auto"/>
              <w:jc w:val="center"/>
              <w:rPr>
                <w:rFonts w:ascii="Calibri" w:eastAsia="Times New Roman" w:hAnsi="Calibri" w:cs="Times New Roman"/>
                <w:color w:val="000000"/>
                <w:sz w:val="16"/>
                <w:szCs w:val="16"/>
                <w:lang w:eastAsia="en-GB"/>
              </w:rPr>
            </w:pPr>
            <w:r w:rsidRPr="00804B57">
              <w:rPr>
                <w:rFonts w:ascii="Calibri" w:eastAsia="Times New Roman" w:hAnsi="Calibri" w:cs="Times New Roman"/>
                <w:color w:val="000000"/>
                <w:sz w:val="16"/>
                <w:szCs w:val="16"/>
                <w:lang w:eastAsia="en-GB"/>
              </w:rPr>
              <w:t>696</w:t>
            </w:r>
          </w:p>
        </w:tc>
        <w:tc>
          <w:tcPr>
            <w:tcW w:w="257" w:type="pct"/>
            <w:tcBorders>
              <w:top w:val="nil"/>
              <w:left w:val="nil"/>
              <w:bottom w:val="single" w:sz="4" w:space="0" w:color="auto"/>
              <w:right w:val="single" w:sz="4" w:space="0" w:color="auto"/>
            </w:tcBorders>
            <w:shd w:val="clear" w:color="000000" w:fill="EBF1DE"/>
            <w:noWrap/>
            <w:vAlign w:val="center"/>
            <w:hideMark/>
          </w:tcPr>
          <w:p w:rsidR="00804B57" w:rsidRPr="00804B57" w:rsidRDefault="00804B57" w:rsidP="00804B57">
            <w:pPr>
              <w:spacing w:after="0" w:line="240" w:lineRule="auto"/>
              <w:jc w:val="center"/>
              <w:rPr>
                <w:rFonts w:ascii="Calibri" w:eastAsia="Times New Roman" w:hAnsi="Calibri" w:cs="Times New Roman"/>
                <w:color w:val="000000"/>
                <w:sz w:val="16"/>
                <w:szCs w:val="16"/>
                <w:lang w:eastAsia="en-GB"/>
              </w:rPr>
            </w:pPr>
            <w:r w:rsidRPr="00804B57">
              <w:rPr>
                <w:rFonts w:ascii="Calibri" w:eastAsia="Times New Roman" w:hAnsi="Calibri" w:cs="Times New Roman"/>
                <w:color w:val="000000"/>
                <w:sz w:val="16"/>
                <w:szCs w:val="16"/>
                <w:lang w:eastAsia="en-GB"/>
              </w:rPr>
              <w:t>5,416</w:t>
            </w:r>
          </w:p>
        </w:tc>
        <w:tc>
          <w:tcPr>
            <w:tcW w:w="256" w:type="pct"/>
            <w:tcBorders>
              <w:top w:val="nil"/>
              <w:left w:val="nil"/>
              <w:bottom w:val="single" w:sz="4" w:space="0" w:color="auto"/>
              <w:right w:val="single" w:sz="4" w:space="0" w:color="auto"/>
            </w:tcBorders>
            <w:shd w:val="clear" w:color="000000" w:fill="EBF1DE"/>
            <w:noWrap/>
            <w:vAlign w:val="center"/>
            <w:hideMark/>
          </w:tcPr>
          <w:p w:rsidR="00804B57" w:rsidRPr="00804B57" w:rsidRDefault="00804B57" w:rsidP="00804B57">
            <w:pPr>
              <w:spacing w:after="0" w:line="240" w:lineRule="auto"/>
              <w:jc w:val="center"/>
              <w:rPr>
                <w:rFonts w:ascii="Calibri" w:eastAsia="Times New Roman" w:hAnsi="Calibri" w:cs="Times New Roman"/>
                <w:color w:val="000000"/>
                <w:sz w:val="16"/>
                <w:szCs w:val="16"/>
                <w:lang w:eastAsia="en-GB"/>
              </w:rPr>
            </w:pPr>
            <w:r w:rsidRPr="00804B57">
              <w:rPr>
                <w:rFonts w:ascii="Calibri" w:eastAsia="Times New Roman" w:hAnsi="Calibri" w:cs="Times New Roman"/>
                <w:color w:val="000000"/>
                <w:sz w:val="16"/>
                <w:szCs w:val="16"/>
                <w:lang w:eastAsia="en-GB"/>
              </w:rPr>
              <w:t>690</w:t>
            </w:r>
          </w:p>
        </w:tc>
        <w:tc>
          <w:tcPr>
            <w:tcW w:w="256" w:type="pct"/>
            <w:tcBorders>
              <w:top w:val="nil"/>
              <w:left w:val="nil"/>
              <w:bottom w:val="single" w:sz="4" w:space="0" w:color="auto"/>
              <w:right w:val="single" w:sz="4" w:space="0" w:color="auto"/>
            </w:tcBorders>
            <w:shd w:val="clear" w:color="000000" w:fill="420000"/>
            <w:noWrap/>
            <w:vAlign w:val="center"/>
            <w:hideMark/>
          </w:tcPr>
          <w:p w:rsidR="00804B57" w:rsidRPr="00804B57" w:rsidRDefault="00804B57" w:rsidP="00804B57">
            <w:pPr>
              <w:spacing w:after="0" w:line="240" w:lineRule="auto"/>
              <w:jc w:val="center"/>
              <w:rPr>
                <w:rFonts w:ascii="Calibri" w:eastAsia="Times New Roman" w:hAnsi="Calibri" w:cs="Times New Roman"/>
                <w:color w:val="FFFFFF"/>
                <w:sz w:val="16"/>
                <w:szCs w:val="16"/>
                <w:lang w:eastAsia="en-GB"/>
              </w:rPr>
            </w:pPr>
            <w:r w:rsidRPr="00804B57">
              <w:rPr>
                <w:rFonts w:ascii="Calibri" w:eastAsia="Times New Roman" w:hAnsi="Calibri" w:cs="Times New Roman"/>
                <w:color w:val="FFFFFF"/>
                <w:sz w:val="16"/>
                <w:szCs w:val="16"/>
                <w:lang w:eastAsia="en-GB"/>
              </w:rPr>
              <w:t>8,186</w:t>
            </w:r>
          </w:p>
        </w:tc>
        <w:tc>
          <w:tcPr>
            <w:tcW w:w="257" w:type="pct"/>
            <w:tcBorders>
              <w:top w:val="nil"/>
              <w:left w:val="nil"/>
              <w:bottom w:val="single" w:sz="4" w:space="0" w:color="auto"/>
              <w:right w:val="single" w:sz="4" w:space="0" w:color="auto"/>
            </w:tcBorders>
            <w:shd w:val="clear" w:color="000000" w:fill="420000"/>
            <w:noWrap/>
            <w:vAlign w:val="center"/>
            <w:hideMark/>
          </w:tcPr>
          <w:p w:rsidR="00804B57" w:rsidRPr="00804B57" w:rsidRDefault="00804B57" w:rsidP="00804B57">
            <w:pPr>
              <w:spacing w:after="0" w:line="240" w:lineRule="auto"/>
              <w:jc w:val="center"/>
              <w:rPr>
                <w:rFonts w:ascii="Calibri" w:eastAsia="Times New Roman" w:hAnsi="Calibri" w:cs="Times New Roman"/>
                <w:color w:val="FFFFFF"/>
                <w:sz w:val="16"/>
                <w:szCs w:val="16"/>
                <w:lang w:eastAsia="en-GB"/>
              </w:rPr>
            </w:pPr>
            <w:r w:rsidRPr="00804B57">
              <w:rPr>
                <w:rFonts w:ascii="Calibri" w:eastAsia="Times New Roman" w:hAnsi="Calibri" w:cs="Times New Roman"/>
                <w:color w:val="FFFFFF"/>
                <w:sz w:val="16"/>
                <w:szCs w:val="16"/>
                <w:lang w:eastAsia="en-GB"/>
              </w:rPr>
              <w:t>798</w:t>
            </w:r>
          </w:p>
        </w:tc>
        <w:tc>
          <w:tcPr>
            <w:tcW w:w="299" w:type="pct"/>
            <w:tcBorders>
              <w:top w:val="nil"/>
              <w:left w:val="nil"/>
              <w:bottom w:val="single" w:sz="4" w:space="0" w:color="auto"/>
              <w:right w:val="single" w:sz="4" w:space="0" w:color="auto"/>
            </w:tcBorders>
            <w:shd w:val="clear" w:color="000000" w:fill="420000"/>
            <w:noWrap/>
            <w:vAlign w:val="center"/>
            <w:hideMark/>
          </w:tcPr>
          <w:p w:rsidR="00804B57" w:rsidRPr="00804B57" w:rsidRDefault="00804B57" w:rsidP="00804B57">
            <w:pPr>
              <w:spacing w:after="0" w:line="240" w:lineRule="auto"/>
              <w:jc w:val="center"/>
              <w:rPr>
                <w:rFonts w:ascii="Calibri" w:eastAsia="Times New Roman" w:hAnsi="Calibri" w:cs="Times New Roman"/>
                <w:color w:val="FFFFFF"/>
                <w:sz w:val="16"/>
                <w:szCs w:val="16"/>
                <w:lang w:eastAsia="en-GB"/>
              </w:rPr>
            </w:pPr>
            <w:r w:rsidRPr="00804B57">
              <w:rPr>
                <w:rFonts w:ascii="Calibri" w:eastAsia="Times New Roman" w:hAnsi="Calibri" w:cs="Times New Roman"/>
                <w:color w:val="FFFFFF"/>
                <w:sz w:val="16"/>
                <w:szCs w:val="16"/>
                <w:lang w:eastAsia="en-GB"/>
              </w:rPr>
              <w:t>11,686</w:t>
            </w:r>
          </w:p>
        </w:tc>
        <w:tc>
          <w:tcPr>
            <w:tcW w:w="252" w:type="pct"/>
            <w:tcBorders>
              <w:top w:val="nil"/>
              <w:left w:val="nil"/>
              <w:bottom w:val="single" w:sz="4" w:space="0" w:color="auto"/>
              <w:right w:val="single" w:sz="4" w:space="0" w:color="auto"/>
            </w:tcBorders>
            <w:shd w:val="clear" w:color="000000" w:fill="420000"/>
            <w:noWrap/>
            <w:vAlign w:val="center"/>
            <w:hideMark/>
          </w:tcPr>
          <w:p w:rsidR="00804B57" w:rsidRPr="00804B57" w:rsidRDefault="00804B57" w:rsidP="00804B57">
            <w:pPr>
              <w:spacing w:after="0" w:line="240" w:lineRule="auto"/>
              <w:jc w:val="center"/>
              <w:rPr>
                <w:rFonts w:ascii="Calibri" w:eastAsia="Times New Roman" w:hAnsi="Calibri" w:cs="Times New Roman"/>
                <w:color w:val="FFFFFF"/>
                <w:sz w:val="16"/>
                <w:szCs w:val="16"/>
                <w:lang w:eastAsia="en-GB"/>
              </w:rPr>
            </w:pPr>
            <w:r w:rsidRPr="00804B57">
              <w:rPr>
                <w:rFonts w:ascii="Calibri" w:eastAsia="Times New Roman" w:hAnsi="Calibri" w:cs="Times New Roman"/>
                <w:color w:val="FFFFFF"/>
                <w:sz w:val="16"/>
                <w:szCs w:val="16"/>
                <w:lang w:eastAsia="en-GB"/>
              </w:rPr>
              <w:t>789</w:t>
            </w:r>
          </w:p>
        </w:tc>
        <w:tc>
          <w:tcPr>
            <w:tcW w:w="260" w:type="pct"/>
            <w:tcBorders>
              <w:top w:val="nil"/>
              <w:left w:val="nil"/>
              <w:bottom w:val="single" w:sz="4" w:space="0" w:color="auto"/>
              <w:right w:val="single" w:sz="4" w:space="0" w:color="auto"/>
            </w:tcBorders>
            <w:shd w:val="clear" w:color="000000" w:fill="EBF1DE"/>
            <w:noWrap/>
            <w:vAlign w:val="center"/>
            <w:hideMark/>
          </w:tcPr>
          <w:p w:rsidR="00804B57" w:rsidRPr="00804B57" w:rsidRDefault="00804B57" w:rsidP="00804B57">
            <w:pPr>
              <w:spacing w:after="0" w:line="240" w:lineRule="auto"/>
              <w:jc w:val="center"/>
              <w:rPr>
                <w:rFonts w:ascii="Calibri" w:eastAsia="Times New Roman" w:hAnsi="Calibri" w:cs="Times New Roman"/>
                <w:color w:val="000000"/>
                <w:sz w:val="16"/>
                <w:szCs w:val="16"/>
                <w:lang w:eastAsia="en-GB"/>
              </w:rPr>
            </w:pPr>
            <w:r w:rsidRPr="00804B57">
              <w:rPr>
                <w:rFonts w:ascii="Calibri" w:eastAsia="Times New Roman" w:hAnsi="Calibri" w:cs="Times New Roman"/>
                <w:color w:val="000000"/>
                <w:sz w:val="16"/>
                <w:szCs w:val="16"/>
                <w:lang w:eastAsia="en-GB"/>
              </w:rPr>
              <w:t>9,790</w:t>
            </w:r>
          </w:p>
        </w:tc>
        <w:tc>
          <w:tcPr>
            <w:tcW w:w="300" w:type="pct"/>
            <w:tcBorders>
              <w:top w:val="nil"/>
              <w:left w:val="nil"/>
              <w:bottom w:val="single" w:sz="4" w:space="0" w:color="auto"/>
              <w:right w:val="single" w:sz="4" w:space="0" w:color="auto"/>
            </w:tcBorders>
            <w:shd w:val="clear" w:color="000000" w:fill="EBF1DE"/>
            <w:noWrap/>
            <w:vAlign w:val="center"/>
            <w:hideMark/>
          </w:tcPr>
          <w:p w:rsidR="00804B57" w:rsidRPr="00804B57" w:rsidRDefault="00804B57" w:rsidP="00804B57">
            <w:pPr>
              <w:spacing w:after="0" w:line="240" w:lineRule="auto"/>
              <w:jc w:val="center"/>
              <w:rPr>
                <w:rFonts w:ascii="Calibri" w:eastAsia="Times New Roman" w:hAnsi="Calibri" w:cs="Times New Roman"/>
                <w:color w:val="000000"/>
                <w:sz w:val="16"/>
                <w:szCs w:val="16"/>
                <w:lang w:eastAsia="en-GB"/>
              </w:rPr>
            </w:pPr>
            <w:r w:rsidRPr="00804B57">
              <w:rPr>
                <w:rFonts w:ascii="Calibri" w:eastAsia="Times New Roman" w:hAnsi="Calibri" w:cs="Times New Roman"/>
                <w:color w:val="000000"/>
                <w:sz w:val="16"/>
                <w:szCs w:val="16"/>
                <w:lang w:eastAsia="en-GB"/>
              </w:rPr>
              <w:t>722</w:t>
            </w:r>
          </w:p>
        </w:tc>
        <w:tc>
          <w:tcPr>
            <w:tcW w:w="257" w:type="pct"/>
            <w:tcBorders>
              <w:top w:val="nil"/>
              <w:left w:val="nil"/>
              <w:bottom w:val="single" w:sz="4" w:space="0" w:color="auto"/>
              <w:right w:val="single" w:sz="4" w:space="0" w:color="auto"/>
            </w:tcBorders>
            <w:shd w:val="clear" w:color="auto" w:fill="auto"/>
            <w:noWrap/>
            <w:vAlign w:val="center"/>
            <w:hideMark/>
          </w:tcPr>
          <w:p w:rsidR="00804B57" w:rsidRPr="00804B57" w:rsidRDefault="00804B57" w:rsidP="00804B57">
            <w:pPr>
              <w:spacing w:after="0" w:line="240" w:lineRule="auto"/>
              <w:jc w:val="center"/>
              <w:rPr>
                <w:rFonts w:ascii="Calibri" w:eastAsia="Times New Roman" w:hAnsi="Calibri" w:cs="Times New Roman"/>
                <w:color w:val="000000"/>
                <w:sz w:val="16"/>
                <w:szCs w:val="16"/>
                <w:lang w:eastAsia="en-GB"/>
              </w:rPr>
            </w:pPr>
            <w:r w:rsidRPr="00804B57">
              <w:rPr>
                <w:rFonts w:ascii="Calibri" w:eastAsia="Times New Roman" w:hAnsi="Calibri" w:cs="Times New Roman"/>
                <w:color w:val="000000"/>
                <w:sz w:val="16"/>
                <w:szCs w:val="16"/>
                <w:lang w:eastAsia="en-GB"/>
              </w:rPr>
              <w:t>49,845</w:t>
            </w:r>
          </w:p>
        </w:tc>
        <w:tc>
          <w:tcPr>
            <w:tcW w:w="298" w:type="pct"/>
            <w:tcBorders>
              <w:top w:val="nil"/>
              <w:left w:val="nil"/>
              <w:bottom w:val="single" w:sz="4" w:space="0" w:color="auto"/>
              <w:right w:val="single" w:sz="4" w:space="0" w:color="auto"/>
            </w:tcBorders>
            <w:shd w:val="clear" w:color="auto" w:fill="auto"/>
            <w:noWrap/>
            <w:vAlign w:val="center"/>
            <w:hideMark/>
          </w:tcPr>
          <w:p w:rsidR="00804B57" w:rsidRPr="00804B57" w:rsidRDefault="0095184E" w:rsidP="00804B57">
            <w:pPr>
              <w:spacing w:after="0" w:line="240" w:lineRule="auto"/>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738</w:t>
            </w:r>
          </w:p>
        </w:tc>
      </w:tr>
      <w:tr w:rsidR="00F97E28" w:rsidRPr="00804B57" w:rsidTr="00F97E28">
        <w:trPr>
          <w:trHeight w:val="300"/>
        </w:trPr>
        <w:tc>
          <w:tcPr>
            <w:tcW w:w="513" w:type="pct"/>
            <w:tcBorders>
              <w:top w:val="nil"/>
              <w:left w:val="single" w:sz="4" w:space="0" w:color="auto"/>
              <w:bottom w:val="single" w:sz="4" w:space="0" w:color="auto"/>
              <w:right w:val="single" w:sz="4" w:space="0" w:color="auto"/>
            </w:tcBorders>
            <w:shd w:val="clear" w:color="auto" w:fill="auto"/>
            <w:noWrap/>
            <w:vAlign w:val="center"/>
            <w:hideMark/>
          </w:tcPr>
          <w:p w:rsidR="00804B57" w:rsidRPr="00804B57" w:rsidRDefault="00804B57" w:rsidP="00804B57">
            <w:pPr>
              <w:spacing w:after="0" w:line="240" w:lineRule="auto"/>
              <w:jc w:val="center"/>
              <w:rPr>
                <w:rFonts w:ascii="Calibri" w:eastAsia="Times New Roman" w:hAnsi="Calibri" w:cs="Times New Roman"/>
                <w:sz w:val="16"/>
                <w:szCs w:val="16"/>
                <w:lang w:eastAsia="en-GB"/>
              </w:rPr>
            </w:pPr>
            <w:r w:rsidRPr="00804B57">
              <w:rPr>
                <w:rFonts w:ascii="Calibri" w:eastAsia="Times New Roman" w:hAnsi="Calibri" w:cs="Times New Roman"/>
                <w:sz w:val="16"/>
                <w:szCs w:val="16"/>
                <w:lang w:eastAsia="en-GB"/>
              </w:rPr>
              <w:t>Directly age-standardised rate of A&amp;E attendances, 75+</w:t>
            </w:r>
          </w:p>
        </w:tc>
        <w:tc>
          <w:tcPr>
            <w:tcW w:w="257" w:type="pct"/>
            <w:tcBorders>
              <w:top w:val="nil"/>
              <w:left w:val="nil"/>
              <w:bottom w:val="single" w:sz="4" w:space="0" w:color="auto"/>
              <w:right w:val="single" w:sz="4" w:space="0" w:color="auto"/>
            </w:tcBorders>
            <w:shd w:val="clear" w:color="auto" w:fill="auto"/>
            <w:noWrap/>
            <w:vAlign w:val="center"/>
            <w:hideMark/>
          </w:tcPr>
          <w:p w:rsidR="00804B57" w:rsidRPr="00804B57" w:rsidRDefault="00804B57" w:rsidP="00804B57">
            <w:pPr>
              <w:spacing w:after="0" w:line="240" w:lineRule="auto"/>
              <w:jc w:val="center"/>
              <w:rPr>
                <w:rFonts w:ascii="Calibri" w:eastAsia="Times New Roman" w:hAnsi="Calibri" w:cs="Times New Roman"/>
                <w:color w:val="000000"/>
                <w:sz w:val="16"/>
                <w:szCs w:val="16"/>
                <w:lang w:eastAsia="en-GB"/>
              </w:rPr>
            </w:pPr>
            <w:r w:rsidRPr="00804B57">
              <w:rPr>
                <w:rFonts w:ascii="Calibri" w:eastAsia="Times New Roman" w:hAnsi="Calibri" w:cs="Times New Roman"/>
                <w:color w:val="000000"/>
                <w:sz w:val="16"/>
                <w:szCs w:val="16"/>
                <w:lang w:eastAsia="en-GB"/>
              </w:rPr>
              <w:t>2017-18</w:t>
            </w:r>
          </w:p>
        </w:tc>
        <w:tc>
          <w:tcPr>
            <w:tcW w:w="256" w:type="pct"/>
            <w:tcBorders>
              <w:top w:val="nil"/>
              <w:left w:val="nil"/>
              <w:bottom w:val="single" w:sz="4" w:space="0" w:color="auto"/>
              <w:right w:val="single" w:sz="4" w:space="0" w:color="auto"/>
            </w:tcBorders>
            <w:shd w:val="clear" w:color="000000" w:fill="EBF1DE"/>
            <w:noWrap/>
            <w:vAlign w:val="center"/>
            <w:hideMark/>
          </w:tcPr>
          <w:p w:rsidR="00804B57" w:rsidRPr="00804B57" w:rsidRDefault="00804B57" w:rsidP="00804B57">
            <w:pPr>
              <w:spacing w:after="0" w:line="240" w:lineRule="auto"/>
              <w:jc w:val="center"/>
              <w:rPr>
                <w:rFonts w:ascii="Calibri" w:eastAsia="Times New Roman" w:hAnsi="Calibri" w:cs="Times New Roman"/>
                <w:color w:val="000000"/>
                <w:sz w:val="16"/>
                <w:szCs w:val="16"/>
                <w:lang w:eastAsia="en-GB"/>
              </w:rPr>
            </w:pPr>
            <w:r w:rsidRPr="00804B57">
              <w:rPr>
                <w:rFonts w:ascii="Calibri" w:eastAsia="Times New Roman" w:hAnsi="Calibri" w:cs="Times New Roman"/>
                <w:color w:val="000000"/>
                <w:sz w:val="16"/>
                <w:szCs w:val="16"/>
                <w:lang w:eastAsia="en-GB"/>
              </w:rPr>
              <w:t>30,608</w:t>
            </w:r>
          </w:p>
        </w:tc>
        <w:tc>
          <w:tcPr>
            <w:tcW w:w="257" w:type="pct"/>
            <w:tcBorders>
              <w:top w:val="nil"/>
              <w:left w:val="nil"/>
              <w:bottom w:val="single" w:sz="4" w:space="0" w:color="auto"/>
              <w:right w:val="single" w:sz="4" w:space="0" w:color="auto"/>
            </w:tcBorders>
            <w:shd w:val="clear" w:color="000000" w:fill="EBF1DE"/>
            <w:noWrap/>
            <w:vAlign w:val="center"/>
            <w:hideMark/>
          </w:tcPr>
          <w:p w:rsidR="00804B57" w:rsidRPr="00804B57" w:rsidRDefault="00804B57" w:rsidP="00804B57">
            <w:pPr>
              <w:spacing w:after="0" w:line="240" w:lineRule="auto"/>
              <w:jc w:val="center"/>
              <w:rPr>
                <w:rFonts w:ascii="Calibri" w:eastAsia="Times New Roman" w:hAnsi="Calibri" w:cs="Times New Roman"/>
                <w:color w:val="000000"/>
                <w:sz w:val="16"/>
                <w:szCs w:val="16"/>
                <w:lang w:eastAsia="en-GB"/>
              </w:rPr>
            </w:pPr>
            <w:r w:rsidRPr="00804B57">
              <w:rPr>
                <w:rFonts w:ascii="Calibri" w:eastAsia="Times New Roman" w:hAnsi="Calibri" w:cs="Times New Roman"/>
                <w:color w:val="000000"/>
                <w:sz w:val="16"/>
                <w:szCs w:val="16"/>
                <w:lang w:eastAsia="en-GB"/>
              </w:rPr>
              <w:t>555</w:t>
            </w:r>
          </w:p>
        </w:tc>
        <w:tc>
          <w:tcPr>
            <w:tcW w:w="256" w:type="pct"/>
            <w:tcBorders>
              <w:top w:val="nil"/>
              <w:left w:val="nil"/>
              <w:bottom w:val="single" w:sz="4" w:space="0" w:color="auto"/>
              <w:right w:val="single" w:sz="4" w:space="0" w:color="auto"/>
            </w:tcBorders>
            <w:shd w:val="clear" w:color="000000" w:fill="420000"/>
            <w:noWrap/>
            <w:vAlign w:val="center"/>
            <w:hideMark/>
          </w:tcPr>
          <w:p w:rsidR="00804B57" w:rsidRPr="00804B57" w:rsidRDefault="00804B57" w:rsidP="00804B57">
            <w:pPr>
              <w:spacing w:after="0" w:line="240" w:lineRule="auto"/>
              <w:jc w:val="center"/>
              <w:rPr>
                <w:rFonts w:ascii="Calibri" w:eastAsia="Times New Roman" w:hAnsi="Calibri" w:cs="Times New Roman"/>
                <w:color w:val="FFFFFF"/>
                <w:sz w:val="16"/>
                <w:szCs w:val="16"/>
                <w:lang w:eastAsia="en-GB"/>
              </w:rPr>
            </w:pPr>
            <w:r w:rsidRPr="00804B57">
              <w:rPr>
                <w:rFonts w:ascii="Calibri" w:eastAsia="Times New Roman" w:hAnsi="Calibri" w:cs="Times New Roman"/>
                <w:color w:val="FFFFFF"/>
                <w:sz w:val="16"/>
                <w:szCs w:val="16"/>
                <w:lang w:eastAsia="en-GB"/>
              </w:rPr>
              <w:t>9,156</w:t>
            </w:r>
          </w:p>
        </w:tc>
        <w:tc>
          <w:tcPr>
            <w:tcW w:w="257" w:type="pct"/>
            <w:tcBorders>
              <w:top w:val="nil"/>
              <w:left w:val="nil"/>
              <w:bottom w:val="single" w:sz="4" w:space="0" w:color="auto"/>
              <w:right w:val="single" w:sz="4" w:space="0" w:color="auto"/>
            </w:tcBorders>
            <w:shd w:val="clear" w:color="000000" w:fill="420000"/>
            <w:noWrap/>
            <w:vAlign w:val="center"/>
            <w:hideMark/>
          </w:tcPr>
          <w:p w:rsidR="00804B57" w:rsidRPr="00804B57" w:rsidRDefault="00804B57" w:rsidP="00804B57">
            <w:pPr>
              <w:spacing w:after="0" w:line="240" w:lineRule="auto"/>
              <w:jc w:val="center"/>
              <w:rPr>
                <w:rFonts w:ascii="Calibri" w:eastAsia="Times New Roman" w:hAnsi="Calibri" w:cs="Times New Roman"/>
                <w:color w:val="FFFFFF"/>
                <w:sz w:val="16"/>
                <w:szCs w:val="16"/>
                <w:lang w:eastAsia="en-GB"/>
              </w:rPr>
            </w:pPr>
            <w:r w:rsidRPr="00804B57">
              <w:rPr>
                <w:rFonts w:ascii="Calibri" w:eastAsia="Times New Roman" w:hAnsi="Calibri" w:cs="Times New Roman"/>
                <w:color w:val="FFFFFF"/>
                <w:sz w:val="16"/>
                <w:szCs w:val="16"/>
                <w:lang w:eastAsia="en-GB"/>
              </w:rPr>
              <w:t>688</w:t>
            </w:r>
          </w:p>
        </w:tc>
        <w:tc>
          <w:tcPr>
            <w:tcW w:w="256" w:type="pct"/>
            <w:tcBorders>
              <w:top w:val="nil"/>
              <w:left w:val="nil"/>
              <w:bottom w:val="single" w:sz="4" w:space="0" w:color="auto"/>
              <w:right w:val="single" w:sz="4" w:space="0" w:color="auto"/>
            </w:tcBorders>
            <w:shd w:val="clear" w:color="000000" w:fill="EBF1DE"/>
            <w:noWrap/>
            <w:vAlign w:val="center"/>
            <w:hideMark/>
          </w:tcPr>
          <w:p w:rsidR="00804B57" w:rsidRPr="00804B57" w:rsidRDefault="00804B57" w:rsidP="00804B57">
            <w:pPr>
              <w:spacing w:after="0" w:line="240" w:lineRule="auto"/>
              <w:jc w:val="center"/>
              <w:rPr>
                <w:rFonts w:ascii="Calibri" w:eastAsia="Times New Roman" w:hAnsi="Calibri" w:cs="Times New Roman"/>
                <w:color w:val="000000"/>
                <w:sz w:val="16"/>
                <w:szCs w:val="16"/>
                <w:lang w:eastAsia="en-GB"/>
              </w:rPr>
            </w:pPr>
            <w:r w:rsidRPr="00804B57">
              <w:rPr>
                <w:rFonts w:ascii="Calibri" w:eastAsia="Times New Roman" w:hAnsi="Calibri" w:cs="Times New Roman"/>
                <w:color w:val="000000"/>
                <w:sz w:val="16"/>
                <w:szCs w:val="16"/>
                <w:lang w:eastAsia="en-GB"/>
              </w:rPr>
              <w:t>4,474</w:t>
            </w:r>
          </w:p>
        </w:tc>
        <w:tc>
          <w:tcPr>
            <w:tcW w:w="256" w:type="pct"/>
            <w:tcBorders>
              <w:top w:val="nil"/>
              <w:left w:val="nil"/>
              <w:bottom w:val="single" w:sz="4" w:space="0" w:color="auto"/>
              <w:right w:val="single" w:sz="4" w:space="0" w:color="auto"/>
            </w:tcBorders>
            <w:shd w:val="clear" w:color="000000" w:fill="EBF1DE"/>
            <w:noWrap/>
            <w:vAlign w:val="center"/>
            <w:hideMark/>
          </w:tcPr>
          <w:p w:rsidR="00804B57" w:rsidRPr="00804B57" w:rsidRDefault="00804B57" w:rsidP="00804B57">
            <w:pPr>
              <w:spacing w:after="0" w:line="240" w:lineRule="auto"/>
              <w:jc w:val="center"/>
              <w:rPr>
                <w:rFonts w:ascii="Calibri" w:eastAsia="Times New Roman" w:hAnsi="Calibri" w:cs="Times New Roman"/>
                <w:color w:val="000000"/>
                <w:sz w:val="16"/>
                <w:szCs w:val="16"/>
                <w:lang w:eastAsia="en-GB"/>
              </w:rPr>
            </w:pPr>
            <w:r w:rsidRPr="00804B57">
              <w:rPr>
                <w:rFonts w:ascii="Calibri" w:eastAsia="Times New Roman" w:hAnsi="Calibri" w:cs="Times New Roman"/>
                <w:color w:val="000000"/>
                <w:sz w:val="16"/>
                <w:szCs w:val="16"/>
                <w:lang w:eastAsia="en-GB"/>
              </w:rPr>
              <w:t>554</w:t>
            </w:r>
          </w:p>
        </w:tc>
        <w:tc>
          <w:tcPr>
            <w:tcW w:w="257" w:type="pct"/>
            <w:tcBorders>
              <w:top w:val="nil"/>
              <w:left w:val="nil"/>
              <w:bottom w:val="single" w:sz="4" w:space="0" w:color="auto"/>
              <w:right w:val="single" w:sz="4" w:space="0" w:color="auto"/>
            </w:tcBorders>
            <w:shd w:val="clear" w:color="000000" w:fill="FFFF99"/>
            <w:noWrap/>
            <w:vAlign w:val="center"/>
            <w:hideMark/>
          </w:tcPr>
          <w:p w:rsidR="00804B57" w:rsidRPr="00804B57" w:rsidRDefault="00804B57" w:rsidP="00804B57">
            <w:pPr>
              <w:spacing w:after="0" w:line="240" w:lineRule="auto"/>
              <w:jc w:val="center"/>
              <w:rPr>
                <w:rFonts w:ascii="Calibri" w:eastAsia="Times New Roman" w:hAnsi="Calibri" w:cs="Times New Roman"/>
                <w:color w:val="000000"/>
                <w:sz w:val="16"/>
                <w:szCs w:val="16"/>
                <w:lang w:eastAsia="en-GB"/>
              </w:rPr>
            </w:pPr>
            <w:r w:rsidRPr="00804B57">
              <w:rPr>
                <w:rFonts w:ascii="Calibri" w:eastAsia="Times New Roman" w:hAnsi="Calibri" w:cs="Times New Roman"/>
                <w:color w:val="000000"/>
                <w:sz w:val="16"/>
                <w:szCs w:val="16"/>
                <w:lang w:eastAsia="en-GB"/>
              </w:rPr>
              <w:t>4,718</w:t>
            </w:r>
          </w:p>
        </w:tc>
        <w:tc>
          <w:tcPr>
            <w:tcW w:w="256" w:type="pct"/>
            <w:tcBorders>
              <w:top w:val="nil"/>
              <w:left w:val="nil"/>
              <w:bottom w:val="single" w:sz="4" w:space="0" w:color="auto"/>
              <w:right w:val="single" w:sz="4" w:space="0" w:color="auto"/>
            </w:tcBorders>
            <w:shd w:val="clear" w:color="000000" w:fill="FFFF99"/>
            <w:noWrap/>
            <w:vAlign w:val="center"/>
            <w:hideMark/>
          </w:tcPr>
          <w:p w:rsidR="00804B57" w:rsidRPr="00804B57" w:rsidRDefault="00804B57" w:rsidP="00804B57">
            <w:pPr>
              <w:spacing w:after="0" w:line="240" w:lineRule="auto"/>
              <w:jc w:val="center"/>
              <w:rPr>
                <w:rFonts w:ascii="Calibri" w:eastAsia="Times New Roman" w:hAnsi="Calibri" w:cs="Times New Roman"/>
                <w:color w:val="000000"/>
                <w:sz w:val="16"/>
                <w:szCs w:val="16"/>
                <w:lang w:eastAsia="en-GB"/>
              </w:rPr>
            </w:pPr>
            <w:r w:rsidRPr="00804B57">
              <w:rPr>
                <w:rFonts w:ascii="Calibri" w:eastAsia="Times New Roman" w:hAnsi="Calibri" w:cs="Times New Roman"/>
                <w:color w:val="000000"/>
                <w:sz w:val="16"/>
                <w:szCs w:val="16"/>
                <w:lang w:eastAsia="en-GB"/>
              </w:rPr>
              <w:t>597</w:t>
            </w:r>
          </w:p>
        </w:tc>
        <w:tc>
          <w:tcPr>
            <w:tcW w:w="256" w:type="pct"/>
            <w:tcBorders>
              <w:top w:val="nil"/>
              <w:left w:val="nil"/>
              <w:bottom w:val="single" w:sz="4" w:space="0" w:color="auto"/>
              <w:right w:val="single" w:sz="4" w:space="0" w:color="auto"/>
            </w:tcBorders>
            <w:shd w:val="clear" w:color="000000" w:fill="420000"/>
            <w:noWrap/>
            <w:vAlign w:val="center"/>
            <w:hideMark/>
          </w:tcPr>
          <w:p w:rsidR="00804B57" w:rsidRPr="00804B57" w:rsidRDefault="00804B57" w:rsidP="00804B57">
            <w:pPr>
              <w:spacing w:after="0" w:line="240" w:lineRule="auto"/>
              <w:jc w:val="center"/>
              <w:rPr>
                <w:rFonts w:ascii="Calibri" w:eastAsia="Times New Roman" w:hAnsi="Calibri" w:cs="Times New Roman"/>
                <w:color w:val="FFFFFF"/>
                <w:sz w:val="16"/>
                <w:szCs w:val="16"/>
                <w:lang w:eastAsia="en-GB"/>
              </w:rPr>
            </w:pPr>
            <w:r w:rsidRPr="00804B57">
              <w:rPr>
                <w:rFonts w:ascii="Calibri" w:eastAsia="Times New Roman" w:hAnsi="Calibri" w:cs="Times New Roman"/>
                <w:color w:val="FFFFFF"/>
                <w:sz w:val="16"/>
                <w:szCs w:val="16"/>
                <w:lang w:eastAsia="en-GB"/>
              </w:rPr>
              <w:t>6,834</w:t>
            </w:r>
          </w:p>
        </w:tc>
        <w:tc>
          <w:tcPr>
            <w:tcW w:w="257" w:type="pct"/>
            <w:tcBorders>
              <w:top w:val="nil"/>
              <w:left w:val="nil"/>
              <w:bottom w:val="single" w:sz="4" w:space="0" w:color="auto"/>
              <w:right w:val="single" w:sz="4" w:space="0" w:color="auto"/>
            </w:tcBorders>
            <w:shd w:val="clear" w:color="000000" w:fill="420000"/>
            <w:noWrap/>
            <w:vAlign w:val="center"/>
            <w:hideMark/>
          </w:tcPr>
          <w:p w:rsidR="00804B57" w:rsidRPr="00804B57" w:rsidRDefault="00804B57" w:rsidP="00804B57">
            <w:pPr>
              <w:spacing w:after="0" w:line="240" w:lineRule="auto"/>
              <w:jc w:val="center"/>
              <w:rPr>
                <w:rFonts w:ascii="Calibri" w:eastAsia="Times New Roman" w:hAnsi="Calibri" w:cs="Times New Roman"/>
                <w:color w:val="FFFFFF"/>
                <w:sz w:val="16"/>
                <w:szCs w:val="16"/>
                <w:lang w:eastAsia="en-GB"/>
              </w:rPr>
            </w:pPr>
            <w:r w:rsidRPr="00804B57">
              <w:rPr>
                <w:rFonts w:ascii="Calibri" w:eastAsia="Times New Roman" w:hAnsi="Calibri" w:cs="Times New Roman"/>
                <w:color w:val="FFFFFF"/>
                <w:sz w:val="16"/>
                <w:szCs w:val="16"/>
                <w:lang w:eastAsia="en-GB"/>
              </w:rPr>
              <w:t>660</w:t>
            </w:r>
          </w:p>
        </w:tc>
        <w:tc>
          <w:tcPr>
            <w:tcW w:w="299" w:type="pct"/>
            <w:tcBorders>
              <w:top w:val="nil"/>
              <w:left w:val="nil"/>
              <w:bottom w:val="single" w:sz="4" w:space="0" w:color="auto"/>
              <w:right w:val="single" w:sz="4" w:space="0" w:color="auto"/>
            </w:tcBorders>
            <w:shd w:val="clear" w:color="000000" w:fill="EBF1DE"/>
            <w:noWrap/>
            <w:vAlign w:val="center"/>
            <w:hideMark/>
          </w:tcPr>
          <w:p w:rsidR="00804B57" w:rsidRPr="00804B57" w:rsidRDefault="00804B57" w:rsidP="00804B57">
            <w:pPr>
              <w:spacing w:after="0" w:line="240" w:lineRule="auto"/>
              <w:jc w:val="center"/>
              <w:rPr>
                <w:rFonts w:ascii="Calibri" w:eastAsia="Times New Roman" w:hAnsi="Calibri" w:cs="Times New Roman"/>
                <w:color w:val="000000"/>
                <w:sz w:val="16"/>
                <w:szCs w:val="16"/>
                <w:lang w:eastAsia="en-GB"/>
              </w:rPr>
            </w:pPr>
            <w:r w:rsidRPr="00804B57">
              <w:rPr>
                <w:rFonts w:ascii="Calibri" w:eastAsia="Times New Roman" w:hAnsi="Calibri" w:cs="Times New Roman"/>
                <w:color w:val="000000"/>
                <w:sz w:val="16"/>
                <w:szCs w:val="16"/>
                <w:lang w:eastAsia="en-GB"/>
              </w:rPr>
              <w:t>7,485</w:t>
            </w:r>
          </w:p>
        </w:tc>
        <w:tc>
          <w:tcPr>
            <w:tcW w:w="252" w:type="pct"/>
            <w:tcBorders>
              <w:top w:val="nil"/>
              <w:left w:val="nil"/>
              <w:bottom w:val="single" w:sz="4" w:space="0" w:color="auto"/>
              <w:right w:val="single" w:sz="4" w:space="0" w:color="auto"/>
            </w:tcBorders>
            <w:shd w:val="clear" w:color="000000" w:fill="EBF1DE"/>
            <w:noWrap/>
            <w:vAlign w:val="center"/>
            <w:hideMark/>
          </w:tcPr>
          <w:p w:rsidR="00804B57" w:rsidRPr="00804B57" w:rsidRDefault="00804B57" w:rsidP="00804B57">
            <w:pPr>
              <w:spacing w:after="0" w:line="240" w:lineRule="auto"/>
              <w:jc w:val="center"/>
              <w:rPr>
                <w:rFonts w:ascii="Calibri" w:eastAsia="Times New Roman" w:hAnsi="Calibri" w:cs="Times New Roman"/>
                <w:color w:val="000000"/>
                <w:sz w:val="16"/>
                <w:szCs w:val="16"/>
                <w:lang w:eastAsia="en-GB"/>
              </w:rPr>
            </w:pPr>
            <w:r w:rsidRPr="00804B57">
              <w:rPr>
                <w:rFonts w:ascii="Calibri" w:eastAsia="Times New Roman" w:hAnsi="Calibri" w:cs="Times New Roman"/>
                <w:color w:val="000000"/>
                <w:sz w:val="16"/>
                <w:szCs w:val="16"/>
                <w:lang w:eastAsia="en-GB"/>
              </w:rPr>
              <w:t>503</w:t>
            </w:r>
          </w:p>
        </w:tc>
        <w:tc>
          <w:tcPr>
            <w:tcW w:w="260" w:type="pct"/>
            <w:tcBorders>
              <w:top w:val="nil"/>
              <w:left w:val="nil"/>
              <w:bottom w:val="single" w:sz="4" w:space="0" w:color="auto"/>
              <w:right w:val="single" w:sz="4" w:space="0" w:color="auto"/>
            </w:tcBorders>
            <w:shd w:val="clear" w:color="000000" w:fill="EBF1DE"/>
            <w:noWrap/>
            <w:vAlign w:val="center"/>
            <w:hideMark/>
          </w:tcPr>
          <w:p w:rsidR="00804B57" w:rsidRPr="00804B57" w:rsidRDefault="00804B57" w:rsidP="00804B57">
            <w:pPr>
              <w:spacing w:after="0" w:line="240" w:lineRule="auto"/>
              <w:jc w:val="center"/>
              <w:rPr>
                <w:rFonts w:ascii="Calibri" w:eastAsia="Times New Roman" w:hAnsi="Calibri" w:cs="Times New Roman"/>
                <w:color w:val="000000"/>
                <w:sz w:val="16"/>
                <w:szCs w:val="16"/>
                <w:lang w:eastAsia="en-GB"/>
              </w:rPr>
            </w:pPr>
            <w:r w:rsidRPr="00804B57">
              <w:rPr>
                <w:rFonts w:ascii="Calibri" w:eastAsia="Times New Roman" w:hAnsi="Calibri" w:cs="Times New Roman"/>
                <w:color w:val="000000"/>
                <w:sz w:val="16"/>
                <w:szCs w:val="16"/>
                <w:lang w:eastAsia="en-GB"/>
              </w:rPr>
              <w:t>7,097</w:t>
            </w:r>
          </w:p>
        </w:tc>
        <w:tc>
          <w:tcPr>
            <w:tcW w:w="300" w:type="pct"/>
            <w:tcBorders>
              <w:top w:val="nil"/>
              <w:left w:val="nil"/>
              <w:bottom w:val="single" w:sz="4" w:space="0" w:color="auto"/>
              <w:right w:val="single" w:sz="4" w:space="0" w:color="auto"/>
            </w:tcBorders>
            <w:shd w:val="clear" w:color="000000" w:fill="EBF1DE"/>
            <w:noWrap/>
            <w:vAlign w:val="center"/>
            <w:hideMark/>
          </w:tcPr>
          <w:p w:rsidR="00804B57" w:rsidRPr="00804B57" w:rsidRDefault="00804B57" w:rsidP="00804B57">
            <w:pPr>
              <w:spacing w:after="0" w:line="240" w:lineRule="auto"/>
              <w:jc w:val="center"/>
              <w:rPr>
                <w:rFonts w:ascii="Calibri" w:eastAsia="Times New Roman" w:hAnsi="Calibri" w:cs="Times New Roman"/>
                <w:color w:val="000000"/>
                <w:sz w:val="16"/>
                <w:szCs w:val="16"/>
                <w:lang w:eastAsia="en-GB"/>
              </w:rPr>
            </w:pPr>
            <w:r w:rsidRPr="00804B57">
              <w:rPr>
                <w:rFonts w:ascii="Calibri" w:eastAsia="Times New Roman" w:hAnsi="Calibri" w:cs="Times New Roman"/>
                <w:color w:val="000000"/>
                <w:sz w:val="16"/>
                <w:szCs w:val="16"/>
                <w:lang w:eastAsia="en-GB"/>
              </w:rPr>
              <w:t>513</w:t>
            </w:r>
          </w:p>
        </w:tc>
        <w:tc>
          <w:tcPr>
            <w:tcW w:w="257" w:type="pct"/>
            <w:tcBorders>
              <w:top w:val="nil"/>
              <w:left w:val="nil"/>
              <w:bottom w:val="single" w:sz="4" w:space="0" w:color="auto"/>
              <w:right w:val="single" w:sz="4" w:space="0" w:color="auto"/>
            </w:tcBorders>
            <w:shd w:val="clear" w:color="auto" w:fill="auto"/>
            <w:noWrap/>
            <w:vAlign w:val="center"/>
            <w:hideMark/>
          </w:tcPr>
          <w:p w:rsidR="00804B57" w:rsidRPr="00804B57" w:rsidRDefault="00804B57" w:rsidP="00804B57">
            <w:pPr>
              <w:spacing w:after="0" w:line="240" w:lineRule="auto"/>
              <w:jc w:val="center"/>
              <w:rPr>
                <w:rFonts w:ascii="Calibri" w:eastAsia="Times New Roman" w:hAnsi="Calibri" w:cs="Times New Roman"/>
                <w:color w:val="000000"/>
                <w:sz w:val="16"/>
                <w:szCs w:val="16"/>
                <w:lang w:eastAsia="en-GB"/>
              </w:rPr>
            </w:pPr>
            <w:r w:rsidRPr="00804B57">
              <w:rPr>
                <w:rFonts w:ascii="Calibri" w:eastAsia="Times New Roman" w:hAnsi="Calibri" w:cs="Times New Roman"/>
                <w:color w:val="000000"/>
                <w:sz w:val="16"/>
                <w:szCs w:val="16"/>
                <w:lang w:eastAsia="en-GB"/>
              </w:rPr>
              <w:t>39,764</w:t>
            </w:r>
          </w:p>
        </w:tc>
        <w:tc>
          <w:tcPr>
            <w:tcW w:w="298" w:type="pct"/>
            <w:tcBorders>
              <w:top w:val="nil"/>
              <w:left w:val="nil"/>
              <w:bottom w:val="single" w:sz="4" w:space="0" w:color="auto"/>
              <w:right w:val="single" w:sz="4" w:space="0" w:color="auto"/>
            </w:tcBorders>
            <w:shd w:val="clear" w:color="auto" w:fill="auto"/>
            <w:noWrap/>
            <w:vAlign w:val="center"/>
            <w:hideMark/>
          </w:tcPr>
          <w:p w:rsidR="00804B57" w:rsidRPr="00804B57" w:rsidRDefault="00804B57" w:rsidP="00804B57">
            <w:pPr>
              <w:spacing w:after="0" w:line="240" w:lineRule="auto"/>
              <w:jc w:val="center"/>
              <w:rPr>
                <w:rFonts w:ascii="Calibri" w:eastAsia="Times New Roman" w:hAnsi="Calibri" w:cs="Times New Roman"/>
                <w:color w:val="000000"/>
                <w:sz w:val="16"/>
                <w:szCs w:val="16"/>
                <w:lang w:eastAsia="en-GB"/>
              </w:rPr>
            </w:pPr>
            <w:r w:rsidRPr="00804B57">
              <w:rPr>
                <w:rFonts w:ascii="Calibri" w:eastAsia="Times New Roman" w:hAnsi="Calibri" w:cs="Times New Roman"/>
                <w:color w:val="000000"/>
                <w:sz w:val="16"/>
                <w:szCs w:val="16"/>
                <w:lang w:eastAsia="en-GB"/>
              </w:rPr>
              <w:t>581</w:t>
            </w:r>
          </w:p>
        </w:tc>
      </w:tr>
    </w:tbl>
    <w:p w:rsidR="00804B57" w:rsidRDefault="00804B57" w:rsidP="00804B57">
      <w:pPr>
        <w:rPr>
          <w:b/>
        </w:rPr>
      </w:pPr>
    </w:p>
    <w:p w:rsidR="0095184E" w:rsidRDefault="0095184E" w:rsidP="00804B57">
      <w:r>
        <w:t xml:space="preserve">Due to the absence of national benchmark data, the above two indicators use the collective average of Cambridgeshire and Peterborough as benchmark values. The directly age-standardised rate of inpatient admissions in the 75+ age group is statistically significantly lower than the Cambridgeshire and Peterborough average in Peterborough, Cambridge, East Cambridgeshire and South Cambridgeshire and statistically higher than this average in Cambridgeshire, Fenland and Huntingdonshire. </w:t>
      </w:r>
    </w:p>
    <w:p w:rsidR="0095184E" w:rsidRDefault="0095184E" w:rsidP="00804B57">
      <w:r>
        <w:t xml:space="preserve">With regards to A&amp;E attendances in the </w:t>
      </w:r>
      <w:r w:rsidR="004F1D62">
        <w:t xml:space="preserve">75+ age group, Peterborough and Fenland have statistically significantly high directly age-standardised rates; all other areas of Cambridgeshire &amp; Peterborough have statistically significantly low rates with the exception of East Cambridgeshire which is statistically similar. </w:t>
      </w:r>
    </w:p>
    <w:p w:rsidR="00834592" w:rsidRDefault="00834592" w:rsidP="00804B57"/>
    <w:p w:rsidR="00834592" w:rsidRPr="00A82D39" w:rsidRDefault="00834592" w:rsidP="00834592">
      <w:pPr>
        <w:pStyle w:val="Heading2"/>
        <w:numPr>
          <w:ilvl w:val="0"/>
          <w:numId w:val="3"/>
        </w:numPr>
      </w:pPr>
      <w:bookmarkStart w:id="6" w:name="_Toc13125212"/>
      <w:r w:rsidRPr="00A82D39">
        <w:t>Enhanced care &amp; support indicators</w:t>
      </w:r>
      <w:bookmarkEnd w:id="6"/>
    </w:p>
    <w:p w:rsidR="00834592" w:rsidRDefault="00834592" w:rsidP="00804B57">
      <w:pPr>
        <w:rPr>
          <w:b/>
        </w:rPr>
      </w:pPr>
    </w:p>
    <w:p w:rsidR="00CE6AE2" w:rsidRDefault="00B675EC" w:rsidP="00804B57">
      <w:pPr>
        <w:rPr>
          <w:b/>
        </w:rPr>
      </w:pPr>
      <w:r>
        <w:rPr>
          <w:b/>
        </w:rPr>
        <w:t>Figure 14</w:t>
      </w:r>
      <w:r w:rsidR="002E16E6">
        <w:rPr>
          <w:b/>
        </w:rPr>
        <w:t>: Enhanced care &amp; support indicators (b</w:t>
      </w:r>
      <w:r w:rsidR="00CE6AE2">
        <w:rPr>
          <w:b/>
        </w:rPr>
        <w:t>enchmark – England):</w:t>
      </w:r>
    </w:p>
    <w:tbl>
      <w:tblPr>
        <w:tblW w:w="5389" w:type="pct"/>
        <w:tblInd w:w="-572" w:type="dxa"/>
        <w:tblLayout w:type="fixed"/>
        <w:tblLook w:val="04A0" w:firstRow="1" w:lastRow="0" w:firstColumn="1" w:lastColumn="0" w:noHBand="0" w:noVBand="1"/>
      </w:tblPr>
      <w:tblGrid>
        <w:gridCol w:w="1703"/>
        <w:gridCol w:w="850"/>
        <w:gridCol w:w="850"/>
        <w:gridCol w:w="852"/>
        <w:gridCol w:w="846"/>
        <w:gridCol w:w="852"/>
        <w:gridCol w:w="849"/>
        <w:gridCol w:w="852"/>
        <w:gridCol w:w="849"/>
        <w:gridCol w:w="852"/>
        <w:gridCol w:w="849"/>
        <w:gridCol w:w="852"/>
        <w:gridCol w:w="992"/>
        <w:gridCol w:w="852"/>
        <w:gridCol w:w="876"/>
        <w:gridCol w:w="965"/>
        <w:gridCol w:w="852"/>
        <w:gridCol w:w="992"/>
      </w:tblGrid>
      <w:tr w:rsidR="00CE6AE2" w:rsidRPr="00CE6AE2" w:rsidTr="00F97E28">
        <w:trPr>
          <w:trHeight w:val="300"/>
          <w:tblHeader/>
        </w:trPr>
        <w:tc>
          <w:tcPr>
            <w:tcW w:w="51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6AE2" w:rsidRPr="00CE6AE2" w:rsidRDefault="00CE6AE2" w:rsidP="00CE6AE2">
            <w:pPr>
              <w:spacing w:after="0" w:line="240" w:lineRule="auto"/>
              <w:jc w:val="center"/>
              <w:rPr>
                <w:rFonts w:ascii="Calibri" w:eastAsia="Times New Roman" w:hAnsi="Calibri" w:cs="Times New Roman"/>
                <w:color w:val="000000"/>
                <w:sz w:val="16"/>
                <w:szCs w:val="16"/>
                <w:lang w:eastAsia="en-GB"/>
              </w:rPr>
            </w:pPr>
            <w:r w:rsidRPr="00CE6AE2">
              <w:rPr>
                <w:rFonts w:ascii="Calibri" w:eastAsia="Times New Roman" w:hAnsi="Calibri" w:cs="Times New Roman"/>
                <w:color w:val="000000"/>
                <w:sz w:val="16"/>
                <w:szCs w:val="16"/>
                <w:lang w:eastAsia="en-GB"/>
              </w:rPr>
              <w:t>Indicator</w:t>
            </w:r>
          </w:p>
        </w:tc>
        <w:tc>
          <w:tcPr>
            <w:tcW w:w="256"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6AE2" w:rsidRPr="00CE6AE2" w:rsidRDefault="00CE6AE2" w:rsidP="00CE6AE2">
            <w:pPr>
              <w:spacing w:after="0" w:line="240" w:lineRule="auto"/>
              <w:jc w:val="center"/>
              <w:rPr>
                <w:rFonts w:ascii="Calibri" w:eastAsia="Times New Roman" w:hAnsi="Calibri" w:cs="Times New Roman"/>
                <w:color w:val="000000"/>
                <w:sz w:val="16"/>
                <w:szCs w:val="16"/>
                <w:lang w:eastAsia="en-GB"/>
              </w:rPr>
            </w:pPr>
            <w:r w:rsidRPr="00CE6AE2">
              <w:rPr>
                <w:rFonts w:ascii="Calibri" w:eastAsia="Times New Roman" w:hAnsi="Calibri" w:cs="Times New Roman"/>
                <w:color w:val="000000"/>
                <w:sz w:val="16"/>
                <w:szCs w:val="16"/>
                <w:lang w:eastAsia="en-GB"/>
              </w:rPr>
              <w:t>Time Period</w:t>
            </w:r>
          </w:p>
        </w:tc>
        <w:tc>
          <w:tcPr>
            <w:tcW w:w="4230" w:type="pct"/>
            <w:gridSpan w:val="16"/>
            <w:tcBorders>
              <w:top w:val="single" w:sz="4" w:space="0" w:color="auto"/>
              <w:left w:val="nil"/>
              <w:bottom w:val="single" w:sz="4" w:space="0" w:color="auto"/>
              <w:right w:val="single" w:sz="4" w:space="0" w:color="auto"/>
            </w:tcBorders>
            <w:shd w:val="clear" w:color="auto" w:fill="auto"/>
            <w:noWrap/>
            <w:vAlign w:val="center"/>
            <w:hideMark/>
          </w:tcPr>
          <w:p w:rsidR="00CE6AE2" w:rsidRPr="00CE6AE2" w:rsidRDefault="00CE6AE2" w:rsidP="00CE6AE2">
            <w:pPr>
              <w:spacing w:after="0" w:line="240" w:lineRule="auto"/>
              <w:jc w:val="center"/>
              <w:rPr>
                <w:rFonts w:ascii="Calibri" w:eastAsia="Times New Roman" w:hAnsi="Calibri" w:cs="Times New Roman"/>
                <w:color w:val="000000"/>
                <w:sz w:val="16"/>
                <w:szCs w:val="16"/>
                <w:lang w:eastAsia="en-GB"/>
              </w:rPr>
            </w:pPr>
            <w:r w:rsidRPr="00CE6AE2">
              <w:rPr>
                <w:rFonts w:ascii="Calibri" w:eastAsia="Times New Roman" w:hAnsi="Calibri" w:cs="Times New Roman"/>
                <w:color w:val="000000"/>
                <w:sz w:val="16"/>
                <w:szCs w:val="16"/>
                <w:lang w:eastAsia="en-GB"/>
              </w:rPr>
              <w:t>Area</w:t>
            </w:r>
          </w:p>
        </w:tc>
      </w:tr>
      <w:tr w:rsidR="00F97E28" w:rsidRPr="00CE6AE2" w:rsidTr="00F97E28">
        <w:trPr>
          <w:trHeight w:val="300"/>
          <w:tblHeader/>
        </w:trPr>
        <w:tc>
          <w:tcPr>
            <w:tcW w:w="513" w:type="pct"/>
            <w:vMerge/>
            <w:tcBorders>
              <w:top w:val="single" w:sz="4" w:space="0" w:color="auto"/>
              <w:left w:val="single" w:sz="4" w:space="0" w:color="auto"/>
              <w:bottom w:val="single" w:sz="4" w:space="0" w:color="auto"/>
              <w:right w:val="single" w:sz="4" w:space="0" w:color="auto"/>
            </w:tcBorders>
            <w:vAlign w:val="center"/>
            <w:hideMark/>
          </w:tcPr>
          <w:p w:rsidR="00CE6AE2" w:rsidRPr="00CE6AE2" w:rsidRDefault="00CE6AE2" w:rsidP="00CE6AE2">
            <w:pPr>
              <w:spacing w:after="0" w:line="240" w:lineRule="auto"/>
              <w:rPr>
                <w:rFonts w:ascii="Calibri" w:eastAsia="Times New Roman" w:hAnsi="Calibri" w:cs="Times New Roman"/>
                <w:color w:val="000000"/>
                <w:sz w:val="16"/>
                <w:szCs w:val="16"/>
                <w:lang w:eastAsia="en-GB"/>
              </w:rPr>
            </w:pPr>
          </w:p>
        </w:tc>
        <w:tc>
          <w:tcPr>
            <w:tcW w:w="256" w:type="pct"/>
            <w:vMerge/>
            <w:tcBorders>
              <w:top w:val="single" w:sz="4" w:space="0" w:color="auto"/>
              <w:left w:val="single" w:sz="4" w:space="0" w:color="auto"/>
              <w:bottom w:val="single" w:sz="4" w:space="0" w:color="auto"/>
              <w:right w:val="single" w:sz="4" w:space="0" w:color="auto"/>
            </w:tcBorders>
            <w:vAlign w:val="center"/>
            <w:hideMark/>
          </w:tcPr>
          <w:p w:rsidR="00CE6AE2" w:rsidRPr="00CE6AE2" w:rsidRDefault="00CE6AE2" w:rsidP="00CE6AE2">
            <w:pPr>
              <w:spacing w:after="0" w:line="240" w:lineRule="auto"/>
              <w:rPr>
                <w:rFonts w:ascii="Calibri" w:eastAsia="Times New Roman" w:hAnsi="Calibri" w:cs="Times New Roman"/>
                <w:color w:val="000000"/>
                <w:sz w:val="16"/>
                <w:szCs w:val="16"/>
                <w:lang w:eastAsia="en-GB"/>
              </w:rPr>
            </w:pPr>
          </w:p>
        </w:tc>
        <w:tc>
          <w:tcPr>
            <w:tcW w:w="513" w:type="pct"/>
            <w:gridSpan w:val="2"/>
            <w:tcBorders>
              <w:top w:val="single" w:sz="4" w:space="0" w:color="auto"/>
              <w:left w:val="nil"/>
              <w:bottom w:val="single" w:sz="4" w:space="0" w:color="auto"/>
              <w:right w:val="single" w:sz="4" w:space="0" w:color="auto"/>
            </w:tcBorders>
            <w:shd w:val="clear" w:color="auto" w:fill="auto"/>
            <w:noWrap/>
            <w:vAlign w:val="center"/>
            <w:hideMark/>
          </w:tcPr>
          <w:p w:rsidR="00CE6AE2" w:rsidRPr="00CE6AE2" w:rsidRDefault="00CE6AE2" w:rsidP="00CE6AE2">
            <w:pPr>
              <w:spacing w:after="0" w:line="240" w:lineRule="auto"/>
              <w:jc w:val="center"/>
              <w:rPr>
                <w:rFonts w:ascii="Calibri" w:eastAsia="Times New Roman" w:hAnsi="Calibri" w:cs="Times New Roman"/>
                <w:color w:val="000000"/>
                <w:sz w:val="16"/>
                <w:szCs w:val="16"/>
                <w:lang w:eastAsia="en-GB"/>
              </w:rPr>
            </w:pPr>
            <w:r w:rsidRPr="00CE6AE2">
              <w:rPr>
                <w:rFonts w:ascii="Calibri" w:eastAsia="Times New Roman" w:hAnsi="Calibri" w:cs="Times New Roman"/>
                <w:color w:val="000000"/>
                <w:sz w:val="16"/>
                <w:szCs w:val="16"/>
                <w:lang w:eastAsia="en-GB"/>
              </w:rPr>
              <w:t>Cambridgeshire</w:t>
            </w:r>
          </w:p>
        </w:tc>
        <w:tc>
          <w:tcPr>
            <w:tcW w:w="512" w:type="pct"/>
            <w:gridSpan w:val="2"/>
            <w:tcBorders>
              <w:top w:val="single" w:sz="4" w:space="0" w:color="auto"/>
              <w:left w:val="nil"/>
              <w:bottom w:val="single" w:sz="4" w:space="0" w:color="auto"/>
              <w:right w:val="single" w:sz="4" w:space="0" w:color="auto"/>
            </w:tcBorders>
            <w:shd w:val="clear" w:color="auto" w:fill="auto"/>
            <w:noWrap/>
            <w:vAlign w:val="center"/>
            <w:hideMark/>
          </w:tcPr>
          <w:p w:rsidR="00CE6AE2" w:rsidRPr="00CE6AE2" w:rsidRDefault="00CE6AE2" w:rsidP="00CE6AE2">
            <w:pPr>
              <w:spacing w:after="0" w:line="240" w:lineRule="auto"/>
              <w:jc w:val="center"/>
              <w:rPr>
                <w:rFonts w:ascii="Calibri" w:eastAsia="Times New Roman" w:hAnsi="Calibri" w:cs="Times New Roman"/>
                <w:color w:val="000000"/>
                <w:sz w:val="16"/>
                <w:szCs w:val="16"/>
                <w:lang w:eastAsia="en-GB"/>
              </w:rPr>
            </w:pPr>
            <w:r w:rsidRPr="00CE6AE2">
              <w:rPr>
                <w:rFonts w:ascii="Calibri" w:eastAsia="Times New Roman" w:hAnsi="Calibri" w:cs="Times New Roman"/>
                <w:color w:val="000000"/>
                <w:sz w:val="16"/>
                <w:szCs w:val="16"/>
                <w:lang w:eastAsia="en-GB"/>
              </w:rPr>
              <w:t>Peterborough</w:t>
            </w:r>
          </w:p>
        </w:tc>
        <w:tc>
          <w:tcPr>
            <w:tcW w:w="513" w:type="pct"/>
            <w:gridSpan w:val="2"/>
            <w:tcBorders>
              <w:top w:val="single" w:sz="4" w:space="0" w:color="auto"/>
              <w:left w:val="nil"/>
              <w:bottom w:val="single" w:sz="4" w:space="0" w:color="auto"/>
              <w:right w:val="single" w:sz="4" w:space="0" w:color="auto"/>
            </w:tcBorders>
            <w:shd w:val="clear" w:color="auto" w:fill="auto"/>
            <w:noWrap/>
            <w:vAlign w:val="center"/>
            <w:hideMark/>
          </w:tcPr>
          <w:p w:rsidR="00CE6AE2" w:rsidRPr="00CE6AE2" w:rsidRDefault="00CE6AE2" w:rsidP="00CE6AE2">
            <w:pPr>
              <w:spacing w:after="0" w:line="240" w:lineRule="auto"/>
              <w:jc w:val="center"/>
              <w:rPr>
                <w:rFonts w:ascii="Calibri" w:eastAsia="Times New Roman" w:hAnsi="Calibri" w:cs="Times New Roman"/>
                <w:color w:val="000000"/>
                <w:sz w:val="16"/>
                <w:szCs w:val="16"/>
                <w:lang w:eastAsia="en-GB"/>
              </w:rPr>
            </w:pPr>
            <w:r w:rsidRPr="00CE6AE2">
              <w:rPr>
                <w:rFonts w:ascii="Calibri" w:eastAsia="Times New Roman" w:hAnsi="Calibri" w:cs="Times New Roman"/>
                <w:color w:val="000000"/>
                <w:sz w:val="16"/>
                <w:szCs w:val="16"/>
                <w:lang w:eastAsia="en-GB"/>
              </w:rPr>
              <w:t>Cambridge</w:t>
            </w:r>
          </w:p>
        </w:tc>
        <w:tc>
          <w:tcPr>
            <w:tcW w:w="513" w:type="pct"/>
            <w:gridSpan w:val="2"/>
            <w:tcBorders>
              <w:top w:val="single" w:sz="4" w:space="0" w:color="auto"/>
              <w:left w:val="nil"/>
              <w:bottom w:val="single" w:sz="4" w:space="0" w:color="auto"/>
              <w:right w:val="single" w:sz="4" w:space="0" w:color="auto"/>
            </w:tcBorders>
            <w:shd w:val="clear" w:color="auto" w:fill="auto"/>
            <w:noWrap/>
            <w:vAlign w:val="center"/>
            <w:hideMark/>
          </w:tcPr>
          <w:p w:rsidR="00CE6AE2" w:rsidRPr="00CE6AE2" w:rsidRDefault="00CE6AE2" w:rsidP="00CE6AE2">
            <w:pPr>
              <w:spacing w:after="0" w:line="240" w:lineRule="auto"/>
              <w:jc w:val="center"/>
              <w:rPr>
                <w:rFonts w:ascii="Calibri" w:eastAsia="Times New Roman" w:hAnsi="Calibri" w:cs="Times New Roman"/>
                <w:color w:val="000000"/>
                <w:sz w:val="16"/>
                <w:szCs w:val="16"/>
                <w:lang w:eastAsia="en-GB"/>
              </w:rPr>
            </w:pPr>
            <w:r w:rsidRPr="00CE6AE2">
              <w:rPr>
                <w:rFonts w:ascii="Calibri" w:eastAsia="Times New Roman" w:hAnsi="Calibri" w:cs="Times New Roman"/>
                <w:color w:val="000000"/>
                <w:sz w:val="16"/>
                <w:szCs w:val="16"/>
                <w:lang w:eastAsia="en-GB"/>
              </w:rPr>
              <w:t>East Cambridgeshire</w:t>
            </w:r>
          </w:p>
        </w:tc>
        <w:tc>
          <w:tcPr>
            <w:tcW w:w="513" w:type="pct"/>
            <w:gridSpan w:val="2"/>
            <w:tcBorders>
              <w:top w:val="single" w:sz="4" w:space="0" w:color="auto"/>
              <w:left w:val="nil"/>
              <w:bottom w:val="single" w:sz="4" w:space="0" w:color="auto"/>
              <w:right w:val="single" w:sz="4" w:space="0" w:color="auto"/>
            </w:tcBorders>
            <w:shd w:val="clear" w:color="auto" w:fill="auto"/>
            <w:noWrap/>
            <w:vAlign w:val="center"/>
            <w:hideMark/>
          </w:tcPr>
          <w:p w:rsidR="00CE6AE2" w:rsidRPr="00CE6AE2" w:rsidRDefault="00CE6AE2" w:rsidP="00CE6AE2">
            <w:pPr>
              <w:spacing w:after="0" w:line="240" w:lineRule="auto"/>
              <w:jc w:val="center"/>
              <w:rPr>
                <w:rFonts w:ascii="Calibri" w:eastAsia="Times New Roman" w:hAnsi="Calibri" w:cs="Times New Roman"/>
                <w:color w:val="000000"/>
                <w:sz w:val="16"/>
                <w:szCs w:val="16"/>
                <w:lang w:eastAsia="en-GB"/>
              </w:rPr>
            </w:pPr>
            <w:r w:rsidRPr="00CE6AE2">
              <w:rPr>
                <w:rFonts w:ascii="Calibri" w:eastAsia="Times New Roman" w:hAnsi="Calibri" w:cs="Times New Roman"/>
                <w:color w:val="000000"/>
                <w:sz w:val="16"/>
                <w:szCs w:val="16"/>
                <w:lang w:eastAsia="en-GB"/>
              </w:rPr>
              <w:t>Fenland</w:t>
            </w:r>
          </w:p>
        </w:tc>
        <w:tc>
          <w:tcPr>
            <w:tcW w:w="556" w:type="pct"/>
            <w:gridSpan w:val="2"/>
            <w:tcBorders>
              <w:top w:val="single" w:sz="4" w:space="0" w:color="auto"/>
              <w:left w:val="nil"/>
              <w:bottom w:val="single" w:sz="4" w:space="0" w:color="auto"/>
              <w:right w:val="single" w:sz="4" w:space="0" w:color="auto"/>
            </w:tcBorders>
            <w:shd w:val="clear" w:color="auto" w:fill="auto"/>
            <w:noWrap/>
            <w:vAlign w:val="center"/>
            <w:hideMark/>
          </w:tcPr>
          <w:p w:rsidR="00CE6AE2" w:rsidRPr="00CE6AE2" w:rsidRDefault="00CE6AE2" w:rsidP="00CE6AE2">
            <w:pPr>
              <w:spacing w:after="0" w:line="240" w:lineRule="auto"/>
              <w:jc w:val="center"/>
              <w:rPr>
                <w:rFonts w:ascii="Calibri" w:eastAsia="Times New Roman" w:hAnsi="Calibri" w:cs="Times New Roman"/>
                <w:color w:val="000000"/>
                <w:sz w:val="16"/>
                <w:szCs w:val="16"/>
                <w:lang w:eastAsia="en-GB"/>
              </w:rPr>
            </w:pPr>
            <w:r w:rsidRPr="00CE6AE2">
              <w:rPr>
                <w:rFonts w:ascii="Calibri" w:eastAsia="Times New Roman" w:hAnsi="Calibri" w:cs="Times New Roman"/>
                <w:color w:val="000000"/>
                <w:sz w:val="16"/>
                <w:szCs w:val="16"/>
                <w:lang w:eastAsia="en-GB"/>
              </w:rPr>
              <w:t>Huntingdonshire</w:t>
            </w:r>
          </w:p>
        </w:tc>
        <w:tc>
          <w:tcPr>
            <w:tcW w:w="555" w:type="pct"/>
            <w:gridSpan w:val="2"/>
            <w:tcBorders>
              <w:top w:val="single" w:sz="4" w:space="0" w:color="auto"/>
              <w:left w:val="nil"/>
              <w:bottom w:val="single" w:sz="4" w:space="0" w:color="auto"/>
              <w:right w:val="single" w:sz="4" w:space="0" w:color="auto"/>
            </w:tcBorders>
            <w:shd w:val="clear" w:color="auto" w:fill="auto"/>
            <w:noWrap/>
            <w:vAlign w:val="center"/>
            <w:hideMark/>
          </w:tcPr>
          <w:p w:rsidR="00CE6AE2" w:rsidRPr="00CE6AE2" w:rsidRDefault="00CE6AE2" w:rsidP="00CE6AE2">
            <w:pPr>
              <w:spacing w:after="0" w:line="240" w:lineRule="auto"/>
              <w:jc w:val="center"/>
              <w:rPr>
                <w:rFonts w:ascii="Calibri" w:eastAsia="Times New Roman" w:hAnsi="Calibri" w:cs="Times New Roman"/>
                <w:color w:val="000000"/>
                <w:sz w:val="16"/>
                <w:szCs w:val="16"/>
                <w:lang w:eastAsia="en-GB"/>
              </w:rPr>
            </w:pPr>
            <w:r w:rsidRPr="00CE6AE2">
              <w:rPr>
                <w:rFonts w:ascii="Calibri" w:eastAsia="Times New Roman" w:hAnsi="Calibri" w:cs="Times New Roman"/>
                <w:color w:val="000000"/>
                <w:sz w:val="16"/>
                <w:szCs w:val="16"/>
                <w:lang w:eastAsia="en-GB"/>
              </w:rPr>
              <w:t>South Cambridgeshire</w:t>
            </w:r>
          </w:p>
        </w:tc>
        <w:tc>
          <w:tcPr>
            <w:tcW w:w="556" w:type="pct"/>
            <w:gridSpan w:val="2"/>
            <w:tcBorders>
              <w:top w:val="single" w:sz="4" w:space="0" w:color="auto"/>
              <w:left w:val="nil"/>
              <w:bottom w:val="single" w:sz="4" w:space="0" w:color="auto"/>
              <w:right w:val="single" w:sz="4" w:space="0" w:color="auto"/>
            </w:tcBorders>
            <w:shd w:val="clear" w:color="auto" w:fill="auto"/>
            <w:noWrap/>
            <w:vAlign w:val="center"/>
            <w:hideMark/>
          </w:tcPr>
          <w:p w:rsidR="00CE6AE2" w:rsidRPr="00CE6AE2" w:rsidRDefault="00CE6AE2" w:rsidP="00CE6AE2">
            <w:pPr>
              <w:spacing w:after="0" w:line="240" w:lineRule="auto"/>
              <w:jc w:val="center"/>
              <w:rPr>
                <w:rFonts w:ascii="Calibri" w:eastAsia="Times New Roman" w:hAnsi="Calibri" w:cs="Times New Roman"/>
                <w:color w:val="000000"/>
                <w:sz w:val="16"/>
                <w:szCs w:val="16"/>
                <w:lang w:eastAsia="en-GB"/>
              </w:rPr>
            </w:pPr>
            <w:r w:rsidRPr="00CE6AE2">
              <w:rPr>
                <w:rFonts w:ascii="Calibri" w:eastAsia="Times New Roman" w:hAnsi="Calibri" w:cs="Times New Roman"/>
                <w:color w:val="000000"/>
                <w:sz w:val="16"/>
                <w:szCs w:val="16"/>
                <w:lang w:eastAsia="en-GB"/>
              </w:rPr>
              <w:t>England</w:t>
            </w:r>
          </w:p>
        </w:tc>
      </w:tr>
      <w:tr w:rsidR="00F97E28" w:rsidRPr="00CE6AE2" w:rsidTr="00F97E28">
        <w:trPr>
          <w:trHeight w:val="300"/>
          <w:tblHeader/>
        </w:trPr>
        <w:tc>
          <w:tcPr>
            <w:tcW w:w="513" w:type="pct"/>
            <w:vMerge/>
            <w:tcBorders>
              <w:top w:val="single" w:sz="4" w:space="0" w:color="auto"/>
              <w:left w:val="single" w:sz="4" w:space="0" w:color="auto"/>
              <w:bottom w:val="single" w:sz="4" w:space="0" w:color="auto"/>
              <w:right w:val="single" w:sz="4" w:space="0" w:color="auto"/>
            </w:tcBorders>
            <w:vAlign w:val="center"/>
            <w:hideMark/>
          </w:tcPr>
          <w:p w:rsidR="00CE6AE2" w:rsidRPr="00CE6AE2" w:rsidRDefault="00CE6AE2" w:rsidP="00CE6AE2">
            <w:pPr>
              <w:spacing w:after="0" w:line="240" w:lineRule="auto"/>
              <w:rPr>
                <w:rFonts w:ascii="Calibri" w:eastAsia="Times New Roman" w:hAnsi="Calibri" w:cs="Times New Roman"/>
                <w:color w:val="000000"/>
                <w:sz w:val="16"/>
                <w:szCs w:val="16"/>
                <w:lang w:eastAsia="en-GB"/>
              </w:rPr>
            </w:pPr>
          </w:p>
        </w:tc>
        <w:tc>
          <w:tcPr>
            <w:tcW w:w="256" w:type="pct"/>
            <w:vMerge/>
            <w:tcBorders>
              <w:top w:val="single" w:sz="4" w:space="0" w:color="auto"/>
              <w:left w:val="single" w:sz="4" w:space="0" w:color="auto"/>
              <w:bottom w:val="single" w:sz="4" w:space="0" w:color="auto"/>
              <w:right w:val="single" w:sz="4" w:space="0" w:color="auto"/>
            </w:tcBorders>
            <w:vAlign w:val="center"/>
            <w:hideMark/>
          </w:tcPr>
          <w:p w:rsidR="00CE6AE2" w:rsidRPr="00CE6AE2" w:rsidRDefault="00CE6AE2" w:rsidP="00CE6AE2">
            <w:pPr>
              <w:spacing w:after="0" w:line="240" w:lineRule="auto"/>
              <w:rPr>
                <w:rFonts w:ascii="Calibri" w:eastAsia="Times New Roman" w:hAnsi="Calibri" w:cs="Times New Roman"/>
                <w:color w:val="000000"/>
                <w:sz w:val="16"/>
                <w:szCs w:val="16"/>
                <w:lang w:eastAsia="en-GB"/>
              </w:rPr>
            </w:pPr>
          </w:p>
        </w:tc>
        <w:tc>
          <w:tcPr>
            <w:tcW w:w="256" w:type="pct"/>
            <w:tcBorders>
              <w:top w:val="nil"/>
              <w:left w:val="nil"/>
              <w:bottom w:val="single" w:sz="4" w:space="0" w:color="auto"/>
              <w:right w:val="single" w:sz="4" w:space="0" w:color="auto"/>
            </w:tcBorders>
            <w:shd w:val="clear" w:color="auto" w:fill="auto"/>
            <w:noWrap/>
            <w:vAlign w:val="center"/>
            <w:hideMark/>
          </w:tcPr>
          <w:p w:rsidR="00CE6AE2" w:rsidRPr="00CE6AE2" w:rsidRDefault="00CE6AE2" w:rsidP="00CE6AE2">
            <w:pPr>
              <w:spacing w:after="0" w:line="240" w:lineRule="auto"/>
              <w:jc w:val="center"/>
              <w:rPr>
                <w:rFonts w:ascii="Calibri" w:eastAsia="Times New Roman" w:hAnsi="Calibri" w:cs="Times New Roman"/>
                <w:color w:val="000000"/>
                <w:sz w:val="16"/>
                <w:szCs w:val="16"/>
                <w:lang w:eastAsia="en-GB"/>
              </w:rPr>
            </w:pPr>
            <w:r w:rsidRPr="00CE6AE2">
              <w:rPr>
                <w:rFonts w:ascii="Calibri" w:eastAsia="Times New Roman" w:hAnsi="Calibri" w:cs="Times New Roman"/>
                <w:color w:val="000000"/>
                <w:sz w:val="16"/>
                <w:szCs w:val="16"/>
                <w:lang w:eastAsia="en-GB"/>
              </w:rPr>
              <w:t>Number</w:t>
            </w:r>
          </w:p>
        </w:tc>
        <w:tc>
          <w:tcPr>
            <w:tcW w:w="257" w:type="pct"/>
            <w:tcBorders>
              <w:top w:val="nil"/>
              <w:left w:val="nil"/>
              <w:bottom w:val="single" w:sz="4" w:space="0" w:color="auto"/>
              <w:right w:val="single" w:sz="4" w:space="0" w:color="auto"/>
            </w:tcBorders>
            <w:shd w:val="clear" w:color="auto" w:fill="auto"/>
            <w:noWrap/>
            <w:vAlign w:val="center"/>
            <w:hideMark/>
          </w:tcPr>
          <w:p w:rsidR="00CE6AE2" w:rsidRPr="00CE6AE2" w:rsidRDefault="00CE6AE2" w:rsidP="00CE6AE2">
            <w:pPr>
              <w:spacing w:after="0" w:line="240" w:lineRule="auto"/>
              <w:jc w:val="center"/>
              <w:rPr>
                <w:rFonts w:ascii="Calibri" w:eastAsia="Times New Roman" w:hAnsi="Calibri" w:cs="Times New Roman"/>
                <w:color w:val="000000"/>
                <w:sz w:val="16"/>
                <w:szCs w:val="16"/>
                <w:lang w:eastAsia="en-GB"/>
              </w:rPr>
            </w:pPr>
            <w:r w:rsidRPr="00CE6AE2">
              <w:rPr>
                <w:rFonts w:ascii="Calibri" w:eastAsia="Times New Roman" w:hAnsi="Calibri" w:cs="Times New Roman"/>
                <w:color w:val="000000"/>
                <w:sz w:val="16"/>
                <w:szCs w:val="16"/>
                <w:lang w:eastAsia="en-GB"/>
              </w:rPr>
              <w:t>Indicator Value</w:t>
            </w:r>
          </w:p>
        </w:tc>
        <w:tc>
          <w:tcPr>
            <w:tcW w:w="255" w:type="pct"/>
            <w:tcBorders>
              <w:top w:val="nil"/>
              <w:left w:val="nil"/>
              <w:bottom w:val="single" w:sz="4" w:space="0" w:color="auto"/>
              <w:right w:val="single" w:sz="4" w:space="0" w:color="auto"/>
            </w:tcBorders>
            <w:shd w:val="clear" w:color="auto" w:fill="auto"/>
            <w:noWrap/>
            <w:vAlign w:val="center"/>
            <w:hideMark/>
          </w:tcPr>
          <w:p w:rsidR="00CE6AE2" w:rsidRPr="00CE6AE2" w:rsidRDefault="00CE6AE2" w:rsidP="00CE6AE2">
            <w:pPr>
              <w:spacing w:after="0" w:line="240" w:lineRule="auto"/>
              <w:jc w:val="center"/>
              <w:rPr>
                <w:rFonts w:ascii="Calibri" w:eastAsia="Times New Roman" w:hAnsi="Calibri" w:cs="Times New Roman"/>
                <w:color w:val="000000"/>
                <w:sz w:val="16"/>
                <w:szCs w:val="16"/>
                <w:lang w:eastAsia="en-GB"/>
              </w:rPr>
            </w:pPr>
            <w:r w:rsidRPr="00CE6AE2">
              <w:rPr>
                <w:rFonts w:ascii="Calibri" w:eastAsia="Times New Roman" w:hAnsi="Calibri" w:cs="Times New Roman"/>
                <w:color w:val="000000"/>
                <w:sz w:val="16"/>
                <w:szCs w:val="16"/>
                <w:lang w:eastAsia="en-GB"/>
              </w:rPr>
              <w:t>Number</w:t>
            </w:r>
          </w:p>
        </w:tc>
        <w:tc>
          <w:tcPr>
            <w:tcW w:w="257" w:type="pct"/>
            <w:tcBorders>
              <w:top w:val="nil"/>
              <w:left w:val="nil"/>
              <w:bottom w:val="single" w:sz="4" w:space="0" w:color="auto"/>
              <w:right w:val="single" w:sz="4" w:space="0" w:color="auto"/>
            </w:tcBorders>
            <w:shd w:val="clear" w:color="auto" w:fill="auto"/>
            <w:noWrap/>
            <w:vAlign w:val="center"/>
            <w:hideMark/>
          </w:tcPr>
          <w:p w:rsidR="00CE6AE2" w:rsidRPr="00CE6AE2" w:rsidRDefault="00CE6AE2" w:rsidP="00CE6AE2">
            <w:pPr>
              <w:spacing w:after="0" w:line="240" w:lineRule="auto"/>
              <w:jc w:val="center"/>
              <w:rPr>
                <w:rFonts w:ascii="Calibri" w:eastAsia="Times New Roman" w:hAnsi="Calibri" w:cs="Times New Roman"/>
                <w:color w:val="000000"/>
                <w:sz w:val="16"/>
                <w:szCs w:val="16"/>
                <w:lang w:eastAsia="en-GB"/>
              </w:rPr>
            </w:pPr>
            <w:r w:rsidRPr="00CE6AE2">
              <w:rPr>
                <w:rFonts w:ascii="Calibri" w:eastAsia="Times New Roman" w:hAnsi="Calibri" w:cs="Times New Roman"/>
                <w:color w:val="000000"/>
                <w:sz w:val="16"/>
                <w:szCs w:val="16"/>
                <w:lang w:eastAsia="en-GB"/>
              </w:rPr>
              <w:t>Indicator Value</w:t>
            </w:r>
          </w:p>
        </w:tc>
        <w:tc>
          <w:tcPr>
            <w:tcW w:w="256" w:type="pct"/>
            <w:tcBorders>
              <w:top w:val="nil"/>
              <w:left w:val="nil"/>
              <w:bottom w:val="single" w:sz="4" w:space="0" w:color="auto"/>
              <w:right w:val="single" w:sz="4" w:space="0" w:color="auto"/>
            </w:tcBorders>
            <w:shd w:val="clear" w:color="auto" w:fill="auto"/>
            <w:noWrap/>
            <w:vAlign w:val="center"/>
            <w:hideMark/>
          </w:tcPr>
          <w:p w:rsidR="00CE6AE2" w:rsidRPr="00CE6AE2" w:rsidRDefault="00CE6AE2" w:rsidP="00CE6AE2">
            <w:pPr>
              <w:spacing w:after="0" w:line="240" w:lineRule="auto"/>
              <w:jc w:val="center"/>
              <w:rPr>
                <w:rFonts w:ascii="Calibri" w:eastAsia="Times New Roman" w:hAnsi="Calibri" w:cs="Times New Roman"/>
                <w:color w:val="000000"/>
                <w:sz w:val="16"/>
                <w:szCs w:val="16"/>
                <w:lang w:eastAsia="en-GB"/>
              </w:rPr>
            </w:pPr>
            <w:r w:rsidRPr="00CE6AE2">
              <w:rPr>
                <w:rFonts w:ascii="Calibri" w:eastAsia="Times New Roman" w:hAnsi="Calibri" w:cs="Times New Roman"/>
                <w:color w:val="000000"/>
                <w:sz w:val="16"/>
                <w:szCs w:val="16"/>
                <w:lang w:eastAsia="en-GB"/>
              </w:rPr>
              <w:t>Number</w:t>
            </w:r>
          </w:p>
        </w:tc>
        <w:tc>
          <w:tcPr>
            <w:tcW w:w="257" w:type="pct"/>
            <w:tcBorders>
              <w:top w:val="nil"/>
              <w:left w:val="nil"/>
              <w:bottom w:val="single" w:sz="4" w:space="0" w:color="auto"/>
              <w:right w:val="single" w:sz="4" w:space="0" w:color="auto"/>
            </w:tcBorders>
            <w:shd w:val="clear" w:color="auto" w:fill="auto"/>
            <w:noWrap/>
            <w:vAlign w:val="center"/>
            <w:hideMark/>
          </w:tcPr>
          <w:p w:rsidR="00CE6AE2" w:rsidRPr="00CE6AE2" w:rsidRDefault="00CE6AE2" w:rsidP="00CE6AE2">
            <w:pPr>
              <w:spacing w:after="0" w:line="240" w:lineRule="auto"/>
              <w:jc w:val="center"/>
              <w:rPr>
                <w:rFonts w:ascii="Calibri" w:eastAsia="Times New Roman" w:hAnsi="Calibri" w:cs="Times New Roman"/>
                <w:color w:val="000000"/>
                <w:sz w:val="16"/>
                <w:szCs w:val="16"/>
                <w:lang w:eastAsia="en-GB"/>
              </w:rPr>
            </w:pPr>
            <w:r w:rsidRPr="00CE6AE2">
              <w:rPr>
                <w:rFonts w:ascii="Calibri" w:eastAsia="Times New Roman" w:hAnsi="Calibri" w:cs="Times New Roman"/>
                <w:color w:val="000000"/>
                <w:sz w:val="16"/>
                <w:szCs w:val="16"/>
                <w:lang w:eastAsia="en-GB"/>
              </w:rPr>
              <w:t>Indicator Value</w:t>
            </w:r>
          </w:p>
        </w:tc>
        <w:tc>
          <w:tcPr>
            <w:tcW w:w="256" w:type="pct"/>
            <w:tcBorders>
              <w:top w:val="nil"/>
              <w:left w:val="nil"/>
              <w:bottom w:val="single" w:sz="4" w:space="0" w:color="auto"/>
              <w:right w:val="single" w:sz="4" w:space="0" w:color="auto"/>
            </w:tcBorders>
            <w:shd w:val="clear" w:color="auto" w:fill="auto"/>
            <w:noWrap/>
            <w:vAlign w:val="center"/>
            <w:hideMark/>
          </w:tcPr>
          <w:p w:rsidR="00CE6AE2" w:rsidRPr="00CE6AE2" w:rsidRDefault="00CE6AE2" w:rsidP="00CE6AE2">
            <w:pPr>
              <w:spacing w:after="0" w:line="240" w:lineRule="auto"/>
              <w:jc w:val="center"/>
              <w:rPr>
                <w:rFonts w:ascii="Calibri" w:eastAsia="Times New Roman" w:hAnsi="Calibri" w:cs="Times New Roman"/>
                <w:color w:val="000000"/>
                <w:sz w:val="16"/>
                <w:szCs w:val="16"/>
                <w:lang w:eastAsia="en-GB"/>
              </w:rPr>
            </w:pPr>
            <w:r w:rsidRPr="00CE6AE2">
              <w:rPr>
                <w:rFonts w:ascii="Calibri" w:eastAsia="Times New Roman" w:hAnsi="Calibri" w:cs="Times New Roman"/>
                <w:color w:val="000000"/>
                <w:sz w:val="16"/>
                <w:szCs w:val="16"/>
                <w:lang w:eastAsia="en-GB"/>
              </w:rPr>
              <w:t>Number</w:t>
            </w:r>
          </w:p>
        </w:tc>
        <w:tc>
          <w:tcPr>
            <w:tcW w:w="257" w:type="pct"/>
            <w:tcBorders>
              <w:top w:val="nil"/>
              <w:left w:val="nil"/>
              <w:bottom w:val="single" w:sz="4" w:space="0" w:color="auto"/>
              <w:right w:val="single" w:sz="4" w:space="0" w:color="auto"/>
            </w:tcBorders>
            <w:shd w:val="clear" w:color="auto" w:fill="auto"/>
            <w:noWrap/>
            <w:vAlign w:val="center"/>
            <w:hideMark/>
          </w:tcPr>
          <w:p w:rsidR="00CE6AE2" w:rsidRPr="00CE6AE2" w:rsidRDefault="00CE6AE2" w:rsidP="00CE6AE2">
            <w:pPr>
              <w:spacing w:after="0" w:line="240" w:lineRule="auto"/>
              <w:jc w:val="center"/>
              <w:rPr>
                <w:rFonts w:ascii="Calibri" w:eastAsia="Times New Roman" w:hAnsi="Calibri" w:cs="Times New Roman"/>
                <w:color w:val="000000"/>
                <w:sz w:val="16"/>
                <w:szCs w:val="16"/>
                <w:lang w:eastAsia="en-GB"/>
              </w:rPr>
            </w:pPr>
            <w:r w:rsidRPr="00CE6AE2">
              <w:rPr>
                <w:rFonts w:ascii="Calibri" w:eastAsia="Times New Roman" w:hAnsi="Calibri" w:cs="Times New Roman"/>
                <w:color w:val="000000"/>
                <w:sz w:val="16"/>
                <w:szCs w:val="16"/>
                <w:lang w:eastAsia="en-GB"/>
              </w:rPr>
              <w:t>Indicator Value</w:t>
            </w:r>
          </w:p>
        </w:tc>
        <w:tc>
          <w:tcPr>
            <w:tcW w:w="256" w:type="pct"/>
            <w:tcBorders>
              <w:top w:val="nil"/>
              <w:left w:val="nil"/>
              <w:bottom w:val="single" w:sz="4" w:space="0" w:color="auto"/>
              <w:right w:val="single" w:sz="4" w:space="0" w:color="auto"/>
            </w:tcBorders>
            <w:shd w:val="clear" w:color="auto" w:fill="auto"/>
            <w:noWrap/>
            <w:vAlign w:val="center"/>
            <w:hideMark/>
          </w:tcPr>
          <w:p w:rsidR="00CE6AE2" w:rsidRPr="00CE6AE2" w:rsidRDefault="00CE6AE2" w:rsidP="00CE6AE2">
            <w:pPr>
              <w:spacing w:after="0" w:line="240" w:lineRule="auto"/>
              <w:jc w:val="center"/>
              <w:rPr>
                <w:rFonts w:ascii="Calibri" w:eastAsia="Times New Roman" w:hAnsi="Calibri" w:cs="Times New Roman"/>
                <w:color w:val="000000"/>
                <w:sz w:val="16"/>
                <w:szCs w:val="16"/>
                <w:lang w:eastAsia="en-GB"/>
              </w:rPr>
            </w:pPr>
            <w:r w:rsidRPr="00CE6AE2">
              <w:rPr>
                <w:rFonts w:ascii="Calibri" w:eastAsia="Times New Roman" w:hAnsi="Calibri" w:cs="Times New Roman"/>
                <w:color w:val="000000"/>
                <w:sz w:val="16"/>
                <w:szCs w:val="16"/>
                <w:lang w:eastAsia="en-GB"/>
              </w:rPr>
              <w:t>Number</w:t>
            </w:r>
          </w:p>
        </w:tc>
        <w:tc>
          <w:tcPr>
            <w:tcW w:w="257" w:type="pct"/>
            <w:tcBorders>
              <w:top w:val="nil"/>
              <w:left w:val="nil"/>
              <w:bottom w:val="single" w:sz="4" w:space="0" w:color="auto"/>
              <w:right w:val="single" w:sz="4" w:space="0" w:color="auto"/>
            </w:tcBorders>
            <w:shd w:val="clear" w:color="auto" w:fill="auto"/>
            <w:noWrap/>
            <w:vAlign w:val="center"/>
            <w:hideMark/>
          </w:tcPr>
          <w:p w:rsidR="00CE6AE2" w:rsidRPr="00CE6AE2" w:rsidRDefault="00CE6AE2" w:rsidP="00CE6AE2">
            <w:pPr>
              <w:spacing w:after="0" w:line="240" w:lineRule="auto"/>
              <w:jc w:val="center"/>
              <w:rPr>
                <w:rFonts w:ascii="Calibri" w:eastAsia="Times New Roman" w:hAnsi="Calibri" w:cs="Times New Roman"/>
                <w:color w:val="000000"/>
                <w:sz w:val="16"/>
                <w:szCs w:val="16"/>
                <w:lang w:eastAsia="en-GB"/>
              </w:rPr>
            </w:pPr>
            <w:r w:rsidRPr="00CE6AE2">
              <w:rPr>
                <w:rFonts w:ascii="Calibri" w:eastAsia="Times New Roman" w:hAnsi="Calibri" w:cs="Times New Roman"/>
                <w:color w:val="000000"/>
                <w:sz w:val="16"/>
                <w:szCs w:val="16"/>
                <w:lang w:eastAsia="en-GB"/>
              </w:rPr>
              <w:t>Indicator Value</w:t>
            </w:r>
          </w:p>
        </w:tc>
        <w:tc>
          <w:tcPr>
            <w:tcW w:w="299" w:type="pct"/>
            <w:tcBorders>
              <w:top w:val="nil"/>
              <w:left w:val="nil"/>
              <w:bottom w:val="single" w:sz="4" w:space="0" w:color="auto"/>
              <w:right w:val="single" w:sz="4" w:space="0" w:color="auto"/>
            </w:tcBorders>
            <w:shd w:val="clear" w:color="auto" w:fill="auto"/>
            <w:noWrap/>
            <w:vAlign w:val="center"/>
            <w:hideMark/>
          </w:tcPr>
          <w:p w:rsidR="00CE6AE2" w:rsidRPr="00CE6AE2" w:rsidRDefault="00CE6AE2" w:rsidP="00CE6AE2">
            <w:pPr>
              <w:spacing w:after="0" w:line="240" w:lineRule="auto"/>
              <w:jc w:val="center"/>
              <w:rPr>
                <w:rFonts w:ascii="Calibri" w:eastAsia="Times New Roman" w:hAnsi="Calibri" w:cs="Times New Roman"/>
                <w:color w:val="000000"/>
                <w:sz w:val="16"/>
                <w:szCs w:val="16"/>
                <w:lang w:eastAsia="en-GB"/>
              </w:rPr>
            </w:pPr>
            <w:r w:rsidRPr="00CE6AE2">
              <w:rPr>
                <w:rFonts w:ascii="Calibri" w:eastAsia="Times New Roman" w:hAnsi="Calibri" w:cs="Times New Roman"/>
                <w:color w:val="000000"/>
                <w:sz w:val="16"/>
                <w:szCs w:val="16"/>
                <w:lang w:eastAsia="en-GB"/>
              </w:rPr>
              <w:t>Number</w:t>
            </w:r>
          </w:p>
        </w:tc>
        <w:tc>
          <w:tcPr>
            <w:tcW w:w="257" w:type="pct"/>
            <w:tcBorders>
              <w:top w:val="nil"/>
              <w:left w:val="nil"/>
              <w:bottom w:val="single" w:sz="4" w:space="0" w:color="auto"/>
              <w:right w:val="single" w:sz="4" w:space="0" w:color="auto"/>
            </w:tcBorders>
            <w:shd w:val="clear" w:color="auto" w:fill="auto"/>
            <w:noWrap/>
            <w:vAlign w:val="center"/>
            <w:hideMark/>
          </w:tcPr>
          <w:p w:rsidR="00CE6AE2" w:rsidRPr="00CE6AE2" w:rsidRDefault="00CE6AE2" w:rsidP="00CE6AE2">
            <w:pPr>
              <w:spacing w:after="0" w:line="240" w:lineRule="auto"/>
              <w:jc w:val="center"/>
              <w:rPr>
                <w:rFonts w:ascii="Calibri" w:eastAsia="Times New Roman" w:hAnsi="Calibri" w:cs="Times New Roman"/>
                <w:color w:val="000000"/>
                <w:sz w:val="16"/>
                <w:szCs w:val="16"/>
                <w:lang w:eastAsia="en-GB"/>
              </w:rPr>
            </w:pPr>
            <w:r w:rsidRPr="00CE6AE2">
              <w:rPr>
                <w:rFonts w:ascii="Calibri" w:eastAsia="Times New Roman" w:hAnsi="Calibri" w:cs="Times New Roman"/>
                <w:color w:val="000000"/>
                <w:sz w:val="16"/>
                <w:szCs w:val="16"/>
                <w:lang w:eastAsia="en-GB"/>
              </w:rPr>
              <w:t>Indicator Value</w:t>
            </w:r>
          </w:p>
        </w:tc>
        <w:tc>
          <w:tcPr>
            <w:tcW w:w="264" w:type="pct"/>
            <w:tcBorders>
              <w:top w:val="nil"/>
              <w:left w:val="nil"/>
              <w:bottom w:val="single" w:sz="4" w:space="0" w:color="auto"/>
              <w:right w:val="single" w:sz="4" w:space="0" w:color="auto"/>
            </w:tcBorders>
            <w:shd w:val="clear" w:color="auto" w:fill="auto"/>
            <w:noWrap/>
            <w:vAlign w:val="center"/>
            <w:hideMark/>
          </w:tcPr>
          <w:p w:rsidR="00CE6AE2" w:rsidRPr="00CE6AE2" w:rsidRDefault="00CE6AE2" w:rsidP="00CE6AE2">
            <w:pPr>
              <w:spacing w:after="0" w:line="240" w:lineRule="auto"/>
              <w:jc w:val="center"/>
              <w:rPr>
                <w:rFonts w:ascii="Calibri" w:eastAsia="Times New Roman" w:hAnsi="Calibri" w:cs="Times New Roman"/>
                <w:color w:val="000000"/>
                <w:sz w:val="16"/>
                <w:szCs w:val="16"/>
                <w:lang w:eastAsia="en-GB"/>
              </w:rPr>
            </w:pPr>
            <w:r w:rsidRPr="00CE6AE2">
              <w:rPr>
                <w:rFonts w:ascii="Calibri" w:eastAsia="Times New Roman" w:hAnsi="Calibri" w:cs="Times New Roman"/>
                <w:color w:val="000000"/>
                <w:sz w:val="16"/>
                <w:szCs w:val="16"/>
                <w:lang w:eastAsia="en-GB"/>
              </w:rPr>
              <w:t>Number</w:t>
            </w:r>
          </w:p>
        </w:tc>
        <w:tc>
          <w:tcPr>
            <w:tcW w:w="291" w:type="pct"/>
            <w:tcBorders>
              <w:top w:val="nil"/>
              <w:left w:val="nil"/>
              <w:bottom w:val="single" w:sz="4" w:space="0" w:color="auto"/>
              <w:right w:val="single" w:sz="4" w:space="0" w:color="auto"/>
            </w:tcBorders>
            <w:shd w:val="clear" w:color="auto" w:fill="auto"/>
            <w:noWrap/>
            <w:vAlign w:val="center"/>
            <w:hideMark/>
          </w:tcPr>
          <w:p w:rsidR="00CE6AE2" w:rsidRPr="00CE6AE2" w:rsidRDefault="00CE6AE2" w:rsidP="00CE6AE2">
            <w:pPr>
              <w:spacing w:after="0" w:line="240" w:lineRule="auto"/>
              <w:jc w:val="center"/>
              <w:rPr>
                <w:rFonts w:ascii="Calibri" w:eastAsia="Times New Roman" w:hAnsi="Calibri" w:cs="Times New Roman"/>
                <w:color w:val="000000"/>
                <w:sz w:val="16"/>
                <w:szCs w:val="16"/>
                <w:lang w:eastAsia="en-GB"/>
              </w:rPr>
            </w:pPr>
            <w:r w:rsidRPr="00CE6AE2">
              <w:rPr>
                <w:rFonts w:ascii="Calibri" w:eastAsia="Times New Roman" w:hAnsi="Calibri" w:cs="Times New Roman"/>
                <w:color w:val="000000"/>
                <w:sz w:val="16"/>
                <w:szCs w:val="16"/>
                <w:lang w:eastAsia="en-GB"/>
              </w:rPr>
              <w:t>Indicator Value</w:t>
            </w:r>
          </w:p>
        </w:tc>
        <w:tc>
          <w:tcPr>
            <w:tcW w:w="257" w:type="pct"/>
            <w:tcBorders>
              <w:top w:val="nil"/>
              <w:left w:val="nil"/>
              <w:bottom w:val="single" w:sz="4" w:space="0" w:color="auto"/>
              <w:right w:val="single" w:sz="4" w:space="0" w:color="auto"/>
            </w:tcBorders>
            <w:shd w:val="clear" w:color="auto" w:fill="auto"/>
            <w:noWrap/>
            <w:vAlign w:val="center"/>
            <w:hideMark/>
          </w:tcPr>
          <w:p w:rsidR="00CE6AE2" w:rsidRPr="00CE6AE2" w:rsidRDefault="00CE6AE2" w:rsidP="00CE6AE2">
            <w:pPr>
              <w:spacing w:after="0" w:line="240" w:lineRule="auto"/>
              <w:jc w:val="center"/>
              <w:rPr>
                <w:rFonts w:ascii="Calibri" w:eastAsia="Times New Roman" w:hAnsi="Calibri" w:cs="Times New Roman"/>
                <w:color w:val="000000"/>
                <w:sz w:val="16"/>
                <w:szCs w:val="16"/>
                <w:lang w:eastAsia="en-GB"/>
              </w:rPr>
            </w:pPr>
            <w:r w:rsidRPr="00CE6AE2">
              <w:rPr>
                <w:rFonts w:ascii="Calibri" w:eastAsia="Times New Roman" w:hAnsi="Calibri" w:cs="Times New Roman"/>
                <w:color w:val="000000"/>
                <w:sz w:val="16"/>
                <w:szCs w:val="16"/>
                <w:lang w:eastAsia="en-GB"/>
              </w:rPr>
              <w:t>Number</w:t>
            </w:r>
          </w:p>
        </w:tc>
        <w:tc>
          <w:tcPr>
            <w:tcW w:w="299" w:type="pct"/>
            <w:tcBorders>
              <w:top w:val="nil"/>
              <w:left w:val="nil"/>
              <w:bottom w:val="single" w:sz="4" w:space="0" w:color="auto"/>
              <w:right w:val="single" w:sz="4" w:space="0" w:color="auto"/>
            </w:tcBorders>
            <w:shd w:val="clear" w:color="auto" w:fill="auto"/>
            <w:noWrap/>
            <w:vAlign w:val="center"/>
            <w:hideMark/>
          </w:tcPr>
          <w:p w:rsidR="00CE6AE2" w:rsidRPr="00CE6AE2" w:rsidRDefault="00CE6AE2" w:rsidP="00CE6AE2">
            <w:pPr>
              <w:spacing w:after="0" w:line="240" w:lineRule="auto"/>
              <w:jc w:val="center"/>
              <w:rPr>
                <w:rFonts w:ascii="Calibri" w:eastAsia="Times New Roman" w:hAnsi="Calibri" w:cs="Times New Roman"/>
                <w:color w:val="000000"/>
                <w:sz w:val="16"/>
                <w:szCs w:val="16"/>
                <w:lang w:eastAsia="en-GB"/>
              </w:rPr>
            </w:pPr>
            <w:r w:rsidRPr="00CE6AE2">
              <w:rPr>
                <w:rFonts w:ascii="Calibri" w:eastAsia="Times New Roman" w:hAnsi="Calibri" w:cs="Times New Roman"/>
                <w:color w:val="000000"/>
                <w:sz w:val="16"/>
                <w:szCs w:val="16"/>
                <w:lang w:eastAsia="en-GB"/>
              </w:rPr>
              <w:t>Indicator Value</w:t>
            </w:r>
          </w:p>
        </w:tc>
      </w:tr>
      <w:tr w:rsidR="00F97E28" w:rsidRPr="00CE6AE2" w:rsidTr="00F97E28">
        <w:trPr>
          <w:trHeight w:val="300"/>
        </w:trPr>
        <w:tc>
          <w:tcPr>
            <w:tcW w:w="5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73E6" w:rsidRPr="00A073E6" w:rsidRDefault="00A073E6" w:rsidP="00A073E6">
            <w:pPr>
              <w:jc w:val="center"/>
              <w:rPr>
                <w:rFonts w:ascii="Calibri" w:hAnsi="Calibri"/>
                <w:color w:val="000000"/>
                <w:sz w:val="16"/>
                <w:szCs w:val="16"/>
              </w:rPr>
            </w:pPr>
            <w:r w:rsidRPr="00A073E6">
              <w:rPr>
                <w:rFonts w:ascii="Calibri" w:hAnsi="Calibri"/>
                <w:color w:val="000000"/>
                <w:sz w:val="16"/>
                <w:szCs w:val="16"/>
              </w:rPr>
              <w:t>Directly age-standardised rate of emergency hospital admissions due to falls in 65+</w:t>
            </w:r>
          </w:p>
        </w:tc>
        <w:tc>
          <w:tcPr>
            <w:tcW w:w="256" w:type="pct"/>
            <w:tcBorders>
              <w:top w:val="single" w:sz="4" w:space="0" w:color="auto"/>
              <w:left w:val="nil"/>
              <w:bottom w:val="single" w:sz="4" w:space="0" w:color="auto"/>
              <w:right w:val="single" w:sz="4" w:space="0" w:color="auto"/>
            </w:tcBorders>
            <w:shd w:val="clear" w:color="auto" w:fill="auto"/>
            <w:noWrap/>
            <w:vAlign w:val="center"/>
            <w:hideMark/>
          </w:tcPr>
          <w:p w:rsidR="00A073E6" w:rsidRPr="00A073E6" w:rsidRDefault="00A073E6" w:rsidP="00A073E6">
            <w:pPr>
              <w:jc w:val="center"/>
              <w:rPr>
                <w:rFonts w:ascii="Calibri" w:hAnsi="Calibri"/>
                <w:color w:val="000000"/>
                <w:sz w:val="16"/>
                <w:szCs w:val="16"/>
              </w:rPr>
            </w:pPr>
            <w:r w:rsidRPr="00A073E6">
              <w:rPr>
                <w:rFonts w:ascii="Calibri" w:hAnsi="Calibri"/>
                <w:color w:val="000000"/>
                <w:sz w:val="16"/>
                <w:szCs w:val="16"/>
              </w:rPr>
              <w:t>2017-18</w:t>
            </w:r>
          </w:p>
        </w:tc>
        <w:tc>
          <w:tcPr>
            <w:tcW w:w="256" w:type="pct"/>
            <w:tcBorders>
              <w:top w:val="single" w:sz="4" w:space="0" w:color="auto"/>
              <w:left w:val="nil"/>
              <w:bottom w:val="single" w:sz="4" w:space="0" w:color="auto"/>
              <w:right w:val="single" w:sz="4" w:space="0" w:color="auto"/>
            </w:tcBorders>
            <w:shd w:val="clear" w:color="000000" w:fill="FFFF99"/>
            <w:noWrap/>
            <w:vAlign w:val="center"/>
            <w:hideMark/>
          </w:tcPr>
          <w:p w:rsidR="00A073E6" w:rsidRPr="00A073E6" w:rsidRDefault="00A073E6" w:rsidP="00A073E6">
            <w:pPr>
              <w:jc w:val="center"/>
              <w:rPr>
                <w:rFonts w:ascii="Calibri" w:hAnsi="Calibri"/>
                <w:color w:val="000000"/>
                <w:sz w:val="16"/>
                <w:szCs w:val="16"/>
              </w:rPr>
            </w:pPr>
            <w:r w:rsidRPr="00A073E6">
              <w:rPr>
                <w:rFonts w:ascii="Calibri" w:hAnsi="Calibri"/>
                <w:color w:val="000000"/>
                <w:sz w:val="16"/>
                <w:szCs w:val="16"/>
              </w:rPr>
              <w:t>2,659</w:t>
            </w:r>
          </w:p>
        </w:tc>
        <w:tc>
          <w:tcPr>
            <w:tcW w:w="257" w:type="pct"/>
            <w:tcBorders>
              <w:top w:val="single" w:sz="4" w:space="0" w:color="auto"/>
              <w:left w:val="nil"/>
              <w:bottom w:val="single" w:sz="4" w:space="0" w:color="auto"/>
              <w:right w:val="single" w:sz="4" w:space="0" w:color="auto"/>
            </w:tcBorders>
            <w:shd w:val="clear" w:color="000000" w:fill="FFFF99"/>
            <w:noWrap/>
            <w:vAlign w:val="center"/>
            <w:hideMark/>
          </w:tcPr>
          <w:p w:rsidR="00A073E6" w:rsidRPr="00A073E6" w:rsidRDefault="00A073E6" w:rsidP="00A073E6">
            <w:pPr>
              <w:jc w:val="center"/>
              <w:rPr>
                <w:rFonts w:ascii="Calibri" w:hAnsi="Calibri"/>
                <w:color w:val="000000"/>
                <w:sz w:val="16"/>
                <w:szCs w:val="16"/>
              </w:rPr>
            </w:pPr>
            <w:r w:rsidRPr="00A073E6">
              <w:rPr>
                <w:rFonts w:ascii="Calibri" w:hAnsi="Calibri"/>
                <w:color w:val="000000"/>
                <w:sz w:val="16"/>
                <w:szCs w:val="16"/>
              </w:rPr>
              <w:t>2,164</w:t>
            </w:r>
          </w:p>
        </w:tc>
        <w:tc>
          <w:tcPr>
            <w:tcW w:w="255" w:type="pct"/>
            <w:tcBorders>
              <w:top w:val="single" w:sz="4" w:space="0" w:color="auto"/>
              <w:left w:val="nil"/>
              <w:bottom w:val="single" w:sz="4" w:space="0" w:color="auto"/>
              <w:right w:val="single" w:sz="4" w:space="0" w:color="auto"/>
            </w:tcBorders>
            <w:shd w:val="clear" w:color="000000" w:fill="FFFF99"/>
            <w:noWrap/>
            <w:vAlign w:val="center"/>
            <w:hideMark/>
          </w:tcPr>
          <w:p w:rsidR="00A073E6" w:rsidRPr="00A073E6" w:rsidRDefault="00A073E6" w:rsidP="00A073E6">
            <w:pPr>
              <w:jc w:val="center"/>
              <w:rPr>
                <w:rFonts w:ascii="Calibri" w:hAnsi="Calibri"/>
                <w:color w:val="000000"/>
                <w:sz w:val="16"/>
                <w:szCs w:val="16"/>
              </w:rPr>
            </w:pPr>
            <w:r w:rsidRPr="00A073E6">
              <w:rPr>
                <w:rFonts w:ascii="Calibri" w:hAnsi="Calibri"/>
                <w:color w:val="000000"/>
                <w:sz w:val="16"/>
                <w:szCs w:val="16"/>
              </w:rPr>
              <w:t>602</w:t>
            </w:r>
          </w:p>
        </w:tc>
        <w:tc>
          <w:tcPr>
            <w:tcW w:w="257" w:type="pct"/>
            <w:tcBorders>
              <w:top w:val="single" w:sz="4" w:space="0" w:color="auto"/>
              <w:left w:val="nil"/>
              <w:bottom w:val="single" w:sz="4" w:space="0" w:color="auto"/>
              <w:right w:val="single" w:sz="4" w:space="0" w:color="auto"/>
            </w:tcBorders>
            <w:shd w:val="clear" w:color="000000" w:fill="FFFF99"/>
            <w:noWrap/>
            <w:vAlign w:val="center"/>
            <w:hideMark/>
          </w:tcPr>
          <w:p w:rsidR="00A073E6" w:rsidRPr="00A073E6" w:rsidRDefault="00A073E6" w:rsidP="00A073E6">
            <w:pPr>
              <w:jc w:val="center"/>
              <w:rPr>
                <w:rFonts w:ascii="Calibri" w:hAnsi="Calibri"/>
                <w:color w:val="000000"/>
                <w:sz w:val="16"/>
                <w:szCs w:val="16"/>
              </w:rPr>
            </w:pPr>
            <w:r w:rsidRPr="00A073E6">
              <w:rPr>
                <w:rFonts w:ascii="Calibri" w:hAnsi="Calibri"/>
                <w:color w:val="000000"/>
                <w:sz w:val="16"/>
                <w:szCs w:val="16"/>
              </w:rPr>
              <w:t>2,041</w:t>
            </w:r>
          </w:p>
        </w:tc>
        <w:tc>
          <w:tcPr>
            <w:tcW w:w="256" w:type="pct"/>
            <w:tcBorders>
              <w:top w:val="single" w:sz="4" w:space="0" w:color="auto"/>
              <w:left w:val="nil"/>
              <w:bottom w:val="single" w:sz="4" w:space="0" w:color="auto"/>
              <w:right w:val="single" w:sz="4" w:space="0" w:color="auto"/>
            </w:tcBorders>
            <w:shd w:val="clear" w:color="000000" w:fill="420000"/>
            <w:noWrap/>
            <w:vAlign w:val="center"/>
            <w:hideMark/>
          </w:tcPr>
          <w:p w:rsidR="00A073E6" w:rsidRPr="00A073E6" w:rsidRDefault="00A073E6" w:rsidP="00A073E6">
            <w:pPr>
              <w:jc w:val="center"/>
              <w:rPr>
                <w:rFonts w:ascii="Calibri" w:hAnsi="Calibri"/>
                <w:color w:val="FFFFFF"/>
                <w:sz w:val="16"/>
                <w:szCs w:val="16"/>
              </w:rPr>
            </w:pPr>
            <w:r w:rsidRPr="00A073E6">
              <w:rPr>
                <w:rFonts w:ascii="Calibri" w:hAnsi="Calibri"/>
                <w:color w:val="FFFFFF"/>
                <w:sz w:val="16"/>
                <w:szCs w:val="16"/>
              </w:rPr>
              <w:t>467</w:t>
            </w:r>
          </w:p>
        </w:tc>
        <w:tc>
          <w:tcPr>
            <w:tcW w:w="257" w:type="pct"/>
            <w:tcBorders>
              <w:top w:val="single" w:sz="4" w:space="0" w:color="auto"/>
              <w:left w:val="nil"/>
              <w:bottom w:val="single" w:sz="4" w:space="0" w:color="auto"/>
              <w:right w:val="single" w:sz="4" w:space="0" w:color="auto"/>
            </w:tcBorders>
            <w:shd w:val="clear" w:color="000000" w:fill="420000"/>
            <w:noWrap/>
            <w:vAlign w:val="center"/>
            <w:hideMark/>
          </w:tcPr>
          <w:p w:rsidR="00A073E6" w:rsidRPr="00A073E6" w:rsidRDefault="00A073E6" w:rsidP="00A073E6">
            <w:pPr>
              <w:jc w:val="center"/>
              <w:rPr>
                <w:rFonts w:ascii="Calibri" w:hAnsi="Calibri"/>
                <w:color w:val="FFFFFF"/>
                <w:sz w:val="16"/>
                <w:szCs w:val="16"/>
              </w:rPr>
            </w:pPr>
            <w:r w:rsidRPr="00A073E6">
              <w:rPr>
                <w:rFonts w:ascii="Calibri" w:hAnsi="Calibri"/>
                <w:color w:val="FFFFFF"/>
                <w:sz w:val="16"/>
                <w:szCs w:val="16"/>
              </w:rPr>
              <w:t>2,591</w:t>
            </w:r>
          </w:p>
        </w:tc>
        <w:tc>
          <w:tcPr>
            <w:tcW w:w="256" w:type="pct"/>
            <w:tcBorders>
              <w:top w:val="single" w:sz="4" w:space="0" w:color="auto"/>
              <w:left w:val="nil"/>
              <w:bottom w:val="single" w:sz="4" w:space="0" w:color="auto"/>
              <w:right w:val="single" w:sz="4" w:space="0" w:color="auto"/>
            </w:tcBorders>
            <w:shd w:val="clear" w:color="000000" w:fill="FFFF99"/>
            <w:noWrap/>
            <w:vAlign w:val="center"/>
            <w:hideMark/>
          </w:tcPr>
          <w:p w:rsidR="00A073E6" w:rsidRPr="00A073E6" w:rsidRDefault="00A073E6" w:rsidP="00A073E6">
            <w:pPr>
              <w:jc w:val="center"/>
              <w:rPr>
                <w:rFonts w:ascii="Calibri" w:hAnsi="Calibri"/>
                <w:color w:val="000000"/>
                <w:sz w:val="16"/>
                <w:szCs w:val="16"/>
              </w:rPr>
            </w:pPr>
            <w:r w:rsidRPr="00A073E6">
              <w:rPr>
                <w:rFonts w:ascii="Calibri" w:hAnsi="Calibri"/>
                <w:color w:val="000000"/>
                <w:sz w:val="16"/>
                <w:szCs w:val="16"/>
              </w:rPr>
              <w:t>356</w:t>
            </w:r>
          </w:p>
        </w:tc>
        <w:tc>
          <w:tcPr>
            <w:tcW w:w="257" w:type="pct"/>
            <w:tcBorders>
              <w:top w:val="single" w:sz="4" w:space="0" w:color="auto"/>
              <w:left w:val="nil"/>
              <w:bottom w:val="single" w:sz="4" w:space="0" w:color="auto"/>
              <w:right w:val="single" w:sz="4" w:space="0" w:color="auto"/>
            </w:tcBorders>
            <w:shd w:val="clear" w:color="000000" w:fill="FFFF99"/>
            <w:noWrap/>
            <w:vAlign w:val="center"/>
            <w:hideMark/>
          </w:tcPr>
          <w:p w:rsidR="00A073E6" w:rsidRPr="00A073E6" w:rsidRDefault="00A073E6" w:rsidP="00A073E6">
            <w:pPr>
              <w:jc w:val="center"/>
              <w:rPr>
                <w:rFonts w:ascii="Calibri" w:hAnsi="Calibri"/>
                <w:color w:val="000000"/>
                <w:sz w:val="16"/>
                <w:szCs w:val="16"/>
              </w:rPr>
            </w:pPr>
            <w:r w:rsidRPr="00A073E6">
              <w:rPr>
                <w:rFonts w:ascii="Calibri" w:hAnsi="Calibri"/>
                <w:color w:val="000000"/>
                <w:sz w:val="16"/>
                <w:szCs w:val="16"/>
              </w:rPr>
              <w:t>2,014</w:t>
            </w:r>
          </w:p>
        </w:tc>
        <w:tc>
          <w:tcPr>
            <w:tcW w:w="256" w:type="pct"/>
            <w:tcBorders>
              <w:top w:val="single" w:sz="4" w:space="0" w:color="auto"/>
              <w:left w:val="nil"/>
              <w:bottom w:val="single" w:sz="4" w:space="0" w:color="auto"/>
              <w:right w:val="single" w:sz="4" w:space="0" w:color="auto"/>
            </w:tcBorders>
            <w:shd w:val="clear" w:color="000000" w:fill="FFFF99"/>
            <w:noWrap/>
            <w:vAlign w:val="center"/>
            <w:hideMark/>
          </w:tcPr>
          <w:p w:rsidR="00A073E6" w:rsidRPr="00A073E6" w:rsidRDefault="00A073E6" w:rsidP="00A073E6">
            <w:pPr>
              <w:jc w:val="center"/>
              <w:rPr>
                <w:rFonts w:ascii="Calibri" w:hAnsi="Calibri"/>
                <w:color w:val="000000"/>
                <w:sz w:val="16"/>
                <w:szCs w:val="16"/>
              </w:rPr>
            </w:pPr>
            <w:r w:rsidRPr="00A073E6">
              <w:rPr>
                <w:rFonts w:ascii="Calibri" w:hAnsi="Calibri"/>
                <w:color w:val="000000"/>
                <w:sz w:val="16"/>
                <w:szCs w:val="16"/>
              </w:rPr>
              <w:t>506</w:t>
            </w:r>
          </w:p>
        </w:tc>
        <w:tc>
          <w:tcPr>
            <w:tcW w:w="257" w:type="pct"/>
            <w:tcBorders>
              <w:top w:val="single" w:sz="4" w:space="0" w:color="auto"/>
              <w:left w:val="nil"/>
              <w:bottom w:val="single" w:sz="4" w:space="0" w:color="auto"/>
              <w:right w:val="single" w:sz="4" w:space="0" w:color="auto"/>
            </w:tcBorders>
            <w:shd w:val="clear" w:color="000000" w:fill="FFFF99"/>
            <w:noWrap/>
            <w:vAlign w:val="center"/>
            <w:hideMark/>
          </w:tcPr>
          <w:p w:rsidR="00A073E6" w:rsidRPr="00A073E6" w:rsidRDefault="00A073E6" w:rsidP="00A073E6">
            <w:pPr>
              <w:jc w:val="center"/>
              <w:rPr>
                <w:rFonts w:ascii="Calibri" w:hAnsi="Calibri"/>
                <w:color w:val="000000"/>
                <w:sz w:val="16"/>
                <w:szCs w:val="16"/>
              </w:rPr>
            </w:pPr>
            <w:r w:rsidRPr="00A073E6">
              <w:rPr>
                <w:rFonts w:ascii="Calibri" w:hAnsi="Calibri"/>
                <w:color w:val="000000"/>
                <w:sz w:val="16"/>
                <w:szCs w:val="16"/>
              </w:rPr>
              <w:t>2,177</w:t>
            </w:r>
          </w:p>
        </w:tc>
        <w:tc>
          <w:tcPr>
            <w:tcW w:w="299" w:type="pct"/>
            <w:tcBorders>
              <w:top w:val="single" w:sz="4" w:space="0" w:color="auto"/>
              <w:left w:val="nil"/>
              <w:bottom w:val="single" w:sz="4" w:space="0" w:color="auto"/>
              <w:right w:val="single" w:sz="4" w:space="0" w:color="auto"/>
            </w:tcBorders>
            <w:shd w:val="clear" w:color="000000" w:fill="FFFF99"/>
            <w:noWrap/>
            <w:vAlign w:val="center"/>
            <w:hideMark/>
          </w:tcPr>
          <w:p w:rsidR="00A073E6" w:rsidRPr="00A073E6" w:rsidRDefault="00A073E6" w:rsidP="00A073E6">
            <w:pPr>
              <w:jc w:val="center"/>
              <w:rPr>
                <w:rFonts w:ascii="Calibri" w:hAnsi="Calibri"/>
                <w:color w:val="000000"/>
                <w:sz w:val="16"/>
                <w:szCs w:val="16"/>
              </w:rPr>
            </w:pPr>
            <w:r w:rsidRPr="00A073E6">
              <w:rPr>
                <w:rFonts w:ascii="Calibri" w:hAnsi="Calibri"/>
                <w:color w:val="000000"/>
                <w:sz w:val="16"/>
                <w:szCs w:val="16"/>
              </w:rPr>
              <w:t>678</w:t>
            </w:r>
          </w:p>
        </w:tc>
        <w:tc>
          <w:tcPr>
            <w:tcW w:w="257" w:type="pct"/>
            <w:tcBorders>
              <w:top w:val="single" w:sz="4" w:space="0" w:color="auto"/>
              <w:left w:val="nil"/>
              <w:bottom w:val="single" w:sz="4" w:space="0" w:color="auto"/>
              <w:right w:val="single" w:sz="4" w:space="0" w:color="auto"/>
            </w:tcBorders>
            <w:shd w:val="clear" w:color="000000" w:fill="FFFF99"/>
            <w:noWrap/>
            <w:vAlign w:val="center"/>
            <w:hideMark/>
          </w:tcPr>
          <w:p w:rsidR="00A073E6" w:rsidRPr="00A073E6" w:rsidRDefault="00A073E6" w:rsidP="00A073E6">
            <w:pPr>
              <w:jc w:val="center"/>
              <w:rPr>
                <w:rFonts w:ascii="Calibri" w:hAnsi="Calibri"/>
                <w:color w:val="000000"/>
                <w:sz w:val="16"/>
                <w:szCs w:val="16"/>
              </w:rPr>
            </w:pPr>
            <w:r w:rsidRPr="00A073E6">
              <w:rPr>
                <w:rFonts w:ascii="Calibri" w:hAnsi="Calibri"/>
                <w:color w:val="000000"/>
                <w:sz w:val="16"/>
                <w:szCs w:val="16"/>
              </w:rPr>
              <w:t>2,056</w:t>
            </w:r>
          </w:p>
        </w:tc>
        <w:tc>
          <w:tcPr>
            <w:tcW w:w="264" w:type="pct"/>
            <w:tcBorders>
              <w:top w:val="single" w:sz="4" w:space="0" w:color="auto"/>
              <w:left w:val="nil"/>
              <w:bottom w:val="single" w:sz="4" w:space="0" w:color="auto"/>
              <w:right w:val="single" w:sz="4" w:space="0" w:color="auto"/>
            </w:tcBorders>
            <w:shd w:val="clear" w:color="000000" w:fill="FFFF99"/>
            <w:noWrap/>
            <w:vAlign w:val="center"/>
            <w:hideMark/>
          </w:tcPr>
          <w:p w:rsidR="00A073E6" w:rsidRPr="00A073E6" w:rsidRDefault="00A073E6" w:rsidP="00A073E6">
            <w:pPr>
              <w:jc w:val="center"/>
              <w:rPr>
                <w:rFonts w:ascii="Calibri" w:hAnsi="Calibri"/>
                <w:color w:val="000000"/>
                <w:sz w:val="16"/>
                <w:szCs w:val="16"/>
              </w:rPr>
            </w:pPr>
            <w:r w:rsidRPr="00A073E6">
              <w:rPr>
                <w:rFonts w:ascii="Calibri" w:hAnsi="Calibri"/>
                <w:color w:val="000000"/>
                <w:sz w:val="16"/>
                <w:szCs w:val="16"/>
              </w:rPr>
              <w:t>652</w:t>
            </w:r>
          </w:p>
        </w:tc>
        <w:tc>
          <w:tcPr>
            <w:tcW w:w="291" w:type="pct"/>
            <w:tcBorders>
              <w:top w:val="single" w:sz="4" w:space="0" w:color="auto"/>
              <w:left w:val="nil"/>
              <w:bottom w:val="single" w:sz="4" w:space="0" w:color="auto"/>
              <w:right w:val="single" w:sz="4" w:space="0" w:color="auto"/>
            </w:tcBorders>
            <w:shd w:val="clear" w:color="000000" w:fill="FFFF99"/>
            <w:noWrap/>
            <w:vAlign w:val="center"/>
            <w:hideMark/>
          </w:tcPr>
          <w:p w:rsidR="00A073E6" w:rsidRPr="00A073E6" w:rsidRDefault="00A073E6" w:rsidP="00A073E6">
            <w:pPr>
              <w:jc w:val="center"/>
              <w:rPr>
                <w:rFonts w:ascii="Calibri" w:hAnsi="Calibri"/>
                <w:color w:val="000000"/>
                <w:sz w:val="16"/>
                <w:szCs w:val="16"/>
              </w:rPr>
            </w:pPr>
            <w:r w:rsidRPr="00A073E6">
              <w:rPr>
                <w:rFonts w:ascii="Calibri" w:hAnsi="Calibri"/>
                <w:color w:val="000000"/>
                <w:sz w:val="16"/>
                <w:szCs w:val="16"/>
              </w:rPr>
              <w:t>2,123</w:t>
            </w:r>
          </w:p>
        </w:tc>
        <w:tc>
          <w:tcPr>
            <w:tcW w:w="257" w:type="pct"/>
            <w:tcBorders>
              <w:top w:val="single" w:sz="4" w:space="0" w:color="auto"/>
              <w:left w:val="nil"/>
              <w:bottom w:val="single" w:sz="4" w:space="0" w:color="auto"/>
              <w:right w:val="single" w:sz="4" w:space="0" w:color="auto"/>
            </w:tcBorders>
            <w:shd w:val="clear" w:color="auto" w:fill="auto"/>
            <w:noWrap/>
            <w:vAlign w:val="center"/>
            <w:hideMark/>
          </w:tcPr>
          <w:p w:rsidR="00A073E6" w:rsidRPr="00A073E6" w:rsidRDefault="00A073E6" w:rsidP="00A073E6">
            <w:pPr>
              <w:jc w:val="center"/>
              <w:rPr>
                <w:rFonts w:ascii="Calibri" w:hAnsi="Calibri"/>
                <w:color w:val="000000"/>
                <w:sz w:val="16"/>
                <w:szCs w:val="16"/>
              </w:rPr>
            </w:pPr>
            <w:r w:rsidRPr="00A073E6">
              <w:rPr>
                <w:rFonts w:ascii="Calibri" w:hAnsi="Calibri"/>
                <w:color w:val="000000"/>
                <w:sz w:val="16"/>
                <w:szCs w:val="16"/>
              </w:rPr>
              <w:t>220,160</w:t>
            </w:r>
          </w:p>
        </w:tc>
        <w:tc>
          <w:tcPr>
            <w:tcW w:w="299" w:type="pct"/>
            <w:tcBorders>
              <w:top w:val="single" w:sz="4" w:space="0" w:color="auto"/>
              <w:left w:val="nil"/>
              <w:bottom w:val="single" w:sz="4" w:space="0" w:color="auto"/>
              <w:right w:val="single" w:sz="4" w:space="0" w:color="auto"/>
            </w:tcBorders>
            <w:shd w:val="clear" w:color="auto" w:fill="auto"/>
            <w:noWrap/>
            <w:vAlign w:val="center"/>
            <w:hideMark/>
          </w:tcPr>
          <w:p w:rsidR="00A073E6" w:rsidRPr="00A073E6" w:rsidRDefault="00A073E6" w:rsidP="00A073E6">
            <w:pPr>
              <w:jc w:val="center"/>
              <w:rPr>
                <w:rFonts w:ascii="Calibri" w:hAnsi="Calibri"/>
                <w:color w:val="000000"/>
                <w:sz w:val="16"/>
                <w:szCs w:val="16"/>
              </w:rPr>
            </w:pPr>
            <w:r w:rsidRPr="00A073E6">
              <w:rPr>
                <w:rFonts w:ascii="Calibri" w:hAnsi="Calibri"/>
                <w:color w:val="000000"/>
                <w:sz w:val="16"/>
                <w:szCs w:val="16"/>
              </w:rPr>
              <w:t>2,170</w:t>
            </w:r>
          </w:p>
        </w:tc>
      </w:tr>
      <w:tr w:rsidR="00F97E28" w:rsidRPr="00CE6AE2" w:rsidTr="00F97E28">
        <w:trPr>
          <w:trHeight w:val="300"/>
        </w:trPr>
        <w:tc>
          <w:tcPr>
            <w:tcW w:w="513" w:type="pct"/>
            <w:tcBorders>
              <w:top w:val="nil"/>
              <w:left w:val="single" w:sz="4" w:space="0" w:color="auto"/>
              <w:bottom w:val="single" w:sz="4" w:space="0" w:color="auto"/>
              <w:right w:val="single" w:sz="4" w:space="0" w:color="auto"/>
            </w:tcBorders>
            <w:shd w:val="clear" w:color="auto" w:fill="auto"/>
            <w:noWrap/>
            <w:vAlign w:val="center"/>
            <w:hideMark/>
          </w:tcPr>
          <w:p w:rsidR="00A073E6" w:rsidRPr="00A073E6" w:rsidRDefault="00A073E6" w:rsidP="00A073E6">
            <w:pPr>
              <w:jc w:val="center"/>
              <w:rPr>
                <w:rFonts w:ascii="Calibri" w:hAnsi="Calibri"/>
                <w:color w:val="000000"/>
                <w:sz w:val="16"/>
                <w:szCs w:val="16"/>
              </w:rPr>
            </w:pPr>
            <w:r w:rsidRPr="00A073E6">
              <w:rPr>
                <w:rFonts w:ascii="Calibri" w:hAnsi="Calibri"/>
                <w:color w:val="000000"/>
                <w:sz w:val="16"/>
                <w:szCs w:val="16"/>
              </w:rPr>
              <w:t xml:space="preserve">Directly age-standardised rate of emergency hospital </w:t>
            </w:r>
            <w:r w:rsidRPr="00A073E6">
              <w:rPr>
                <w:rFonts w:ascii="Calibri" w:hAnsi="Calibri"/>
                <w:color w:val="000000"/>
                <w:sz w:val="16"/>
                <w:szCs w:val="16"/>
              </w:rPr>
              <w:lastRenderedPageBreak/>
              <w:t>admissions due to falls in 65-79</w:t>
            </w:r>
          </w:p>
        </w:tc>
        <w:tc>
          <w:tcPr>
            <w:tcW w:w="256" w:type="pct"/>
            <w:tcBorders>
              <w:top w:val="nil"/>
              <w:left w:val="nil"/>
              <w:bottom w:val="single" w:sz="4" w:space="0" w:color="auto"/>
              <w:right w:val="single" w:sz="4" w:space="0" w:color="auto"/>
            </w:tcBorders>
            <w:shd w:val="clear" w:color="auto" w:fill="auto"/>
            <w:noWrap/>
            <w:vAlign w:val="center"/>
            <w:hideMark/>
          </w:tcPr>
          <w:p w:rsidR="00A073E6" w:rsidRPr="00A073E6" w:rsidRDefault="00A073E6" w:rsidP="00A073E6">
            <w:pPr>
              <w:jc w:val="center"/>
              <w:rPr>
                <w:rFonts w:ascii="Calibri" w:hAnsi="Calibri"/>
                <w:color w:val="000000"/>
                <w:sz w:val="16"/>
                <w:szCs w:val="16"/>
              </w:rPr>
            </w:pPr>
            <w:r w:rsidRPr="00A073E6">
              <w:rPr>
                <w:rFonts w:ascii="Calibri" w:hAnsi="Calibri"/>
                <w:color w:val="000000"/>
                <w:sz w:val="16"/>
                <w:szCs w:val="16"/>
              </w:rPr>
              <w:lastRenderedPageBreak/>
              <w:t>2017-18</w:t>
            </w:r>
          </w:p>
        </w:tc>
        <w:tc>
          <w:tcPr>
            <w:tcW w:w="256" w:type="pct"/>
            <w:tcBorders>
              <w:top w:val="nil"/>
              <w:left w:val="nil"/>
              <w:bottom w:val="single" w:sz="4" w:space="0" w:color="auto"/>
              <w:right w:val="single" w:sz="4" w:space="0" w:color="auto"/>
            </w:tcBorders>
            <w:shd w:val="clear" w:color="000000" w:fill="EBF1DE"/>
            <w:noWrap/>
            <w:vAlign w:val="center"/>
            <w:hideMark/>
          </w:tcPr>
          <w:p w:rsidR="00A073E6" w:rsidRPr="00A073E6" w:rsidRDefault="00A073E6" w:rsidP="00A073E6">
            <w:pPr>
              <w:jc w:val="center"/>
              <w:rPr>
                <w:rFonts w:ascii="Calibri" w:hAnsi="Calibri"/>
                <w:color w:val="000000"/>
                <w:sz w:val="16"/>
                <w:szCs w:val="16"/>
              </w:rPr>
            </w:pPr>
            <w:r w:rsidRPr="00A073E6">
              <w:rPr>
                <w:rFonts w:ascii="Calibri" w:hAnsi="Calibri"/>
                <w:color w:val="000000"/>
                <w:sz w:val="16"/>
                <w:szCs w:val="16"/>
              </w:rPr>
              <w:t>803</w:t>
            </w:r>
          </w:p>
        </w:tc>
        <w:tc>
          <w:tcPr>
            <w:tcW w:w="257" w:type="pct"/>
            <w:tcBorders>
              <w:top w:val="nil"/>
              <w:left w:val="nil"/>
              <w:bottom w:val="single" w:sz="4" w:space="0" w:color="auto"/>
              <w:right w:val="single" w:sz="4" w:space="0" w:color="auto"/>
            </w:tcBorders>
            <w:shd w:val="clear" w:color="000000" w:fill="EBF1DE"/>
            <w:noWrap/>
            <w:vAlign w:val="center"/>
            <w:hideMark/>
          </w:tcPr>
          <w:p w:rsidR="00A073E6" w:rsidRPr="00A073E6" w:rsidRDefault="00A073E6" w:rsidP="00A073E6">
            <w:pPr>
              <w:jc w:val="center"/>
              <w:rPr>
                <w:rFonts w:ascii="Calibri" w:hAnsi="Calibri"/>
                <w:color w:val="000000"/>
                <w:sz w:val="16"/>
                <w:szCs w:val="16"/>
              </w:rPr>
            </w:pPr>
            <w:r w:rsidRPr="00A073E6">
              <w:rPr>
                <w:rFonts w:ascii="Calibri" w:hAnsi="Calibri"/>
                <w:color w:val="000000"/>
                <w:sz w:val="16"/>
                <w:szCs w:val="16"/>
              </w:rPr>
              <w:t>943</w:t>
            </w:r>
          </w:p>
        </w:tc>
        <w:tc>
          <w:tcPr>
            <w:tcW w:w="255" w:type="pct"/>
            <w:tcBorders>
              <w:top w:val="nil"/>
              <w:left w:val="nil"/>
              <w:bottom w:val="single" w:sz="4" w:space="0" w:color="auto"/>
              <w:right w:val="single" w:sz="4" w:space="0" w:color="auto"/>
            </w:tcBorders>
            <w:shd w:val="clear" w:color="000000" w:fill="FFFF99"/>
            <w:noWrap/>
            <w:vAlign w:val="center"/>
            <w:hideMark/>
          </w:tcPr>
          <w:p w:rsidR="00A073E6" w:rsidRPr="00A073E6" w:rsidRDefault="00A073E6" w:rsidP="00A073E6">
            <w:pPr>
              <w:jc w:val="center"/>
              <w:rPr>
                <w:rFonts w:ascii="Calibri" w:hAnsi="Calibri"/>
                <w:color w:val="000000"/>
                <w:sz w:val="16"/>
                <w:szCs w:val="16"/>
              </w:rPr>
            </w:pPr>
            <w:r w:rsidRPr="00A073E6">
              <w:rPr>
                <w:rFonts w:ascii="Calibri" w:hAnsi="Calibri"/>
                <w:color w:val="000000"/>
                <w:sz w:val="16"/>
                <w:szCs w:val="16"/>
              </w:rPr>
              <w:t>179</w:t>
            </w:r>
          </w:p>
        </w:tc>
        <w:tc>
          <w:tcPr>
            <w:tcW w:w="257" w:type="pct"/>
            <w:tcBorders>
              <w:top w:val="nil"/>
              <w:left w:val="nil"/>
              <w:bottom w:val="single" w:sz="4" w:space="0" w:color="auto"/>
              <w:right w:val="single" w:sz="4" w:space="0" w:color="auto"/>
            </w:tcBorders>
            <w:shd w:val="clear" w:color="000000" w:fill="FFFF99"/>
            <w:noWrap/>
            <w:vAlign w:val="center"/>
            <w:hideMark/>
          </w:tcPr>
          <w:p w:rsidR="00A073E6" w:rsidRPr="00A073E6" w:rsidRDefault="00A073E6" w:rsidP="00A073E6">
            <w:pPr>
              <w:jc w:val="center"/>
              <w:rPr>
                <w:rFonts w:ascii="Calibri" w:hAnsi="Calibri"/>
                <w:color w:val="000000"/>
                <w:sz w:val="16"/>
                <w:szCs w:val="16"/>
              </w:rPr>
            </w:pPr>
            <w:r w:rsidRPr="00A073E6">
              <w:rPr>
                <w:rFonts w:ascii="Calibri" w:hAnsi="Calibri"/>
                <w:color w:val="000000"/>
                <w:sz w:val="16"/>
                <w:szCs w:val="16"/>
              </w:rPr>
              <w:t>897</w:t>
            </w:r>
          </w:p>
        </w:tc>
        <w:tc>
          <w:tcPr>
            <w:tcW w:w="256" w:type="pct"/>
            <w:tcBorders>
              <w:top w:val="nil"/>
              <w:left w:val="nil"/>
              <w:bottom w:val="single" w:sz="4" w:space="0" w:color="auto"/>
              <w:right w:val="single" w:sz="4" w:space="0" w:color="auto"/>
            </w:tcBorders>
            <w:shd w:val="clear" w:color="000000" w:fill="420000"/>
            <w:noWrap/>
            <w:vAlign w:val="center"/>
            <w:hideMark/>
          </w:tcPr>
          <w:p w:rsidR="00A073E6" w:rsidRPr="00A073E6" w:rsidRDefault="00A073E6" w:rsidP="00A073E6">
            <w:pPr>
              <w:jc w:val="center"/>
              <w:rPr>
                <w:rFonts w:ascii="Calibri" w:hAnsi="Calibri"/>
                <w:color w:val="FFFFFF"/>
                <w:sz w:val="16"/>
                <w:szCs w:val="16"/>
              </w:rPr>
            </w:pPr>
            <w:r w:rsidRPr="00A073E6">
              <w:rPr>
                <w:rFonts w:ascii="Calibri" w:hAnsi="Calibri"/>
                <w:color w:val="FFFFFF"/>
                <w:sz w:val="16"/>
                <w:szCs w:val="16"/>
              </w:rPr>
              <w:t>133</w:t>
            </w:r>
          </w:p>
        </w:tc>
        <w:tc>
          <w:tcPr>
            <w:tcW w:w="257" w:type="pct"/>
            <w:tcBorders>
              <w:top w:val="nil"/>
              <w:left w:val="nil"/>
              <w:bottom w:val="single" w:sz="4" w:space="0" w:color="auto"/>
              <w:right w:val="single" w:sz="4" w:space="0" w:color="auto"/>
            </w:tcBorders>
            <w:shd w:val="clear" w:color="000000" w:fill="420000"/>
            <w:noWrap/>
            <w:vAlign w:val="center"/>
            <w:hideMark/>
          </w:tcPr>
          <w:p w:rsidR="00A073E6" w:rsidRPr="00A073E6" w:rsidRDefault="00A073E6" w:rsidP="00A073E6">
            <w:pPr>
              <w:jc w:val="center"/>
              <w:rPr>
                <w:rFonts w:ascii="Calibri" w:hAnsi="Calibri"/>
                <w:color w:val="FFFFFF"/>
                <w:sz w:val="16"/>
                <w:szCs w:val="16"/>
              </w:rPr>
            </w:pPr>
            <w:r w:rsidRPr="00A073E6">
              <w:rPr>
                <w:rFonts w:ascii="Calibri" w:hAnsi="Calibri"/>
                <w:color w:val="FFFFFF"/>
                <w:sz w:val="16"/>
                <w:szCs w:val="16"/>
              </w:rPr>
              <w:t>1,263</w:t>
            </w:r>
          </w:p>
        </w:tc>
        <w:tc>
          <w:tcPr>
            <w:tcW w:w="256" w:type="pct"/>
            <w:tcBorders>
              <w:top w:val="nil"/>
              <w:left w:val="nil"/>
              <w:bottom w:val="single" w:sz="4" w:space="0" w:color="auto"/>
              <w:right w:val="single" w:sz="4" w:space="0" w:color="auto"/>
            </w:tcBorders>
            <w:shd w:val="clear" w:color="000000" w:fill="EBF1DE"/>
            <w:noWrap/>
            <w:vAlign w:val="center"/>
            <w:hideMark/>
          </w:tcPr>
          <w:p w:rsidR="00A073E6" w:rsidRPr="00A073E6" w:rsidRDefault="00A073E6" w:rsidP="00A073E6">
            <w:pPr>
              <w:jc w:val="center"/>
              <w:rPr>
                <w:rFonts w:ascii="Calibri" w:hAnsi="Calibri"/>
                <w:color w:val="000000"/>
                <w:sz w:val="16"/>
                <w:szCs w:val="16"/>
              </w:rPr>
            </w:pPr>
            <w:r w:rsidRPr="00A073E6">
              <w:rPr>
                <w:rFonts w:ascii="Calibri" w:hAnsi="Calibri"/>
                <w:color w:val="000000"/>
                <w:sz w:val="16"/>
                <w:szCs w:val="16"/>
              </w:rPr>
              <w:t>95</w:t>
            </w:r>
          </w:p>
        </w:tc>
        <w:tc>
          <w:tcPr>
            <w:tcW w:w="257" w:type="pct"/>
            <w:tcBorders>
              <w:top w:val="nil"/>
              <w:left w:val="nil"/>
              <w:bottom w:val="single" w:sz="4" w:space="0" w:color="auto"/>
              <w:right w:val="single" w:sz="4" w:space="0" w:color="auto"/>
            </w:tcBorders>
            <w:shd w:val="clear" w:color="000000" w:fill="EBF1DE"/>
            <w:noWrap/>
            <w:vAlign w:val="center"/>
            <w:hideMark/>
          </w:tcPr>
          <w:p w:rsidR="00A073E6" w:rsidRPr="00A073E6" w:rsidRDefault="00A073E6" w:rsidP="00A073E6">
            <w:pPr>
              <w:jc w:val="center"/>
              <w:rPr>
                <w:rFonts w:ascii="Calibri" w:hAnsi="Calibri"/>
                <w:color w:val="000000"/>
                <w:sz w:val="16"/>
                <w:szCs w:val="16"/>
              </w:rPr>
            </w:pPr>
            <w:r w:rsidRPr="00A073E6">
              <w:rPr>
                <w:rFonts w:ascii="Calibri" w:hAnsi="Calibri"/>
                <w:color w:val="000000"/>
                <w:sz w:val="16"/>
                <w:szCs w:val="16"/>
              </w:rPr>
              <w:t>752</w:t>
            </w:r>
          </w:p>
        </w:tc>
        <w:tc>
          <w:tcPr>
            <w:tcW w:w="256" w:type="pct"/>
            <w:tcBorders>
              <w:top w:val="nil"/>
              <w:left w:val="nil"/>
              <w:bottom w:val="single" w:sz="4" w:space="0" w:color="auto"/>
              <w:right w:val="single" w:sz="4" w:space="0" w:color="auto"/>
            </w:tcBorders>
            <w:shd w:val="clear" w:color="000000" w:fill="FFFF99"/>
            <w:noWrap/>
            <w:vAlign w:val="center"/>
            <w:hideMark/>
          </w:tcPr>
          <w:p w:rsidR="00A073E6" w:rsidRPr="00A073E6" w:rsidRDefault="00A073E6" w:rsidP="00A073E6">
            <w:pPr>
              <w:jc w:val="center"/>
              <w:rPr>
                <w:rFonts w:ascii="Calibri" w:hAnsi="Calibri"/>
                <w:color w:val="000000"/>
                <w:sz w:val="16"/>
                <w:szCs w:val="16"/>
              </w:rPr>
            </w:pPr>
            <w:r w:rsidRPr="00A073E6">
              <w:rPr>
                <w:rFonts w:ascii="Calibri" w:hAnsi="Calibri"/>
                <w:color w:val="000000"/>
                <w:sz w:val="16"/>
                <w:szCs w:val="16"/>
              </w:rPr>
              <w:t>152</w:t>
            </w:r>
          </w:p>
        </w:tc>
        <w:tc>
          <w:tcPr>
            <w:tcW w:w="257" w:type="pct"/>
            <w:tcBorders>
              <w:top w:val="nil"/>
              <w:left w:val="nil"/>
              <w:bottom w:val="single" w:sz="4" w:space="0" w:color="auto"/>
              <w:right w:val="single" w:sz="4" w:space="0" w:color="auto"/>
            </w:tcBorders>
            <w:shd w:val="clear" w:color="000000" w:fill="FFFF99"/>
            <w:noWrap/>
            <w:vAlign w:val="center"/>
            <w:hideMark/>
          </w:tcPr>
          <w:p w:rsidR="00A073E6" w:rsidRPr="00A073E6" w:rsidRDefault="00A073E6" w:rsidP="00A073E6">
            <w:pPr>
              <w:jc w:val="center"/>
              <w:rPr>
                <w:rFonts w:ascii="Calibri" w:hAnsi="Calibri"/>
                <w:color w:val="000000"/>
                <w:sz w:val="16"/>
                <w:szCs w:val="16"/>
              </w:rPr>
            </w:pPr>
            <w:r w:rsidRPr="00A073E6">
              <w:rPr>
                <w:rFonts w:ascii="Calibri" w:hAnsi="Calibri"/>
                <w:color w:val="000000"/>
                <w:sz w:val="16"/>
                <w:szCs w:val="16"/>
              </w:rPr>
              <w:t>951</w:t>
            </w:r>
          </w:p>
        </w:tc>
        <w:tc>
          <w:tcPr>
            <w:tcW w:w="299" w:type="pct"/>
            <w:tcBorders>
              <w:top w:val="nil"/>
              <w:left w:val="nil"/>
              <w:bottom w:val="single" w:sz="4" w:space="0" w:color="auto"/>
              <w:right w:val="single" w:sz="4" w:space="0" w:color="auto"/>
            </w:tcBorders>
            <w:shd w:val="clear" w:color="000000" w:fill="FFFF99"/>
            <w:noWrap/>
            <w:vAlign w:val="center"/>
            <w:hideMark/>
          </w:tcPr>
          <w:p w:rsidR="00A073E6" w:rsidRPr="00A073E6" w:rsidRDefault="00A073E6" w:rsidP="00A073E6">
            <w:pPr>
              <w:jc w:val="center"/>
              <w:rPr>
                <w:rFonts w:ascii="Calibri" w:hAnsi="Calibri"/>
                <w:color w:val="000000"/>
                <w:sz w:val="16"/>
                <w:szCs w:val="16"/>
              </w:rPr>
            </w:pPr>
            <w:r w:rsidRPr="00A073E6">
              <w:rPr>
                <w:rFonts w:ascii="Calibri" w:hAnsi="Calibri"/>
                <w:color w:val="000000"/>
                <w:sz w:val="16"/>
                <w:szCs w:val="16"/>
              </w:rPr>
              <w:t>238</w:t>
            </w:r>
          </w:p>
        </w:tc>
        <w:tc>
          <w:tcPr>
            <w:tcW w:w="257" w:type="pct"/>
            <w:tcBorders>
              <w:top w:val="nil"/>
              <w:left w:val="nil"/>
              <w:bottom w:val="single" w:sz="4" w:space="0" w:color="auto"/>
              <w:right w:val="single" w:sz="4" w:space="0" w:color="auto"/>
            </w:tcBorders>
            <w:shd w:val="clear" w:color="000000" w:fill="FFFF99"/>
            <w:noWrap/>
            <w:vAlign w:val="center"/>
            <w:hideMark/>
          </w:tcPr>
          <w:p w:rsidR="00A073E6" w:rsidRPr="00A073E6" w:rsidRDefault="00A073E6" w:rsidP="00A073E6">
            <w:pPr>
              <w:jc w:val="center"/>
              <w:rPr>
                <w:rFonts w:ascii="Calibri" w:hAnsi="Calibri"/>
                <w:color w:val="000000"/>
                <w:sz w:val="16"/>
                <w:szCs w:val="16"/>
              </w:rPr>
            </w:pPr>
            <w:r w:rsidRPr="00A073E6">
              <w:rPr>
                <w:rFonts w:ascii="Calibri" w:hAnsi="Calibri"/>
                <w:color w:val="000000"/>
                <w:sz w:val="16"/>
                <w:szCs w:val="16"/>
              </w:rPr>
              <w:t>956</w:t>
            </w:r>
          </w:p>
        </w:tc>
        <w:tc>
          <w:tcPr>
            <w:tcW w:w="264" w:type="pct"/>
            <w:tcBorders>
              <w:top w:val="nil"/>
              <w:left w:val="nil"/>
              <w:bottom w:val="single" w:sz="4" w:space="0" w:color="auto"/>
              <w:right w:val="single" w:sz="4" w:space="0" w:color="auto"/>
            </w:tcBorders>
            <w:shd w:val="clear" w:color="000000" w:fill="EBF1DE"/>
            <w:noWrap/>
            <w:vAlign w:val="center"/>
            <w:hideMark/>
          </w:tcPr>
          <w:p w:rsidR="00A073E6" w:rsidRPr="00A073E6" w:rsidRDefault="00A073E6" w:rsidP="00A073E6">
            <w:pPr>
              <w:jc w:val="center"/>
              <w:rPr>
                <w:rFonts w:ascii="Calibri" w:hAnsi="Calibri"/>
                <w:color w:val="000000"/>
                <w:sz w:val="16"/>
                <w:szCs w:val="16"/>
              </w:rPr>
            </w:pPr>
            <w:r w:rsidRPr="00A073E6">
              <w:rPr>
                <w:rFonts w:ascii="Calibri" w:hAnsi="Calibri"/>
                <w:color w:val="000000"/>
                <w:sz w:val="16"/>
                <w:szCs w:val="16"/>
              </w:rPr>
              <w:t>185</w:t>
            </w:r>
          </w:p>
        </w:tc>
        <w:tc>
          <w:tcPr>
            <w:tcW w:w="291" w:type="pct"/>
            <w:tcBorders>
              <w:top w:val="nil"/>
              <w:left w:val="nil"/>
              <w:bottom w:val="single" w:sz="4" w:space="0" w:color="auto"/>
              <w:right w:val="single" w:sz="4" w:space="0" w:color="auto"/>
            </w:tcBorders>
            <w:shd w:val="clear" w:color="000000" w:fill="EBF1DE"/>
            <w:noWrap/>
            <w:vAlign w:val="center"/>
            <w:hideMark/>
          </w:tcPr>
          <w:p w:rsidR="00A073E6" w:rsidRPr="00A073E6" w:rsidRDefault="00A073E6" w:rsidP="00A073E6">
            <w:pPr>
              <w:jc w:val="center"/>
              <w:rPr>
                <w:rFonts w:ascii="Calibri" w:hAnsi="Calibri"/>
                <w:color w:val="000000"/>
                <w:sz w:val="16"/>
                <w:szCs w:val="16"/>
              </w:rPr>
            </w:pPr>
            <w:r w:rsidRPr="00A073E6">
              <w:rPr>
                <w:rFonts w:ascii="Calibri" w:hAnsi="Calibri"/>
                <w:color w:val="000000"/>
                <w:sz w:val="16"/>
                <w:szCs w:val="16"/>
              </w:rPr>
              <w:t>876</w:t>
            </w:r>
          </w:p>
        </w:tc>
        <w:tc>
          <w:tcPr>
            <w:tcW w:w="257" w:type="pct"/>
            <w:tcBorders>
              <w:top w:val="nil"/>
              <w:left w:val="nil"/>
              <w:bottom w:val="single" w:sz="4" w:space="0" w:color="auto"/>
              <w:right w:val="single" w:sz="4" w:space="0" w:color="auto"/>
            </w:tcBorders>
            <w:shd w:val="clear" w:color="auto" w:fill="auto"/>
            <w:noWrap/>
            <w:vAlign w:val="center"/>
            <w:hideMark/>
          </w:tcPr>
          <w:p w:rsidR="00A073E6" w:rsidRPr="00A073E6" w:rsidRDefault="00A073E6" w:rsidP="00A073E6">
            <w:pPr>
              <w:jc w:val="center"/>
              <w:rPr>
                <w:rFonts w:ascii="Calibri" w:hAnsi="Calibri"/>
                <w:color w:val="000000"/>
                <w:sz w:val="16"/>
                <w:szCs w:val="16"/>
              </w:rPr>
            </w:pPr>
            <w:r w:rsidRPr="00A073E6">
              <w:rPr>
                <w:rFonts w:ascii="Calibri" w:hAnsi="Calibri"/>
                <w:color w:val="000000"/>
                <w:sz w:val="16"/>
                <w:szCs w:val="16"/>
              </w:rPr>
              <w:t>73,495</w:t>
            </w:r>
          </w:p>
        </w:tc>
        <w:tc>
          <w:tcPr>
            <w:tcW w:w="299" w:type="pct"/>
            <w:tcBorders>
              <w:top w:val="nil"/>
              <w:left w:val="nil"/>
              <w:bottom w:val="single" w:sz="4" w:space="0" w:color="auto"/>
              <w:right w:val="single" w:sz="4" w:space="0" w:color="auto"/>
            </w:tcBorders>
            <w:shd w:val="clear" w:color="auto" w:fill="auto"/>
            <w:noWrap/>
            <w:vAlign w:val="center"/>
            <w:hideMark/>
          </w:tcPr>
          <w:p w:rsidR="00A073E6" w:rsidRPr="00A073E6" w:rsidRDefault="00A073E6" w:rsidP="00A073E6">
            <w:pPr>
              <w:jc w:val="center"/>
              <w:rPr>
                <w:rFonts w:ascii="Calibri" w:hAnsi="Calibri"/>
                <w:color w:val="000000"/>
                <w:sz w:val="16"/>
                <w:szCs w:val="16"/>
              </w:rPr>
            </w:pPr>
            <w:r w:rsidRPr="00A073E6">
              <w:rPr>
                <w:rFonts w:ascii="Calibri" w:hAnsi="Calibri"/>
                <w:color w:val="000000"/>
                <w:sz w:val="16"/>
                <w:szCs w:val="16"/>
              </w:rPr>
              <w:t>1,033</w:t>
            </w:r>
          </w:p>
        </w:tc>
      </w:tr>
      <w:tr w:rsidR="00F97E28" w:rsidRPr="00CE6AE2" w:rsidTr="00F97E28">
        <w:trPr>
          <w:trHeight w:val="300"/>
        </w:trPr>
        <w:tc>
          <w:tcPr>
            <w:tcW w:w="513" w:type="pct"/>
            <w:tcBorders>
              <w:top w:val="nil"/>
              <w:left w:val="single" w:sz="4" w:space="0" w:color="auto"/>
              <w:bottom w:val="single" w:sz="4" w:space="0" w:color="auto"/>
              <w:right w:val="single" w:sz="4" w:space="0" w:color="auto"/>
            </w:tcBorders>
            <w:shd w:val="clear" w:color="auto" w:fill="auto"/>
            <w:noWrap/>
            <w:vAlign w:val="center"/>
            <w:hideMark/>
          </w:tcPr>
          <w:p w:rsidR="00A073E6" w:rsidRPr="00A073E6" w:rsidRDefault="00A073E6" w:rsidP="00A073E6">
            <w:pPr>
              <w:jc w:val="center"/>
              <w:rPr>
                <w:rFonts w:ascii="Calibri" w:hAnsi="Calibri"/>
                <w:color w:val="000000"/>
                <w:sz w:val="16"/>
                <w:szCs w:val="16"/>
              </w:rPr>
            </w:pPr>
            <w:r w:rsidRPr="00A073E6">
              <w:rPr>
                <w:rFonts w:ascii="Calibri" w:hAnsi="Calibri"/>
                <w:color w:val="000000"/>
                <w:sz w:val="16"/>
                <w:szCs w:val="16"/>
              </w:rPr>
              <w:t>Directly age-standardised rate of emergency hospital admissions due to falls in 80+</w:t>
            </w:r>
          </w:p>
        </w:tc>
        <w:tc>
          <w:tcPr>
            <w:tcW w:w="256" w:type="pct"/>
            <w:tcBorders>
              <w:top w:val="nil"/>
              <w:left w:val="nil"/>
              <w:bottom w:val="single" w:sz="4" w:space="0" w:color="auto"/>
              <w:right w:val="single" w:sz="4" w:space="0" w:color="auto"/>
            </w:tcBorders>
            <w:shd w:val="clear" w:color="auto" w:fill="auto"/>
            <w:noWrap/>
            <w:vAlign w:val="center"/>
            <w:hideMark/>
          </w:tcPr>
          <w:p w:rsidR="00A073E6" w:rsidRPr="00A073E6" w:rsidRDefault="00A073E6" w:rsidP="00A073E6">
            <w:pPr>
              <w:jc w:val="center"/>
              <w:rPr>
                <w:rFonts w:ascii="Calibri" w:hAnsi="Calibri"/>
                <w:color w:val="000000"/>
                <w:sz w:val="16"/>
                <w:szCs w:val="16"/>
              </w:rPr>
            </w:pPr>
            <w:r w:rsidRPr="00A073E6">
              <w:rPr>
                <w:rFonts w:ascii="Calibri" w:hAnsi="Calibri"/>
                <w:color w:val="000000"/>
                <w:sz w:val="16"/>
                <w:szCs w:val="16"/>
              </w:rPr>
              <w:t>2017-18</w:t>
            </w:r>
          </w:p>
        </w:tc>
        <w:tc>
          <w:tcPr>
            <w:tcW w:w="256" w:type="pct"/>
            <w:tcBorders>
              <w:top w:val="nil"/>
              <w:left w:val="nil"/>
              <w:bottom w:val="single" w:sz="4" w:space="0" w:color="auto"/>
              <w:right w:val="single" w:sz="4" w:space="0" w:color="auto"/>
            </w:tcBorders>
            <w:shd w:val="clear" w:color="000000" w:fill="FFFF99"/>
            <w:noWrap/>
            <w:vAlign w:val="center"/>
            <w:hideMark/>
          </w:tcPr>
          <w:p w:rsidR="00A073E6" w:rsidRPr="00A073E6" w:rsidRDefault="00A073E6" w:rsidP="00A073E6">
            <w:pPr>
              <w:jc w:val="center"/>
              <w:rPr>
                <w:rFonts w:ascii="Calibri" w:hAnsi="Calibri"/>
                <w:color w:val="000000"/>
                <w:sz w:val="16"/>
                <w:szCs w:val="16"/>
              </w:rPr>
            </w:pPr>
            <w:r w:rsidRPr="00A073E6">
              <w:rPr>
                <w:rFonts w:ascii="Calibri" w:hAnsi="Calibri"/>
                <w:color w:val="000000"/>
                <w:sz w:val="16"/>
                <w:szCs w:val="16"/>
              </w:rPr>
              <w:t>1,856</w:t>
            </w:r>
          </w:p>
        </w:tc>
        <w:tc>
          <w:tcPr>
            <w:tcW w:w="257" w:type="pct"/>
            <w:tcBorders>
              <w:top w:val="nil"/>
              <w:left w:val="nil"/>
              <w:bottom w:val="single" w:sz="4" w:space="0" w:color="auto"/>
              <w:right w:val="single" w:sz="4" w:space="0" w:color="auto"/>
            </w:tcBorders>
            <w:shd w:val="clear" w:color="000000" w:fill="FFFF99"/>
            <w:noWrap/>
            <w:vAlign w:val="center"/>
            <w:hideMark/>
          </w:tcPr>
          <w:p w:rsidR="00A073E6" w:rsidRPr="00A073E6" w:rsidRDefault="00A073E6" w:rsidP="00A073E6">
            <w:pPr>
              <w:jc w:val="center"/>
              <w:rPr>
                <w:rFonts w:ascii="Calibri" w:hAnsi="Calibri"/>
                <w:color w:val="000000"/>
                <w:sz w:val="16"/>
                <w:szCs w:val="16"/>
              </w:rPr>
            </w:pPr>
            <w:r w:rsidRPr="00A073E6">
              <w:rPr>
                <w:rFonts w:ascii="Calibri" w:hAnsi="Calibri"/>
                <w:color w:val="000000"/>
                <w:sz w:val="16"/>
                <w:szCs w:val="16"/>
              </w:rPr>
              <w:t>5,702</w:t>
            </w:r>
          </w:p>
        </w:tc>
        <w:tc>
          <w:tcPr>
            <w:tcW w:w="255" w:type="pct"/>
            <w:tcBorders>
              <w:top w:val="nil"/>
              <w:left w:val="nil"/>
              <w:bottom w:val="single" w:sz="4" w:space="0" w:color="auto"/>
              <w:right w:val="single" w:sz="4" w:space="0" w:color="auto"/>
            </w:tcBorders>
            <w:shd w:val="clear" w:color="000000" w:fill="FFFF99"/>
            <w:noWrap/>
            <w:vAlign w:val="center"/>
            <w:hideMark/>
          </w:tcPr>
          <w:p w:rsidR="00A073E6" w:rsidRPr="00A073E6" w:rsidRDefault="00A073E6" w:rsidP="00A073E6">
            <w:pPr>
              <w:jc w:val="center"/>
              <w:rPr>
                <w:rFonts w:ascii="Calibri" w:hAnsi="Calibri"/>
                <w:color w:val="000000"/>
                <w:sz w:val="16"/>
                <w:szCs w:val="16"/>
              </w:rPr>
            </w:pPr>
            <w:r w:rsidRPr="00A073E6">
              <w:rPr>
                <w:rFonts w:ascii="Calibri" w:hAnsi="Calibri"/>
                <w:color w:val="000000"/>
                <w:sz w:val="16"/>
                <w:szCs w:val="16"/>
              </w:rPr>
              <w:t>423</w:t>
            </w:r>
          </w:p>
        </w:tc>
        <w:tc>
          <w:tcPr>
            <w:tcW w:w="257" w:type="pct"/>
            <w:tcBorders>
              <w:top w:val="nil"/>
              <w:left w:val="nil"/>
              <w:bottom w:val="single" w:sz="4" w:space="0" w:color="auto"/>
              <w:right w:val="single" w:sz="4" w:space="0" w:color="auto"/>
            </w:tcBorders>
            <w:shd w:val="clear" w:color="000000" w:fill="FFFF99"/>
            <w:noWrap/>
            <w:vAlign w:val="center"/>
            <w:hideMark/>
          </w:tcPr>
          <w:p w:rsidR="00A073E6" w:rsidRPr="00A073E6" w:rsidRDefault="00A073E6" w:rsidP="00A073E6">
            <w:pPr>
              <w:jc w:val="center"/>
              <w:rPr>
                <w:rFonts w:ascii="Calibri" w:hAnsi="Calibri"/>
                <w:color w:val="000000"/>
                <w:sz w:val="16"/>
                <w:szCs w:val="16"/>
              </w:rPr>
            </w:pPr>
            <w:r w:rsidRPr="00A073E6">
              <w:rPr>
                <w:rFonts w:ascii="Calibri" w:hAnsi="Calibri"/>
                <w:color w:val="000000"/>
                <w:sz w:val="16"/>
                <w:szCs w:val="16"/>
              </w:rPr>
              <w:t>5,357</w:t>
            </w:r>
          </w:p>
        </w:tc>
        <w:tc>
          <w:tcPr>
            <w:tcW w:w="256" w:type="pct"/>
            <w:tcBorders>
              <w:top w:val="nil"/>
              <w:left w:val="nil"/>
              <w:bottom w:val="single" w:sz="4" w:space="0" w:color="auto"/>
              <w:right w:val="single" w:sz="4" w:space="0" w:color="auto"/>
            </w:tcBorders>
            <w:shd w:val="clear" w:color="000000" w:fill="420000"/>
            <w:noWrap/>
            <w:vAlign w:val="center"/>
            <w:hideMark/>
          </w:tcPr>
          <w:p w:rsidR="00A073E6" w:rsidRPr="00A073E6" w:rsidRDefault="00A073E6" w:rsidP="00A073E6">
            <w:pPr>
              <w:jc w:val="center"/>
              <w:rPr>
                <w:rFonts w:ascii="Calibri" w:hAnsi="Calibri"/>
                <w:color w:val="FFFFFF"/>
                <w:sz w:val="16"/>
                <w:szCs w:val="16"/>
              </w:rPr>
            </w:pPr>
            <w:r w:rsidRPr="00A073E6">
              <w:rPr>
                <w:rFonts w:ascii="Calibri" w:hAnsi="Calibri"/>
                <w:color w:val="FFFFFF"/>
                <w:sz w:val="16"/>
                <w:szCs w:val="16"/>
              </w:rPr>
              <w:t>334</w:t>
            </w:r>
          </w:p>
        </w:tc>
        <w:tc>
          <w:tcPr>
            <w:tcW w:w="257" w:type="pct"/>
            <w:tcBorders>
              <w:top w:val="nil"/>
              <w:left w:val="nil"/>
              <w:bottom w:val="single" w:sz="4" w:space="0" w:color="auto"/>
              <w:right w:val="single" w:sz="4" w:space="0" w:color="auto"/>
            </w:tcBorders>
            <w:shd w:val="clear" w:color="000000" w:fill="420000"/>
            <w:noWrap/>
            <w:vAlign w:val="center"/>
            <w:hideMark/>
          </w:tcPr>
          <w:p w:rsidR="00A073E6" w:rsidRPr="00A073E6" w:rsidRDefault="00A073E6" w:rsidP="00A073E6">
            <w:pPr>
              <w:jc w:val="center"/>
              <w:rPr>
                <w:rFonts w:ascii="Calibri" w:hAnsi="Calibri"/>
                <w:color w:val="FFFFFF"/>
                <w:sz w:val="16"/>
                <w:szCs w:val="16"/>
              </w:rPr>
            </w:pPr>
            <w:r w:rsidRPr="00A073E6">
              <w:rPr>
                <w:rFonts w:ascii="Calibri" w:hAnsi="Calibri"/>
                <w:color w:val="FFFFFF"/>
                <w:sz w:val="16"/>
                <w:szCs w:val="16"/>
              </w:rPr>
              <w:t>6,440</w:t>
            </w:r>
          </w:p>
        </w:tc>
        <w:tc>
          <w:tcPr>
            <w:tcW w:w="256" w:type="pct"/>
            <w:tcBorders>
              <w:top w:val="nil"/>
              <w:left w:val="nil"/>
              <w:bottom w:val="single" w:sz="4" w:space="0" w:color="auto"/>
              <w:right w:val="single" w:sz="4" w:space="0" w:color="auto"/>
            </w:tcBorders>
            <w:shd w:val="clear" w:color="000000" w:fill="FFFF99"/>
            <w:noWrap/>
            <w:vAlign w:val="center"/>
            <w:hideMark/>
          </w:tcPr>
          <w:p w:rsidR="00A073E6" w:rsidRPr="00A073E6" w:rsidRDefault="00A073E6" w:rsidP="00A073E6">
            <w:pPr>
              <w:jc w:val="center"/>
              <w:rPr>
                <w:rFonts w:ascii="Calibri" w:hAnsi="Calibri"/>
                <w:color w:val="000000"/>
                <w:sz w:val="16"/>
                <w:szCs w:val="16"/>
              </w:rPr>
            </w:pPr>
            <w:r w:rsidRPr="00A073E6">
              <w:rPr>
                <w:rFonts w:ascii="Calibri" w:hAnsi="Calibri"/>
                <w:color w:val="000000"/>
                <w:sz w:val="16"/>
                <w:szCs w:val="16"/>
              </w:rPr>
              <w:t>261</w:t>
            </w:r>
          </w:p>
        </w:tc>
        <w:tc>
          <w:tcPr>
            <w:tcW w:w="257" w:type="pct"/>
            <w:tcBorders>
              <w:top w:val="nil"/>
              <w:left w:val="nil"/>
              <w:bottom w:val="single" w:sz="4" w:space="0" w:color="auto"/>
              <w:right w:val="single" w:sz="4" w:space="0" w:color="auto"/>
            </w:tcBorders>
            <w:shd w:val="clear" w:color="000000" w:fill="FFFF99"/>
            <w:noWrap/>
            <w:vAlign w:val="center"/>
            <w:hideMark/>
          </w:tcPr>
          <w:p w:rsidR="00A073E6" w:rsidRPr="00A073E6" w:rsidRDefault="00A073E6" w:rsidP="00A073E6">
            <w:pPr>
              <w:jc w:val="center"/>
              <w:rPr>
                <w:rFonts w:ascii="Calibri" w:hAnsi="Calibri"/>
                <w:color w:val="000000"/>
                <w:sz w:val="16"/>
                <w:szCs w:val="16"/>
              </w:rPr>
            </w:pPr>
            <w:r w:rsidRPr="00A073E6">
              <w:rPr>
                <w:rFonts w:ascii="Calibri" w:hAnsi="Calibri"/>
                <w:color w:val="000000"/>
                <w:sz w:val="16"/>
                <w:szCs w:val="16"/>
              </w:rPr>
              <w:t>5,673</w:t>
            </w:r>
          </w:p>
        </w:tc>
        <w:tc>
          <w:tcPr>
            <w:tcW w:w="256" w:type="pct"/>
            <w:tcBorders>
              <w:top w:val="nil"/>
              <w:left w:val="nil"/>
              <w:bottom w:val="single" w:sz="4" w:space="0" w:color="auto"/>
              <w:right w:val="single" w:sz="4" w:space="0" w:color="auto"/>
            </w:tcBorders>
            <w:shd w:val="clear" w:color="000000" w:fill="FFFF99"/>
            <w:noWrap/>
            <w:vAlign w:val="center"/>
            <w:hideMark/>
          </w:tcPr>
          <w:p w:rsidR="00A073E6" w:rsidRPr="00A073E6" w:rsidRDefault="00A073E6" w:rsidP="00A073E6">
            <w:pPr>
              <w:jc w:val="center"/>
              <w:rPr>
                <w:rFonts w:ascii="Calibri" w:hAnsi="Calibri"/>
                <w:color w:val="000000"/>
                <w:sz w:val="16"/>
                <w:szCs w:val="16"/>
              </w:rPr>
            </w:pPr>
            <w:r w:rsidRPr="00A073E6">
              <w:rPr>
                <w:rFonts w:ascii="Calibri" w:hAnsi="Calibri"/>
                <w:color w:val="000000"/>
                <w:sz w:val="16"/>
                <w:szCs w:val="16"/>
              </w:rPr>
              <w:t>354</w:t>
            </w:r>
          </w:p>
        </w:tc>
        <w:tc>
          <w:tcPr>
            <w:tcW w:w="257" w:type="pct"/>
            <w:tcBorders>
              <w:top w:val="nil"/>
              <w:left w:val="nil"/>
              <w:bottom w:val="single" w:sz="4" w:space="0" w:color="auto"/>
              <w:right w:val="single" w:sz="4" w:space="0" w:color="auto"/>
            </w:tcBorders>
            <w:shd w:val="clear" w:color="000000" w:fill="FFFF99"/>
            <w:noWrap/>
            <w:vAlign w:val="center"/>
            <w:hideMark/>
          </w:tcPr>
          <w:p w:rsidR="00A073E6" w:rsidRPr="00A073E6" w:rsidRDefault="00A073E6" w:rsidP="00A073E6">
            <w:pPr>
              <w:jc w:val="center"/>
              <w:rPr>
                <w:rFonts w:ascii="Calibri" w:hAnsi="Calibri"/>
                <w:color w:val="000000"/>
                <w:sz w:val="16"/>
                <w:szCs w:val="16"/>
              </w:rPr>
            </w:pPr>
            <w:r w:rsidRPr="00A073E6">
              <w:rPr>
                <w:rFonts w:ascii="Calibri" w:hAnsi="Calibri"/>
                <w:color w:val="000000"/>
                <w:sz w:val="16"/>
                <w:szCs w:val="16"/>
              </w:rPr>
              <w:t>5,730</w:t>
            </w:r>
          </w:p>
        </w:tc>
        <w:tc>
          <w:tcPr>
            <w:tcW w:w="299" w:type="pct"/>
            <w:tcBorders>
              <w:top w:val="nil"/>
              <w:left w:val="nil"/>
              <w:bottom w:val="single" w:sz="4" w:space="0" w:color="auto"/>
              <w:right w:val="single" w:sz="4" w:space="0" w:color="auto"/>
            </w:tcBorders>
            <w:shd w:val="clear" w:color="000000" w:fill="FFFF99"/>
            <w:noWrap/>
            <w:vAlign w:val="center"/>
            <w:hideMark/>
          </w:tcPr>
          <w:p w:rsidR="00A073E6" w:rsidRPr="00A073E6" w:rsidRDefault="00A073E6" w:rsidP="00A073E6">
            <w:pPr>
              <w:jc w:val="center"/>
              <w:rPr>
                <w:rFonts w:ascii="Calibri" w:hAnsi="Calibri"/>
                <w:color w:val="000000"/>
                <w:sz w:val="16"/>
                <w:szCs w:val="16"/>
              </w:rPr>
            </w:pPr>
            <w:r w:rsidRPr="00A073E6">
              <w:rPr>
                <w:rFonts w:ascii="Calibri" w:hAnsi="Calibri"/>
                <w:color w:val="000000"/>
                <w:sz w:val="16"/>
                <w:szCs w:val="16"/>
              </w:rPr>
              <w:t>440</w:t>
            </w:r>
          </w:p>
        </w:tc>
        <w:tc>
          <w:tcPr>
            <w:tcW w:w="257" w:type="pct"/>
            <w:tcBorders>
              <w:top w:val="nil"/>
              <w:left w:val="nil"/>
              <w:bottom w:val="single" w:sz="4" w:space="0" w:color="auto"/>
              <w:right w:val="single" w:sz="4" w:space="0" w:color="auto"/>
            </w:tcBorders>
            <w:shd w:val="clear" w:color="000000" w:fill="FFFF99"/>
            <w:noWrap/>
            <w:vAlign w:val="center"/>
            <w:hideMark/>
          </w:tcPr>
          <w:p w:rsidR="00A073E6" w:rsidRPr="00A073E6" w:rsidRDefault="00A073E6" w:rsidP="00A073E6">
            <w:pPr>
              <w:jc w:val="center"/>
              <w:rPr>
                <w:rFonts w:ascii="Calibri" w:hAnsi="Calibri"/>
                <w:color w:val="000000"/>
                <w:sz w:val="16"/>
                <w:szCs w:val="16"/>
              </w:rPr>
            </w:pPr>
            <w:r w:rsidRPr="00A073E6">
              <w:rPr>
                <w:rFonts w:ascii="Calibri" w:hAnsi="Calibri"/>
                <w:color w:val="000000"/>
                <w:sz w:val="16"/>
                <w:szCs w:val="16"/>
              </w:rPr>
              <w:t>5,246</w:t>
            </w:r>
          </w:p>
        </w:tc>
        <w:tc>
          <w:tcPr>
            <w:tcW w:w="264" w:type="pct"/>
            <w:tcBorders>
              <w:top w:val="nil"/>
              <w:left w:val="nil"/>
              <w:bottom w:val="single" w:sz="4" w:space="0" w:color="auto"/>
              <w:right w:val="single" w:sz="4" w:space="0" w:color="auto"/>
            </w:tcBorders>
            <w:shd w:val="clear" w:color="000000" w:fill="FFFF99"/>
            <w:noWrap/>
            <w:vAlign w:val="center"/>
            <w:hideMark/>
          </w:tcPr>
          <w:p w:rsidR="00A073E6" w:rsidRPr="00A073E6" w:rsidRDefault="00A073E6" w:rsidP="00A073E6">
            <w:pPr>
              <w:jc w:val="center"/>
              <w:rPr>
                <w:rFonts w:ascii="Calibri" w:hAnsi="Calibri"/>
                <w:color w:val="000000"/>
                <w:sz w:val="16"/>
                <w:szCs w:val="16"/>
              </w:rPr>
            </w:pPr>
            <w:r w:rsidRPr="00A073E6">
              <w:rPr>
                <w:rFonts w:ascii="Calibri" w:hAnsi="Calibri"/>
                <w:color w:val="000000"/>
                <w:sz w:val="16"/>
                <w:szCs w:val="16"/>
              </w:rPr>
              <w:t>467</w:t>
            </w:r>
          </w:p>
        </w:tc>
        <w:tc>
          <w:tcPr>
            <w:tcW w:w="291" w:type="pct"/>
            <w:tcBorders>
              <w:top w:val="nil"/>
              <w:left w:val="nil"/>
              <w:bottom w:val="single" w:sz="4" w:space="0" w:color="auto"/>
              <w:right w:val="single" w:sz="4" w:space="0" w:color="auto"/>
            </w:tcBorders>
            <w:shd w:val="clear" w:color="000000" w:fill="FFFF99"/>
            <w:noWrap/>
            <w:vAlign w:val="center"/>
            <w:hideMark/>
          </w:tcPr>
          <w:p w:rsidR="00A073E6" w:rsidRPr="00A073E6" w:rsidRDefault="00A073E6" w:rsidP="00A073E6">
            <w:pPr>
              <w:jc w:val="center"/>
              <w:rPr>
                <w:rFonts w:ascii="Calibri" w:hAnsi="Calibri"/>
                <w:color w:val="000000"/>
                <w:sz w:val="16"/>
                <w:szCs w:val="16"/>
              </w:rPr>
            </w:pPr>
            <w:r w:rsidRPr="00A073E6">
              <w:rPr>
                <w:rFonts w:ascii="Calibri" w:hAnsi="Calibri"/>
                <w:color w:val="000000"/>
                <w:sz w:val="16"/>
                <w:szCs w:val="16"/>
              </w:rPr>
              <w:t>5,741</w:t>
            </w:r>
          </w:p>
        </w:tc>
        <w:tc>
          <w:tcPr>
            <w:tcW w:w="257" w:type="pct"/>
            <w:tcBorders>
              <w:top w:val="nil"/>
              <w:left w:val="nil"/>
              <w:bottom w:val="single" w:sz="4" w:space="0" w:color="auto"/>
              <w:right w:val="single" w:sz="4" w:space="0" w:color="auto"/>
            </w:tcBorders>
            <w:shd w:val="clear" w:color="auto" w:fill="auto"/>
            <w:noWrap/>
            <w:vAlign w:val="center"/>
            <w:hideMark/>
          </w:tcPr>
          <w:p w:rsidR="00A073E6" w:rsidRPr="00A073E6" w:rsidRDefault="00A073E6" w:rsidP="00A073E6">
            <w:pPr>
              <w:jc w:val="center"/>
              <w:rPr>
                <w:rFonts w:ascii="Calibri" w:hAnsi="Calibri"/>
                <w:color w:val="000000"/>
                <w:sz w:val="16"/>
                <w:szCs w:val="16"/>
              </w:rPr>
            </w:pPr>
            <w:r w:rsidRPr="00A073E6">
              <w:rPr>
                <w:rFonts w:ascii="Calibri" w:hAnsi="Calibri"/>
                <w:color w:val="000000"/>
                <w:sz w:val="16"/>
                <w:szCs w:val="16"/>
              </w:rPr>
              <w:t>146,665</w:t>
            </w:r>
          </w:p>
        </w:tc>
        <w:tc>
          <w:tcPr>
            <w:tcW w:w="299" w:type="pct"/>
            <w:tcBorders>
              <w:top w:val="nil"/>
              <w:left w:val="nil"/>
              <w:bottom w:val="single" w:sz="4" w:space="0" w:color="auto"/>
              <w:right w:val="single" w:sz="4" w:space="0" w:color="auto"/>
            </w:tcBorders>
            <w:shd w:val="clear" w:color="auto" w:fill="auto"/>
            <w:noWrap/>
            <w:vAlign w:val="center"/>
            <w:hideMark/>
          </w:tcPr>
          <w:p w:rsidR="00A073E6" w:rsidRPr="00A073E6" w:rsidRDefault="00A073E6" w:rsidP="00A073E6">
            <w:pPr>
              <w:jc w:val="center"/>
              <w:rPr>
                <w:rFonts w:ascii="Calibri" w:hAnsi="Calibri"/>
                <w:color w:val="000000"/>
                <w:sz w:val="16"/>
                <w:szCs w:val="16"/>
              </w:rPr>
            </w:pPr>
            <w:r w:rsidRPr="00A073E6">
              <w:rPr>
                <w:rFonts w:ascii="Calibri" w:hAnsi="Calibri"/>
                <w:color w:val="000000"/>
                <w:sz w:val="16"/>
                <w:szCs w:val="16"/>
              </w:rPr>
              <w:t>5,469</w:t>
            </w:r>
          </w:p>
        </w:tc>
      </w:tr>
      <w:tr w:rsidR="00F97E28" w:rsidRPr="00CE6AE2" w:rsidTr="00F97E28">
        <w:trPr>
          <w:trHeight w:val="300"/>
        </w:trPr>
        <w:tc>
          <w:tcPr>
            <w:tcW w:w="513" w:type="pct"/>
            <w:tcBorders>
              <w:top w:val="nil"/>
              <w:left w:val="single" w:sz="4" w:space="0" w:color="auto"/>
              <w:bottom w:val="single" w:sz="4" w:space="0" w:color="auto"/>
              <w:right w:val="single" w:sz="4" w:space="0" w:color="auto"/>
            </w:tcBorders>
            <w:shd w:val="clear" w:color="auto" w:fill="auto"/>
            <w:noWrap/>
            <w:vAlign w:val="center"/>
            <w:hideMark/>
          </w:tcPr>
          <w:p w:rsidR="00A073E6" w:rsidRPr="00A073E6" w:rsidRDefault="00A073E6" w:rsidP="00A073E6">
            <w:pPr>
              <w:jc w:val="center"/>
              <w:rPr>
                <w:rFonts w:ascii="Calibri" w:hAnsi="Calibri"/>
                <w:color w:val="000000"/>
                <w:sz w:val="16"/>
                <w:szCs w:val="16"/>
              </w:rPr>
            </w:pPr>
            <w:r w:rsidRPr="00A073E6">
              <w:rPr>
                <w:rFonts w:ascii="Calibri" w:hAnsi="Calibri"/>
                <w:color w:val="000000"/>
                <w:sz w:val="16"/>
                <w:szCs w:val="16"/>
              </w:rPr>
              <w:t>Directly age-standardised rate of hip fractures in 65+</w:t>
            </w:r>
          </w:p>
        </w:tc>
        <w:tc>
          <w:tcPr>
            <w:tcW w:w="256" w:type="pct"/>
            <w:tcBorders>
              <w:top w:val="nil"/>
              <w:left w:val="nil"/>
              <w:bottom w:val="single" w:sz="4" w:space="0" w:color="auto"/>
              <w:right w:val="single" w:sz="4" w:space="0" w:color="auto"/>
            </w:tcBorders>
            <w:shd w:val="clear" w:color="auto" w:fill="auto"/>
            <w:noWrap/>
            <w:vAlign w:val="center"/>
            <w:hideMark/>
          </w:tcPr>
          <w:p w:rsidR="00A073E6" w:rsidRPr="00A073E6" w:rsidRDefault="00A073E6" w:rsidP="00A073E6">
            <w:pPr>
              <w:jc w:val="center"/>
              <w:rPr>
                <w:rFonts w:ascii="Calibri" w:hAnsi="Calibri"/>
                <w:color w:val="000000"/>
                <w:sz w:val="16"/>
                <w:szCs w:val="16"/>
              </w:rPr>
            </w:pPr>
            <w:r w:rsidRPr="00A073E6">
              <w:rPr>
                <w:rFonts w:ascii="Calibri" w:hAnsi="Calibri"/>
                <w:color w:val="000000"/>
                <w:sz w:val="16"/>
                <w:szCs w:val="16"/>
              </w:rPr>
              <w:t>2017-18</w:t>
            </w:r>
          </w:p>
        </w:tc>
        <w:tc>
          <w:tcPr>
            <w:tcW w:w="256" w:type="pct"/>
            <w:tcBorders>
              <w:top w:val="nil"/>
              <w:left w:val="nil"/>
              <w:bottom w:val="single" w:sz="4" w:space="0" w:color="auto"/>
              <w:right w:val="single" w:sz="4" w:space="0" w:color="auto"/>
            </w:tcBorders>
            <w:shd w:val="clear" w:color="000000" w:fill="EBF1DE"/>
            <w:noWrap/>
            <w:vAlign w:val="center"/>
            <w:hideMark/>
          </w:tcPr>
          <w:p w:rsidR="00A073E6" w:rsidRPr="00A073E6" w:rsidRDefault="00A073E6" w:rsidP="00A073E6">
            <w:pPr>
              <w:jc w:val="center"/>
              <w:rPr>
                <w:rFonts w:ascii="Calibri" w:hAnsi="Calibri"/>
                <w:color w:val="000000"/>
                <w:sz w:val="16"/>
                <w:szCs w:val="16"/>
              </w:rPr>
            </w:pPr>
            <w:r w:rsidRPr="00A073E6">
              <w:rPr>
                <w:rFonts w:ascii="Calibri" w:hAnsi="Calibri"/>
                <w:color w:val="000000"/>
                <w:sz w:val="16"/>
                <w:szCs w:val="16"/>
              </w:rPr>
              <w:t>654</w:t>
            </w:r>
          </w:p>
        </w:tc>
        <w:tc>
          <w:tcPr>
            <w:tcW w:w="257" w:type="pct"/>
            <w:tcBorders>
              <w:top w:val="nil"/>
              <w:left w:val="nil"/>
              <w:bottom w:val="single" w:sz="4" w:space="0" w:color="auto"/>
              <w:right w:val="single" w:sz="4" w:space="0" w:color="auto"/>
            </w:tcBorders>
            <w:shd w:val="clear" w:color="000000" w:fill="EBF1DE"/>
            <w:noWrap/>
            <w:vAlign w:val="center"/>
            <w:hideMark/>
          </w:tcPr>
          <w:p w:rsidR="00A073E6" w:rsidRPr="00A073E6" w:rsidRDefault="00A073E6" w:rsidP="00A073E6">
            <w:pPr>
              <w:jc w:val="center"/>
              <w:rPr>
                <w:rFonts w:ascii="Calibri" w:hAnsi="Calibri"/>
                <w:color w:val="000000"/>
                <w:sz w:val="16"/>
                <w:szCs w:val="16"/>
              </w:rPr>
            </w:pPr>
            <w:r w:rsidRPr="00A073E6">
              <w:rPr>
                <w:rFonts w:ascii="Calibri" w:hAnsi="Calibri"/>
                <w:color w:val="000000"/>
                <w:sz w:val="16"/>
                <w:szCs w:val="16"/>
              </w:rPr>
              <w:t>533</w:t>
            </w:r>
          </w:p>
        </w:tc>
        <w:tc>
          <w:tcPr>
            <w:tcW w:w="255" w:type="pct"/>
            <w:tcBorders>
              <w:top w:val="nil"/>
              <w:left w:val="nil"/>
              <w:bottom w:val="single" w:sz="4" w:space="0" w:color="auto"/>
              <w:right w:val="single" w:sz="4" w:space="0" w:color="auto"/>
            </w:tcBorders>
            <w:shd w:val="clear" w:color="000000" w:fill="FFFF99"/>
            <w:noWrap/>
            <w:vAlign w:val="center"/>
            <w:hideMark/>
          </w:tcPr>
          <w:p w:rsidR="00A073E6" w:rsidRPr="00A073E6" w:rsidRDefault="00A073E6" w:rsidP="00A073E6">
            <w:pPr>
              <w:jc w:val="center"/>
              <w:rPr>
                <w:rFonts w:ascii="Calibri" w:hAnsi="Calibri"/>
                <w:color w:val="000000"/>
                <w:sz w:val="16"/>
                <w:szCs w:val="16"/>
              </w:rPr>
            </w:pPr>
            <w:r w:rsidRPr="00A073E6">
              <w:rPr>
                <w:rFonts w:ascii="Calibri" w:hAnsi="Calibri"/>
                <w:color w:val="000000"/>
                <w:sz w:val="16"/>
                <w:szCs w:val="16"/>
              </w:rPr>
              <w:t>185</w:t>
            </w:r>
          </w:p>
        </w:tc>
        <w:tc>
          <w:tcPr>
            <w:tcW w:w="257" w:type="pct"/>
            <w:tcBorders>
              <w:top w:val="nil"/>
              <w:left w:val="nil"/>
              <w:bottom w:val="single" w:sz="4" w:space="0" w:color="auto"/>
              <w:right w:val="single" w:sz="4" w:space="0" w:color="auto"/>
            </w:tcBorders>
            <w:shd w:val="clear" w:color="000000" w:fill="FFFF99"/>
            <w:noWrap/>
            <w:vAlign w:val="center"/>
            <w:hideMark/>
          </w:tcPr>
          <w:p w:rsidR="00A073E6" w:rsidRPr="00A073E6" w:rsidRDefault="00A073E6" w:rsidP="00A073E6">
            <w:pPr>
              <w:jc w:val="center"/>
              <w:rPr>
                <w:rFonts w:ascii="Calibri" w:hAnsi="Calibri"/>
                <w:color w:val="000000"/>
                <w:sz w:val="16"/>
                <w:szCs w:val="16"/>
              </w:rPr>
            </w:pPr>
            <w:r w:rsidRPr="00A073E6">
              <w:rPr>
                <w:rFonts w:ascii="Calibri" w:hAnsi="Calibri"/>
                <w:color w:val="000000"/>
                <w:sz w:val="16"/>
                <w:szCs w:val="16"/>
              </w:rPr>
              <w:t>625</w:t>
            </w:r>
          </w:p>
        </w:tc>
        <w:tc>
          <w:tcPr>
            <w:tcW w:w="256" w:type="pct"/>
            <w:tcBorders>
              <w:top w:val="nil"/>
              <w:left w:val="nil"/>
              <w:bottom w:val="single" w:sz="4" w:space="0" w:color="auto"/>
              <w:right w:val="single" w:sz="4" w:space="0" w:color="auto"/>
            </w:tcBorders>
            <w:shd w:val="clear" w:color="000000" w:fill="FFFF99"/>
            <w:noWrap/>
            <w:vAlign w:val="center"/>
            <w:hideMark/>
          </w:tcPr>
          <w:p w:rsidR="00A073E6" w:rsidRPr="00A073E6" w:rsidRDefault="00A073E6" w:rsidP="00A073E6">
            <w:pPr>
              <w:jc w:val="center"/>
              <w:rPr>
                <w:rFonts w:ascii="Calibri" w:hAnsi="Calibri"/>
                <w:color w:val="000000"/>
                <w:sz w:val="16"/>
                <w:szCs w:val="16"/>
              </w:rPr>
            </w:pPr>
            <w:r w:rsidRPr="00A073E6">
              <w:rPr>
                <w:rFonts w:ascii="Calibri" w:hAnsi="Calibri"/>
                <w:color w:val="000000"/>
                <w:sz w:val="16"/>
                <w:szCs w:val="16"/>
              </w:rPr>
              <w:t>94</w:t>
            </w:r>
          </w:p>
        </w:tc>
        <w:tc>
          <w:tcPr>
            <w:tcW w:w="257" w:type="pct"/>
            <w:tcBorders>
              <w:top w:val="nil"/>
              <w:left w:val="nil"/>
              <w:bottom w:val="single" w:sz="4" w:space="0" w:color="auto"/>
              <w:right w:val="single" w:sz="4" w:space="0" w:color="auto"/>
            </w:tcBorders>
            <w:shd w:val="clear" w:color="000000" w:fill="FFFF99"/>
            <w:noWrap/>
            <w:vAlign w:val="center"/>
            <w:hideMark/>
          </w:tcPr>
          <w:p w:rsidR="00A073E6" w:rsidRPr="00A073E6" w:rsidRDefault="00A073E6" w:rsidP="00A073E6">
            <w:pPr>
              <w:jc w:val="center"/>
              <w:rPr>
                <w:rFonts w:ascii="Calibri" w:hAnsi="Calibri"/>
                <w:color w:val="000000"/>
                <w:sz w:val="16"/>
                <w:szCs w:val="16"/>
              </w:rPr>
            </w:pPr>
            <w:r w:rsidRPr="00A073E6">
              <w:rPr>
                <w:rFonts w:ascii="Calibri" w:hAnsi="Calibri"/>
                <w:color w:val="000000"/>
                <w:sz w:val="16"/>
                <w:szCs w:val="16"/>
              </w:rPr>
              <w:t>527</w:t>
            </w:r>
          </w:p>
        </w:tc>
        <w:tc>
          <w:tcPr>
            <w:tcW w:w="256" w:type="pct"/>
            <w:tcBorders>
              <w:top w:val="nil"/>
              <w:left w:val="nil"/>
              <w:bottom w:val="single" w:sz="4" w:space="0" w:color="auto"/>
              <w:right w:val="single" w:sz="4" w:space="0" w:color="auto"/>
            </w:tcBorders>
            <w:shd w:val="clear" w:color="000000" w:fill="EBF1DE"/>
            <w:noWrap/>
            <w:vAlign w:val="center"/>
            <w:hideMark/>
          </w:tcPr>
          <w:p w:rsidR="00A073E6" w:rsidRPr="00A073E6" w:rsidRDefault="00A073E6" w:rsidP="00A073E6">
            <w:pPr>
              <w:jc w:val="center"/>
              <w:rPr>
                <w:rFonts w:ascii="Calibri" w:hAnsi="Calibri"/>
                <w:color w:val="000000"/>
                <w:sz w:val="16"/>
                <w:szCs w:val="16"/>
              </w:rPr>
            </w:pPr>
            <w:r w:rsidRPr="00A073E6">
              <w:rPr>
                <w:rFonts w:ascii="Calibri" w:hAnsi="Calibri"/>
                <w:color w:val="000000"/>
                <w:sz w:val="16"/>
                <w:szCs w:val="16"/>
              </w:rPr>
              <w:t>82</w:t>
            </w:r>
          </w:p>
        </w:tc>
        <w:tc>
          <w:tcPr>
            <w:tcW w:w="257" w:type="pct"/>
            <w:tcBorders>
              <w:top w:val="nil"/>
              <w:left w:val="nil"/>
              <w:bottom w:val="single" w:sz="4" w:space="0" w:color="auto"/>
              <w:right w:val="single" w:sz="4" w:space="0" w:color="auto"/>
            </w:tcBorders>
            <w:shd w:val="clear" w:color="000000" w:fill="EBF1DE"/>
            <w:noWrap/>
            <w:vAlign w:val="center"/>
            <w:hideMark/>
          </w:tcPr>
          <w:p w:rsidR="00A073E6" w:rsidRPr="00A073E6" w:rsidRDefault="00A073E6" w:rsidP="00A073E6">
            <w:pPr>
              <w:jc w:val="center"/>
              <w:rPr>
                <w:rFonts w:ascii="Calibri" w:hAnsi="Calibri"/>
                <w:color w:val="000000"/>
                <w:sz w:val="16"/>
                <w:szCs w:val="16"/>
              </w:rPr>
            </w:pPr>
            <w:r w:rsidRPr="00A073E6">
              <w:rPr>
                <w:rFonts w:ascii="Calibri" w:hAnsi="Calibri"/>
                <w:color w:val="000000"/>
                <w:sz w:val="16"/>
                <w:szCs w:val="16"/>
              </w:rPr>
              <w:t>462</w:t>
            </w:r>
          </w:p>
        </w:tc>
        <w:tc>
          <w:tcPr>
            <w:tcW w:w="256" w:type="pct"/>
            <w:tcBorders>
              <w:top w:val="nil"/>
              <w:left w:val="nil"/>
              <w:bottom w:val="single" w:sz="4" w:space="0" w:color="auto"/>
              <w:right w:val="single" w:sz="4" w:space="0" w:color="auto"/>
            </w:tcBorders>
            <w:shd w:val="clear" w:color="000000" w:fill="FFFF99"/>
            <w:noWrap/>
            <w:vAlign w:val="center"/>
            <w:hideMark/>
          </w:tcPr>
          <w:p w:rsidR="00A073E6" w:rsidRPr="00A073E6" w:rsidRDefault="00A073E6" w:rsidP="00A073E6">
            <w:pPr>
              <w:jc w:val="center"/>
              <w:rPr>
                <w:rFonts w:ascii="Calibri" w:hAnsi="Calibri"/>
                <w:color w:val="000000"/>
                <w:sz w:val="16"/>
                <w:szCs w:val="16"/>
              </w:rPr>
            </w:pPr>
            <w:r w:rsidRPr="00A073E6">
              <w:rPr>
                <w:rFonts w:ascii="Calibri" w:hAnsi="Calibri"/>
                <w:color w:val="000000"/>
                <w:sz w:val="16"/>
                <w:szCs w:val="16"/>
              </w:rPr>
              <w:t>137</w:t>
            </w:r>
          </w:p>
        </w:tc>
        <w:tc>
          <w:tcPr>
            <w:tcW w:w="257" w:type="pct"/>
            <w:tcBorders>
              <w:top w:val="nil"/>
              <w:left w:val="nil"/>
              <w:bottom w:val="single" w:sz="4" w:space="0" w:color="auto"/>
              <w:right w:val="single" w:sz="4" w:space="0" w:color="auto"/>
            </w:tcBorders>
            <w:shd w:val="clear" w:color="000000" w:fill="FFFF99"/>
            <w:noWrap/>
            <w:vAlign w:val="center"/>
            <w:hideMark/>
          </w:tcPr>
          <w:p w:rsidR="00A073E6" w:rsidRPr="00A073E6" w:rsidRDefault="00A073E6" w:rsidP="00A073E6">
            <w:pPr>
              <w:jc w:val="center"/>
              <w:rPr>
                <w:rFonts w:ascii="Calibri" w:hAnsi="Calibri"/>
                <w:color w:val="000000"/>
                <w:sz w:val="16"/>
                <w:szCs w:val="16"/>
              </w:rPr>
            </w:pPr>
            <w:r w:rsidRPr="00A073E6">
              <w:rPr>
                <w:rFonts w:ascii="Calibri" w:hAnsi="Calibri"/>
                <w:color w:val="000000"/>
                <w:sz w:val="16"/>
                <w:szCs w:val="16"/>
              </w:rPr>
              <w:t>593</w:t>
            </w:r>
          </w:p>
        </w:tc>
        <w:tc>
          <w:tcPr>
            <w:tcW w:w="299" w:type="pct"/>
            <w:tcBorders>
              <w:top w:val="nil"/>
              <w:left w:val="nil"/>
              <w:bottom w:val="single" w:sz="4" w:space="0" w:color="auto"/>
              <w:right w:val="single" w:sz="4" w:space="0" w:color="auto"/>
            </w:tcBorders>
            <w:shd w:val="clear" w:color="000000" w:fill="FFFF99"/>
            <w:noWrap/>
            <w:vAlign w:val="center"/>
            <w:hideMark/>
          </w:tcPr>
          <w:p w:rsidR="00A073E6" w:rsidRPr="00A073E6" w:rsidRDefault="00A073E6" w:rsidP="00A073E6">
            <w:pPr>
              <w:jc w:val="center"/>
              <w:rPr>
                <w:rFonts w:ascii="Calibri" w:hAnsi="Calibri"/>
                <w:color w:val="000000"/>
                <w:sz w:val="16"/>
                <w:szCs w:val="16"/>
              </w:rPr>
            </w:pPr>
            <w:r w:rsidRPr="00A073E6">
              <w:rPr>
                <w:rFonts w:ascii="Calibri" w:hAnsi="Calibri"/>
                <w:color w:val="000000"/>
                <w:sz w:val="16"/>
                <w:szCs w:val="16"/>
              </w:rPr>
              <w:t>184</w:t>
            </w:r>
          </w:p>
        </w:tc>
        <w:tc>
          <w:tcPr>
            <w:tcW w:w="257" w:type="pct"/>
            <w:tcBorders>
              <w:top w:val="nil"/>
              <w:left w:val="nil"/>
              <w:bottom w:val="single" w:sz="4" w:space="0" w:color="auto"/>
              <w:right w:val="single" w:sz="4" w:space="0" w:color="auto"/>
            </w:tcBorders>
            <w:shd w:val="clear" w:color="000000" w:fill="FFFF99"/>
            <w:noWrap/>
            <w:vAlign w:val="center"/>
            <w:hideMark/>
          </w:tcPr>
          <w:p w:rsidR="00A073E6" w:rsidRPr="00A073E6" w:rsidRDefault="00A073E6" w:rsidP="00A073E6">
            <w:pPr>
              <w:jc w:val="center"/>
              <w:rPr>
                <w:rFonts w:ascii="Calibri" w:hAnsi="Calibri"/>
                <w:color w:val="000000"/>
                <w:sz w:val="16"/>
                <w:szCs w:val="16"/>
              </w:rPr>
            </w:pPr>
            <w:r w:rsidRPr="00A073E6">
              <w:rPr>
                <w:rFonts w:ascii="Calibri" w:hAnsi="Calibri"/>
                <w:color w:val="000000"/>
                <w:sz w:val="16"/>
                <w:szCs w:val="16"/>
              </w:rPr>
              <w:t>558</w:t>
            </w:r>
          </w:p>
        </w:tc>
        <w:tc>
          <w:tcPr>
            <w:tcW w:w="264" w:type="pct"/>
            <w:tcBorders>
              <w:top w:val="nil"/>
              <w:left w:val="nil"/>
              <w:bottom w:val="single" w:sz="4" w:space="0" w:color="auto"/>
              <w:right w:val="single" w:sz="4" w:space="0" w:color="auto"/>
            </w:tcBorders>
            <w:shd w:val="clear" w:color="000000" w:fill="FFFF99"/>
            <w:noWrap/>
            <w:vAlign w:val="center"/>
            <w:hideMark/>
          </w:tcPr>
          <w:p w:rsidR="00A073E6" w:rsidRPr="00A073E6" w:rsidRDefault="00A073E6" w:rsidP="00A073E6">
            <w:pPr>
              <w:jc w:val="center"/>
              <w:rPr>
                <w:rFonts w:ascii="Calibri" w:hAnsi="Calibri"/>
                <w:color w:val="000000"/>
                <w:sz w:val="16"/>
                <w:szCs w:val="16"/>
              </w:rPr>
            </w:pPr>
            <w:r w:rsidRPr="00A073E6">
              <w:rPr>
                <w:rFonts w:ascii="Calibri" w:hAnsi="Calibri"/>
                <w:color w:val="000000"/>
                <w:sz w:val="16"/>
                <w:szCs w:val="16"/>
              </w:rPr>
              <w:t>157</w:t>
            </w:r>
          </w:p>
        </w:tc>
        <w:tc>
          <w:tcPr>
            <w:tcW w:w="291" w:type="pct"/>
            <w:tcBorders>
              <w:top w:val="nil"/>
              <w:left w:val="nil"/>
              <w:bottom w:val="single" w:sz="4" w:space="0" w:color="auto"/>
              <w:right w:val="single" w:sz="4" w:space="0" w:color="auto"/>
            </w:tcBorders>
            <w:shd w:val="clear" w:color="000000" w:fill="FFFF99"/>
            <w:noWrap/>
            <w:vAlign w:val="center"/>
            <w:hideMark/>
          </w:tcPr>
          <w:p w:rsidR="00A073E6" w:rsidRPr="00A073E6" w:rsidRDefault="00A073E6" w:rsidP="00A073E6">
            <w:pPr>
              <w:jc w:val="center"/>
              <w:rPr>
                <w:rFonts w:ascii="Calibri" w:hAnsi="Calibri"/>
                <w:color w:val="000000"/>
                <w:sz w:val="16"/>
                <w:szCs w:val="16"/>
              </w:rPr>
            </w:pPr>
            <w:r w:rsidRPr="00A073E6">
              <w:rPr>
                <w:rFonts w:ascii="Calibri" w:hAnsi="Calibri"/>
                <w:color w:val="000000"/>
                <w:sz w:val="16"/>
                <w:szCs w:val="16"/>
              </w:rPr>
              <w:t>515</w:t>
            </w:r>
          </w:p>
        </w:tc>
        <w:tc>
          <w:tcPr>
            <w:tcW w:w="257" w:type="pct"/>
            <w:tcBorders>
              <w:top w:val="nil"/>
              <w:left w:val="nil"/>
              <w:bottom w:val="single" w:sz="4" w:space="0" w:color="auto"/>
              <w:right w:val="single" w:sz="4" w:space="0" w:color="auto"/>
            </w:tcBorders>
            <w:shd w:val="clear" w:color="auto" w:fill="auto"/>
            <w:noWrap/>
            <w:vAlign w:val="center"/>
            <w:hideMark/>
          </w:tcPr>
          <w:p w:rsidR="00A073E6" w:rsidRPr="00A073E6" w:rsidRDefault="00A073E6" w:rsidP="00A073E6">
            <w:pPr>
              <w:jc w:val="center"/>
              <w:rPr>
                <w:rFonts w:ascii="Calibri" w:hAnsi="Calibri"/>
                <w:color w:val="000000"/>
                <w:sz w:val="16"/>
                <w:szCs w:val="16"/>
              </w:rPr>
            </w:pPr>
            <w:r w:rsidRPr="00A073E6">
              <w:rPr>
                <w:rFonts w:ascii="Calibri" w:hAnsi="Calibri"/>
                <w:color w:val="000000"/>
                <w:sz w:val="16"/>
                <w:szCs w:val="16"/>
              </w:rPr>
              <w:t>58,700</w:t>
            </w:r>
          </w:p>
        </w:tc>
        <w:tc>
          <w:tcPr>
            <w:tcW w:w="299" w:type="pct"/>
            <w:tcBorders>
              <w:top w:val="nil"/>
              <w:left w:val="nil"/>
              <w:bottom w:val="single" w:sz="4" w:space="0" w:color="auto"/>
              <w:right w:val="single" w:sz="4" w:space="0" w:color="auto"/>
            </w:tcBorders>
            <w:shd w:val="clear" w:color="auto" w:fill="auto"/>
            <w:noWrap/>
            <w:vAlign w:val="center"/>
            <w:hideMark/>
          </w:tcPr>
          <w:p w:rsidR="00A073E6" w:rsidRPr="00A073E6" w:rsidRDefault="00A073E6" w:rsidP="00A073E6">
            <w:pPr>
              <w:jc w:val="center"/>
              <w:rPr>
                <w:rFonts w:ascii="Calibri" w:hAnsi="Calibri"/>
                <w:color w:val="000000"/>
                <w:sz w:val="16"/>
                <w:szCs w:val="16"/>
              </w:rPr>
            </w:pPr>
            <w:r w:rsidRPr="00A073E6">
              <w:rPr>
                <w:rFonts w:ascii="Calibri" w:hAnsi="Calibri"/>
                <w:color w:val="000000"/>
                <w:sz w:val="16"/>
                <w:szCs w:val="16"/>
              </w:rPr>
              <w:t>578</w:t>
            </w:r>
          </w:p>
        </w:tc>
      </w:tr>
      <w:tr w:rsidR="00F97E28" w:rsidRPr="00CE6AE2" w:rsidTr="00F97E28">
        <w:trPr>
          <w:trHeight w:val="300"/>
        </w:trPr>
        <w:tc>
          <w:tcPr>
            <w:tcW w:w="513" w:type="pct"/>
            <w:tcBorders>
              <w:top w:val="nil"/>
              <w:left w:val="single" w:sz="4" w:space="0" w:color="auto"/>
              <w:bottom w:val="single" w:sz="4" w:space="0" w:color="auto"/>
              <w:right w:val="single" w:sz="4" w:space="0" w:color="auto"/>
            </w:tcBorders>
            <w:shd w:val="clear" w:color="auto" w:fill="auto"/>
            <w:noWrap/>
            <w:vAlign w:val="center"/>
            <w:hideMark/>
          </w:tcPr>
          <w:p w:rsidR="00A073E6" w:rsidRPr="00A073E6" w:rsidRDefault="00A073E6" w:rsidP="00A073E6">
            <w:pPr>
              <w:jc w:val="center"/>
              <w:rPr>
                <w:rFonts w:ascii="Calibri" w:hAnsi="Calibri"/>
                <w:color w:val="000000"/>
                <w:sz w:val="16"/>
                <w:szCs w:val="16"/>
              </w:rPr>
            </w:pPr>
            <w:r w:rsidRPr="00A073E6">
              <w:rPr>
                <w:rFonts w:ascii="Calibri" w:hAnsi="Calibri"/>
                <w:color w:val="000000"/>
                <w:sz w:val="16"/>
                <w:szCs w:val="16"/>
              </w:rPr>
              <w:t>Directly age-standardised rate of hip fractures in 65-79</w:t>
            </w:r>
          </w:p>
        </w:tc>
        <w:tc>
          <w:tcPr>
            <w:tcW w:w="256" w:type="pct"/>
            <w:tcBorders>
              <w:top w:val="nil"/>
              <w:left w:val="nil"/>
              <w:bottom w:val="single" w:sz="4" w:space="0" w:color="auto"/>
              <w:right w:val="single" w:sz="4" w:space="0" w:color="auto"/>
            </w:tcBorders>
            <w:shd w:val="clear" w:color="auto" w:fill="auto"/>
            <w:noWrap/>
            <w:vAlign w:val="center"/>
            <w:hideMark/>
          </w:tcPr>
          <w:p w:rsidR="00A073E6" w:rsidRPr="00A073E6" w:rsidRDefault="00A073E6" w:rsidP="00A073E6">
            <w:pPr>
              <w:jc w:val="center"/>
              <w:rPr>
                <w:rFonts w:ascii="Calibri" w:hAnsi="Calibri"/>
                <w:color w:val="000000"/>
                <w:sz w:val="16"/>
                <w:szCs w:val="16"/>
              </w:rPr>
            </w:pPr>
            <w:r w:rsidRPr="00A073E6">
              <w:rPr>
                <w:rFonts w:ascii="Calibri" w:hAnsi="Calibri"/>
                <w:color w:val="000000"/>
                <w:sz w:val="16"/>
                <w:szCs w:val="16"/>
              </w:rPr>
              <w:t>2017-18</w:t>
            </w:r>
          </w:p>
        </w:tc>
        <w:tc>
          <w:tcPr>
            <w:tcW w:w="256" w:type="pct"/>
            <w:tcBorders>
              <w:top w:val="nil"/>
              <w:left w:val="nil"/>
              <w:bottom w:val="single" w:sz="4" w:space="0" w:color="auto"/>
              <w:right w:val="single" w:sz="4" w:space="0" w:color="auto"/>
            </w:tcBorders>
            <w:shd w:val="clear" w:color="000000" w:fill="FFFF99"/>
            <w:noWrap/>
            <w:vAlign w:val="center"/>
            <w:hideMark/>
          </w:tcPr>
          <w:p w:rsidR="00A073E6" w:rsidRPr="00A073E6" w:rsidRDefault="00A073E6" w:rsidP="00A073E6">
            <w:pPr>
              <w:jc w:val="center"/>
              <w:rPr>
                <w:rFonts w:ascii="Calibri" w:hAnsi="Calibri"/>
                <w:color w:val="000000"/>
                <w:sz w:val="16"/>
                <w:szCs w:val="16"/>
              </w:rPr>
            </w:pPr>
            <w:r w:rsidRPr="00A073E6">
              <w:rPr>
                <w:rFonts w:ascii="Calibri" w:hAnsi="Calibri"/>
                <w:color w:val="000000"/>
                <w:sz w:val="16"/>
                <w:szCs w:val="16"/>
              </w:rPr>
              <w:t>197</w:t>
            </w:r>
          </w:p>
        </w:tc>
        <w:tc>
          <w:tcPr>
            <w:tcW w:w="257" w:type="pct"/>
            <w:tcBorders>
              <w:top w:val="nil"/>
              <w:left w:val="nil"/>
              <w:bottom w:val="single" w:sz="4" w:space="0" w:color="auto"/>
              <w:right w:val="single" w:sz="4" w:space="0" w:color="auto"/>
            </w:tcBorders>
            <w:shd w:val="clear" w:color="000000" w:fill="FFFF99"/>
            <w:noWrap/>
            <w:vAlign w:val="center"/>
            <w:hideMark/>
          </w:tcPr>
          <w:p w:rsidR="00A073E6" w:rsidRPr="00A073E6" w:rsidRDefault="00A073E6" w:rsidP="00A073E6">
            <w:pPr>
              <w:jc w:val="center"/>
              <w:rPr>
                <w:rFonts w:ascii="Calibri" w:hAnsi="Calibri"/>
                <w:color w:val="000000"/>
                <w:sz w:val="16"/>
                <w:szCs w:val="16"/>
              </w:rPr>
            </w:pPr>
            <w:r w:rsidRPr="00A073E6">
              <w:rPr>
                <w:rFonts w:ascii="Calibri" w:hAnsi="Calibri"/>
                <w:color w:val="000000"/>
                <w:sz w:val="16"/>
                <w:szCs w:val="16"/>
              </w:rPr>
              <w:t>232</w:t>
            </w:r>
          </w:p>
        </w:tc>
        <w:tc>
          <w:tcPr>
            <w:tcW w:w="255" w:type="pct"/>
            <w:tcBorders>
              <w:top w:val="nil"/>
              <w:left w:val="nil"/>
              <w:bottom w:val="single" w:sz="4" w:space="0" w:color="auto"/>
              <w:right w:val="single" w:sz="4" w:space="0" w:color="auto"/>
            </w:tcBorders>
            <w:shd w:val="clear" w:color="000000" w:fill="FFFF99"/>
            <w:noWrap/>
            <w:vAlign w:val="center"/>
            <w:hideMark/>
          </w:tcPr>
          <w:p w:rsidR="00A073E6" w:rsidRPr="00A073E6" w:rsidRDefault="00A073E6" w:rsidP="00A073E6">
            <w:pPr>
              <w:jc w:val="center"/>
              <w:rPr>
                <w:rFonts w:ascii="Calibri" w:hAnsi="Calibri"/>
                <w:color w:val="000000"/>
                <w:sz w:val="16"/>
                <w:szCs w:val="16"/>
              </w:rPr>
            </w:pPr>
            <w:r w:rsidRPr="00A073E6">
              <w:rPr>
                <w:rFonts w:ascii="Calibri" w:hAnsi="Calibri"/>
                <w:color w:val="000000"/>
                <w:sz w:val="16"/>
                <w:szCs w:val="16"/>
              </w:rPr>
              <w:t>52</w:t>
            </w:r>
          </w:p>
        </w:tc>
        <w:tc>
          <w:tcPr>
            <w:tcW w:w="257" w:type="pct"/>
            <w:tcBorders>
              <w:top w:val="nil"/>
              <w:left w:val="nil"/>
              <w:bottom w:val="single" w:sz="4" w:space="0" w:color="auto"/>
              <w:right w:val="single" w:sz="4" w:space="0" w:color="auto"/>
            </w:tcBorders>
            <w:shd w:val="clear" w:color="000000" w:fill="FFFF99"/>
            <w:noWrap/>
            <w:vAlign w:val="center"/>
            <w:hideMark/>
          </w:tcPr>
          <w:p w:rsidR="00A073E6" w:rsidRPr="00A073E6" w:rsidRDefault="00A073E6" w:rsidP="00A073E6">
            <w:pPr>
              <w:jc w:val="center"/>
              <w:rPr>
                <w:rFonts w:ascii="Calibri" w:hAnsi="Calibri"/>
                <w:color w:val="000000"/>
                <w:sz w:val="16"/>
                <w:szCs w:val="16"/>
              </w:rPr>
            </w:pPr>
            <w:r w:rsidRPr="00A073E6">
              <w:rPr>
                <w:rFonts w:ascii="Calibri" w:hAnsi="Calibri"/>
                <w:color w:val="000000"/>
                <w:sz w:val="16"/>
                <w:szCs w:val="16"/>
              </w:rPr>
              <w:t>262</w:t>
            </w:r>
          </w:p>
        </w:tc>
        <w:tc>
          <w:tcPr>
            <w:tcW w:w="256" w:type="pct"/>
            <w:tcBorders>
              <w:top w:val="nil"/>
              <w:left w:val="nil"/>
              <w:bottom w:val="single" w:sz="4" w:space="0" w:color="auto"/>
              <w:right w:val="single" w:sz="4" w:space="0" w:color="auto"/>
            </w:tcBorders>
            <w:shd w:val="clear" w:color="000000" w:fill="FFFF99"/>
            <w:noWrap/>
            <w:vAlign w:val="center"/>
            <w:hideMark/>
          </w:tcPr>
          <w:p w:rsidR="00A073E6" w:rsidRPr="00A073E6" w:rsidRDefault="00A073E6" w:rsidP="00A073E6">
            <w:pPr>
              <w:jc w:val="center"/>
              <w:rPr>
                <w:rFonts w:ascii="Calibri" w:hAnsi="Calibri"/>
                <w:color w:val="000000"/>
                <w:sz w:val="16"/>
                <w:szCs w:val="16"/>
              </w:rPr>
            </w:pPr>
            <w:r w:rsidRPr="00A073E6">
              <w:rPr>
                <w:rFonts w:ascii="Calibri" w:hAnsi="Calibri"/>
                <w:color w:val="000000"/>
                <w:sz w:val="16"/>
                <w:szCs w:val="16"/>
              </w:rPr>
              <w:t>28</w:t>
            </w:r>
          </w:p>
        </w:tc>
        <w:tc>
          <w:tcPr>
            <w:tcW w:w="257" w:type="pct"/>
            <w:tcBorders>
              <w:top w:val="nil"/>
              <w:left w:val="nil"/>
              <w:bottom w:val="single" w:sz="4" w:space="0" w:color="auto"/>
              <w:right w:val="single" w:sz="4" w:space="0" w:color="auto"/>
            </w:tcBorders>
            <w:shd w:val="clear" w:color="000000" w:fill="FFFF99"/>
            <w:noWrap/>
            <w:vAlign w:val="center"/>
            <w:hideMark/>
          </w:tcPr>
          <w:p w:rsidR="00A073E6" w:rsidRPr="00A073E6" w:rsidRDefault="00A073E6" w:rsidP="00A073E6">
            <w:pPr>
              <w:jc w:val="center"/>
              <w:rPr>
                <w:rFonts w:ascii="Calibri" w:hAnsi="Calibri"/>
                <w:color w:val="000000"/>
                <w:sz w:val="16"/>
                <w:szCs w:val="16"/>
              </w:rPr>
            </w:pPr>
            <w:r w:rsidRPr="00A073E6">
              <w:rPr>
                <w:rFonts w:ascii="Calibri" w:hAnsi="Calibri"/>
                <w:color w:val="000000"/>
                <w:sz w:val="16"/>
                <w:szCs w:val="16"/>
              </w:rPr>
              <w:t>270</w:t>
            </w:r>
          </w:p>
        </w:tc>
        <w:tc>
          <w:tcPr>
            <w:tcW w:w="256" w:type="pct"/>
            <w:tcBorders>
              <w:top w:val="nil"/>
              <w:left w:val="nil"/>
              <w:bottom w:val="single" w:sz="4" w:space="0" w:color="auto"/>
              <w:right w:val="single" w:sz="4" w:space="0" w:color="auto"/>
            </w:tcBorders>
            <w:shd w:val="clear" w:color="000000" w:fill="EBF1DE"/>
            <w:noWrap/>
            <w:vAlign w:val="center"/>
            <w:hideMark/>
          </w:tcPr>
          <w:p w:rsidR="00A073E6" w:rsidRPr="00A073E6" w:rsidRDefault="00A073E6" w:rsidP="00A073E6">
            <w:pPr>
              <w:jc w:val="center"/>
              <w:rPr>
                <w:rFonts w:ascii="Calibri" w:hAnsi="Calibri"/>
                <w:color w:val="000000"/>
                <w:sz w:val="16"/>
                <w:szCs w:val="16"/>
              </w:rPr>
            </w:pPr>
            <w:r w:rsidRPr="00A073E6">
              <w:rPr>
                <w:rFonts w:ascii="Calibri" w:hAnsi="Calibri"/>
                <w:color w:val="000000"/>
                <w:sz w:val="16"/>
                <w:szCs w:val="16"/>
              </w:rPr>
              <w:t>20</w:t>
            </w:r>
          </w:p>
        </w:tc>
        <w:tc>
          <w:tcPr>
            <w:tcW w:w="257" w:type="pct"/>
            <w:tcBorders>
              <w:top w:val="nil"/>
              <w:left w:val="nil"/>
              <w:bottom w:val="single" w:sz="4" w:space="0" w:color="auto"/>
              <w:right w:val="single" w:sz="4" w:space="0" w:color="auto"/>
            </w:tcBorders>
            <w:shd w:val="clear" w:color="000000" w:fill="EBF1DE"/>
            <w:noWrap/>
            <w:vAlign w:val="center"/>
            <w:hideMark/>
          </w:tcPr>
          <w:p w:rsidR="00A073E6" w:rsidRPr="00A073E6" w:rsidRDefault="00A073E6" w:rsidP="00A073E6">
            <w:pPr>
              <w:jc w:val="center"/>
              <w:rPr>
                <w:rFonts w:ascii="Calibri" w:hAnsi="Calibri"/>
                <w:color w:val="000000"/>
                <w:sz w:val="16"/>
                <w:szCs w:val="16"/>
              </w:rPr>
            </w:pPr>
            <w:r w:rsidRPr="00A073E6">
              <w:rPr>
                <w:rFonts w:ascii="Calibri" w:hAnsi="Calibri"/>
                <w:color w:val="000000"/>
                <w:sz w:val="16"/>
                <w:szCs w:val="16"/>
              </w:rPr>
              <w:t>159</w:t>
            </w:r>
          </w:p>
        </w:tc>
        <w:tc>
          <w:tcPr>
            <w:tcW w:w="256" w:type="pct"/>
            <w:tcBorders>
              <w:top w:val="nil"/>
              <w:left w:val="nil"/>
              <w:bottom w:val="single" w:sz="4" w:space="0" w:color="auto"/>
              <w:right w:val="single" w:sz="4" w:space="0" w:color="auto"/>
            </w:tcBorders>
            <w:shd w:val="clear" w:color="000000" w:fill="FFFF99"/>
            <w:noWrap/>
            <w:vAlign w:val="center"/>
            <w:hideMark/>
          </w:tcPr>
          <w:p w:rsidR="00A073E6" w:rsidRPr="00A073E6" w:rsidRDefault="00A073E6" w:rsidP="00A073E6">
            <w:pPr>
              <w:jc w:val="center"/>
              <w:rPr>
                <w:rFonts w:ascii="Calibri" w:hAnsi="Calibri"/>
                <w:color w:val="000000"/>
                <w:sz w:val="16"/>
                <w:szCs w:val="16"/>
              </w:rPr>
            </w:pPr>
            <w:r w:rsidRPr="00A073E6">
              <w:rPr>
                <w:rFonts w:ascii="Calibri" w:hAnsi="Calibri"/>
                <w:color w:val="000000"/>
                <w:sz w:val="16"/>
                <w:szCs w:val="16"/>
              </w:rPr>
              <w:t>43</w:t>
            </w:r>
          </w:p>
        </w:tc>
        <w:tc>
          <w:tcPr>
            <w:tcW w:w="257" w:type="pct"/>
            <w:tcBorders>
              <w:top w:val="nil"/>
              <w:left w:val="nil"/>
              <w:bottom w:val="single" w:sz="4" w:space="0" w:color="auto"/>
              <w:right w:val="single" w:sz="4" w:space="0" w:color="auto"/>
            </w:tcBorders>
            <w:shd w:val="clear" w:color="000000" w:fill="FFFF99"/>
            <w:noWrap/>
            <w:vAlign w:val="center"/>
            <w:hideMark/>
          </w:tcPr>
          <w:p w:rsidR="00A073E6" w:rsidRPr="00A073E6" w:rsidRDefault="00A073E6" w:rsidP="00A073E6">
            <w:pPr>
              <w:jc w:val="center"/>
              <w:rPr>
                <w:rFonts w:ascii="Calibri" w:hAnsi="Calibri"/>
                <w:color w:val="000000"/>
                <w:sz w:val="16"/>
                <w:szCs w:val="16"/>
              </w:rPr>
            </w:pPr>
            <w:r w:rsidRPr="00A073E6">
              <w:rPr>
                <w:rFonts w:ascii="Calibri" w:hAnsi="Calibri"/>
                <w:color w:val="000000"/>
                <w:sz w:val="16"/>
                <w:szCs w:val="16"/>
              </w:rPr>
              <w:t>268</w:t>
            </w:r>
          </w:p>
        </w:tc>
        <w:tc>
          <w:tcPr>
            <w:tcW w:w="299" w:type="pct"/>
            <w:tcBorders>
              <w:top w:val="nil"/>
              <w:left w:val="nil"/>
              <w:bottom w:val="single" w:sz="4" w:space="0" w:color="auto"/>
              <w:right w:val="single" w:sz="4" w:space="0" w:color="auto"/>
            </w:tcBorders>
            <w:shd w:val="clear" w:color="000000" w:fill="FFFF99"/>
            <w:noWrap/>
            <w:vAlign w:val="center"/>
            <w:hideMark/>
          </w:tcPr>
          <w:p w:rsidR="00A073E6" w:rsidRPr="00A073E6" w:rsidRDefault="00A073E6" w:rsidP="00A073E6">
            <w:pPr>
              <w:jc w:val="center"/>
              <w:rPr>
                <w:rFonts w:ascii="Calibri" w:hAnsi="Calibri"/>
                <w:color w:val="000000"/>
                <w:sz w:val="16"/>
                <w:szCs w:val="16"/>
              </w:rPr>
            </w:pPr>
            <w:r w:rsidRPr="00A073E6">
              <w:rPr>
                <w:rFonts w:ascii="Calibri" w:hAnsi="Calibri"/>
                <w:color w:val="000000"/>
                <w:sz w:val="16"/>
                <w:szCs w:val="16"/>
              </w:rPr>
              <w:t>61</w:t>
            </w:r>
          </w:p>
        </w:tc>
        <w:tc>
          <w:tcPr>
            <w:tcW w:w="257" w:type="pct"/>
            <w:tcBorders>
              <w:top w:val="nil"/>
              <w:left w:val="nil"/>
              <w:bottom w:val="single" w:sz="4" w:space="0" w:color="auto"/>
              <w:right w:val="single" w:sz="4" w:space="0" w:color="auto"/>
            </w:tcBorders>
            <w:shd w:val="clear" w:color="000000" w:fill="FFFF99"/>
            <w:noWrap/>
            <w:vAlign w:val="center"/>
            <w:hideMark/>
          </w:tcPr>
          <w:p w:rsidR="00A073E6" w:rsidRPr="00A073E6" w:rsidRDefault="00A073E6" w:rsidP="00A073E6">
            <w:pPr>
              <w:jc w:val="center"/>
              <w:rPr>
                <w:rFonts w:ascii="Calibri" w:hAnsi="Calibri"/>
                <w:color w:val="000000"/>
                <w:sz w:val="16"/>
                <w:szCs w:val="16"/>
              </w:rPr>
            </w:pPr>
            <w:r w:rsidRPr="00A073E6">
              <w:rPr>
                <w:rFonts w:ascii="Calibri" w:hAnsi="Calibri"/>
                <w:color w:val="000000"/>
                <w:sz w:val="16"/>
                <w:szCs w:val="16"/>
              </w:rPr>
              <w:t>245</w:t>
            </w:r>
          </w:p>
        </w:tc>
        <w:tc>
          <w:tcPr>
            <w:tcW w:w="264" w:type="pct"/>
            <w:tcBorders>
              <w:top w:val="nil"/>
              <w:left w:val="nil"/>
              <w:bottom w:val="single" w:sz="4" w:space="0" w:color="auto"/>
              <w:right w:val="single" w:sz="4" w:space="0" w:color="auto"/>
            </w:tcBorders>
            <w:shd w:val="clear" w:color="000000" w:fill="FFFF99"/>
            <w:noWrap/>
            <w:vAlign w:val="center"/>
            <w:hideMark/>
          </w:tcPr>
          <w:p w:rsidR="00A073E6" w:rsidRPr="00A073E6" w:rsidRDefault="00A073E6" w:rsidP="00A073E6">
            <w:pPr>
              <w:jc w:val="center"/>
              <w:rPr>
                <w:rFonts w:ascii="Calibri" w:hAnsi="Calibri"/>
                <w:color w:val="000000"/>
                <w:sz w:val="16"/>
                <w:szCs w:val="16"/>
              </w:rPr>
            </w:pPr>
            <w:r w:rsidRPr="00A073E6">
              <w:rPr>
                <w:rFonts w:ascii="Calibri" w:hAnsi="Calibri"/>
                <w:color w:val="000000"/>
                <w:sz w:val="16"/>
                <w:szCs w:val="16"/>
              </w:rPr>
              <w:t>45</w:t>
            </w:r>
          </w:p>
        </w:tc>
        <w:tc>
          <w:tcPr>
            <w:tcW w:w="291" w:type="pct"/>
            <w:tcBorders>
              <w:top w:val="nil"/>
              <w:left w:val="nil"/>
              <w:bottom w:val="single" w:sz="4" w:space="0" w:color="auto"/>
              <w:right w:val="single" w:sz="4" w:space="0" w:color="auto"/>
            </w:tcBorders>
            <w:shd w:val="clear" w:color="000000" w:fill="FFFF99"/>
            <w:noWrap/>
            <w:vAlign w:val="center"/>
            <w:hideMark/>
          </w:tcPr>
          <w:p w:rsidR="00A073E6" w:rsidRPr="00A073E6" w:rsidRDefault="00A073E6" w:rsidP="00A073E6">
            <w:pPr>
              <w:jc w:val="center"/>
              <w:rPr>
                <w:rFonts w:ascii="Calibri" w:hAnsi="Calibri"/>
                <w:color w:val="000000"/>
                <w:sz w:val="16"/>
                <w:szCs w:val="16"/>
              </w:rPr>
            </w:pPr>
            <w:r w:rsidRPr="00A073E6">
              <w:rPr>
                <w:rFonts w:ascii="Calibri" w:hAnsi="Calibri"/>
                <w:color w:val="000000"/>
                <w:sz w:val="16"/>
                <w:szCs w:val="16"/>
              </w:rPr>
              <w:t>216</w:t>
            </w:r>
          </w:p>
        </w:tc>
        <w:tc>
          <w:tcPr>
            <w:tcW w:w="257" w:type="pct"/>
            <w:tcBorders>
              <w:top w:val="nil"/>
              <w:left w:val="nil"/>
              <w:bottom w:val="single" w:sz="4" w:space="0" w:color="auto"/>
              <w:right w:val="single" w:sz="4" w:space="0" w:color="auto"/>
            </w:tcBorders>
            <w:shd w:val="clear" w:color="auto" w:fill="auto"/>
            <w:noWrap/>
            <w:vAlign w:val="center"/>
            <w:hideMark/>
          </w:tcPr>
          <w:p w:rsidR="00A073E6" w:rsidRPr="00A073E6" w:rsidRDefault="00A073E6" w:rsidP="00A073E6">
            <w:pPr>
              <w:jc w:val="center"/>
              <w:rPr>
                <w:rFonts w:ascii="Calibri" w:hAnsi="Calibri"/>
                <w:color w:val="000000"/>
                <w:sz w:val="16"/>
                <w:szCs w:val="16"/>
              </w:rPr>
            </w:pPr>
            <w:r w:rsidRPr="00A073E6">
              <w:rPr>
                <w:rFonts w:ascii="Calibri" w:hAnsi="Calibri"/>
                <w:color w:val="000000"/>
                <w:sz w:val="16"/>
                <w:szCs w:val="16"/>
              </w:rPr>
              <w:t>17,413</w:t>
            </w:r>
          </w:p>
        </w:tc>
        <w:tc>
          <w:tcPr>
            <w:tcW w:w="299" w:type="pct"/>
            <w:tcBorders>
              <w:top w:val="nil"/>
              <w:left w:val="nil"/>
              <w:bottom w:val="single" w:sz="4" w:space="0" w:color="auto"/>
              <w:right w:val="single" w:sz="4" w:space="0" w:color="auto"/>
            </w:tcBorders>
            <w:shd w:val="clear" w:color="auto" w:fill="auto"/>
            <w:noWrap/>
            <w:vAlign w:val="center"/>
            <w:hideMark/>
          </w:tcPr>
          <w:p w:rsidR="00A073E6" w:rsidRPr="00A073E6" w:rsidRDefault="00A073E6" w:rsidP="00A073E6">
            <w:pPr>
              <w:jc w:val="center"/>
              <w:rPr>
                <w:rFonts w:ascii="Calibri" w:hAnsi="Calibri"/>
                <w:color w:val="000000"/>
                <w:sz w:val="16"/>
                <w:szCs w:val="16"/>
              </w:rPr>
            </w:pPr>
            <w:r w:rsidRPr="00A073E6">
              <w:rPr>
                <w:rFonts w:ascii="Calibri" w:hAnsi="Calibri"/>
                <w:color w:val="000000"/>
                <w:sz w:val="16"/>
                <w:szCs w:val="16"/>
              </w:rPr>
              <w:t>246</w:t>
            </w:r>
          </w:p>
        </w:tc>
      </w:tr>
      <w:tr w:rsidR="00F97E28" w:rsidRPr="00CE6AE2" w:rsidTr="00F97E28">
        <w:trPr>
          <w:trHeight w:val="300"/>
        </w:trPr>
        <w:tc>
          <w:tcPr>
            <w:tcW w:w="513" w:type="pct"/>
            <w:tcBorders>
              <w:top w:val="nil"/>
              <w:left w:val="single" w:sz="4" w:space="0" w:color="auto"/>
              <w:bottom w:val="single" w:sz="4" w:space="0" w:color="auto"/>
              <w:right w:val="single" w:sz="4" w:space="0" w:color="auto"/>
            </w:tcBorders>
            <w:shd w:val="clear" w:color="auto" w:fill="auto"/>
            <w:noWrap/>
            <w:vAlign w:val="center"/>
            <w:hideMark/>
          </w:tcPr>
          <w:p w:rsidR="00A073E6" w:rsidRPr="00A073E6" w:rsidRDefault="00A073E6" w:rsidP="00A073E6">
            <w:pPr>
              <w:jc w:val="center"/>
              <w:rPr>
                <w:rFonts w:ascii="Calibri" w:hAnsi="Calibri"/>
                <w:color w:val="000000"/>
                <w:sz w:val="16"/>
                <w:szCs w:val="16"/>
              </w:rPr>
            </w:pPr>
            <w:r w:rsidRPr="00A073E6">
              <w:rPr>
                <w:rFonts w:ascii="Calibri" w:hAnsi="Calibri"/>
                <w:color w:val="000000"/>
                <w:sz w:val="16"/>
                <w:szCs w:val="16"/>
              </w:rPr>
              <w:t>Directly age-standardised rate of hip fractures in 80+</w:t>
            </w:r>
          </w:p>
        </w:tc>
        <w:tc>
          <w:tcPr>
            <w:tcW w:w="256" w:type="pct"/>
            <w:tcBorders>
              <w:top w:val="nil"/>
              <w:left w:val="nil"/>
              <w:bottom w:val="single" w:sz="4" w:space="0" w:color="auto"/>
              <w:right w:val="single" w:sz="4" w:space="0" w:color="auto"/>
            </w:tcBorders>
            <w:shd w:val="clear" w:color="auto" w:fill="auto"/>
            <w:noWrap/>
            <w:vAlign w:val="center"/>
            <w:hideMark/>
          </w:tcPr>
          <w:p w:rsidR="00A073E6" w:rsidRPr="00A073E6" w:rsidRDefault="00A073E6" w:rsidP="00A073E6">
            <w:pPr>
              <w:jc w:val="center"/>
              <w:rPr>
                <w:rFonts w:ascii="Calibri" w:hAnsi="Calibri"/>
                <w:color w:val="000000"/>
                <w:sz w:val="16"/>
                <w:szCs w:val="16"/>
              </w:rPr>
            </w:pPr>
            <w:r w:rsidRPr="00A073E6">
              <w:rPr>
                <w:rFonts w:ascii="Calibri" w:hAnsi="Calibri"/>
                <w:color w:val="000000"/>
                <w:sz w:val="16"/>
                <w:szCs w:val="16"/>
              </w:rPr>
              <w:t>2017-18</w:t>
            </w:r>
          </w:p>
        </w:tc>
        <w:tc>
          <w:tcPr>
            <w:tcW w:w="256" w:type="pct"/>
            <w:tcBorders>
              <w:top w:val="nil"/>
              <w:left w:val="nil"/>
              <w:bottom w:val="single" w:sz="4" w:space="0" w:color="auto"/>
              <w:right w:val="single" w:sz="4" w:space="0" w:color="auto"/>
            </w:tcBorders>
            <w:shd w:val="clear" w:color="000000" w:fill="FFFF99"/>
            <w:noWrap/>
            <w:vAlign w:val="center"/>
            <w:hideMark/>
          </w:tcPr>
          <w:p w:rsidR="00A073E6" w:rsidRPr="00A073E6" w:rsidRDefault="00A073E6" w:rsidP="00A073E6">
            <w:pPr>
              <w:jc w:val="center"/>
              <w:rPr>
                <w:rFonts w:ascii="Calibri" w:hAnsi="Calibri"/>
                <w:color w:val="000000"/>
                <w:sz w:val="16"/>
                <w:szCs w:val="16"/>
              </w:rPr>
            </w:pPr>
            <w:r w:rsidRPr="00A073E6">
              <w:rPr>
                <w:rFonts w:ascii="Calibri" w:hAnsi="Calibri"/>
                <w:color w:val="000000"/>
                <w:sz w:val="16"/>
                <w:szCs w:val="16"/>
              </w:rPr>
              <w:t>457</w:t>
            </w:r>
          </w:p>
        </w:tc>
        <w:tc>
          <w:tcPr>
            <w:tcW w:w="257" w:type="pct"/>
            <w:tcBorders>
              <w:top w:val="nil"/>
              <w:left w:val="nil"/>
              <w:bottom w:val="single" w:sz="4" w:space="0" w:color="auto"/>
              <w:right w:val="single" w:sz="4" w:space="0" w:color="auto"/>
            </w:tcBorders>
            <w:shd w:val="clear" w:color="000000" w:fill="FFFF99"/>
            <w:noWrap/>
            <w:vAlign w:val="center"/>
            <w:hideMark/>
          </w:tcPr>
          <w:p w:rsidR="00A073E6" w:rsidRPr="00A073E6" w:rsidRDefault="00A073E6" w:rsidP="00A073E6">
            <w:pPr>
              <w:jc w:val="center"/>
              <w:rPr>
                <w:rFonts w:ascii="Calibri" w:hAnsi="Calibri"/>
                <w:color w:val="000000"/>
                <w:sz w:val="16"/>
                <w:szCs w:val="16"/>
              </w:rPr>
            </w:pPr>
            <w:r w:rsidRPr="00A073E6">
              <w:rPr>
                <w:rFonts w:ascii="Calibri" w:hAnsi="Calibri"/>
                <w:color w:val="000000"/>
                <w:sz w:val="16"/>
                <w:szCs w:val="16"/>
              </w:rPr>
              <w:t>1,404</w:t>
            </w:r>
          </w:p>
        </w:tc>
        <w:tc>
          <w:tcPr>
            <w:tcW w:w="255" w:type="pct"/>
            <w:tcBorders>
              <w:top w:val="nil"/>
              <w:left w:val="nil"/>
              <w:bottom w:val="single" w:sz="4" w:space="0" w:color="auto"/>
              <w:right w:val="single" w:sz="4" w:space="0" w:color="auto"/>
            </w:tcBorders>
            <w:shd w:val="clear" w:color="000000" w:fill="FFFF99"/>
            <w:noWrap/>
            <w:vAlign w:val="center"/>
            <w:hideMark/>
          </w:tcPr>
          <w:p w:rsidR="00A073E6" w:rsidRPr="00A073E6" w:rsidRDefault="00A073E6" w:rsidP="00A073E6">
            <w:pPr>
              <w:jc w:val="center"/>
              <w:rPr>
                <w:rFonts w:ascii="Calibri" w:hAnsi="Calibri"/>
                <w:color w:val="000000"/>
                <w:sz w:val="16"/>
                <w:szCs w:val="16"/>
              </w:rPr>
            </w:pPr>
            <w:r w:rsidRPr="00A073E6">
              <w:rPr>
                <w:rFonts w:ascii="Calibri" w:hAnsi="Calibri"/>
                <w:color w:val="000000"/>
                <w:sz w:val="16"/>
                <w:szCs w:val="16"/>
              </w:rPr>
              <w:t>133</w:t>
            </w:r>
          </w:p>
        </w:tc>
        <w:tc>
          <w:tcPr>
            <w:tcW w:w="257" w:type="pct"/>
            <w:tcBorders>
              <w:top w:val="nil"/>
              <w:left w:val="nil"/>
              <w:bottom w:val="single" w:sz="4" w:space="0" w:color="auto"/>
              <w:right w:val="single" w:sz="4" w:space="0" w:color="auto"/>
            </w:tcBorders>
            <w:shd w:val="clear" w:color="000000" w:fill="FFFF99"/>
            <w:noWrap/>
            <w:vAlign w:val="center"/>
            <w:hideMark/>
          </w:tcPr>
          <w:p w:rsidR="00A073E6" w:rsidRPr="00A073E6" w:rsidRDefault="00A073E6" w:rsidP="00A073E6">
            <w:pPr>
              <w:jc w:val="center"/>
              <w:rPr>
                <w:rFonts w:ascii="Calibri" w:hAnsi="Calibri"/>
                <w:color w:val="000000"/>
                <w:sz w:val="16"/>
                <w:szCs w:val="16"/>
              </w:rPr>
            </w:pPr>
            <w:r w:rsidRPr="00A073E6">
              <w:rPr>
                <w:rFonts w:ascii="Calibri" w:hAnsi="Calibri"/>
                <w:color w:val="000000"/>
                <w:sz w:val="16"/>
                <w:szCs w:val="16"/>
              </w:rPr>
              <w:t>1,677</w:t>
            </w:r>
          </w:p>
        </w:tc>
        <w:tc>
          <w:tcPr>
            <w:tcW w:w="256" w:type="pct"/>
            <w:tcBorders>
              <w:top w:val="nil"/>
              <w:left w:val="nil"/>
              <w:bottom w:val="single" w:sz="4" w:space="0" w:color="auto"/>
              <w:right w:val="single" w:sz="4" w:space="0" w:color="auto"/>
            </w:tcBorders>
            <w:shd w:val="clear" w:color="000000" w:fill="FFFF99"/>
            <w:noWrap/>
            <w:vAlign w:val="center"/>
            <w:hideMark/>
          </w:tcPr>
          <w:p w:rsidR="00A073E6" w:rsidRPr="00A073E6" w:rsidRDefault="00A073E6" w:rsidP="00A073E6">
            <w:pPr>
              <w:jc w:val="center"/>
              <w:rPr>
                <w:rFonts w:ascii="Calibri" w:hAnsi="Calibri"/>
                <w:color w:val="000000"/>
                <w:sz w:val="16"/>
                <w:szCs w:val="16"/>
              </w:rPr>
            </w:pPr>
            <w:r w:rsidRPr="00A073E6">
              <w:rPr>
                <w:rFonts w:ascii="Calibri" w:hAnsi="Calibri"/>
                <w:color w:val="000000"/>
                <w:sz w:val="16"/>
                <w:szCs w:val="16"/>
              </w:rPr>
              <w:t>66</w:t>
            </w:r>
          </w:p>
        </w:tc>
        <w:tc>
          <w:tcPr>
            <w:tcW w:w="257" w:type="pct"/>
            <w:tcBorders>
              <w:top w:val="nil"/>
              <w:left w:val="nil"/>
              <w:bottom w:val="single" w:sz="4" w:space="0" w:color="auto"/>
              <w:right w:val="single" w:sz="4" w:space="0" w:color="auto"/>
            </w:tcBorders>
            <w:shd w:val="clear" w:color="000000" w:fill="FFFF99"/>
            <w:noWrap/>
            <w:vAlign w:val="center"/>
            <w:hideMark/>
          </w:tcPr>
          <w:p w:rsidR="00A073E6" w:rsidRPr="00A073E6" w:rsidRDefault="00A073E6" w:rsidP="00A073E6">
            <w:pPr>
              <w:jc w:val="center"/>
              <w:rPr>
                <w:rFonts w:ascii="Calibri" w:hAnsi="Calibri"/>
                <w:color w:val="000000"/>
                <w:sz w:val="16"/>
                <w:szCs w:val="16"/>
              </w:rPr>
            </w:pPr>
            <w:r w:rsidRPr="00A073E6">
              <w:rPr>
                <w:rFonts w:ascii="Calibri" w:hAnsi="Calibri"/>
                <w:color w:val="000000"/>
                <w:sz w:val="16"/>
                <w:szCs w:val="16"/>
              </w:rPr>
              <w:t>1,275</w:t>
            </w:r>
          </w:p>
        </w:tc>
        <w:tc>
          <w:tcPr>
            <w:tcW w:w="256" w:type="pct"/>
            <w:tcBorders>
              <w:top w:val="nil"/>
              <w:left w:val="nil"/>
              <w:bottom w:val="single" w:sz="4" w:space="0" w:color="auto"/>
              <w:right w:val="single" w:sz="4" w:space="0" w:color="auto"/>
            </w:tcBorders>
            <w:shd w:val="clear" w:color="000000" w:fill="FFFF99"/>
            <w:noWrap/>
            <w:vAlign w:val="center"/>
            <w:hideMark/>
          </w:tcPr>
          <w:p w:rsidR="00A073E6" w:rsidRPr="00A073E6" w:rsidRDefault="00A073E6" w:rsidP="00A073E6">
            <w:pPr>
              <w:jc w:val="center"/>
              <w:rPr>
                <w:rFonts w:ascii="Calibri" w:hAnsi="Calibri"/>
                <w:color w:val="000000"/>
                <w:sz w:val="16"/>
                <w:szCs w:val="16"/>
              </w:rPr>
            </w:pPr>
            <w:r w:rsidRPr="00A073E6">
              <w:rPr>
                <w:rFonts w:ascii="Calibri" w:hAnsi="Calibri"/>
                <w:color w:val="000000"/>
                <w:sz w:val="16"/>
                <w:szCs w:val="16"/>
              </w:rPr>
              <w:t>62</w:t>
            </w:r>
          </w:p>
        </w:tc>
        <w:tc>
          <w:tcPr>
            <w:tcW w:w="257" w:type="pct"/>
            <w:tcBorders>
              <w:top w:val="nil"/>
              <w:left w:val="nil"/>
              <w:bottom w:val="single" w:sz="4" w:space="0" w:color="auto"/>
              <w:right w:val="single" w:sz="4" w:space="0" w:color="auto"/>
            </w:tcBorders>
            <w:shd w:val="clear" w:color="000000" w:fill="FFFF99"/>
            <w:noWrap/>
            <w:vAlign w:val="center"/>
            <w:hideMark/>
          </w:tcPr>
          <w:p w:rsidR="00A073E6" w:rsidRPr="00A073E6" w:rsidRDefault="00A073E6" w:rsidP="00A073E6">
            <w:pPr>
              <w:jc w:val="center"/>
              <w:rPr>
                <w:rFonts w:ascii="Calibri" w:hAnsi="Calibri"/>
                <w:color w:val="000000"/>
                <w:sz w:val="16"/>
                <w:szCs w:val="16"/>
              </w:rPr>
            </w:pPr>
            <w:r w:rsidRPr="00A073E6">
              <w:rPr>
                <w:rFonts w:ascii="Calibri" w:hAnsi="Calibri"/>
                <w:color w:val="000000"/>
                <w:sz w:val="16"/>
                <w:szCs w:val="16"/>
              </w:rPr>
              <w:t>1,343</w:t>
            </w:r>
          </w:p>
        </w:tc>
        <w:tc>
          <w:tcPr>
            <w:tcW w:w="256" w:type="pct"/>
            <w:tcBorders>
              <w:top w:val="nil"/>
              <w:left w:val="nil"/>
              <w:bottom w:val="single" w:sz="4" w:space="0" w:color="auto"/>
              <w:right w:val="single" w:sz="4" w:space="0" w:color="auto"/>
            </w:tcBorders>
            <w:shd w:val="clear" w:color="000000" w:fill="FFFF99"/>
            <w:noWrap/>
            <w:vAlign w:val="center"/>
            <w:hideMark/>
          </w:tcPr>
          <w:p w:rsidR="00A073E6" w:rsidRPr="00A073E6" w:rsidRDefault="00A073E6" w:rsidP="00A073E6">
            <w:pPr>
              <w:jc w:val="center"/>
              <w:rPr>
                <w:rFonts w:ascii="Calibri" w:hAnsi="Calibri"/>
                <w:color w:val="000000"/>
                <w:sz w:val="16"/>
                <w:szCs w:val="16"/>
              </w:rPr>
            </w:pPr>
            <w:r w:rsidRPr="00A073E6">
              <w:rPr>
                <w:rFonts w:ascii="Calibri" w:hAnsi="Calibri"/>
                <w:color w:val="000000"/>
                <w:sz w:val="16"/>
                <w:szCs w:val="16"/>
              </w:rPr>
              <w:t>94</w:t>
            </w:r>
          </w:p>
        </w:tc>
        <w:tc>
          <w:tcPr>
            <w:tcW w:w="257" w:type="pct"/>
            <w:tcBorders>
              <w:top w:val="nil"/>
              <w:left w:val="nil"/>
              <w:bottom w:val="single" w:sz="4" w:space="0" w:color="auto"/>
              <w:right w:val="single" w:sz="4" w:space="0" w:color="auto"/>
            </w:tcBorders>
            <w:shd w:val="clear" w:color="000000" w:fill="FFFF99"/>
            <w:noWrap/>
            <w:vAlign w:val="center"/>
            <w:hideMark/>
          </w:tcPr>
          <w:p w:rsidR="00A073E6" w:rsidRPr="00A073E6" w:rsidRDefault="00A073E6" w:rsidP="00A073E6">
            <w:pPr>
              <w:jc w:val="center"/>
              <w:rPr>
                <w:rFonts w:ascii="Calibri" w:hAnsi="Calibri"/>
                <w:color w:val="000000"/>
                <w:sz w:val="16"/>
                <w:szCs w:val="16"/>
              </w:rPr>
            </w:pPr>
            <w:r w:rsidRPr="00A073E6">
              <w:rPr>
                <w:rFonts w:ascii="Calibri" w:hAnsi="Calibri"/>
                <w:color w:val="000000"/>
                <w:sz w:val="16"/>
                <w:szCs w:val="16"/>
              </w:rPr>
              <w:t>1,536</w:t>
            </w:r>
          </w:p>
        </w:tc>
        <w:tc>
          <w:tcPr>
            <w:tcW w:w="299" w:type="pct"/>
            <w:tcBorders>
              <w:top w:val="nil"/>
              <w:left w:val="nil"/>
              <w:bottom w:val="single" w:sz="4" w:space="0" w:color="auto"/>
              <w:right w:val="single" w:sz="4" w:space="0" w:color="auto"/>
            </w:tcBorders>
            <w:shd w:val="clear" w:color="000000" w:fill="FFFF99"/>
            <w:noWrap/>
            <w:vAlign w:val="center"/>
            <w:hideMark/>
          </w:tcPr>
          <w:p w:rsidR="00A073E6" w:rsidRPr="00A073E6" w:rsidRDefault="00A073E6" w:rsidP="00A073E6">
            <w:pPr>
              <w:jc w:val="center"/>
              <w:rPr>
                <w:rFonts w:ascii="Calibri" w:hAnsi="Calibri"/>
                <w:color w:val="000000"/>
                <w:sz w:val="16"/>
                <w:szCs w:val="16"/>
              </w:rPr>
            </w:pPr>
            <w:r w:rsidRPr="00A073E6">
              <w:rPr>
                <w:rFonts w:ascii="Calibri" w:hAnsi="Calibri"/>
                <w:color w:val="000000"/>
                <w:sz w:val="16"/>
                <w:szCs w:val="16"/>
              </w:rPr>
              <w:t>123</w:t>
            </w:r>
          </w:p>
        </w:tc>
        <w:tc>
          <w:tcPr>
            <w:tcW w:w="257" w:type="pct"/>
            <w:tcBorders>
              <w:top w:val="nil"/>
              <w:left w:val="nil"/>
              <w:bottom w:val="single" w:sz="4" w:space="0" w:color="auto"/>
              <w:right w:val="single" w:sz="4" w:space="0" w:color="auto"/>
            </w:tcBorders>
            <w:shd w:val="clear" w:color="000000" w:fill="FFFF99"/>
            <w:noWrap/>
            <w:vAlign w:val="center"/>
            <w:hideMark/>
          </w:tcPr>
          <w:p w:rsidR="00A073E6" w:rsidRPr="00A073E6" w:rsidRDefault="00A073E6" w:rsidP="00A073E6">
            <w:pPr>
              <w:jc w:val="center"/>
              <w:rPr>
                <w:rFonts w:ascii="Calibri" w:hAnsi="Calibri"/>
                <w:color w:val="000000"/>
                <w:sz w:val="16"/>
                <w:szCs w:val="16"/>
              </w:rPr>
            </w:pPr>
            <w:r w:rsidRPr="00A073E6">
              <w:rPr>
                <w:rFonts w:ascii="Calibri" w:hAnsi="Calibri"/>
                <w:color w:val="000000"/>
                <w:sz w:val="16"/>
                <w:szCs w:val="16"/>
              </w:rPr>
              <w:t>1,468</w:t>
            </w:r>
          </w:p>
        </w:tc>
        <w:tc>
          <w:tcPr>
            <w:tcW w:w="264" w:type="pct"/>
            <w:tcBorders>
              <w:top w:val="nil"/>
              <w:left w:val="nil"/>
              <w:bottom w:val="single" w:sz="4" w:space="0" w:color="auto"/>
              <w:right w:val="single" w:sz="4" w:space="0" w:color="auto"/>
            </w:tcBorders>
            <w:shd w:val="clear" w:color="000000" w:fill="FFFF99"/>
            <w:noWrap/>
            <w:vAlign w:val="center"/>
            <w:hideMark/>
          </w:tcPr>
          <w:p w:rsidR="00A073E6" w:rsidRPr="00A073E6" w:rsidRDefault="00A073E6" w:rsidP="00A073E6">
            <w:pPr>
              <w:jc w:val="center"/>
              <w:rPr>
                <w:rFonts w:ascii="Calibri" w:hAnsi="Calibri"/>
                <w:color w:val="000000"/>
                <w:sz w:val="16"/>
                <w:szCs w:val="16"/>
              </w:rPr>
            </w:pPr>
            <w:r w:rsidRPr="00A073E6">
              <w:rPr>
                <w:rFonts w:ascii="Calibri" w:hAnsi="Calibri"/>
                <w:color w:val="000000"/>
                <w:sz w:val="16"/>
                <w:szCs w:val="16"/>
              </w:rPr>
              <w:t>112</w:t>
            </w:r>
          </w:p>
        </w:tc>
        <w:tc>
          <w:tcPr>
            <w:tcW w:w="291" w:type="pct"/>
            <w:tcBorders>
              <w:top w:val="nil"/>
              <w:left w:val="nil"/>
              <w:bottom w:val="single" w:sz="4" w:space="0" w:color="auto"/>
              <w:right w:val="single" w:sz="4" w:space="0" w:color="auto"/>
            </w:tcBorders>
            <w:shd w:val="clear" w:color="000000" w:fill="FFFF99"/>
            <w:noWrap/>
            <w:vAlign w:val="center"/>
            <w:hideMark/>
          </w:tcPr>
          <w:p w:rsidR="00A073E6" w:rsidRPr="00A073E6" w:rsidRDefault="00A073E6" w:rsidP="00A073E6">
            <w:pPr>
              <w:jc w:val="center"/>
              <w:rPr>
                <w:rFonts w:ascii="Calibri" w:hAnsi="Calibri"/>
                <w:color w:val="000000"/>
                <w:sz w:val="16"/>
                <w:szCs w:val="16"/>
              </w:rPr>
            </w:pPr>
            <w:r w:rsidRPr="00A073E6">
              <w:rPr>
                <w:rFonts w:ascii="Calibri" w:hAnsi="Calibri"/>
                <w:color w:val="000000"/>
                <w:sz w:val="16"/>
                <w:szCs w:val="16"/>
              </w:rPr>
              <w:t>1,381</w:t>
            </w:r>
          </w:p>
        </w:tc>
        <w:tc>
          <w:tcPr>
            <w:tcW w:w="257" w:type="pct"/>
            <w:tcBorders>
              <w:top w:val="nil"/>
              <w:left w:val="nil"/>
              <w:bottom w:val="single" w:sz="4" w:space="0" w:color="auto"/>
              <w:right w:val="single" w:sz="4" w:space="0" w:color="auto"/>
            </w:tcBorders>
            <w:shd w:val="clear" w:color="auto" w:fill="auto"/>
            <w:noWrap/>
            <w:vAlign w:val="center"/>
            <w:hideMark/>
          </w:tcPr>
          <w:p w:rsidR="00A073E6" w:rsidRPr="00A073E6" w:rsidRDefault="00A073E6" w:rsidP="00A073E6">
            <w:pPr>
              <w:jc w:val="center"/>
              <w:rPr>
                <w:rFonts w:ascii="Calibri" w:hAnsi="Calibri"/>
                <w:color w:val="000000"/>
                <w:sz w:val="16"/>
                <w:szCs w:val="16"/>
              </w:rPr>
            </w:pPr>
            <w:r w:rsidRPr="00A073E6">
              <w:rPr>
                <w:rFonts w:ascii="Calibri" w:hAnsi="Calibri"/>
                <w:color w:val="000000"/>
                <w:sz w:val="16"/>
                <w:szCs w:val="16"/>
              </w:rPr>
              <w:t>41,287</w:t>
            </w:r>
          </w:p>
        </w:tc>
        <w:tc>
          <w:tcPr>
            <w:tcW w:w="299" w:type="pct"/>
            <w:tcBorders>
              <w:top w:val="nil"/>
              <w:left w:val="nil"/>
              <w:bottom w:val="single" w:sz="4" w:space="0" w:color="auto"/>
              <w:right w:val="single" w:sz="4" w:space="0" w:color="auto"/>
            </w:tcBorders>
            <w:shd w:val="clear" w:color="auto" w:fill="auto"/>
            <w:noWrap/>
            <w:vAlign w:val="center"/>
            <w:hideMark/>
          </w:tcPr>
          <w:p w:rsidR="00A073E6" w:rsidRPr="00A073E6" w:rsidRDefault="00A073E6" w:rsidP="00A073E6">
            <w:pPr>
              <w:jc w:val="center"/>
              <w:rPr>
                <w:rFonts w:ascii="Calibri" w:hAnsi="Calibri"/>
                <w:color w:val="000000"/>
                <w:sz w:val="16"/>
                <w:szCs w:val="16"/>
              </w:rPr>
            </w:pPr>
            <w:r w:rsidRPr="00A073E6">
              <w:rPr>
                <w:rFonts w:ascii="Calibri" w:hAnsi="Calibri"/>
                <w:color w:val="000000"/>
                <w:sz w:val="16"/>
                <w:szCs w:val="16"/>
              </w:rPr>
              <w:t>1,539</w:t>
            </w:r>
          </w:p>
        </w:tc>
      </w:tr>
      <w:tr w:rsidR="00F97E28" w:rsidRPr="00CE6AE2" w:rsidTr="00F97E28">
        <w:trPr>
          <w:trHeight w:val="300"/>
        </w:trPr>
        <w:tc>
          <w:tcPr>
            <w:tcW w:w="513" w:type="pct"/>
            <w:tcBorders>
              <w:top w:val="nil"/>
              <w:left w:val="single" w:sz="4" w:space="0" w:color="auto"/>
              <w:bottom w:val="single" w:sz="4" w:space="0" w:color="auto"/>
              <w:right w:val="single" w:sz="4" w:space="0" w:color="auto"/>
            </w:tcBorders>
            <w:shd w:val="clear" w:color="auto" w:fill="auto"/>
            <w:noWrap/>
            <w:vAlign w:val="center"/>
            <w:hideMark/>
          </w:tcPr>
          <w:p w:rsidR="00A073E6" w:rsidRPr="00A073E6" w:rsidRDefault="00A073E6" w:rsidP="00A073E6">
            <w:pPr>
              <w:jc w:val="center"/>
              <w:rPr>
                <w:rFonts w:ascii="Calibri" w:hAnsi="Calibri"/>
                <w:color w:val="000000"/>
                <w:sz w:val="16"/>
                <w:szCs w:val="16"/>
              </w:rPr>
            </w:pPr>
            <w:r w:rsidRPr="00A073E6">
              <w:rPr>
                <w:rFonts w:ascii="Calibri" w:hAnsi="Calibri"/>
                <w:color w:val="000000"/>
                <w:sz w:val="16"/>
                <w:szCs w:val="16"/>
              </w:rPr>
              <w:t xml:space="preserve">Osteoporosis QOF prevalence, 50+ </w:t>
            </w:r>
          </w:p>
        </w:tc>
        <w:tc>
          <w:tcPr>
            <w:tcW w:w="256" w:type="pct"/>
            <w:tcBorders>
              <w:top w:val="nil"/>
              <w:left w:val="nil"/>
              <w:bottom w:val="single" w:sz="4" w:space="0" w:color="auto"/>
              <w:right w:val="single" w:sz="4" w:space="0" w:color="auto"/>
            </w:tcBorders>
            <w:shd w:val="clear" w:color="auto" w:fill="auto"/>
            <w:noWrap/>
            <w:vAlign w:val="center"/>
            <w:hideMark/>
          </w:tcPr>
          <w:p w:rsidR="00A073E6" w:rsidRPr="00A073E6" w:rsidRDefault="00A073E6" w:rsidP="00A073E6">
            <w:pPr>
              <w:jc w:val="center"/>
              <w:rPr>
                <w:rFonts w:ascii="Calibri" w:hAnsi="Calibri"/>
                <w:color w:val="000000"/>
                <w:sz w:val="16"/>
                <w:szCs w:val="16"/>
              </w:rPr>
            </w:pPr>
            <w:r w:rsidRPr="00A073E6">
              <w:rPr>
                <w:rFonts w:ascii="Calibri" w:hAnsi="Calibri"/>
                <w:color w:val="000000"/>
                <w:sz w:val="16"/>
                <w:szCs w:val="16"/>
              </w:rPr>
              <w:t>2017-18</w:t>
            </w:r>
          </w:p>
        </w:tc>
        <w:tc>
          <w:tcPr>
            <w:tcW w:w="256" w:type="pct"/>
            <w:tcBorders>
              <w:top w:val="nil"/>
              <w:left w:val="nil"/>
              <w:bottom w:val="single" w:sz="4" w:space="0" w:color="auto"/>
              <w:right w:val="single" w:sz="4" w:space="0" w:color="auto"/>
            </w:tcBorders>
            <w:shd w:val="clear" w:color="000000" w:fill="EBF1DE"/>
            <w:noWrap/>
            <w:vAlign w:val="center"/>
            <w:hideMark/>
          </w:tcPr>
          <w:p w:rsidR="00A073E6" w:rsidRPr="00A073E6" w:rsidRDefault="00A073E6" w:rsidP="00A073E6">
            <w:pPr>
              <w:jc w:val="center"/>
              <w:rPr>
                <w:rFonts w:ascii="Calibri" w:hAnsi="Calibri"/>
                <w:color w:val="000000"/>
                <w:sz w:val="16"/>
                <w:szCs w:val="16"/>
              </w:rPr>
            </w:pPr>
            <w:r w:rsidRPr="00A073E6">
              <w:rPr>
                <w:rFonts w:ascii="Calibri" w:hAnsi="Calibri"/>
                <w:color w:val="000000"/>
                <w:sz w:val="16"/>
                <w:szCs w:val="16"/>
              </w:rPr>
              <w:t>1,435</w:t>
            </w:r>
          </w:p>
        </w:tc>
        <w:tc>
          <w:tcPr>
            <w:tcW w:w="257" w:type="pct"/>
            <w:tcBorders>
              <w:top w:val="nil"/>
              <w:left w:val="nil"/>
              <w:bottom w:val="single" w:sz="4" w:space="0" w:color="auto"/>
              <w:right w:val="single" w:sz="4" w:space="0" w:color="auto"/>
            </w:tcBorders>
            <w:shd w:val="clear" w:color="000000" w:fill="EBF1DE"/>
            <w:noWrap/>
            <w:vAlign w:val="center"/>
            <w:hideMark/>
          </w:tcPr>
          <w:p w:rsidR="00A073E6" w:rsidRPr="00A073E6" w:rsidRDefault="00A073E6" w:rsidP="00A073E6">
            <w:pPr>
              <w:jc w:val="center"/>
              <w:rPr>
                <w:rFonts w:ascii="Calibri" w:hAnsi="Calibri"/>
                <w:color w:val="000000"/>
                <w:sz w:val="16"/>
                <w:szCs w:val="16"/>
              </w:rPr>
            </w:pPr>
            <w:r w:rsidRPr="00A073E6">
              <w:rPr>
                <w:rFonts w:ascii="Calibri" w:hAnsi="Calibri"/>
                <w:color w:val="000000"/>
                <w:sz w:val="16"/>
                <w:szCs w:val="16"/>
              </w:rPr>
              <w:t>0.6%</w:t>
            </w:r>
          </w:p>
        </w:tc>
        <w:tc>
          <w:tcPr>
            <w:tcW w:w="255" w:type="pct"/>
            <w:tcBorders>
              <w:top w:val="nil"/>
              <w:left w:val="nil"/>
              <w:bottom w:val="single" w:sz="4" w:space="0" w:color="auto"/>
              <w:right w:val="single" w:sz="4" w:space="0" w:color="auto"/>
            </w:tcBorders>
            <w:shd w:val="clear" w:color="000000" w:fill="EBF1DE"/>
            <w:noWrap/>
            <w:vAlign w:val="center"/>
            <w:hideMark/>
          </w:tcPr>
          <w:p w:rsidR="00A073E6" w:rsidRPr="00A073E6" w:rsidRDefault="00A073E6" w:rsidP="00A073E6">
            <w:pPr>
              <w:jc w:val="center"/>
              <w:rPr>
                <w:rFonts w:ascii="Calibri" w:hAnsi="Calibri"/>
                <w:color w:val="000000"/>
                <w:sz w:val="16"/>
                <w:szCs w:val="16"/>
              </w:rPr>
            </w:pPr>
            <w:r w:rsidRPr="00A073E6">
              <w:rPr>
                <w:rFonts w:ascii="Calibri" w:hAnsi="Calibri"/>
                <w:color w:val="000000"/>
                <w:sz w:val="16"/>
                <w:szCs w:val="16"/>
              </w:rPr>
              <w:t>187</w:t>
            </w:r>
          </w:p>
        </w:tc>
        <w:tc>
          <w:tcPr>
            <w:tcW w:w="257" w:type="pct"/>
            <w:tcBorders>
              <w:top w:val="nil"/>
              <w:left w:val="nil"/>
              <w:bottom w:val="single" w:sz="4" w:space="0" w:color="auto"/>
              <w:right w:val="single" w:sz="4" w:space="0" w:color="auto"/>
            </w:tcBorders>
            <w:shd w:val="clear" w:color="000000" w:fill="EBF1DE"/>
            <w:noWrap/>
            <w:vAlign w:val="center"/>
            <w:hideMark/>
          </w:tcPr>
          <w:p w:rsidR="00A073E6" w:rsidRPr="00A073E6" w:rsidRDefault="00A073E6" w:rsidP="00A073E6">
            <w:pPr>
              <w:jc w:val="center"/>
              <w:rPr>
                <w:rFonts w:ascii="Calibri" w:hAnsi="Calibri"/>
                <w:color w:val="000000"/>
                <w:sz w:val="16"/>
                <w:szCs w:val="16"/>
              </w:rPr>
            </w:pPr>
            <w:r w:rsidRPr="00A073E6">
              <w:rPr>
                <w:rFonts w:ascii="Calibri" w:hAnsi="Calibri"/>
                <w:color w:val="000000"/>
                <w:sz w:val="16"/>
                <w:szCs w:val="16"/>
              </w:rPr>
              <w:t>0.3%</w:t>
            </w:r>
          </w:p>
        </w:tc>
        <w:tc>
          <w:tcPr>
            <w:tcW w:w="256" w:type="pct"/>
            <w:tcBorders>
              <w:top w:val="nil"/>
              <w:left w:val="nil"/>
              <w:bottom w:val="single" w:sz="4" w:space="0" w:color="auto"/>
              <w:right w:val="single" w:sz="4" w:space="0" w:color="auto"/>
            </w:tcBorders>
            <w:shd w:val="clear" w:color="000000" w:fill="EBF1DE"/>
            <w:noWrap/>
            <w:vAlign w:val="center"/>
            <w:hideMark/>
          </w:tcPr>
          <w:p w:rsidR="00A073E6" w:rsidRPr="00A073E6" w:rsidRDefault="00A073E6" w:rsidP="00A073E6">
            <w:pPr>
              <w:jc w:val="center"/>
              <w:rPr>
                <w:rFonts w:ascii="Calibri" w:hAnsi="Calibri"/>
                <w:color w:val="000000"/>
                <w:sz w:val="16"/>
                <w:szCs w:val="16"/>
              </w:rPr>
            </w:pPr>
            <w:r w:rsidRPr="00A073E6">
              <w:rPr>
                <w:rFonts w:ascii="Calibri" w:hAnsi="Calibri"/>
                <w:color w:val="000000"/>
                <w:sz w:val="16"/>
                <w:szCs w:val="16"/>
              </w:rPr>
              <w:t>178</w:t>
            </w:r>
          </w:p>
        </w:tc>
        <w:tc>
          <w:tcPr>
            <w:tcW w:w="257" w:type="pct"/>
            <w:tcBorders>
              <w:top w:val="nil"/>
              <w:left w:val="nil"/>
              <w:bottom w:val="single" w:sz="4" w:space="0" w:color="auto"/>
              <w:right w:val="single" w:sz="4" w:space="0" w:color="auto"/>
            </w:tcBorders>
            <w:shd w:val="clear" w:color="000000" w:fill="EBF1DE"/>
            <w:noWrap/>
            <w:vAlign w:val="center"/>
            <w:hideMark/>
          </w:tcPr>
          <w:p w:rsidR="00A073E6" w:rsidRPr="00A073E6" w:rsidRDefault="00A073E6" w:rsidP="00A073E6">
            <w:pPr>
              <w:jc w:val="center"/>
              <w:rPr>
                <w:rFonts w:ascii="Calibri" w:hAnsi="Calibri"/>
                <w:color w:val="000000"/>
                <w:sz w:val="16"/>
                <w:szCs w:val="16"/>
              </w:rPr>
            </w:pPr>
            <w:r w:rsidRPr="00A073E6">
              <w:rPr>
                <w:rFonts w:ascii="Calibri" w:hAnsi="Calibri"/>
                <w:color w:val="000000"/>
                <w:sz w:val="16"/>
                <w:szCs w:val="16"/>
              </w:rPr>
              <w:t>0.4%</w:t>
            </w:r>
          </w:p>
        </w:tc>
        <w:tc>
          <w:tcPr>
            <w:tcW w:w="256" w:type="pct"/>
            <w:tcBorders>
              <w:top w:val="nil"/>
              <w:left w:val="nil"/>
              <w:bottom w:val="single" w:sz="4" w:space="0" w:color="auto"/>
              <w:right w:val="single" w:sz="4" w:space="0" w:color="auto"/>
            </w:tcBorders>
            <w:shd w:val="clear" w:color="000000" w:fill="420000"/>
            <w:noWrap/>
            <w:vAlign w:val="center"/>
            <w:hideMark/>
          </w:tcPr>
          <w:p w:rsidR="00A073E6" w:rsidRPr="00A073E6" w:rsidRDefault="00A073E6" w:rsidP="00A073E6">
            <w:pPr>
              <w:jc w:val="center"/>
              <w:rPr>
                <w:rFonts w:ascii="Calibri" w:hAnsi="Calibri"/>
                <w:color w:val="FFFFFF"/>
                <w:sz w:val="16"/>
                <w:szCs w:val="16"/>
              </w:rPr>
            </w:pPr>
            <w:r w:rsidRPr="00A073E6">
              <w:rPr>
                <w:rFonts w:ascii="Calibri" w:hAnsi="Calibri"/>
                <w:color w:val="FFFFFF"/>
                <w:sz w:val="16"/>
                <w:szCs w:val="16"/>
              </w:rPr>
              <w:t>312</w:t>
            </w:r>
          </w:p>
        </w:tc>
        <w:tc>
          <w:tcPr>
            <w:tcW w:w="257" w:type="pct"/>
            <w:tcBorders>
              <w:top w:val="nil"/>
              <w:left w:val="nil"/>
              <w:bottom w:val="single" w:sz="4" w:space="0" w:color="auto"/>
              <w:right w:val="single" w:sz="4" w:space="0" w:color="auto"/>
            </w:tcBorders>
            <w:shd w:val="clear" w:color="000000" w:fill="420000"/>
            <w:noWrap/>
            <w:vAlign w:val="center"/>
            <w:hideMark/>
          </w:tcPr>
          <w:p w:rsidR="00A073E6" w:rsidRPr="00A073E6" w:rsidRDefault="00A073E6" w:rsidP="00A073E6">
            <w:pPr>
              <w:jc w:val="center"/>
              <w:rPr>
                <w:rFonts w:ascii="Calibri" w:hAnsi="Calibri"/>
                <w:color w:val="FFFFFF"/>
                <w:sz w:val="16"/>
                <w:szCs w:val="16"/>
              </w:rPr>
            </w:pPr>
            <w:r w:rsidRPr="00A073E6">
              <w:rPr>
                <w:rFonts w:ascii="Calibri" w:hAnsi="Calibri"/>
                <w:color w:val="FFFFFF"/>
                <w:sz w:val="16"/>
                <w:szCs w:val="16"/>
              </w:rPr>
              <w:t>1.0%</w:t>
            </w:r>
          </w:p>
        </w:tc>
        <w:tc>
          <w:tcPr>
            <w:tcW w:w="256" w:type="pct"/>
            <w:tcBorders>
              <w:top w:val="nil"/>
              <w:left w:val="nil"/>
              <w:bottom w:val="single" w:sz="4" w:space="0" w:color="auto"/>
              <w:right w:val="single" w:sz="4" w:space="0" w:color="auto"/>
            </w:tcBorders>
            <w:shd w:val="clear" w:color="000000" w:fill="EBF1DE"/>
            <w:noWrap/>
            <w:vAlign w:val="center"/>
            <w:hideMark/>
          </w:tcPr>
          <w:p w:rsidR="00A073E6" w:rsidRPr="00A073E6" w:rsidRDefault="00A073E6" w:rsidP="00A073E6">
            <w:pPr>
              <w:jc w:val="center"/>
              <w:rPr>
                <w:rFonts w:ascii="Calibri" w:hAnsi="Calibri"/>
                <w:sz w:val="16"/>
                <w:szCs w:val="16"/>
              </w:rPr>
            </w:pPr>
            <w:r w:rsidRPr="00A073E6">
              <w:rPr>
                <w:rFonts w:ascii="Calibri" w:hAnsi="Calibri"/>
                <w:sz w:val="16"/>
                <w:szCs w:val="16"/>
              </w:rPr>
              <w:t>151</w:t>
            </w:r>
          </w:p>
        </w:tc>
        <w:tc>
          <w:tcPr>
            <w:tcW w:w="257" w:type="pct"/>
            <w:tcBorders>
              <w:top w:val="nil"/>
              <w:left w:val="nil"/>
              <w:bottom w:val="single" w:sz="4" w:space="0" w:color="auto"/>
              <w:right w:val="single" w:sz="4" w:space="0" w:color="auto"/>
            </w:tcBorders>
            <w:shd w:val="clear" w:color="000000" w:fill="EBF1DE"/>
            <w:noWrap/>
            <w:vAlign w:val="center"/>
            <w:hideMark/>
          </w:tcPr>
          <w:p w:rsidR="00A073E6" w:rsidRPr="00A073E6" w:rsidRDefault="00A073E6" w:rsidP="00A073E6">
            <w:pPr>
              <w:jc w:val="center"/>
              <w:rPr>
                <w:rFonts w:ascii="Calibri" w:hAnsi="Calibri"/>
                <w:sz w:val="16"/>
                <w:szCs w:val="16"/>
              </w:rPr>
            </w:pPr>
            <w:r w:rsidRPr="00A073E6">
              <w:rPr>
                <w:rFonts w:ascii="Calibri" w:hAnsi="Calibri"/>
                <w:sz w:val="16"/>
                <w:szCs w:val="16"/>
              </w:rPr>
              <w:t>0.3%</w:t>
            </w:r>
          </w:p>
        </w:tc>
        <w:tc>
          <w:tcPr>
            <w:tcW w:w="299" w:type="pct"/>
            <w:tcBorders>
              <w:top w:val="nil"/>
              <w:left w:val="nil"/>
              <w:bottom w:val="single" w:sz="4" w:space="0" w:color="auto"/>
              <w:right w:val="single" w:sz="4" w:space="0" w:color="auto"/>
            </w:tcBorders>
            <w:shd w:val="clear" w:color="000000" w:fill="EBF1DE"/>
            <w:noWrap/>
            <w:vAlign w:val="center"/>
            <w:hideMark/>
          </w:tcPr>
          <w:p w:rsidR="00A073E6" w:rsidRPr="00A073E6" w:rsidRDefault="00A073E6" w:rsidP="00A073E6">
            <w:pPr>
              <w:jc w:val="center"/>
              <w:rPr>
                <w:rFonts w:ascii="Calibri" w:hAnsi="Calibri"/>
                <w:color w:val="000000"/>
                <w:sz w:val="16"/>
                <w:szCs w:val="16"/>
              </w:rPr>
            </w:pPr>
            <w:r w:rsidRPr="00A073E6">
              <w:rPr>
                <w:rFonts w:ascii="Calibri" w:hAnsi="Calibri"/>
                <w:color w:val="000000"/>
                <w:sz w:val="16"/>
                <w:szCs w:val="16"/>
              </w:rPr>
              <w:t>310</w:t>
            </w:r>
          </w:p>
        </w:tc>
        <w:tc>
          <w:tcPr>
            <w:tcW w:w="257" w:type="pct"/>
            <w:tcBorders>
              <w:top w:val="nil"/>
              <w:left w:val="nil"/>
              <w:bottom w:val="single" w:sz="4" w:space="0" w:color="auto"/>
              <w:right w:val="single" w:sz="4" w:space="0" w:color="auto"/>
            </w:tcBorders>
            <w:shd w:val="clear" w:color="000000" w:fill="EBF1DE"/>
            <w:noWrap/>
            <w:vAlign w:val="center"/>
            <w:hideMark/>
          </w:tcPr>
          <w:p w:rsidR="00A073E6" w:rsidRPr="00A073E6" w:rsidRDefault="00A073E6" w:rsidP="00A073E6">
            <w:pPr>
              <w:jc w:val="center"/>
              <w:rPr>
                <w:rFonts w:ascii="Calibri" w:hAnsi="Calibri"/>
                <w:color w:val="000000"/>
                <w:sz w:val="16"/>
                <w:szCs w:val="16"/>
              </w:rPr>
            </w:pPr>
            <w:r w:rsidRPr="00A073E6">
              <w:rPr>
                <w:rFonts w:ascii="Calibri" w:hAnsi="Calibri"/>
                <w:color w:val="000000"/>
                <w:sz w:val="16"/>
                <w:szCs w:val="16"/>
              </w:rPr>
              <w:t>0.4%</w:t>
            </w:r>
          </w:p>
        </w:tc>
        <w:tc>
          <w:tcPr>
            <w:tcW w:w="264" w:type="pct"/>
            <w:tcBorders>
              <w:top w:val="nil"/>
              <w:left w:val="nil"/>
              <w:bottom w:val="single" w:sz="4" w:space="0" w:color="auto"/>
              <w:right w:val="single" w:sz="4" w:space="0" w:color="auto"/>
            </w:tcBorders>
            <w:shd w:val="clear" w:color="000000" w:fill="420000"/>
            <w:noWrap/>
            <w:vAlign w:val="center"/>
            <w:hideMark/>
          </w:tcPr>
          <w:p w:rsidR="00A073E6" w:rsidRPr="00A073E6" w:rsidRDefault="00A073E6" w:rsidP="00A073E6">
            <w:pPr>
              <w:jc w:val="center"/>
              <w:rPr>
                <w:rFonts w:ascii="Calibri" w:hAnsi="Calibri"/>
                <w:color w:val="FFFFFF"/>
                <w:sz w:val="16"/>
                <w:szCs w:val="16"/>
              </w:rPr>
            </w:pPr>
            <w:r w:rsidRPr="00A073E6">
              <w:rPr>
                <w:rFonts w:ascii="Calibri" w:hAnsi="Calibri"/>
                <w:color w:val="FFFFFF"/>
                <w:sz w:val="16"/>
                <w:szCs w:val="16"/>
              </w:rPr>
              <w:t>484</w:t>
            </w:r>
          </w:p>
        </w:tc>
        <w:tc>
          <w:tcPr>
            <w:tcW w:w="291" w:type="pct"/>
            <w:tcBorders>
              <w:top w:val="nil"/>
              <w:left w:val="nil"/>
              <w:bottom w:val="single" w:sz="4" w:space="0" w:color="auto"/>
              <w:right w:val="single" w:sz="4" w:space="0" w:color="auto"/>
            </w:tcBorders>
            <w:shd w:val="clear" w:color="000000" w:fill="420000"/>
            <w:noWrap/>
            <w:vAlign w:val="center"/>
            <w:hideMark/>
          </w:tcPr>
          <w:p w:rsidR="00A073E6" w:rsidRPr="00A073E6" w:rsidRDefault="00A073E6" w:rsidP="00A073E6">
            <w:pPr>
              <w:jc w:val="center"/>
              <w:rPr>
                <w:rFonts w:ascii="Calibri" w:hAnsi="Calibri"/>
                <w:color w:val="FFFFFF"/>
                <w:sz w:val="16"/>
                <w:szCs w:val="16"/>
              </w:rPr>
            </w:pPr>
            <w:r w:rsidRPr="00A073E6">
              <w:rPr>
                <w:rFonts w:ascii="Calibri" w:hAnsi="Calibri"/>
                <w:color w:val="FFFFFF"/>
                <w:sz w:val="16"/>
                <w:szCs w:val="16"/>
              </w:rPr>
              <w:t>0.9%</w:t>
            </w:r>
          </w:p>
        </w:tc>
        <w:tc>
          <w:tcPr>
            <w:tcW w:w="257" w:type="pct"/>
            <w:tcBorders>
              <w:top w:val="nil"/>
              <w:left w:val="nil"/>
              <w:bottom w:val="single" w:sz="4" w:space="0" w:color="auto"/>
              <w:right w:val="single" w:sz="4" w:space="0" w:color="auto"/>
            </w:tcBorders>
            <w:shd w:val="clear" w:color="auto" w:fill="auto"/>
            <w:noWrap/>
            <w:vAlign w:val="center"/>
            <w:hideMark/>
          </w:tcPr>
          <w:p w:rsidR="00A073E6" w:rsidRPr="00A073E6" w:rsidRDefault="00A073E6" w:rsidP="00A073E6">
            <w:pPr>
              <w:jc w:val="center"/>
              <w:rPr>
                <w:rFonts w:ascii="Calibri" w:hAnsi="Calibri"/>
                <w:color w:val="000000"/>
                <w:sz w:val="16"/>
                <w:szCs w:val="16"/>
              </w:rPr>
            </w:pPr>
            <w:r w:rsidRPr="00A073E6">
              <w:rPr>
                <w:rFonts w:ascii="Calibri" w:hAnsi="Calibri"/>
                <w:color w:val="000000"/>
                <w:sz w:val="16"/>
                <w:szCs w:val="16"/>
              </w:rPr>
              <w:t>130,694</w:t>
            </w:r>
          </w:p>
        </w:tc>
        <w:tc>
          <w:tcPr>
            <w:tcW w:w="299" w:type="pct"/>
            <w:tcBorders>
              <w:top w:val="nil"/>
              <w:left w:val="nil"/>
              <w:bottom w:val="single" w:sz="4" w:space="0" w:color="auto"/>
              <w:right w:val="single" w:sz="4" w:space="0" w:color="auto"/>
            </w:tcBorders>
            <w:shd w:val="clear" w:color="auto" w:fill="auto"/>
            <w:noWrap/>
            <w:vAlign w:val="center"/>
            <w:hideMark/>
          </w:tcPr>
          <w:p w:rsidR="00A073E6" w:rsidRPr="00A073E6" w:rsidRDefault="00A073E6" w:rsidP="00A073E6">
            <w:pPr>
              <w:jc w:val="center"/>
              <w:rPr>
                <w:rFonts w:ascii="Calibri" w:hAnsi="Calibri"/>
                <w:color w:val="000000"/>
                <w:sz w:val="16"/>
                <w:szCs w:val="16"/>
              </w:rPr>
            </w:pPr>
            <w:r w:rsidRPr="00A073E6">
              <w:rPr>
                <w:rFonts w:ascii="Calibri" w:hAnsi="Calibri"/>
                <w:color w:val="000000"/>
                <w:sz w:val="16"/>
                <w:szCs w:val="16"/>
              </w:rPr>
              <w:t>0.6%</w:t>
            </w:r>
          </w:p>
        </w:tc>
      </w:tr>
      <w:tr w:rsidR="00F97E28" w:rsidRPr="00CE6AE2" w:rsidTr="00F97E28">
        <w:trPr>
          <w:trHeight w:val="300"/>
        </w:trPr>
        <w:tc>
          <w:tcPr>
            <w:tcW w:w="513" w:type="pct"/>
            <w:tcBorders>
              <w:top w:val="nil"/>
              <w:left w:val="single" w:sz="4" w:space="0" w:color="auto"/>
              <w:bottom w:val="single" w:sz="4" w:space="0" w:color="auto"/>
              <w:right w:val="single" w:sz="4" w:space="0" w:color="auto"/>
            </w:tcBorders>
            <w:shd w:val="clear" w:color="auto" w:fill="auto"/>
            <w:noWrap/>
            <w:vAlign w:val="center"/>
            <w:hideMark/>
          </w:tcPr>
          <w:p w:rsidR="00A073E6" w:rsidRPr="00A073E6" w:rsidRDefault="00A073E6" w:rsidP="00A073E6">
            <w:pPr>
              <w:jc w:val="center"/>
              <w:rPr>
                <w:rFonts w:ascii="Calibri" w:hAnsi="Calibri"/>
                <w:color w:val="000000"/>
                <w:sz w:val="16"/>
                <w:szCs w:val="16"/>
              </w:rPr>
            </w:pPr>
            <w:r w:rsidRPr="00A073E6">
              <w:rPr>
                <w:rFonts w:ascii="Calibri" w:hAnsi="Calibri"/>
                <w:color w:val="000000"/>
                <w:sz w:val="16"/>
                <w:szCs w:val="16"/>
              </w:rPr>
              <w:t>Care home beds per 100 people, 75+ (no statistical significance calculated for this indicator)</w:t>
            </w:r>
          </w:p>
        </w:tc>
        <w:tc>
          <w:tcPr>
            <w:tcW w:w="256" w:type="pct"/>
            <w:tcBorders>
              <w:top w:val="nil"/>
              <w:left w:val="nil"/>
              <w:bottom w:val="single" w:sz="4" w:space="0" w:color="auto"/>
              <w:right w:val="single" w:sz="4" w:space="0" w:color="auto"/>
            </w:tcBorders>
            <w:shd w:val="clear" w:color="auto" w:fill="auto"/>
            <w:noWrap/>
            <w:vAlign w:val="center"/>
            <w:hideMark/>
          </w:tcPr>
          <w:p w:rsidR="00A073E6" w:rsidRPr="00A073E6" w:rsidRDefault="00A073E6" w:rsidP="00A073E6">
            <w:pPr>
              <w:jc w:val="center"/>
              <w:rPr>
                <w:rFonts w:ascii="Calibri" w:hAnsi="Calibri"/>
                <w:color w:val="000000"/>
                <w:sz w:val="16"/>
                <w:szCs w:val="16"/>
              </w:rPr>
            </w:pPr>
            <w:r w:rsidRPr="00A073E6">
              <w:rPr>
                <w:rFonts w:ascii="Calibri" w:hAnsi="Calibri"/>
                <w:color w:val="000000"/>
                <w:sz w:val="16"/>
                <w:szCs w:val="16"/>
              </w:rPr>
              <w:t>2018</w:t>
            </w:r>
          </w:p>
        </w:tc>
        <w:tc>
          <w:tcPr>
            <w:tcW w:w="256" w:type="pct"/>
            <w:tcBorders>
              <w:top w:val="nil"/>
              <w:left w:val="nil"/>
              <w:bottom w:val="single" w:sz="4" w:space="0" w:color="auto"/>
              <w:right w:val="single" w:sz="4" w:space="0" w:color="auto"/>
            </w:tcBorders>
            <w:shd w:val="clear" w:color="000000" w:fill="FFFF99"/>
            <w:noWrap/>
            <w:vAlign w:val="center"/>
            <w:hideMark/>
          </w:tcPr>
          <w:p w:rsidR="00A073E6" w:rsidRPr="00A073E6" w:rsidRDefault="00A073E6" w:rsidP="00A073E6">
            <w:pPr>
              <w:jc w:val="center"/>
              <w:rPr>
                <w:rFonts w:ascii="Calibri" w:hAnsi="Calibri"/>
                <w:color w:val="000000"/>
                <w:sz w:val="16"/>
                <w:szCs w:val="16"/>
              </w:rPr>
            </w:pPr>
            <w:r w:rsidRPr="00A073E6">
              <w:rPr>
                <w:rFonts w:ascii="Calibri" w:hAnsi="Calibri"/>
                <w:color w:val="000000"/>
                <w:sz w:val="16"/>
                <w:szCs w:val="16"/>
              </w:rPr>
              <w:t>4,465</w:t>
            </w:r>
          </w:p>
        </w:tc>
        <w:tc>
          <w:tcPr>
            <w:tcW w:w="257" w:type="pct"/>
            <w:tcBorders>
              <w:top w:val="nil"/>
              <w:left w:val="nil"/>
              <w:bottom w:val="single" w:sz="4" w:space="0" w:color="auto"/>
              <w:right w:val="single" w:sz="4" w:space="0" w:color="auto"/>
            </w:tcBorders>
            <w:shd w:val="clear" w:color="000000" w:fill="FFFF99"/>
            <w:noWrap/>
            <w:vAlign w:val="center"/>
            <w:hideMark/>
          </w:tcPr>
          <w:p w:rsidR="00A073E6" w:rsidRPr="00A073E6" w:rsidRDefault="00A073E6" w:rsidP="00A073E6">
            <w:pPr>
              <w:jc w:val="center"/>
              <w:rPr>
                <w:rFonts w:ascii="Calibri" w:hAnsi="Calibri"/>
                <w:color w:val="000000"/>
                <w:sz w:val="16"/>
                <w:szCs w:val="16"/>
              </w:rPr>
            </w:pPr>
            <w:r w:rsidRPr="00A073E6">
              <w:rPr>
                <w:rFonts w:ascii="Calibri" w:hAnsi="Calibri"/>
                <w:color w:val="000000"/>
                <w:sz w:val="16"/>
                <w:szCs w:val="16"/>
              </w:rPr>
              <w:t>8.3%</w:t>
            </w:r>
          </w:p>
        </w:tc>
        <w:tc>
          <w:tcPr>
            <w:tcW w:w="255" w:type="pct"/>
            <w:tcBorders>
              <w:top w:val="nil"/>
              <w:left w:val="nil"/>
              <w:bottom w:val="single" w:sz="4" w:space="0" w:color="auto"/>
              <w:right w:val="single" w:sz="4" w:space="0" w:color="auto"/>
            </w:tcBorders>
            <w:shd w:val="clear" w:color="000000" w:fill="FFFF99"/>
            <w:noWrap/>
            <w:vAlign w:val="center"/>
            <w:hideMark/>
          </w:tcPr>
          <w:p w:rsidR="00A073E6" w:rsidRPr="00A073E6" w:rsidRDefault="00A073E6" w:rsidP="00A073E6">
            <w:pPr>
              <w:jc w:val="center"/>
              <w:rPr>
                <w:rFonts w:ascii="Calibri" w:hAnsi="Calibri"/>
                <w:color w:val="000000"/>
                <w:sz w:val="16"/>
                <w:szCs w:val="16"/>
              </w:rPr>
            </w:pPr>
            <w:r w:rsidRPr="00A073E6">
              <w:rPr>
                <w:rFonts w:ascii="Calibri" w:hAnsi="Calibri"/>
                <w:color w:val="000000"/>
                <w:sz w:val="16"/>
                <w:szCs w:val="16"/>
              </w:rPr>
              <w:t>1,272</w:t>
            </w:r>
          </w:p>
        </w:tc>
        <w:tc>
          <w:tcPr>
            <w:tcW w:w="257" w:type="pct"/>
            <w:tcBorders>
              <w:top w:val="nil"/>
              <w:left w:val="nil"/>
              <w:bottom w:val="single" w:sz="4" w:space="0" w:color="auto"/>
              <w:right w:val="single" w:sz="4" w:space="0" w:color="auto"/>
            </w:tcBorders>
            <w:shd w:val="clear" w:color="000000" w:fill="FFFF99"/>
            <w:noWrap/>
            <w:vAlign w:val="center"/>
            <w:hideMark/>
          </w:tcPr>
          <w:p w:rsidR="00A073E6" w:rsidRPr="00A073E6" w:rsidRDefault="00A073E6" w:rsidP="00A073E6">
            <w:pPr>
              <w:jc w:val="center"/>
              <w:rPr>
                <w:rFonts w:ascii="Calibri" w:hAnsi="Calibri"/>
                <w:color w:val="000000"/>
                <w:sz w:val="16"/>
                <w:szCs w:val="16"/>
              </w:rPr>
            </w:pPr>
            <w:r w:rsidRPr="00A073E6">
              <w:rPr>
                <w:rFonts w:ascii="Calibri" w:hAnsi="Calibri"/>
                <w:color w:val="000000"/>
                <w:sz w:val="16"/>
                <w:szCs w:val="16"/>
              </w:rPr>
              <w:t>9.8%</w:t>
            </w:r>
          </w:p>
        </w:tc>
        <w:tc>
          <w:tcPr>
            <w:tcW w:w="256" w:type="pct"/>
            <w:tcBorders>
              <w:top w:val="nil"/>
              <w:left w:val="nil"/>
              <w:bottom w:val="single" w:sz="4" w:space="0" w:color="auto"/>
              <w:right w:val="single" w:sz="4" w:space="0" w:color="auto"/>
            </w:tcBorders>
            <w:shd w:val="clear" w:color="000000" w:fill="FFFF99"/>
            <w:noWrap/>
            <w:vAlign w:val="center"/>
            <w:hideMark/>
          </w:tcPr>
          <w:p w:rsidR="00A073E6" w:rsidRPr="00A073E6" w:rsidRDefault="00A073E6" w:rsidP="00A073E6">
            <w:pPr>
              <w:jc w:val="center"/>
              <w:rPr>
                <w:rFonts w:ascii="Calibri" w:hAnsi="Calibri"/>
                <w:color w:val="000000"/>
                <w:sz w:val="16"/>
                <w:szCs w:val="16"/>
              </w:rPr>
            </w:pPr>
            <w:r w:rsidRPr="00A073E6">
              <w:rPr>
                <w:rFonts w:ascii="Calibri" w:hAnsi="Calibri"/>
                <w:color w:val="000000"/>
                <w:sz w:val="16"/>
                <w:szCs w:val="16"/>
              </w:rPr>
              <w:t>807</w:t>
            </w:r>
          </w:p>
        </w:tc>
        <w:tc>
          <w:tcPr>
            <w:tcW w:w="257" w:type="pct"/>
            <w:tcBorders>
              <w:top w:val="nil"/>
              <w:left w:val="nil"/>
              <w:bottom w:val="single" w:sz="4" w:space="0" w:color="auto"/>
              <w:right w:val="single" w:sz="4" w:space="0" w:color="auto"/>
            </w:tcBorders>
            <w:shd w:val="clear" w:color="000000" w:fill="FFFF99"/>
            <w:noWrap/>
            <w:vAlign w:val="center"/>
            <w:hideMark/>
          </w:tcPr>
          <w:p w:rsidR="00A073E6" w:rsidRPr="00A073E6" w:rsidRDefault="00A073E6" w:rsidP="00A073E6">
            <w:pPr>
              <w:jc w:val="center"/>
              <w:rPr>
                <w:rFonts w:ascii="Calibri" w:hAnsi="Calibri"/>
                <w:color w:val="000000"/>
                <w:sz w:val="16"/>
                <w:szCs w:val="16"/>
              </w:rPr>
            </w:pPr>
            <w:r w:rsidRPr="00A073E6">
              <w:rPr>
                <w:rFonts w:ascii="Calibri" w:hAnsi="Calibri"/>
                <w:color w:val="000000"/>
                <w:sz w:val="16"/>
                <w:szCs w:val="16"/>
              </w:rPr>
              <w:t>10.4%</w:t>
            </w:r>
          </w:p>
        </w:tc>
        <w:tc>
          <w:tcPr>
            <w:tcW w:w="256" w:type="pct"/>
            <w:tcBorders>
              <w:top w:val="nil"/>
              <w:left w:val="nil"/>
              <w:bottom w:val="single" w:sz="4" w:space="0" w:color="auto"/>
              <w:right w:val="single" w:sz="4" w:space="0" w:color="auto"/>
            </w:tcBorders>
            <w:shd w:val="clear" w:color="000000" w:fill="FFFF99"/>
            <w:noWrap/>
            <w:vAlign w:val="center"/>
            <w:hideMark/>
          </w:tcPr>
          <w:p w:rsidR="00A073E6" w:rsidRPr="00A073E6" w:rsidRDefault="00A073E6" w:rsidP="00A073E6">
            <w:pPr>
              <w:jc w:val="center"/>
              <w:rPr>
                <w:rFonts w:ascii="Calibri" w:hAnsi="Calibri"/>
                <w:color w:val="000000"/>
                <w:sz w:val="16"/>
                <w:szCs w:val="16"/>
              </w:rPr>
            </w:pPr>
            <w:r w:rsidRPr="00A073E6">
              <w:rPr>
                <w:rFonts w:ascii="Calibri" w:hAnsi="Calibri"/>
                <w:color w:val="000000"/>
                <w:sz w:val="16"/>
                <w:szCs w:val="16"/>
              </w:rPr>
              <w:t>578</w:t>
            </w:r>
          </w:p>
        </w:tc>
        <w:tc>
          <w:tcPr>
            <w:tcW w:w="257" w:type="pct"/>
            <w:tcBorders>
              <w:top w:val="nil"/>
              <w:left w:val="nil"/>
              <w:bottom w:val="single" w:sz="4" w:space="0" w:color="auto"/>
              <w:right w:val="single" w:sz="4" w:space="0" w:color="auto"/>
            </w:tcBorders>
            <w:shd w:val="clear" w:color="000000" w:fill="FFFF99"/>
            <w:noWrap/>
            <w:vAlign w:val="center"/>
            <w:hideMark/>
          </w:tcPr>
          <w:p w:rsidR="00A073E6" w:rsidRPr="00A073E6" w:rsidRDefault="00A073E6" w:rsidP="00A073E6">
            <w:pPr>
              <w:jc w:val="center"/>
              <w:rPr>
                <w:rFonts w:ascii="Calibri" w:hAnsi="Calibri"/>
                <w:color w:val="000000"/>
                <w:sz w:val="16"/>
                <w:szCs w:val="16"/>
              </w:rPr>
            </w:pPr>
            <w:r w:rsidRPr="00A073E6">
              <w:rPr>
                <w:rFonts w:ascii="Calibri" w:hAnsi="Calibri"/>
                <w:color w:val="000000"/>
                <w:sz w:val="16"/>
                <w:szCs w:val="16"/>
              </w:rPr>
              <w:t>7.4%</w:t>
            </w:r>
          </w:p>
        </w:tc>
        <w:tc>
          <w:tcPr>
            <w:tcW w:w="256" w:type="pct"/>
            <w:tcBorders>
              <w:top w:val="nil"/>
              <w:left w:val="nil"/>
              <w:bottom w:val="single" w:sz="4" w:space="0" w:color="auto"/>
              <w:right w:val="single" w:sz="4" w:space="0" w:color="auto"/>
            </w:tcBorders>
            <w:shd w:val="clear" w:color="000000" w:fill="FFFF99"/>
            <w:noWrap/>
            <w:vAlign w:val="center"/>
            <w:hideMark/>
          </w:tcPr>
          <w:p w:rsidR="00A073E6" w:rsidRPr="00A073E6" w:rsidRDefault="00A073E6" w:rsidP="00A073E6">
            <w:pPr>
              <w:jc w:val="center"/>
              <w:rPr>
                <w:rFonts w:ascii="Calibri" w:hAnsi="Calibri"/>
                <w:color w:val="000000"/>
                <w:sz w:val="16"/>
                <w:szCs w:val="16"/>
              </w:rPr>
            </w:pPr>
            <w:r w:rsidRPr="00A073E6">
              <w:rPr>
                <w:rFonts w:ascii="Calibri" w:hAnsi="Calibri"/>
                <w:color w:val="000000"/>
                <w:sz w:val="16"/>
                <w:szCs w:val="16"/>
              </w:rPr>
              <w:t>980</w:t>
            </w:r>
          </w:p>
        </w:tc>
        <w:tc>
          <w:tcPr>
            <w:tcW w:w="257" w:type="pct"/>
            <w:tcBorders>
              <w:top w:val="nil"/>
              <w:left w:val="nil"/>
              <w:bottom w:val="single" w:sz="4" w:space="0" w:color="auto"/>
              <w:right w:val="single" w:sz="4" w:space="0" w:color="auto"/>
            </w:tcBorders>
            <w:shd w:val="clear" w:color="000000" w:fill="FFFF99"/>
            <w:noWrap/>
            <w:vAlign w:val="center"/>
            <w:hideMark/>
          </w:tcPr>
          <w:p w:rsidR="00A073E6" w:rsidRPr="00A073E6" w:rsidRDefault="00A073E6" w:rsidP="00A073E6">
            <w:pPr>
              <w:jc w:val="center"/>
              <w:rPr>
                <w:rFonts w:ascii="Calibri" w:hAnsi="Calibri"/>
                <w:color w:val="000000"/>
                <w:sz w:val="16"/>
                <w:szCs w:val="16"/>
              </w:rPr>
            </w:pPr>
            <w:r w:rsidRPr="00A073E6">
              <w:rPr>
                <w:rFonts w:ascii="Calibri" w:hAnsi="Calibri"/>
                <w:color w:val="000000"/>
                <w:sz w:val="16"/>
                <w:szCs w:val="16"/>
              </w:rPr>
              <w:t>9.6%</w:t>
            </w:r>
          </w:p>
        </w:tc>
        <w:tc>
          <w:tcPr>
            <w:tcW w:w="299" w:type="pct"/>
            <w:tcBorders>
              <w:top w:val="nil"/>
              <w:left w:val="nil"/>
              <w:bottom w:val="single" w:sz="4" w:space="0" w:color="auto"/>
              <w:right w:val="single" w:sz="4" w:space="0" w:color="auto"/>
            </w:tcBorders>
            <w:shd w:val="clear" w:color="000000" w:fill="FFFF99"/>
            <w:noWrap/>
            <w:vAlign w:val="center"/>
            <w:hideMark/>
          </w:tcPr>
          <w:p w:rsidR="00A073E6" w:rsidRPr="00A073E6" w:rsidRDefault="00A073E6" w:rsidP="00A073E6">
            <w:pPr>
              <w:jc w:val="center"/>
              <w:rPr>
                <w:rFonts w:ascii="Calibri" w:hAnsi="Calibri"/>
                <w:color w:val="000000"/>
                <w:sz w:val="16"/>
                <w:szCs w:val="16"/>
              </w:rPr>
            </w:pPr>
            <w:r w:rsidRPr="00A073E6">
              <w:rPr>
                <w:rFonts w:ascii="Calibri" w:hAnsi="Calibri"/>
                <w:color w:val="000000"/>
                <w:sz w:val="16"/>
                <w:szCs w:val="16"/>
              </w:rPr>
              <w:t>1,211</w:t>
            </w:r>
          </w:p>
        </w:tc>
        <w:tc>
          <w:tcPr>
            <w:tcW w:w="257" w:type="pct"/>
            <w:tcBorders>
              <w:top w:val="nil"/>
              <w:left w:val="nil"/>
              <w:bottom w:val="single" w:sz="4" w:space="0" w:color="auto"/>
              <w:right w:val="single" w:sz="4" w:space="0" w:color="auto"/>
            </w:tcBorders>
            <w:shd w:val="clear" w:color="000000" w:fill="FFFF99"/>
            <w:noWrap/>
            <w:vAlign w:val="center"/>
            <w:hideMark/>
          </w:tcPr>
          <w:p w:rsidR="00A073E6" w:rsidRPr="00A073E6" w:rsidRDefault="00A073E6" w:rsidP="00A073E6">
            <w:pPr>
              <w:jc w:val="center"/>
              <w:rPr>
                <w:rFonts w:ascii="Calibri" w:hAnsi="Calibri"/>
                <w:color w:val="000000"/>
                <w:sz w:val="16"/>
                <w:szCs w:val="16"/>
              </w:rPr>
            </w:pPr>
            <w:r w:rsidRPr="00A073E6">
              <w:rPr>
                <w:rFonts w:ascii="Calibri" w:hAnsi="Calibri"/>
                <w:color w:val="000000"/>
                <w:sz w:val="16"/>
                <w:szCs w:val="16"/>
              </w:rPr>
              <w:t>8.2%</w:t>
            </w:r>
          </w:p>
        </w:tc>
        <w:tc>
          <w:tcPr>
            <w:tcW w:w="264" w:type="pct"/>
            <w:tcBorders>
              <w:top w:val="nil"/>
              <w:left w:val="nil"/>
              <w:bottom w:val="single" w:sz="4" w:space="0" w:color="auto"/>
              <w:right w:val="single" w:sz="4" w:space="0" w:color="auto"/>
            </w:tcBorders>
            <w:shd w:val="clear" w:color="000000" w:fill="FFFF99"/>
            <w:noWrap/>
            <w:vAlign w:val="center"/>
            <w:hideMark/>
          </w:tcPr>
          <w:p w:rsidR="00A073E6" w:rsidRPr="00A073E6" w:rsidRDefault="00A073E6" w:rsidP="00A073E6">
            <w:pPr>
              <w:jc w:val="center"/>
              <w:rPr>
                <w:rFonts w:ascii="Calibri" w:hAnsi="Calibri"/>
                <w:color w:val="000000"/>
                <w:sz w:val="16"/>
                <w:szCs w:val="16"/>
              </w:rPr>
            </w:pPr>
            <w:r w:rsidRPr="00A073E6">
              <w:rPr>
                <w:rFonts w:ascii="Calibri" w:hAnsi="Calibri"/>
                <w:color w:val="000000"/>
                <w:sz w:val="16"/>
                <w:szCs w:val="16"/>
              </w:rPr>
              <w:t>889</w:t>
            </w:r>
          </w:p>
        </w:tc>
        <w:tc>
          <w:tcPr>
            <w:tcW w:w="291" w:type="pct"/>
            <w:tcBorders>
              <w:top w:val="nil"/>
              <w:left w:val="nil"/>
              <w:bottom w:val="single" w:sz="4" w:space="0" w:color="auto"/>
              <w:right w:val="single" w:sz="4" w:space="0" w:color="auto"/>
            </w:tcBorders>
            <w:shd w:val="clear" w:color="000000" w:fill="FFFF99"/>
            <w:noWrap/>
            <w:vAlign w:val="center"/>
            <w:hideMark/>
          </w:tcPr>
          <w:p w:rsidR="00A073E6" w:rsidRPr="00A073E6" w:rsidRDefault="00A073E6" w:rsidP="00A073E6">
            <w:pPr>
              <w:jc w:val="center"/>
              <w:rPr>
                <w:rFonts w:ascii="Calibri" w:hAnsi="Calibri"/>
                <w:color w:val="000000"/>
                <w:sz w:val="16"/>
                <w:szCs w:val="16"/>
              </w:rPr>
            </w:pPr>
            <w:r w:rsidRPr="00A073E6">
              <w:rPr>
                <w:rFonts w:ascii="Calibri" w:hAnsi="Calibri"/>
                <w:color w:val="000000"/>
                <w:sz w:val="16"/>
                <w:szCs w:val="16"/>
              </w:rPr>
              <w:t>6.6%</w:t>
            </w:r>
          </w:p>
        </w:tc>
        <w:tc>
          <w:tcPr>
            <w:tcW w:w="257" w:type="pct"/>
            <w:tcBorders>
              <w:top w:val="nil"/>
              <w:left w:val="nil"/>
              <w:bottom w:val="single" w:sz="4" w:space="0" w:color="auto"/>
              <w:right w:val="single" w:sz="4" w:space="0" w:color="auto"/>
            </w:tcBorders>
            <w:shd w:val="clear" w:color="auto" w:fill="auto"/>
            <w:noWrap/>
            <w:vAlign w:val="center"/>
            <w:hideMark/>
          </w:tcPr>
          <w:p w:rsidR="00A073E6" w:rsidRPr="00A073E6" w:rsidRDefault="00A073E6" w:rsidP="00A073E6">
            <w:pPr>
              <w:jc w:val="center"/>
              <w:rPr>
                <w:rFonts w:ascii="Calibri" w:hAnsi="Calibri"/>
                <w:color w:val="000000"/>
                <w:sz w:val="16"/>
                <w:szCs w:val="16"/>
              </w:rPr>
            </w:pPr>
            <w:r w:rsidRPr="00A073E6">
              <w:rPr>
                <w:rFonts w:ascii="Calibri" w:hAnsi="Calibri"/>
                <w:color w:val="000000"/>
                <w:sz w:val="16"/>
                <w:szCs w:val="16"/>
              </w:rPr>
              <w:t>459,385</w:t>
            </w:r>
          </w:p>
        </w:tc>
        <w:tc>
          <w:tcPr>
            <w:tcW w:w="299" w:type="pct"/>
            <w:tcBorders>
              <w:top w:val="nil"/>
              <w:left w:val="nil"/>
              <w:bottom w:val="single" w:sz="4" w:space="0" w:color="auto"/>
              <w:right w:val="single" w:sz="4" w:space="0" w:color="auto"/>
            </w:tcBorders>
            <w:shd w:val="clear" w:color="auto" w:fill="auto"/>
            <w:noWrap/>
            <w:vAlign w:val="center"/>
            <w:hideMark/>
          </w:tcPr>
          <w:p w:rsidR="00A073E6" w:rsidRPr="00A073E6" w:rsidRDefault="00A073E6" w:rsidP="00A073E6">
            <w:pPr>
              <w:jc w:val="center"/>
              <w:rPr>
                <w:rFonts w:ascii="Calibri" w:hAnsi="Calibri"/>
                <w:color w:val="000000"/>
                <w:sz w:val="16"/>
                <w:szCs w:val="16"/>
              </w:rPr>
            </w:pPr>
            <w:r w:rsidRPr="00A073E6">
              <w:rPr>
                <w:rFonts w:ascii="Calibri" w:hAnsi="Calibri"/>
                <w:color w:val="000000"/>
                <w:sz w:val="16"/>
                <w:szCs w:val="16"/>
              </w:rPr>
              <w:t>10.1%</w:t>
            </w:r>
          </w:p>
        </w:tc>
      </w:tr>
      <w:tr w:rsidR="00F97E28" w:rsidRPr="00CE6AE2" w:rsidTr="00F97E28">
        <w:trPr>
          <w:trHeight w:val="300"/>
        </w:trPr>
        <w:tc>
          <w:tcPr>
            <w:tcW w:w="513" w:type="pct"/>
            <w:tcBorders>
              <w:top w:val="nil"/>
              <w:left w:val="single" w:sz="4" w:space="0" w:color="auto"/>
              <w:bottom w:val="single" w:sz="4" w:space="0" w:color="auto"/>
              <w:right w:val="single" w:sz="4" w:space="0" w:color="auto"/>
            </w:tcBorders>
            <w:shd w:val="clear" w:color="auto" w:fill="auto"/>
            <w:noWrap/>
            <w:vAlign w:val="center"/>
            <w:hideMark/>
          </w:tcPr>
          <w:p w:rsidR="00A073E6" w:rsidRPr="00A073E6" w:rsidRDefault="00A073E6" w:rsidP="00A073E6">
            <w:pPr>
              <w:jc w:val="center"/>
              <w:rPr>
                <w:rFonts w:ascii="Calibri" w:hAnsi="Calibri"/>
                <w:color w:val="000000"/>
                <w:sz w:val="16"/>
                <w:szCs w:val="16"/>
              </w:rPr>
            </w:pPr>
            <w:r w:rsidRPr="00A073E6">
              <w:rPr>
                <w:rFonts w:ascii="Calibri" w:hAnsi="Calibri"/>
                <w:color w:val="000000"/>
                <w:sz w:val="16"/>
                <w:szCs w:val="16"/>
              </w:rPr>
              <w:t>Nursing home beds per 100 people, 75+ (no statistical significance calculated for this indicator)</w:t>
            </w:r>
          </w:p>
        </w:tc>
        <w:tc>
          <w:tcPr>
            <w:tcW w:w="256" w:type="pct"/>
            <w:tcBorders>
              <w:top w:val="nil"/>
              <w:left w:val="nil"/>
              <w:bottom w:val="single" w:sz="4" w:space="0" w:color="auto"/>
              <w:right w:val="single" w:sz="4" w:space="0" w:color="auto"/>
            </w:tcBorders>
            <w:shd w:val="clear" w:color="auto" w:fill="auto"/>
            <w:noWrap/>
            <w:vAlign w:val="center"/>
            <w:hideMark/>
          </w:tcPr>
          <w:p w:rsidR="00A073E6" w:rsidRPr="00A073E6" w:rsidRDefault="00A073E6" w:rsidP="00A073E6">
            <w:pPr>
              <w:jc w:val="center"/>
              <w:rPr>
                <w:rFonts w:ascii="Calibri" w:hAnsi="Calibri"/>
                <w:color w:val="000000"/>
                <w:sz w:val="16"/>
                <w:szCs w:val="16"/>
              </w:rPr>
            </w:pPr>
            <w:r w:rsidRPr="00A073E6">
              <w:rPr>
                <w:rFonts w:ascii="Calibri" w:hAnsi="Calibri"/>
                <w:color w:val="000000"/>
                <w:sz w:val="16"/>
                <w:szCs w:val="16"/>
              </w:rPr>
              <w:t>2018</w:t>
            </w:r>
          </w:p>
        </w:tc>
        <w:tc>
          <w:tcPr>
            <w:tcW w:w="256" w:type="pct"/>
            <w:tcBorders>
              <w:top w:val="nil"/>
              <w:left w:val="nil"/>
              <w:bottom w:val="single" w:sz="4" w:space="0" w:color="auto"/>
              <w:right w:val="single" w:sz="4" w:space="0" w:color="auto"/>
            </w:tcBorders>
            <w:shd w:val="clear" w:color="000000" w:fill="FFFF99"/>
            <w:noWrap/>
            <w:vAlign w:val="center"/>
            <w:hideMark/>
          </w:tcPr>
          <w:p w:rsidR="00A073E6" w:rsidRPr="00A073E6" w:rsidRDefault="00A073E6" w:rsidP="00A073E6">
            <w:pPr>
              <w:jc w:val="center"/>
              <w:rPr>
                <w:rFonts w:ascii="Calibri" w:hAnsi="Calibri"/>
                <w:color w:val="000000"/>
                <w:sz w:val="16"/>
                <w:szCs w:val="16"/>
              </w:rPr>
            </w:pPr>
            <w:r w:rsidRPr="00A073E6">
              <w:rPr>
                <w:rFonts w:ascii="Calibri" w:hAnsi="Calibri"/>
                <w:color w:val="000000"/>
                <w:sz w:val="16"/>
                <w:szCs w:val="16"/>
              </w:rPr>
              <w:t>2,344</w:t>
            </w:r>
          </w:p>
        </w:tc>
        <w:tc>
          <w:tcPr>
            <w:tcW w:w="257" w:type="pct"/>
            <w:tcBorders>
              <w:top w:val="nil"/>
              <w:left w:val="nil"/>
              <w:bottom w:val="single" w:sz="4" w:space="0" w:color="auto"/>
              <w:right w:val="single" w:sz="4" w:space="0" w:color="auto"/>
            </w:tcBorders>
            <w:shd w:val="clear" w:color="000000" w:fill="FFFF99"/>
            <w:noWrap/>
            <w:vAlign w:val="center"/>
            <w:hideMark/>
          </w:tcPr>
          <w:p w:rsidR="00A073E6" w:rsidRPr="00A073E6" w:rsidRDefault="00A073E6" w:rsidP="00A073E6">
            <w:pPr>
              <w:jc w:val="center"/>
              <w:rPr>
                <w:rFonts w:ascii="Calibri" w:hAnsi="Calibri"/>
                <w:color w:val="000000"/>
                <w:sz w:val="16"/>
                <w:szCs w:val="16"/>
              </w:rPr>
            </w:pPr>
            <w:r w:rsidRPr="00A073E6">
              <w:rPr>
                <w:rFonts w:ascii="Calibri" w:hAnsi="Calibri"/>
                <w:color w:val="000000"/>
                <w:sz w:val="16"/>
                <w:szCs w:val="16"/>
              </w:rPr>
              <w:t>4.3%</w:t>
            </w:r>
          </w:p>
        </w:tc>
        <w:tc>
          <w:tcPr>
            <w:tcW w:w="255" w:type="pct"/>
            <w:tcBorders>
              <w:top w:val="nil"/>
              <w:left w:val="nil"/>
              <w:bottom w:val="single" w:sz="4" w:space="0" w:color="auto"/>
              <w:right w:val="single" w:sz="4" w:space="0" w:color="auto"/>
            </w:tcBorders>
            <w:shd w:val="clear" w:color="000000" w:fill="FFFF99"/>
            <w:noWrap/>
            <w:vAlign w:val="center"/>
            <w:hideMark/>
          </w:tcPr>
          <w:p w:rsidR="00A073E6" w:rsidRPr="00A073E6" w:rsidRDefault="00A073E6" w:rsidP="00A073E6">
            <w:pPr>
              <w:jc w:val="center"/>
              <w:rPr>
                <w:rFonts w:ascii="Calibri" w:hAnsi="Calibri"/>
                <w:color w:val="000000"/>
                <w:sz w:val="16"/>
                <w:szCs w:val="16"/>
              </w:rPr>
            </w:pPr>
            <w:r w:rsidRPr="00A073E6">
              <w:rPr>
                <w:rFonts w:ascii="Calibri" w:hAnsi="Calibri"/>
                <w:color w:val="000000"/>
                <w:sz w:val="16"/>
                <w:szCs w:val="16"/>
              </w:rPr>
              <w:t>776</w:t>
            </w:r>
          </w:p>
        </w:tc>
        <w:tc>
          <w:tcPr>
            <w:tcW w:w="257" w:type="pct"/>
            <w:tcBorders>
              <w:top w:val="nil"/>
              <w:left w:val="nil"/>
              <w:bottom w:val="single" w:sz="4" w:space="0" w:color="auto"/>
              <w:right w:val="single" w:sz="4" w:space="0" w:color="auto"/>
            </w:tcBorders>
            <w:shd w:val="clear" w:color="000000" w:fill="FFFF99"/>
            <w:noWrap/>
            <w:vAlign w:val="center"/>
            <w:hideMark/>
          </w:tcPr>
          <w:p w:rsidR="00A073E6" w:rsidRPr="00A073E6" w:rsidRDefault="00A073E6" w:rsidP="00A073E6">
            <w:pPr>
              <w:jc w:val="center"/>
              <w:rPr>
                <w:rFonts w:ascii="Calibri" w:hAnsi="Calibri"/>
                <w:color w:val="000000"/>
                <w:sz w:val="16"/>
                <w:szCs w:val="16"/>
              </w:rPr>
            </w:pPr>
            <w:r w:rsidRPr="00A073E6">
              <w:rPr>
                <w:rFonts w:ascii="Calibri" w:hAnsi="Calibri"/>
                <w:color w:val="000000"/>
                <w:sz w:val="16"/>
                <w:szCs w:val="16"/>
              </w:rPr>
              <w:t>5.9%</w:t>
            </w:r>
          </w:p>
        </w:tc>
        <w:tc>
          <w:tcPr>
            <w:tcW w:w="256" w:type="pct"/>
            <w:tcBorders>
              <w:top w:val="nil"/>
              <w:left w:val="nil"/>
              <w:bottom w:val="single" w:sz="4" w:space="0" w:color="auto"/>
              <w:right w:val="single" w:sz="4" w:space="0" w:color="auto"/>
            </w:tcBorders>
            <w:shd w:val="clear" w:color="000000" w:fill="FFFF99"/>
            <w:noWrap/>
            <w:vAlign w:val="center"/>
            <w:hideMark/>
          </w:tcPr>
          <w:p w:rsidR="00A073E6" w:rsidRPr="00A073E6" w:rsidRDefault="00A073E6" w:rsidP="00A073E6">
            <w:pPr>
              <w:jc w:val="center"/>
              <w:rPr>
                <w:rFonts w:ascii="Calibri" w:hAnsi="Calibri"/>
                <w:color w:val="000000"/>
                <w:sz w:val="16"/>
                <w:szCs w:val="16"/>
              </w:rPr>
            </w:pPr>
            <w:r w:rsidRPr="00A073E6">
              <w:rPr>
                <w:rFonts w:ascii="Calibri" w:hAnsi="Calibri"/>
                <w:color w:val="000000"/>
                <w:sz w:val="16"/>
                <w:szCs w:val="16"/>
              </w:rPr>
              <w:t>549</w:t>
            </w:r>
          </w:p>
        </w:tc>
        <w:tc>
          <w:tcPr>
            <w:tcW w:w="257" w:type="pct"/>
            <w:tcBorders>
              <w:top w:val="nil"/>
              <w:left w:val="nil"/>
              <w:bottom w:val="single" w:sz="4" w:space="0" w:color="auto"/>
              <w:right w:val="single" w:sz="4" w:space="0" w:color="auto"/>
            </w:tcBorders>
            <w:shd w:val="clear" w:color="000000" w:fill="FFFF99"/>
            <w:noWrap/>
            <w:vAlign w:val="center"/>
            <w:hideMark/>
          </w:tcPr>
          <w:p w:rsidR="00A073E6" w:rsidRPr="00A073E6" w:rsidRDefault="00A073E6" w:rsidP="00A073E6">
            <w:pPr>
              <w:jc w:val="center"/>
              <w:rPr>
                <w:rFonts w:ascii="Calibri" w:hAnsi="Calibri"/>
                <w:color w:val="000000"/>
                <w:sz w:val="16"/>
                <w:szCs w:val="16"/>
              </w:rPr>
            </w:pPr>
            <w:r w:rsidRPr="00A073E6">
              <w:rPr>
                <w:rFonts w:ascii="Calibri" w:hAnsi="Calibri"/>
                <w:color w:val="000000"/>
                <w:sz w:val="16"/>
                <w:szCs w:val="16"/>
              </w:rPr>
              <w:t>7.1%</w:t>
            </w:r>
          </w:p>
        </w:tc>
        <w:tc>
          <w:tcPr>
            <w:tcW w:w="256" w:type="pct"/>
            <w:tcBorders>
              <w:top w:val="nil"/>
              <w:left w:val="nil"/>
              <w:bottom w:val="single" w:sz="4" w:space="0" w:color="auto"/>
              <w:right w:val="single" w:sz="4" w:space="0" w:color="auto"/>
            </w:tcBorders>
            <w:shd w:val="clear" w:color="000000" w:fill="FFFF99"/>
            <w:noWrap/>
            <w:vAlign w:val="center"/>
            <w:hideMark/>
          </w:tcPr>
          <w:p w:rsidR="00A073E6" w:rsidRPr="00A073E6" w:rsidRDefault="00A073E6" w:rsidP="00A073E6">
            <w:pPr>
              <w:jc w:val="center"/>
              <w:rPr>
                <w:rFonts w:ascii="Calibri" w:hAnsi="Calibri"/>
                <w:color w:val="000000"/>
                <w:sz w:val="16"/>
                <w:szCs w:val="16"/>
              </w:rPr>
            </w:pPr>
            <w:r w:rsidRPr="00A073E6">
              <w:rPr>
                <w:rFonts w:ascii="Calibri" w:hAnsi="Calibri"/>
                <w:color w:val="000000"/>
                <w:sz w:val="16"/>
                <w:szCs w:val="16"/>
              </w:rPr>
              <w:t>226</w:t>
            </w:r>
          </w:p>
        </w:tc>
        <w:tc>
          <w:tcPr>
            <w:tcW w:w="257" w:type="pct"/>
            <w:tcBorders>
              <w:top w:val="nil"/>
              <w:left w:val="nil"/>
              <w:bottom w:val="single" w:sz="4" w:space="0" w:color="auto"/>
              <w:right w:val="single" w:sz="4" w:space="0" w:color="auto"/>
            </w:tcBorders>
            <w:shd w:val="clear" w:color="000000" w:fill="FFFF99"/>
            <w:noWrap/>
            <w:vAlign w:val="center"/>
            <w:hideMark/>
          </w:tcPr>
          <w:p w:rsidR="00A073E6" w:rsidRPr="00A073E6" w:rsidRDefault="00A073E6" w:rsidP="00A073E6">
            <w:pPr>
              <w:jc w:val="center"/>
              <w:rPr>
                <w:rFonts w:ascii="Calibri" w:hAnsi="Calibri"/>
                <w:color w:val="000000"/>
                <w:sz w:val="16"/>
                <w:szCs w:val="16"/>
              </w:rPr>
            </w:pPr>
            <w:r w:rsidRPr="00A073E6">
              <w:rPr>
                <w:rFonts w:ascii="Calibri" w:hAnsi="Calibri"/>
                <w:color w:val="000000"/>
                <w:sz w:val="16"/>
                <w:szCs w:val="16"/>
              </w:rPr>
              <w:t>2.9%</w:t>
            </w:r>
          </w:p>
        </w:tc>
        <w:tc>
          <w:tcPr>
            <w:tcW w:w="256" w:type="pct"/>
            <w:tcBorders>
              <w:top w:val="nil"/>
              <w:left w:val="nil"/>
              <w:bottom w:val="single" w:sz="4" w:space="0" w:color="auto"/>
              <w:right w:val="single" w:sz="4" w:space="0" w:color="auto"/>
            </w:tcBorders>
            <w:shd w:val="clear" w:color="000000" w:fill="FFFF99"/>
            <w:noWrap/>
            <w:vAlign w:val="center"/>
            <w:hideMark/>
          </w:tcPr>
          <w:p w:rsidR="00A073E6" w:rsidRPr="00A073E6" w:rsidRDefault="00A073E6" w:rsidP="00A073E6">
            <w:pPr>
              <w:jc w:val="center"/>
              <w:rPr>
                <w:rFonts w:ascii="Calibri" w:hAnsi="Calibri"/>
                <w:color w:val="000000"/>
                <w:sz w:val="16"/>
                <w:szCs w:val="16"/>
              </w:rPr>
            </w:pPr>
            <w:r w:rsidRPr="00A073E6">
              <w:rPr>
                <w:rFonts w:ascii="Calibri" w:hAnsi="Calibri"/>
                <w:color w:val="000000"/>
                <w:sz w:val="16"/>
                <w:szCs w:val="16"/>
              </w:rPr>
              <w:t>585</w:t>
            </w:r>
          </w:p>
        </w:tc>
        <w:tc>
          <w:tcPr>
            <w:tcW w:w="257" w:type="pct"/>
            <w:tcBorders>
              <w:top w:val="nil"/>
              <w:left w:val="nil"/>
              <w:bottom w:val="single" w:sz="4" w:space="0" w:color="auto"/>
              <w:right w:val="single" w:sz="4" w:space="0" w:color="auto"/>
            </w:tcBorders>
            <w:shd w:val="clear" w:color="000000" w:fill="FFFF99"/>
            <w:noWrap/>
            <w:vAlign w:val="center"/>
            <w:hideMark/>
          </w:tcPr>
          <w:p w:rsidR="00A073E6" w:rsidRPr="00A073E6" w:rsidRDefault="00A073E6" w:rsidP="00A073E6">
            <w:pPr>
              <w:jc w:val="center"/>
              <w:rPr>
                <w:rFonts w:ascii="Calibri" w:hAnsi="Calibri"/>
                <w:color w:val="000000"/>
                <w:sz w:val="16"/>
                <w:szCs w:val="16"/>
              </w:rPr>
            </w:pPr>
            <w:r w:rsidRPr="00A073E6">
              <w:rPr>
                <w:rFonts w:ascii="Calibri" w:hAnsi="Calibri"/>
                <w:color w:val="000000"/>
                <w:sz w:val="16"/>
                <w:szCs w:val="16"/>
              </w:rPr>
              <w:t>5.7%</w:t>
            </w:r>
          </w:p>
        </w:tc>
        <w:tc>
          <w:tcPr>
            <w:tcW w:w="299" w:type="pct"/>
            <w:tcBorders>
              <w:top w:val="nil"/>
              <w:left w:val="nil"/>
              <w:bottom w:val="single" w:sz="4" w:space="0" w:color="auto"/>
              <w:right w:val="single" w:sz="4" w:space="0" w:color="auto"/>
            </w:tcBorders>
            <w:shd w:val="clear" w:color="000000" w:fill="FFFF99"/>
            <w:noWrap/>
            <w:vAlign w:val="center"/>
            <w:hideMark/>
          </w:tcPr>
          <w:p w:rsidR="00A073E6" w:rsidRPr="00A073E6" w:rsidRDefault="00A073E6" w:rsidP="00A073E6">
            <w:pPr>
              <w:jc w:val="center"/>
              <w:rPr>
                <w:rFonts w:ascii="Calibri" w:hAnsi="Calibri"/>
                <w:color w:val="000000"/>
                <w:sz w:val="16"/>
                <w:szCs w:val="16"/>
              </w:rPr>
            </w:pPr>
            <w:r w:rsidRPr="00A073E6">
              <w:rPr>
                <w:rFonts w:ascii="Calibri" w:hAnsi="Calibri"/>
                <w:color w:val="000000"/>
                <w:sz w:val="16"/>
                <w:szCs w:val="16"/>
              </w:rPr>
              <w:t>485</w:t>
            </w:r>
          </w:p>
        </w:tc>
        <w:tc>
          <w:tcPr>
            <w:tcW w:w="257" w:type="pct"/>
            <w:tcBorders>
              <w:top w:val="nil"/>
              <w:left w:val="nil"/>
              <w:bottom w:val="single" w:sz="4" w:space="0" w:color="auto"/>
              <w:right w:val="single" w:sz="4" w:space="0" w:color="auto"/>
            </w:tcBorders>
            <w:shd w:val="clear" w:color="000000" w:fill="FFFF99"/>
            <w:noWrap/>
            <w:vAlign w:val="center"/>
            <w:hideMark/>
          </w:tcPr>
          <w:p w:rsidR="00A073E6" w:rsidRPr="00A073E6" w:rsidRDefault="00A073E6" w:rsidP="00A073E6">
            <w:pPr>
              <w:jc w:val="center"/>
              <w:rPr>
                <w:rFonts w:ascii="Calibri" w:hAnsi="Calibri"/>
                <w:color w:val="000000"/>
                <w:sz w:val="16"/>
                <w:szCs w:val="16"/>
              </w:rPr>
            </w:pPr>
            <w:r w:rsidRPr="00A073E6">
              <w:rPr>
                <w:rFonts w:ascii="Calibri" w:hAnsi="Calibri"/>
                <w:color w:val="000000"/>
                <w:sz w:val="16"/>
                <w:szCs w:val="16"/>
              </w:rPr>
              <w:t>4.3%</w:t>
            </w:r>
          </w:p>
        </w:tc>
        <w:tc>
          <w:tcPr>
            <w:tcW w:w="264" w:type="pct"/>
            <w:tcBorders>
              <w:top w:val="nil"/>
              <w:left w:val="nil"/>
              <w:bottom w:val="single" w:sz="4" w:space="0" w:color="auto"/>
              <w:right w:val="single" w:sz="4" w:space="0" w:color="auto"/>
            </w:tcBorders>
            <w:shd w:val="clear" w:color="000000" w:fill="FFFF99"/>
            <w:noWrap/>
            <w:vAlign w:val="center"/>
            <w:hideMark/>
          </w:tcPr>
          <w:p w:rsidR="00A073E6" w:rsidRPr="00A073E6" w:rsidRDefault="00A073E6" w:rsidP="00A073E6">
            <w:pPr>
              <w:jc w:val="center"/>
              <w:rPr>
                <w:rFonts w:ascii="Calibri" w:hAnsi="Calibri"/>
                <w:color w:val="000000"/>
                <w:sz w:val="16"/>
                <w:szCs w:val="16"/>
              </w:rPr>
            </w:pPr>
            <w:r w:rsidRPr="00A073E6">
              <w:rPr>
                <w:rFonts w:ascii="Calibri" w:hAnsi="Calibri"/>
                <w:color w:val="000000"/>
                <w:sz w:val="16"/>
                <w:szCs w:val="16"/>
              </w:rPr>
              <w:t>499</w:t>
            </w:r>
          </w:p>
        </w:tc>
        <w:tc>
          <w:tcPr>
            <w:tcW w:w="291" w:type="pct"/>
            <w:tcBorders>
              <w:top w:val="nil"/>
              <w:left w:val="nil"/>
              <w:bottom w:val="single" w:sz="4" w:space="0" w:color="auto"/>
              <w:right w:val="single" w:sz="4" w:space="0" w:color="auto"/>
            </w:tcBorders>
            <w:shd w:val="clear" w:color="000000" w:fill="FFFF99"/>
            <w:noWrap/>
            <w:vAlign w:val="center"/>
            <w:hideMark/>
          </w:tcPr>
          <w:p w:rsidR="00A073E6" w:rsidRPr="00A073E6" w:rsidRDefault="00A073E6" w:rsidP="00A073E6">
            <w:pPr>
              <w:jc w:val="center"/>
              <w:rPr>
                <w:rFonts w:ascii="Calibri" w:hAnsi="Calibri"/>
                <w:color w:val="000000"/>
                <w:sz w:val="16"/>
                <w:szCs w:val="16"/>
              </w:rPr>
            </w:pPr>
            <w:r w:rsidRPr="00A073E6">
              <w:rPr>
                <w:rFonts w:ascii="Calibri" w:hAnsi="Calibri"/>
                <w:color w:val="000000"/>
                <w:sz w:val="16"/>
                <w:szCs w:val="16"/>
              </w:rPr>
              <w:t>3.7%</w:t>
            </w:r>
          </w:p>
        </w:tc>
        <w:tc>
          <w:tcPr>
            <w:tcW w:w="257" w:type="pct"/>
            <w:tcBorders>
              <w:top w:val="nil"/>
              <w:left w:val="nil"/>
              <w:bottom w:val="single" w:sz="4" w:space="0" w:color="auto"/>
              <w:right w:val="single" w:sz="4" w:space="0" w:color="auto"/>
            </w:tcBorders>
            <w:shd w:val="clear" w:color="auto" w:fill="auto"/>
            <w:noWrap/>
            <w:vAlign w:val="center"/>
            <w:hideMark/>
          </w:tcPr>
          <w:p w:rsidR="00A073E6" w:rsidRPr="00A073E6" w:rsidRDefault="00A073E6" w:rsidP="00A073E6">
            <w:pPr>
              <w:jc w:val="center"/>
              <w:rPr>
                <w:rFonts w:ascii="Calibri" w:hAnsi="Calibri"/>
                <w:color w:val="000000"/>
                <w:sz w:val="16"/>
                <w:szCs w:val="16"/>
              </w:rPr>
            </w:pPr>
            <w:r w:rsidRPr="00A073E6">
              <w:rPr>
                <w:rFonts w:ascii="Calibri" w:hAnsi="Calibri"/>
                <w:color w:val="000000"/>
                <w:sz w:val="16"/>
                <w:szCs w:val="16"/>
              </w:rPr>
              <w:t>220,033</w:t>
            </w:r>
          </w:p>
        </w:tc>
        <w:tc>
          <w:tcPr>
            <w:tcW w:w="299" w:type="pct"/>
            <w:tcBorders>
              <w:top w:val="nil"/>
              <w:left w:val="nil"/>
              <w:bottom w:val="single" w:sz="4" w:space="0" w:color="auto"/>
              <w:right w:val="single" w:sz="4" w:space="0" w:color="auto"/>
            </w:tcBorders>
            <w:shd w:val="clear" w:color="auto" w:fill="auto"/>
            <w:noWrap/>
            <w:vAlign w:val="center"/>
            <w:hideMark/>
          </w:tcPr>
          <w:p w:rsidR="00A073E6" w:rsidRPr="00A073E6" w:rsidRDefault="00A073E6" w:rsidP="00A073E6">
            <w:pPr>
              <w:jc w:val="center"/>
              <w:rPr>
                <w:rFonts w:ascii="Calibri" w:hAnsi="Calibri"/>
                <w:color w:val="000000"/>
                <w:sz w:val="16"/>
                <w:szCs w:val="16"/>
              </w:rPr>
            </w:pPr>
            <w:r w:rsidRPr="00A073E6">
              <w:rPr>
                <w:rFonts w:ascii="Calibri" w:hAnsi="Calibri"/>
                <w:color w:val="000000"/>
                <w:sz w:val="16"/>
                <w:szCs w:val="16"/>
              </w:rPr>
              <w:t>4.9%</w:t>
            </w:r>
          </w:p>
        </w:tc>
      </w:tr>
      <w:tr w:rsidR="00F97E28" w:rsidRPr="00CE6AE2" w:rsidTr="00F97E28">
        <w:trPr>
          <w:trHeight w:val="300"/>
        </w:trPr>
        <w:tc>
          <w:tcPr>
            <w:tcW w:w="513" w:type="pct"/>
            <w:tcBorders>
              <w:top w:val="nil"/>
              <w:left w:val="single" w:sz="4" w:space="0" w:color="auto"/>
              <w:bottom w:val="single" w:sz="4" w:space="0" w:color="auto"/>
              <w:right w:val="single" w:sz="4" w:space="0" w:color="auto"/>
            </w:tcBorders>
            <w:shd w:val="clear" w:color="auto" w:fill="auto"/>
            <w:noWrap/>
            <w:vAlign w:val="center"/>
            <w:hideMark/>
          </w:tcPr>
          <w:p w:rsidR="00A073E6" w:rsidRPr="00A073E6" w:rsidRDefault="00A073E6" w:rsidP="00A073E6">
            <w:pPr>
              <w:jc w:val="center"/>
              <w:rPr>
                <w:rFonts w:ascii="Calibri" w:hAnsi="Calibri"/>
                <w:color w:val="000000"/>
                <w:sz w:val="16"/>
                <w:szCs w:val="16"/>
              </w:rPr>
            </w:pPr>
            <w:r w:rsidRPr="00A073E6">
              <w:rPr>
                <w:rFonts w:ascii="Calibri" w:hAnsi="Calibri"/>
                <w:color w:val="000000"/>
                <w:sz w:val="16"/>
                <w:szCs w:val="16"/>
              </w:rPr>
              <w:t>Unpaid carers (Census 2011)</w:t>
            </w:r>
          </w:p>
        </w:tc>
        <w:tc>
          <w:tcPr>
            <w:tcW w:w="256" w:type="pct"/>
            <w:tcBorders>
              <w:top w:val="nil"/>
              <w:left w:val="nil"/>
              <w:bottom w:val="single" w:sz="4" w:space="0" w:color="auto"/>
              <w:right w:val="single" w:sz="4" w:space="0" w:color="auto"/>
            </w:tcBorders>
            <w:shd w:val="clear" w:color="auto" w:fill="auto"/>
            <w:noWrap/>
            <w:vAlign w:val="center"/>
            <w:hideMark/>
          </w:tcPr>
          <w:p w:rsidR="00A073E6" w:rsidRPr="00A073E6" w:rsidRDefault="00A073E6" w:rsidP="00A073E6">
            <w:pPr>
              <w:jc w:val="center"/>
              <w:rPr>
                <w:rFonts w:ascii="Calibri" w:hAnsi="Calibri"/>
                <w:color w:val="000000"/>
                <w:sz w:val="16"/>
                <w:szCs w:val="16"/>
              </w:rPr>
            </w:pPr>
            <w:r w:rsidRPr="00A073E6">
              <w:rPr>
                <w:rFonts w:ascii="Calibri" w:hAnsi="Calibri"/>
                <w:color w:val="000000"/>
                <w:sz w:val="16"/>
                <w:szCs w:val="16"/>
              </w:rPr>
              <w:t>2011</w:t>
            </w:r>
          </w:p>
        </w:tc>
        <w:tc>
          <w:tcPr>
            <w:tcW w:w="256" w:type="pct"/>
            <w:tcBorders>
              <w:top w:val="nil"/>
              <w:left w:val="nil"/>
              <w:bottom w:val="single" w:sz="4" w:space="0" w:color="auto"/>
              <w:right w:val="single" w:sz="4" w:space="0" w:color="auto"/>
            </w:tcBorders>
            <w:shd w:val="clear" w:color="000000" w:fill="EBF1DE"/>
            <w:noWrap/>
            <w:vAlign w:val="center"/>
            <w:hideMark/>
          </w:tcPr>
          <w:p w:rsidR="00A073E6" w:rsidRPr="00A073E6" w:rsidRDefault="00A073E6" w:rsidP="00A073E6">
            <w:pPr>
              <w:jc w:val="center"/>
              <w:rPr>
                <w:rFonts w:ascii="Calibri" w:hAnsi="Calibri"/>
                <w:sz w:val="16"/>
                <w:szCs w:val="16"/>
              </w:rPr>
            </w:pPr>
            <w:r w:rsidRPr="00A073E6">
              <w:rPr>
                <w:rFonts w:ascii="Calibri" w:hAnsi="Calibri"/>
                <w:sz w:val="16"/>
                <w:szCs w:val="16"/>
              </w:rPr>
              <w:t>12,078</w:t>
            </w:r>
          </w:p>
        </w:tc>
        <w:tc>
          <w:tcPr>
            <w:tcW w:w="257" w:type="pct"/>
            <w:tcBorders>
              <w:top w:val="nil"/>
              <w:left w:val="nil"/>
              <w:bottom w:val="single" w:sz="4" w:space="0" w:color="auto"/>
              <w:right w:val="single" w:sz="4" w:space="0" w:color="auto"/>
            </w:tcBorders>
            <w:shd w:val="clear" w:color="000000" w:fill="EBF1DE"/>
            <w:noWrap/>
            <w:vAlign w:val="center"/>
            <w:hideMark/>
          </w:tcPr>
          <w:p w:rsidR="00A073E6" w:rsidRPr="00A073E6" w:rsidRDefault="00A073E6" w:rsidP="00A073E6">
            <w:pPr>
              <w:jc w:val="center"/>
              <w:rPr>
                <w:rFonts w:ascii="Calibri" w:hAnsi="Calibri"/>
                <w:sz w:val="16"/>
                <w:szCs w:val="16"/>
              </w:rPr>
            </w:pPr>
            <w:r w:rsidRPr="00A073E6">
              <w:rPr>
                <w:rFonts w:ascii="Calibri" w:hAnsi="Calibri"/>
                <w:sz w:val="16"/>
                <w:szCs w:val="16"/>
              </w:rPr>
              <w:t>1.9%</w:t>
            </w:r>
          </w:p>
        </w:tc>
        <w:tc>
          <w:tcPr>
            <w:tcW w:w="255" w:type="pct"/>
            <w:tcBorders>
              <w:top w:val="nil"/>
              <w:left w:val="nil"/>
              <w:bottom w:val="single" w:sz="4" w:space="0" w:color="auto"/>
              <w:right w:val="single" w:sz="4" w:space="0" w:color="auto"/>
            </w:tcBorders>
            <w:shd w:val="clear" w:color="000000" w:fill="FFFF99"/>
            <w:noWrap/>
            <w:vAlign w:val="center"/>
            <w:hideMark/>
          </w:tcPr>
          <w:p w:rsidR="00A073E6" w:rsidRPr="00A073E6" w:rsidRDefault="00A073E6" w:rsidP="00A073E6">
            <w:pPr>
              <w:jc w:val="center"/>
              <w:rPr>
                <w:rFonts w:ascii="Calibri" w:hAnsi="Calibri"/>
                <w:color w:val="000000"/>
                <w:sz w:val="16"/>
                <w:szCs w:val="16"/>
              </w:rPr>
            </w:pPr>
            <w:r w:rsidRPr="00A073E6">
              <w:rPr>
                <w:rFonts w:ascii="Calibri" w:hAnsi="Calibri"/>
                <w:color w:val="000000"/>
                <w:sz w:val="16"/>
                <w:szCs w:val="16"/>
              </w:rPr>
              <w:t>4,342</w:t>
            </w:r>
          </w:p>
        </w:tc>
        <w:tc>
          <w:tcPr>
            <w:tcW w:w="257" w:type="pct"/>
            <w:tcBorders>
              <w:top w:val="nil"/>
              <w:left w:val="nil"/>
              <w:bottom w:val="single" w:sz="4" w:space="0" w:color="auto"/>
              <w:right w:val="single" w:sz="4" w:space="0" w:color="auto"/>
            </w:tcBorders>
            <w:shd w:val="clear" w:color="000000" w:fill="FFFF99"/>
            <w:noWrap/>
            <w:vAlign w:val="center"/>
            <w:hideMark/>
          </w:tcPr>
          <w:p w:rsidR="00A073E6" w:rsidRPr="00A073E6" w:rsidRDefault="00A073E6" w:rsidP="00A073E6">
            <w:pPr>
              <w:jc w:val="center"/>
              <w:rPr>
                <w:rFonts w:ascii="Calibri" w:hAnsi="Calibri"/>
                <w:color w:val="000000"/>
                <w:sz w:val="16"/>
                <w:szCs w:val="16"/>
              </w:rPr>
            </w:pPr>
            <w:r w:rsidRPr="00A073E6">
              <w:rPr>
                <w:rFonts w:ascii="Calibri" w:hAnsi="Calibri"/>
                <w:color w:val="000000"/>
                <w:sz w:val="16"/>
                <w:szCs w:val="16"/>
              </w:rPr>
              <w:t>2.4%</w:t>
            </w:r>
          </w:p>
        </w:tc>
        <w:tc>
          <w:tcPr>
            <w:tcW w:w="256" w:type="pct"/>
            <w:tcBorders>
              <w:top w:val="nil"/>
              <w:left w:val="nil"/>
              <w:bottom w:val="single" w:sz="4" w:space="0" w:color="auto"/>
              <w:right w:val="single" w:sz="4" w:space="0" w:color="auto"/>
            </w:tcBorders>
            <w:shd w:val="clear" w:color="000000" w:fill="EBF1DE"/>
            <w:noWrap/>
            <w:vAlign w:val="center"/>
            <w:hideMark/>
          </w:tcPr>
          <w:p w:rsidR="00A073E6" w:rsidRPr="00A073E6" w:rsidRDefault="00A073E6" w:rsidP="00A073E6">
            <w:pPr>
              <w:jc w:val="center"/>
              <w:rPr>
                <w:rFonts w:ascii="Calibri" w:hAnsi="Calibri"/>
                <w:color w:val="000000"/>
                <w:sz w:val="16"/>
                <w:szCs w:val="16"/>
              </w:rPr>
            </w:pPr>
            <w:r w:rsidRPr="00A073E6">
              <w:rPr>
                <w:rFonts w:ascii="Calibri" w:hAnsi="Calibri"/>
                <w:color w:val="000000"/>
                <w:sz w:val="16"/>
                <w:szCs w:val="16"/>
              </w:rPr>
              <w:t>1,589</w:t>
            </w:r>
          </w:p>
        </w:tc>
        <w:tc>
          <w:tcPr>
            <w:tcW w:w="257" w:type="pct"/>
            <w:tcBorders>
              <w:top w:val="nil"/>
              <w:left w:val="nil"/>
              <w:bottom w:val="single" w:sz="4" w:space="0" w:color="auto"/>
              <w:right w:val="single" w:sz="4" w:space="0" w:color="auto"/>
            </w:tcBorders>
            <w:shd w:val="clear" w:color="000000" w:fill="EBF1DE"/>
            <w:noWrap/>
            <w:vAlign w:val="center"/>
            <w:hideMark/>
          </w:tcPr>
          <w:p w:rsidR="00A073E6" w:rsidRPr="00A073E6" w:rsidRDefault="00A073E6" w:rsidP="00A073E6">
            <w:pPr>
              <w:jc w:val="center"/>
              <w:rPr>
                <w:rFonts w:ascii="Calibri" w:hAnsi="Calibri"/>
                <w:color w:val="000000"/>
                <w:sz w:val="16"/>
                <w:szCs w:val="16"/>
              </w:rPr>
            </w:pPr>
            <w:r w:rsidRPr="00A073E6">
              <w:rPr>
                <w:rFonts w:ascii="Calibri" w:hAnsi="Calibri"/>
                <w:color w:val="000000"/>
                <w:sz w:val="16"/>
                <w:szCs w:val="16"/>
              </w:rPr>
              <w:t>1.3%</w:t>
            </w:r>
          </w:p>
        </w:tc>
        <w:tc>
          <w:tcPr>
            <w:tcW w:w="256" w:type="pct"/>
            <w:tcBorders>
              <w:top w:val="nil"/>
              <w:left w:val="nil"/>
              <w:bottom w:val="single" w:sz="4" w:space="0" w:color="auto"/>
              <w:right w:val="single" w:sz="4" w:space="0" w:color="auto"/>
            </w:tcBorders>
            <w:shd w:val="clear" w:color="000000" w:fill="FFFF99"/>
            <w:noWrap/>
            <w:vAlign w:val="center"/>
            <w:hideMark/>
          </w:tcPr>
          <w:p w:rsidR="00A073E6" w:rsidRPr="00A073E6" w:rsidRDefault="00A073E6" w:rsidP="00A073E6">
            <w:pPr>
              <w:jc w:val="center"/>
              <w:rPr>
                <w:rFonts w:ascii="Calibri" w:hAnsi="Calibri"/>
                <w:color w:val="000000"/>
                <w:sz w:val="16"/>
                <w:szCs w:val="16"/>
              </w:rPr>
            </w:pPr>
            <w:r w:rsidRPr="00A073E6">
              <w:rPr>
                <w:rFonts w:ascii="Calibri" w:hAnsi="Calibri"/>
                <w:color w:val="000000"/>
                <w:sz w:val="16"/>
                <w:szCs w:val="16"/>
              </w:rPr>
              <w:t>1,637</w:t>
            </w:r>
          </w:p>
        </w:tc>
        <w:tc>
          <w:tcPr>
            <w:tcW w:w="257" w:type="pct"/>
            <w:tcBorders>
              <w:top w:val="nil"/>
              <w:left w:val="nil"/>
              <w:bottom w:val="single" w:sz="4" w:space="0" w:color="auto"/>
              <w:right w:val="single" w:sz="4" w:space="0" w:color="auto"/>
            </w:tcBorders>
            <w:shd w:val="clear" w:color="000000" w:fill="FFFF99"/>
            <w:noWrap/>
            <w:vAlign w:val="center"/>
            <w:hideMark/>
          </w:tcPr>
          <w:p w:rsidR="00A073E6" w:rsidRPr="00A073E6" w:rsidRDefault="00A073E6" w:rsidP="00A073E6">
            <w:pPr>
              <w:jc w:val="center"/>
              <w:rPr>
                <w:rFonts w:ascii="Calibri" w:hAnsi="Calibri"/>
                <w:color w:val="000000"/>
                <w:sz w:val="16"/>
                <w:szCs w:val="16"/>
              </w:rPr>
            </w:pPr>
            <w:r w:rsidRPr="00A073E6">
              <w:rPr>
                <w:rFonts w:ascii="Calibri" w:hAnsi="Calibri"/>
                <w:color w:val="000000"/>
                <w:sz w:val="16"/>
                <w:szCs w:val="16"/>
              </w:rPr>
              <w:t>2.0%</w:t>
            </w:r>
          </w:p>
        </w:tc>
        <w:tc>
          <w:tcPr>
            <w:tcW w:w="256" w:type="pct"/>
            <w:tcBorders>
              <w:top w:val="nil"/>
              <w:left w:val="nil"/>
              <w:bottom w:val="single" w:sz="4" w:space="0" w:color="auto"/>
              <w:right w:val="single" w:sz="4" w:space="0" w:color="auto"/>
            </w:tcBorders>
            <w:shd w:val="clear" w:color="000000" w:fill="420000"/>
            <w:noWrap/>
            <w:vAlign w:val="center"/>
            <w:hideMark/>
          </w:tcPr>
          <w:p w:rsidR="00A073E6" w:rsidRPr="00A073E6" w:rsidRDefault="00A073E6" w:rsidP="00A073E6">
            <w:pPr>
              <w:jc w:val="center"/>
              <w:rPr>
                <w:rFonts w:ascii="Calibri" w:hAnsi="Calibri"/>
                <w:color w:val="FFFFFF"/>
                <w:sz w:val="16"/>
                <w:szCs w:val="16"/>
              </w:rPr>
            </w:pPr>
            <w:r w:rsidRPr="00A073E6">
              <w:rPr>
                <w:rFonts w:ascii="Calibri" w:hAnsi="Calibri"/>
                <w:color w:val="FFFFFF"/>
                <w:sz w:val="16"/>
                <w:szCs w:val="16"/>
              </w:rPr>
              <w:t>2,944</w:t>
            </w:r>
          </w:p>
        </w:tc>
        <w:tc>
          <w:tcPr>
            <w:tcW w:w="257" w:type="pct"/>
            <w:tcBorders>
              <w:top w:val="nil"/>
              <w:left w:val="nil"/>
              <w:bottom w:val="single" w:sz="4" w:space="0" w:color="auto"/>
              <w:right w:val="single" w:sz="4" w:space="0" w:color="auto"/>
            </w:tcBorders>
            <w:shd w:val="clear" w:color="000000" w:fill="420000"/>
            <w:noWrap/>
            <w:vAlign w:val="center"/>
            <w:hideMark/>
          </w:tcPr>
          <w:p w:rsidR="00A073E6" w:rsidRPr="00A073E6" w:rsidRDefault="00A073E6" w:rsidP="00A073E6">
            <w:pPr>
              <w:jc w:val="center"/>
              <w:rPr>
                <w:rFonts w:ascii="Calibri" w:hAnsi="Calibri"/>
                <w:color w:val="FFFFFF"/>
                <w:sz w:val="16"/>
                <w:szCs w:val="16"/>
              </w:rPr>
            </w:pPr>
            <w:r w:rsidRPr="00A073E6">
              <w:rPr>
                <w:rFonts w:ascii="Calibri" w:hAnsi="Calibri"/>
                <w:color w:val="FFFFFF"/>
                <w:sz w:val="16"/>
                <w:szCs w:val="16"/>
              </w:rPr>
              <w:t>3.1%</w:t>
            </w:r>
          </w:p>
        </w:tc>
        <w:tc>
          <w:tcPr>
            <w:tcW w:w="299" w:type="pct"/>
            <w:tcBorders>
              <w:top w:val="nil"/>
              <w:left w:val="nil"/>
              <w:bottom w:val="single" w:sz="4" w:space="0" w:color="auto"/>
              <w:right w:val="single" w:sz="4" w:space="0" w:color="auto"/>
            </w:tcBorders>
            <w:shd w:val="clear" w:color="000000" w:fill="EBF1DE"/>
            <w:noWrap/>
            <w:vAlign w:val="center"/>
            <w:hideMark/>
          </w:tcPr>
          <w:p w:rsidR="00A073E6" w:rsidRPr="00A073E6" w:rsidRDefault="00A073E6" w:rsidP="00A073E6">
            <w:pPr>
              <w:jc w:val="center"/>
              <w:rPr>
                <w:rFonts w:ascii="Calibri" w:hAnsi="Calibri"/>
                <w:color w:val="000000"/>
                <w:sz w:val="16"/>
                <w:szCs w:val="16"/>
              </w:rPr>
            </w:pPr>
            <w:r w:rsidRPr="00A073E6">
              <w:rPr>
                <w:rFonts w:ascii="Calibri" w:hAnsi="Calibri"/>
                <w:color w:val="000000"/>
                <w:sz w:val="16"/>
                <w:szCs w:val="16"/>
              </w:rPr>
              <w:t>3,464</w:t>
            </w:r>
          </w:p>
        </w:tc>
        <w:tc>
          <w:tcPr>
            <w:tcW w:w="257" w:type="pct"/>
            <w:tcBorders>
              <w:top w:val="nil"/>
              <w:left w:val="nil"/>
              <w:bottom w:val="single" w:sz="4" w:space="0" w:color="auto"/>
              <w:right w:val="single" w:sz="4" w:space="0" w:color="auto"/>
            </w:tcBorders>
            <w:shd w:val="clear" w:color="000000" w:fill="EBF1DE"/>
            <w:noWrap/>
            <w:vAlign w:val="center"/>
            <w:hideMark/>
          </w:tcPr>
          <w:p w:rsidR="00A073E6" w:rsidRPr="00A073E6" w:rsidRDefault="00A073E6" w:rsidP="00A073E6">
            <w:pPr>
              <w:jc w:val="center"/>
              <w:rPr>
                <w:rFonts w:ascii="Calibri" w:hAnsi="Calibri"/>
                <w:color w:val="000000"/>
                <w:sz w:val="16"/>
                <w:szCs w:val="16"/>
              </w:rPr>
            </w:pPr>
            <w:r w:rsidRPr="00A073E6">
              <w:rPr>
                <w:rFonts w:ascii="Calibri" w:hAnsi="Calibri"/>
                <w:color w:val="000000"/>
                <w:sz w:val="16"/>
                <w:szCs w:val="16"/>
              </w:rPr>
              <w:t>2.0%</w:t>
            </w:r>
          </w:p>
        </w:tc>
        <w:tc>
          <w:tcPr>
            <w:tcW w:w="264" w:type="pct"/>
            <w:tcBorders>
              <w:top w:val="nil"/>
              <w:left w:val="nil"/>
              <w:bottom w:val="single" w:sz="4" w:space="0" w:color="auto"/>
              <w:right w:val="single" w:sz="4" w:space="0" w:color="auto"/>
            </w:tcBorders>
            <w:shd w:val="clear" w:color="000000" w:fill="EBF1DE"/>
            <w:noWrap/>
            <w:vAlign w:val="center"/>
            <w:hideMark/>
          </w:tcPr>
          <w:p w:rsidR="00A073E6" w:rsidRPr="00A073E6" w:rsidRDefault="00A073E6" w:rsidP="00A073E6">
            <w:pPr>
              <w:jc w:val="center"/>
              <w:rPr>
                <w:rFonts w:ascii="Calibri" w:hAnsi="Calibri"/>
                <w:color w:val="000000"/>
                <w:sz w:val="16"/>
                <w:szCs w:val="16"/>
              </w:rPr>
            </w:pPr>
            <w:r w:rsidRPr="00A073E6">
              <w:rPr>
                <w:rFonts w:ascii="Calibri" w:hAnsi="Calibri"/>
                <w:color w:val="000000"/>
                <w:sz w:val="16"/>
                <w:szCs w:val="16"/>
              </w:rPr>
              <w:t>2,444</w:t>
            </w:r>
          </w:p>
        </w:tc>
        <w:tc>
          <w:tcPr>
            <w:tcW w:w="291" w:type="pct"/>
            <w:tcBorders>
              <w:top w:val="nil"/>
              <w:left w:val="nil"/>
              <w:bottom w:val="single" w:sz="4" w:space="0" w:color="auto"/>
              <w:right w:val="single" w:sz="4" w:space="0" w:color="auto"/>
            </w:tcBorders>
            <w:shd w:val="clear" w:color="000000" w:fill="EBF1DE"/>
            <w:noWrap/>
            <w:vAlign w:val="center"/>
            <w:hideMark/>
          </w:tcPr>
          <w:p w:rsidR="00A073E6" w:rsidRPr="00A073E6" w:rsidRDefault="00A073E6" w:rsidP="00A073E6">
            <w:pPr>
              <w:jc w:val="center"/>
              <w:rPr>
                <w:rFonts w:ascii="Calibri" w:hAnsi="Calibri"/>
                <w:color w:val="000000"/>
                <w:sz w:val="16"/>
                <w:szCs w:val="16"/>
              </w:rPr>
            </w:pPr>
            <w:r w:rsidRPr="00A073E6">
              <w:rPr>
                <w:rFonts w:ascii="Calibri" w:hAnsi="Calibri"/>
                <w:color w:val="000000"/>
                <w:sz w:val="16"/>
                <w:szCs w:val="16"/>
              </w:rPr>
              <w:t>1.6%</w:t>
            </w:r>
          </w:p>
        </w:tc>
        <w:tc>
          <w:tcPr>
            <w:tcW w:w="257" w:type="pct"/>
            <w:tcBorders>
              <w:top w:val="nil"/>
              <w:left w:val="nil"/>
              <w:bottom w:val="single" w:sz="4" w:space="0" w:color="auto"/>
              <w:right w:val="single" w:sz="4" w:space="0" w:color="auto"/>
            </w:tcBorders>
            <w:shd w:val="clear" w:color="auto" w:fill="auto"/>
            <w:noWrap/>
            <w:vAlign w:val="center"/>
            <w:hideMark/>
          </w:tcPr>
          <w:p w:rsidR="00A073E6" w:rsidRPr="00A073E6" w:rsidRDefault="00A073E6" w:rsidP="00A073E6">
            <w:pPr>
              <w:jc w:val="center"/>
              <w:rPr>
                <w:rFonts w:ascii="Calibri" w:hAnsi="Calibri"/>
                <w:color w:val="000000"/>
                <w:sz w:val="16"/>
                <w:szCs w:val="16"/>
              </w:rPr>
            </w:pPr>
            <w:r w:rsidRPr="00A073E6">
              <w:rPr>
                <w:rFonts w:ascii="Calibri" w:hAnsi="Calibri"/>
                <w:color w:val="000000"/>
                <w:sz w:val="16"/>
                <w:szCs w:val="16"/>
              </w:rPr>
              <w:t>1,256,237</w:t>
            </w:r>
          </w:p>
        </w:tc>
        <w:tc>
          <w:tcPr>
            <w:tcW w:w="299" w:type="pct"/>
            <w:tcBorders>
              <w:top w:val="nil"/>
              <w:left w:val="nil"/>
              <w:bottom w:val="single" w:sz="4" w:space="0" w:color="auto"/>
              <w:right w:val="single" w:sz="4" w:space="0" w:color="auto"/>
            </w:tcBorders>
            <w:shd w:val="clear" w:color="auto" w:fill="auto"/>
            <w:noWrap/>
            <w:vAlign w:val="center"/>
            <w:hideMark/>
          </w:tcPr>
          <w:p w:rsidR="00A073E6" w:rsidRPr="00A073E6" w:rsidRDefault="00A073E6" w:rsidP="00A073E6">
            <w:pPr>
              <w:jc w:val="center"/>
              <w:rPr>
                <w:rFonts w:ascii="Calibri" w:hAnsi="Calibri"/>
                <w:color w:val="000000"/>
                <w:sz w:val="16"/>
                <w:szCs w:val="16"/>
              </w:rPr>
            </w:pPr>
            <w:r w:rsidRPr="00A073E6">
              <w:rPr>
                <w:rFonts w:ascii="Calibri" w:hAnsi="Calibri"/>
                <w:color w:val="000000"/>
                <w:sz w:val="16"/>
                <w:szCs w:val="16"/>
              </w:rPr>
              <w:t>2.4%</w:t>
            </w:r>
          </w:p>
        </w:tc>
      </w:tr>
    </w:tbl>
    <w:p w:rsidR="00CE6AE2" w:rsidRDefault="00CE6AE2" w:rsidP="00804B57">
      <w:pPr>
        <w:rPr>
          <w:b/>
        </w:rPr>
      </w:pPr>
    </w:p>
    <w:p w:rsidR="00F97E28" w:rsidRDefault="00F97E28" w:rsidP="00804B57">
      <w:pPr>
        <w:rPr>
          <w:b/>
        </w:rPr>
      </w:pPr>
    </w:p>
    <w:tbl>
      <w:tblPr>
        <w:tblW w:w="1707" w:type="pct"/>
        <w:tblLook w:val="04A0" w:firstRow="1" w:lastRow="0" w:firstColumn="1" w:lastColumn="0" w:noHBand="0" w:noVBand="1"/>
      </w:tblPr>
      <w:tblGrid>
        <w:gridCol w:w="3396"/>
        <w:gridCol w:w="1857"/>
      </w:tblGrid>
      <w:tr w:rsidR="00E63BB6" w:rsidRPr="00A43BF3" w:rsidTr="00B675EC">
        <w:trPr>
          <w:trHeight w:val="300"/>
        </w:trPr>
        <w:tc>
          <w:tcPr>
            <w:tcW w:w="500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3BB6" w:rsidRPr="00A43BF3" w:rsidRDefault="00E63BB6" w:rsidP="00166E43">
            <w:pPr>
              <w:spacing w:after="0" w:line="240" w:lineRule="auto"/>
              <w:jc w:val="center"/>
              <w:rPr>
                <w:rFonts w:ascii="Calibri" w:eastAsia="Times New Roman" w:hAnsi="Calibri" w:cs="Times New Roman"/>
                <w:b/>
                <w:bCs/>
                <w:color w:val="000000"/>
                <w:sz w:val="16"/>
                <w:szCs w:val="16"/>
                <w:lang w:eastAsia="en-GB"/>
              </w:rPr>
            </w:pPr>
            <w:r w:rsidRPr="00A43BF3">
              <w:rPr>
                <w:rFonts w:ascii="Calibri" w:eastAsia="Times New Roman" w:hAnsi="Calibri" w:cs="Times New Roman"/>
                <w:b/>
                <w:bCs/>
                <w:color w:val="000000"/>
                <w:sz w:val="16"/>
                <w:szCs w:val="16"/>
                <w:lang w:eastAsia="en-GB"/>
              </w:rPr>
              <w:lastRenderedPageBreak/>
              <w:t>Key</w:t>
            </w:r>
          </w:p>
        </w:tc>
      </w:tr>
      <w:tr w:rsidR="00E63BB6" w:rsidRPr="00A43BF3" w:rsidTr="00B675EC">
        <w:trPr>
          <w:trHeight w:val="300"/>
        </w:trPr>
        <w:tc>
          <w:tcPr>
            <w:tcW w:w="3232" w:type="pct"/>
            <w:tcBorders>
              <w:top w:val="nil"/>
              <w:left w:val="single" w:sz="4" w:space="0" w:color="auto"/>
              <w:bottom w:val="single" w:sz="4" w:space="0" w:color="auto"/>
              <w:right w:val="single" w:sz="4" w:space="0" w:color="auto"/>
            </w:tcBorders>
            <w:shd w:val="clear" w:color="000000" w:fill="EBF1DE"/>
            <w:noWrap/>
            <w:vAlign w:val="center"/>
            <w:hideMark/>
          </w:tcPr>
          <w:p w:rsidR="00E63BB6" w:rsidRPr="00A43BF3" w:rsidRDefault="00E63BB6" w:rsidP="00166E43">
            <w:pPr>
              <w:spacing w:after="0" w:line="240" w:lineRule="auto"/>
              <w:jc w:val="center"/>
              <w:rPr>
                <w:rFonts w:ascii="Calibri" w:eastAsia="Times New Roman" w:hAnsi="Calibri" w:cs="Times New Roman"/>
                <w:color w:val="000000"/>
                <w:sz w:val="16"/>
                <w:szCs w:val="16"/>
                <w:lang w:eastAsia="en-GB"/>
              </w:rPr>
            </w:pPr>
            <w:r w:rsidRPr="00A43BF3">
              <w:rPr>
                <w:rFonts w:ascii="Calibri" w:eastAsia="Times New Roman" w:hAnsi="Calibri" w:cs="Times New Roman"/>
                <w:color w:val="000000"/>
                <w:sz w:val="16"/>
                <w:szCs w:val="16"/>
                <w:lang w:eastAsia="en-GB"/>
              </w:rPr>
              <w:t>Statistically significantly better than benchmark</w:t>
            </w:r>
          </w:p>
        </w:tc>
        <w:tc>
          <w:tcPr>
            <w:tcW w:w="1768" w:type="pct"/>
            <w:tcBorders>
              <w:top w:val="nil"/>
              <w:left w:val="nil"/>
              <w:bottom w:val="single" w:sz="4" w:space="0" w:color="auto"/>
              <w:right w:val="single" w:sz="4" w:space="0" w:color="auto"/>
            </w:tcBorders>
            <w:shd w:val="clear" w:color="000000" w:fill="FDE9D9"/>
            <w:noWrap/>
            <w:vAlign w:val="center"/>
            <w:hideMark/>
          </w:tcPr>
          <w:p w:rsidR="00E63BB6" w:rsidRPr="00A43BF3" w:rsidRDefault="00E63BB6" w:rsidP="00166E43">
            <w:pPr>
              <w:spacing w:after="0" w:line="240" w:lineRule="auto"/>
              <w:jc w:val="center"/>
              <w:rPr>
                <w:rFonts w:ascii="Calibri" w:eastAsia="Times New Roman" w:hAnsi="Calibri" w:cs="Times New Roman"/>
                <w:sz w:val="16"/>
                <w:szCs w:val="16"/>
                <w:lang w:eastAsia="en-GB"/>
              </w:rPr>
            </w:pPr>
            <w:r w:rsidRPr="00A43BF3">
              <w:rPr>
                <w:rFonts w:ascii="Calibri" w:eastAsia="Times New Roman" w:hAnsi="Calibri" w:cs="Times New Roman"/>
                <w:sz w:val="16"/>
                <w:szCs w:val="16"/>
                <w:lang w:eastAsia="en-GB"/>
              </w:rPr>
              <w:t>In best quintile</w:t>
            </w:r>
          </w:p>
        </w:tc>
      </w:tr>
      <w:tr w:rsidR="00E63BB6" w:rsidRPr="00A43BF3" w:rsidTr="00B675EC">
        <w:trPr>
          <w:trHeight w:val="300"/>
        </w:trPr>
        <w:tc>
          <w:tcPr>
            <w:tcW w:w="3232" w:type="pct"/>
            <w:tcBorders>
              <w:top w:val="nil"/>
              <w:left w:val="single" w:sz="4" w:space="0" w:color="auto"/>
              <w:bottom w:val="single" w:sz="4" w:space="0" w:color="auto"/>
              <w:right w:val="single" w:sz="4" w:space="0" w:color="auto"/>
            </w:tcBorders>
            <w:shd w:val="clear" w:color="000000" w:fill="FFFF99"/>
            <w:noWrap/>
            <w:vAlign w:val="center"/>
            <w:hideMark/>
          </w:tcPr>
          <w:p w:rsidR="00E63BB6" w:rsidRPr="00A43BF3" w:rsidRDefault="00E63BB6" w:rsidP="00166E43">
            <w:pPr>
              <w:spacing w:after="0" w:line="240" w:lineRule="auto"/>
              <w:jc w:val="center"/>
              <w:rPr>
                <w:rFonts w:ascii="Calibri" w:eastAsia="Times New Roman" w:hAnsi="Calibri" w:cs="Times New Roman"/>
                <w:color w:val="000000"/>
                <w:sz w:val="16"/>
                <w:szCs w:val="16"/>
                <w:lang w:eastAsia="en-GB"/>
              </w:rPr>
            </w:pPr>
            <w:r w:rsidRPr="00A43BF3">
              <w:rPr>
                <w:rFonts w:ascii="Calibri" w:eastAsia="Times New Roman" w:hAnsi="Calibri" w:cs="Times New Roman"/>
                <w:color w:val="000000"/>
                <w:sz w:val="16"/>
                <w:szCs w:val="16"/>
                <w:lang w:eastAsia="en-GB"/>
              </w:rPr>
              <w:t>Statistically similar to benchmark</w:t>
            </w:r>
          </w:p>
        </w:tc>
        <w:tc>
          <w:tcPr>
            <w:tcW w:w="1768" w:type="pct"/>
            <w:tcBorders>
              <w:top w:val="nil"/>
              <w:left w:val="nil"/>
              <w:bottom w:val="single" w:sz="4" w:space="0" w:color="auto"/>
              <w:right w:val="single" w:sz="4" w:space="0" w:color="auto"/>
            </w:tcBorders>
            <w:shd w:val="clear" w:color="000000" w:fill="FCD5B4"/>
            <w:noWrap/>
            <w:vAlign w:val="center"/>
            <w:hideMark/>
          </w:tcPr>
          <w:p w:rsidR="00E63BB6" w:rsidRPr="00A43BF3" w:rsidRDefault="00E63BB6" w:rsidP="00166E43">
            <w:pPr>
              <w:spacing w:after="0" w:line="240" w:lineRule="auto"/>
              <w:jc w:val="center"/>
              <w:rPr>
                <w:rFonts w:ascii="Calibri" w:eastAsia="Times New Roman" w:hAnsi="Calibri" w:cs="Times New Roman"/>
                <w:color w:val="000000"/>
                <w:sz w:val="16"/>
                <w:szCs w:val="16"/>
                <w:lang w:eastAsia="en-GB"/>
              </w:rPr>
            </w:pPr>
            <w:r w:rsidRPr="00A43BF3">
              <w:rPr>
                <w:rFonts w:ascii="Calibri" w:eastAsia="Times New Roman" w:hAnsi="Calibri" w:cs="Times New Roman"/>
                <w:color w:val="000000"/>
                <w:sz w:val="16"/>
                <w:szCs w:val="16"/>
                <w:lang w:eastAsia="en-GB"/>
              </w:rPr>
              <w:t>In second best quintile</w:t>
            </w:r>
          </w:p>
        </w:tc>
      </w:tr>
      <w:tr w:rsidR="00E63BB6" w:rsidRPr="00A43BF3" w:rsidTr="00B675EC">
        <w:trPr>
          <w:trHeight w:val="300"/>
        </w:trPr>
        <w:tc>
          <w:tcPr>
            <w:tcW w:w="3232" w:type="pct"/>
            <w:tcBorders>
              <w:top w:val="nil"/>
              <w:left w:val="single" w:sz="4" w:space="0" w:color="auto"/>
              <w:bottom w:val="single" w:sz="4" w:space="0" w:color="auto"/>
              <w:right w:val="single" w:sz="4" w:space="0" w:color="auto"/>
            </w:tcBorders>
            <w:shd w:val="clear" w:color="000000" w:fill="420000"/>
            <w:noWrap/>
            <w:vAlign w:val="center"/>
            <w:hideMark/>
          </w:tcPr>
          <w:p w:rsidR="00E63BB6" w:rsidRPr="00A43BF3" w:rsidRDefault="00E63BB6" w:rsidP="00166E43">
            <w:pPr>
              <w:spacing w:after="0" w:line="240" w:lineRule="auto"/>
              <w:jc w:val="center"/>
              <w:rPr>
                <w:rFonts w:ascii="Calibri" w:eastAsia="Times New Roman" w:hAnsi="Calibri" w:cs="Times New Roman"/>
                <w:color w:val="FFFFFF"/>
                <w:sz w:val="16"/>
                <w:szCs w:val="16"/>
                <w:lang w:eastAsia="en-GB"/>
              </w:rPr>
            </w:pPr>
            <w:r w:rsidRPr="00A43BF3">
              <w:rPr>
                <w:rFonts w:ascii="Calibri" w:eastAsia="Times New Roman" w:hAnsi="Calibri" w:cs="Times New Roman"/>
                <w:color w:val="FFFFFF"/>
                <w:sz w:val="16"/>
                <w:szCs w:val="16"/>
                <w:lang w:eastAsia="en-GB"/>
              </w:rPr>
              <w:t>Statistically significantly lower than benchmark</w:t>
            </w:r>
          </w:p>
        </w:tc>
        <w:tc>
          <w:tcPr>
            <w:tcW w:w="1768" w:type="pct"/>
            <w:tcBorders>
              <w:top w:val="nil"/>
              <w:left w:val="nil"/>
              <w:bottom w:val="single" w:sz="4" w:space="0" w:color="auto"/>
              <w:right w:val="single" w:sz="4" w:space="0" w:color="auto"/>
            </w:tcBorders>
            <w:shd w:val="clear" w:color="000000" w:fill="FABF8F"/>
            <w:noWrap/>
            <w:vAlign w:val="center"/>
            <w:hideMark/>
          </w:tcPr>
          <w:p w:rsidR="00E63BB6" w:rsidRPr="00A43BF3" w:rsidRDefault="00E63BB6" w:rsidP="00166E43">
            <w:pPr>
              <w:spacing w:after="0" w:line="240" w:lineRule="auto"/>
              <w:jc w:val="center"/>
              <w:rPr>
                <w:rFonts w:ascii="Calibri" w:eastAsia="Times New Roman" w:hAnsi="Calibri" w:cs="Times New Roman"/>
                <w:color w:val="000000"/>
                <w:sz w:val="16"/>
                <w:szCs w:val="16"/>
                <w:lang w:eastAsia="en-GB"/>
              </w:rPr>
            </w:pPr>
            <w:r w:rsidRPr="00A43BF3">
              <w:rPr>
                <w:rFonts w:ascii="Calibri" w:eastAsia="Times New Roman" w:hAnsi="Calibri" w:cs="Times New Roman"/>
                <w:color w:val="000000"/>
                <w:sz w:val="16"/>
                <w:szCs w:val="16"/>
                <w:lang w:eastAsia="en-GB"/>
              </w:rPr>
              <w:t>In third quintile</w:t>
            </w:r>
          </w:p>
        </w:tc>
      </w:tr>
      <w:tr w:rsidR="00E63BB6" w:rsidRPr="00A43BF3" w:rsidTr="00B675EC">
        <w:trPr>
          <w:trHeight w:val="300"/>
        </w:trPr>
        <w:tc>
          <w:tcPr>
            <w:tcW w:w="3232" w:type="pct"/>
            <w:tcBorders>
              <w:top w:val="nil"/>
              <w:left w:val="single" w:sz="4" w:space="0" w:color="auto"/>
              <w:bottom w:val="single" w:sz="4" w:space="0" w:color="auto"/>
              <w:right w:val="single" w:sz="4" w:space="0" w:color="auto"/>
            </w:tcBorders>
            <w:shd w:val="clear" w:color="000000" w:fill="DCE6F1"/>
            <w:noWrap/>
            <w:vAlign w:val="center"/>
            <w:hideMark/>
          </w:tcPr>
          <w:p w:rsidR="00E63BB6" w:rsidRPr="00A43BF3" w:rsidRDefault="00E63BB6" w:rsidP="00166E43">
            <w:pPr>
              <w:spacing w:after="0" w:line="240" w:lineRule="auto"/>
              <w:jc w:val="center"/>
              <w:rPr>
                <w:rFonts w:ascii="Calibri" w:eastAsia="Times New Roman" w:hAnsi="Calibri" w:cs="Times New Roman"/>
                <w:color w:val="000000"/>
                <w:sz w:val="16"/>
                <w:szCs w:val="16"/>
                <w:lang w:eastAsia="en-GB"/>
              </w:rPr>
            </w:pPr>
            <w:r w:rsidRPr="00A43BF3">
              <w:rPr>
                <w:rFonts w:ascii="Calibri" w:eastAsia="Times New Roman" w:hAnsi="Calibri" w:cs="Times New Roman"/>
                <w:color w:val="000000"/>
                <w:sz w:val="16"/>
                <w:szCs w:val="16"/>
                <w:lang w:eastAsia="en-GB"/>
              </w:rPr>
              <w:t>Statistically significantly higher than benchmark</w:t>
            </w:r>
          </w:p>
        </w:tc>
        <w:tc>
          <w:tcPr>
            <w:tcW w:w="1768" w:type="pct"/>
            <w:tcBorders>
              <w:top w:val="nil"/>
              <w:left w:val="nil"/>
              <w:bottom w:val="single" w:sz="4" w:space="0" w:color="auto"/>
              <w:right w:val="single" w:sz="4" w:space="0" w:color="auto"/>
            </w:tcBorders>
            <w:shd w:val="clear" w:color="000000" w:fill="E26B0A"/>
            <w:noWrap/>
            <w:vAlign w:val="center"/>
            <w:hideMark/>
          </w:tcPr>
          <w:p w:rsidR="00E63BB6" w:rsidRPr="00A43BF3" w:rsidRDefault="00E63BB6" w:rsidP="00166E43">
            <w:pPr>
              <w:spacing w:after="0" w:line="240" w:lineRule="auto"/>
              <w:jc w:val="center"/>
              <w:rPr>
                <w:rFonts w:ascii="Calibri" w:eastAsia="Times New Roman" w:hAnsi="Calibri" w:cs="Times New Roman"/>
                <w:color w:val="FFFFFF"/>
                <w:sz w:val="16"/>
                <w:szCs w:val="16"/>
                <w:lang w:eastAsia="en-GB"/>
              </w:rPr>
            </w:pPr>
            <w:r w:rsidRPr="00A43BF3">
              <w:rPr>
                <w:rFonts w:ascii="Calibri" w:eastAsia="Times New Roman" w:hAnsi="Calibri" w:cs="Times New Roman"/>
                <w:color w:val="FFFFFF"/>
                <w:sz w:val="16"/>
                <w:szCs w:val="16"/>
                <w:lang w:eastAsia="en-GB"/>
              </w:rPr>
              <w:t>In second worst quintile</w:t>
            </w:r>
          </w:p>
        </w:tc>
      </w:tr>
      <w:tr w:rsidR="00E63BB6" w:rsidRPr="00A43BF3" w:rsidTr="00B675EC">
        <w:trPr>
          <w:trHeight w:val="300"/>
        </w:trPr>
        <w:tc>
          <w:tcPr>
            <w:tcW w:w="3232" w:type="pct"/>
            <w:tcBorders>
              <w:top w:val="nil"/>
              <w:left w:val="single" w:sz="4" w:space="0" w:color="auto"/>
              <w:bottom w:val="single" w:sz="4" w:space="0" w:color="auto"/>
              <w:right w:val="single" w:sz="4" w:space="0" w:color="auto"/>
            </w:tcBorders>
            <w:shd w:val="clear" w:color="000000" w:fill="0070C0"/>
            <w:noWrap/>
            <w:vAlign w:val="center"/>
            <w:hideMark/>
          </w:tcPr>
          <w:p w:rsidR="00E63BB6" w:rsidRPr="00A43BF3" w:rsidRDefault="00E63BB6" w:rsidP="00166E43">
            <w:pPr>
              <w:spacing w:after="0" w:line="240" w:lineRule="auto"/>
              <w:jc w:val="center"/>
              <w:rPr>
                <w:rFonts w:ascii="Calibri" w:eastAsia="Times New Roman" w:hAnsi="Calibri" w:cs="Times New Roman"/>
                <w:color w:val="FFFFFF"/>
                <w:sz w:val="16"/>
                <w:szCs w:val="16"/>
                <w:lang w:eastAsia="en-GB"/>
              </w:rPr>
            </w:pPr>
            <w:r w:rsidRPr="00A43BF3">
              <w:rPr>
                <w:rFonts w:ascii="Calibri" w:eastAsia="Times New Roman" w:hAnsi="Calibri" w:cs="Times New Roman"/>
                <w:color w:val="FFFFFF"/>
                <w:sz w:val="16"/>
                <w:szCs w:val="16"/>
                <w:lang w:eastAsia="en-GB"/>
              </w:rPr>
              <w:t>Statistically significantly lower than benchmark</w:t>
            </w:r>
          </w:p>
        </w:tc>
        <w:tc>
          <w:tcPr>
            <w:tcW w:w="1768" w:type="pct"/>
            <w:tcBorders>
              <w:top w:val="nil"/>
              <w:left w:val="nil"/>
              <w:bottom w:val="single" w:sz="4" w:space="0" w:color="auto"/>
              <w:right w:val="single" w:sz="4" w:space="0" w:color="auto"/>
            </w:tcBorders>
            <w:shd w:val="clear" w:color="000000" w:fill="974706"/>
            <w:noWrap/>
            <w:vAlign w:val="center"/>
            <w:hideMark/>
          </w:tcPr>
          <w:p w:rsidR="00E63BB6" w:rsidRPr="00A43BF3" w:rsidRDefault="00E63BB6" w:rsidP="00166E43">
            <w:pPr>
              <w:spacing w:after="0" w:line="240" w:lineRule="auto"/>
              <w:jc w:val="center"/>
              <w:rPr>
                <w:rFonts w:ascii="Calibri" w:eastAsia="Times New Roman" w:hAnsi="Calibri" w:cs="Times New Roman"/>
                <w:color w:val="FFFFFF"/>
                <w:sz w:val="16"/>
                <w:szCs w:val="16"/>
                <w:lang w:eastAsia="en-GB"/>
              </w:rPr>
            </w:pPr>
            <w:r w:rsidRPr="00A43BF3">
              <w:rPr>
                <w:rFonts w:ascii="Calibri" w:eastAsia="Times New Roman" w:hAnsi="Calibri" w:cs="Times New Roman"/>
                <w:color w:val="FFFFFF"/>
                <w:sz w:val="16"/>
                <w:szCs w:val="16"/>
                <w:lang w:eastAsia="en-GB"/>
              </w:rPr>
              <w:t>In worst quintile</w:t>
            </w:r>
          </w:p>
        </w:tc>
      </w:tr>
    </w:tbl>
    <w:p w:rsidR="00CE6AE2" w:rsidRDefault="00CE6AE2" w:rsidP="00804B57">
      <w:pPr>
        <w:rPr>
          <w:b/>
        </w:rPr>
      </w:pPr>
    </w:p>
    <w:p w:rsidR="00A073E6" w:rsidRDefault="00A073E6" w:rsidP="00A073E6">
      <w:r>
        <w:t>Of particular note within the table above is that Cambridge has statistically significantly high directly age-standardised rates of emergency hospital admissions due to falls in the 65+, 65-79 and 80+ age groups, whereas all other areas of Cambridgeshire and Peterborough are statistically significantly lower or statistically similar to the national average.</w:t>
      </w:r>
    </w:p>
    <w:p w:rsidR="00A073E6" w:rsidRDefault="00A073E6" w:rsidP="00A073E6">
      <w:r>
        <w:t>QOF prevalence of osteoporosis is statistically significantly lower than the national average of 0.6% in all areas of Cambridgeshire and Peterborough with the exception of East Cambridgeshire (1.0%) and South Cambridgeshire (0.9%), which are statistically significantly higher than the national average.</w:t>
      </w:r>
    </w:p>
    <w:p w:rsidR="00804B57" w:rsidRDefault="00B11D0F" w:rsidP="00A073E6">
      <w:r>
        <w:t>Unpaid carers data are</w:t>
      </w:r>
      <w:bookmarkStart w:id="7" w:name="_GoBack"/>
      <w:bookmarkEnd w:id="7"/>
      <w:r w:rsidR="00A073E6">
        <w:t xml:space="preserve"> available with comparison to a benchmark of England as part of data from the 2011 Census and shows a statistically significantly higher proportion of unpaid carers in Fenland (3.1%) compared to England (2.4%). All other areas are statistically significantly lower than England for this indicator with the exception of Peterborough and East Cambridgeshire, which are statistically similar.</w:t>
      </w:r>
    </w:p>
    <w:p w:rsidR="00C12A74" w:rsidRPr="00C12A74" w:rsidRDefault="00C12A74" w:rsidP="00A073E6">
      <w:pPr>
        <w:rPr>
          <w:b/>
        </w:rPr>
      </w:pPr>
      <w:r w:rsidRPr="00C12A74">
        <w:rPr>
          <w:b/>
        </w:rPr>
        <w:t>Report prepared by:</w:t>
      </w:r>
    </w:p>
    <w:p w:rsidR="00C12A74" w:rsidRPr="00C12A74" w:rsidRDefault="00C12A74" w:rsidP="00A073E6">
      <w:pPr>
        <w:rPr>
          <w:b/>
        </w:rPr>
      </w:pPr>
      <w:r w:rsidRPr="00C12A74">
        <w:rPr>
          <w:b/>
        </w:rPr>
        <w:t>Ryan O’Neill</w:t>
      </w:r>
    </w:p>
    <w:p w:rsidR="00C12A74" w:rsidRPr="00C12A74" w:rsidRDefault="00C12A74" w:rsidP="00A073E6">
      <w:pPr>
        <w:rPr>
          <w:b/>
        </w:rPr>
      </w:pPr>
      <w:r w:rsidRPr="00C12A74">
        <w:rPr>
          <w:b/>
        </w:rPr>
        <w:t>Advanced Public Health Analyst</w:t>
      </w:r>
    </w:p>
    <w:p w:rsidR="00C12A74" w:rsidRDefault="00C12A74" w:rsidP="00A073E6">
      <w:pPr>
        <w:rPr>
          <w:b/>
        </w:rPr>
      </w:pPr>
      <w:r w:rsidRPr="00C12A74">
        <w:rPr>
          <w:b/>
        </w:rPr>
        <w:t>Public Health Intelligence, Peterborough &amp; Cambridgeshire Public Health</w:t>
      </w:r>
    </w:p>
    <w:p w:rsidR="00C12A74" w:rsidRDefault="00C12A74" w:rsidP="00A073E6">
      <w:pPr>
        <w:rPr>
          <w:b/>
        </w:rPr>
      </w:pPr>
      <w:r>
        <w:rPr>
          <w:b/>
        </w:rPr>
        <w:t>ryan.o’neill@peterborough.gov.uk</w:t>
      </w:r>
    </w:p>
    <w:p w:rsidR="00C12A74" w:rsidRPr="00C12A74" w:rsidRDefault="00C12A74" w:rsidP="00A073E6">
      <w:pPr>
        <w:rPr>
          <w:b/>
        </w:rPr>
      </w:pPr>
    </w:p>
    <w:sectPr w:rsidR="00C12A74" w:rsidRPr="00C12A74" w:rsidSect="00166E43">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4939" w:rsidRDefault="00A94939" w:rsidP="00BF4D81">
      <w:pPr>
        <w:spacing w:after="0" w:line="240" w:lineRule="auto"/>
      </w:pPr>
      <w:r>
        <w:separator/>
      </w:r>
    </w:p>
  </w:endnote>
  <w:endnote w:type="continuationSeparator" w:id="0">
    <w:p w:rsidR="00A94939" w:rsidRDefault="00A94939" w:rsidP="00BF4D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3847963"/>
      <w:docPartObj>
        <w:docPartGallery w:val="Page Numbers (Bottom of Page)"/>
        <w:docPartUnique/>
      </w:docPartObj>
    </w:sdtPr>
    <w:sdtEndPr>
      <w:rPr>
        <w:noProof/>
      </w:rPr>
    </w:sdtEndPr>
    <w:sdtContent>
      <w:p w:rsidR="00166E43" w:rsidRDefault="00166E43">
        <w:pPr>
          <w:pStyle w:val="Footer"/>
          <w:jc w:val="right"/>
        </w:pPr>
        <w:r>
          <w:fldChar w:fldCharType="begin"/>
        </w:r>
        <w:r>
          <w:instrText xml:space="preserve"> PAGE   \* MERGEFORMAT </w:instrText>
        </w:r>
        <w:r>
          <w:fldChar w:fldCharType="separate"/>
        </w:r>
        <w:r w:rsidR="00B11D0F">
          <w:rPr>
            <w:noProof/>
          </w:rPr>
          <w:t>18</w:t>
        </w:r>
        <w:r>
          <w:rPr>
            <w:noProof/>
          </w:rPr>
          <w:fldChar w:fldCharType="end"/>
        </w:r>
      </w:p>
    </w:sdtContent>
  </w:sdt>
  <w:p w:rsidR="00166E43" w:rsidRDefault="00166E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4939" w:rsidRDefault="00A94939" w:rsidP="00BF4D81">
      <w:pPr>
        <w:spacing w:after="0" w:line="240" w:lineRule="auto"/>
      </w:pPr>
      <w:r>
        <w:separator/>
      </w:r>
    </w:p>
  </w:footnote>
  <w:footnote w:type="continuationSeparator" w:id="0">
    <w:p w:rsidR="00A94939" w:rsidRDefault="00A94939" w:rsidP="00BF4D81">
      <w:pPr>
        <w:spacing w:after="0" w:line="240" w:lineRule="auto"/>
      </w:pPr>
      <w:r>
        <w:continuationSeparator/>
      </w:r>
    </w:p>
  </w:footnote>
  <w:footnote w:id="1">
    <w:p w:rsidR="00166E43" w:rsidRDefault="00166E43">
      <w:pPr>
        <w:pStyle w:val="FootnoteText"/>
      </w:pPr>
      <w:r>
        <w:rPr>
          <w:rStyle w:val="FootnoteReference"/>
        </w:rPr>
        <w:footnoteRef/>
      </w:r>
      <w:r>
        <w:t xml:space="preserve"> </w:t>
      </w:r>
      <w:hyperlink r:id="rId1" w:anchor="page/6/gid/1938133253/pat/6/par/E12000006/ati/102/are/E06000031/iid/92725/age/27/sex/4" w:history="1">
        <w:r>
          <w:rPr>
            <w:rStyle w:val="Hyperlink"/>
          </w:rPr>
          <w:t>https://fingertips.phe.org.uk/profile/healthy-ageing/data#page/6/gid/1938133253/pat/6/par/E12000006/ati/102/are/E06000031/iid/92725/age/27/sex/4</w:t>
        </w:r>
      </w:hyperlink>
    </w:p>
  </w:footnote>
  <w:footnote w:id="2">
    <w:p w:rsidR="00166E43" w:rsidRDefault="00166E43">
      <w:pPr>
        <w:pStyle w:val="FootnoteText"/>
      </w:pPr>
      <w:r>
        <w:rPr>
          <w:rStyle w:val="FootnoteReference"/>
        </w:rPr>
        <w:footnoteRef/>
      </w:r>
      <w:r>
        <w:t xml:space="preserve"> </w:t>
      </w:r>
      <w:hyperlink r:id="rId2" w:history="1">
        <w:r>
          <w:rPr>
            <w:rStyle w:val="Hyperlink"/>
          </w:rPr>
          <w:t>https://www.who.int/gard/publications/Risk%20factors.pdf</w:t>
        </w:r>
      </w:hyperlink>
    </w:p>
  </w:footnote>
  <w:footnote w:id="3">
    <w:p w:rsidR="00166E43" w:rsidRDefault="00166E43">
      <w:pPr>
        <w:pStyle w:val="FootnoteText"/>
      </w:pPr>
      <w:r>
        <w:rPr>
          <w:rStyle w:val="FootnoteReference"/>
        </w:rPr>
        <w:footnoteRef/>
      </w:r>
      <w:r>
        <w:t xml:space="preserve"> </w:t>
      </w:r>
      <w:hyperlink r:id="rId3" w:anchor="page/6/gid/1/pat/6/par/E12000006/ati/101/are/E07000010/iid/11401/age/1/sex/4" w:history="1">
        <w:r>
          <w:rPr>
            <w:rStyle w:val="Hyperlink"/>
          </w:rPr>
          <w:t>https://fingertips.phe.org.uk/search/noise%20complaints#page/6/gid/1/pat/6/par/E12000006/ati/101/are/E07000010/iid/11401/age/1/sex/4</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3351F"/>
    <w:multiLevelType w:val="hybridMultilevel"/>
    <w:tmpl w:val="970042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513FB4"/>
    <w:multiLevelType w:val="hybridMultilevel"/>
    <w:tmpl w:val="8FC863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5932E9"/>
    <w:multiLevelType w:val="hybridMultilevel"/>
    <w:tmpl w:val="8FC863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F50F09"/>
    <w:multiLevelType w:val="hybridMultilevel"/>
    <w:tmpl w:val="EC9A5E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9FB0E62"/>
    <w:multiLevelType w:val="hybridMultilevel"/>
    <w:tmpl w:val="8FC863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A1320F7"/>
    <w:multiLevelType w:val="hybridMultilevel"/>
    <w:tmpl w:val="8FC863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CB360D3"/>
    <w:multiLevelType w:val="hybridMultilevel"/>
    <w:tmpl w:val="C6B489D2"/>
    <w:lvl w:ilvl="0" w:tplc="4768D2C0">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F1A435B"/>
    <w:multiLevelType w:val="hybridMultilevel"/>
    <w:tmpl w:val="8FC863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2"/>
  </w:num>
  <w:num w:numId="5">
    <w:abstractNumId w:val="4"/>
  </w:num>
  <w:num w:numId="6">
    <w:abstractNumId w:val="1"/>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C92"/>
    <w:rsid w:val="00051664"/>
    <w:rsid w:val="000A7BB1"/>
    <w:rsid w:val="000D2534"/>
    <w:rsid w:val="000E4892"/>
    <w:rsid w:val="00112475"/>
    <w:rsid w:val="00137505"/>
    <w:rsid w:val="00162F6C"/>
    <w:rsid w:val="00166840"/>
    <w:rsid w:val="00166E43"/>
    <w:rsid w:val="001F4511"/>
    <w:rsid w:val="002006C3"/>
    <w:rsid w:val="002116AC"/>
    <w:rsid w:val="00237F18"/>
    <w:rsid w:val="00264F59"/>
    <w:rsid w:val="0028266C"/>
    <w:rsid w:val="002E16E6"/>
    <w:rsid w:val="0034258C"/>
    <w:rsid w:val="00387E25"/>
    <w:rsid w:val="004D3DFA"/>
    <w:rsid w:val="004D6694"/>
    <w:rsid w:val="004F1D62"/>
    <w:rsid w:val="0051538E"/>
    <w:rsid w:val="005444DC"/>
    <w:rsid w:val="00544B02"/>
    <w:rsid w:val="00554AA2"/>
    <w:rsid w:val="0056150B"/>
    <w:rsid w:val="0057420F"/>
    <w:rsid w:val="00574C92"/>
    <w:rsid w:val="005A0C8A"/>
    <w:rsid w:val="005C1C63"/>
    <w:rsid w:val="005F5F10"/>
    <w:rsid w:val="006D592E"/>
    <w:rsid w:val="006E0ACB"/>
    <w:rsid w:val="00767C32"/>
    <w:rsid w:val="007B0EDE"/>
    <w:rsid w:val="007D3720"/>
    <w:rsid w:val="007D5BC1"/>
    <w:rsid w:val="00804B57"/>
    <w:rsid w:val="00834592"/>
    <w:rsid w:val="0085747D"/>
    <w:rsid w:val="00875BA8"/>
    <w:rsid w:val="008B508A"/>
    <w:rsid w:val="009029A3"/>
    <w:rsid w:val="00931989"/>
    <w:rsid w:val="00937E1F"/>
    <w:rsid w:val="0095184E"/>
    <w:rsid w:val="00A073E6"/>
    <w:rsid w:val="00A43BF3"/>
    <w:rsid w:val="00A63EE5"/>
    <w:rsid w:val="00A74381"/>
    <w:rsid w:val="00A82D39"/>
    <w:rsid w:val="00A94939"/>
    <w:rsid w:val="00AF467A"/>
    <w:rsid w:val="00AF6D19"/>
    <w:rsid w:val="00B11D0F"/>
    <w:rsid w:val="00B675EC"/>
    <w:rsid w:val="00BF4D81"/>
    <w:rsid w:val="00C01C15"/>
    <w:rsid w:val="00C12A74"/>
    <w:rsid w:val="00C23BB6"/>
    <w:rsid w:val="00C37A76"/>
    <w:rsid w:val="00C674A6"/>
    <w:rsid w:val="00CE6AE2"/>
    <w:rsid w:val="00CF3A59"/>
    <w:rsid w:val="00D3634A"/>
    <w:rsid w:val="00D83C7B"/>
    <w:rsid w:val="00D92405"/>
    <w:rsid w:val="00DC09EE"/>
    <w:rsid w:val="00DE07A3"/>
    <w:rsid w:val="00E14C74"/>
    <w:rsid w:val="00E42193"/>
    <w:rsid w:val="00E63BB6"/>
    <w:rsid w:val="00E7652B"/>
    <w:rsid w:val="00E94365"/>
    <w:rsid w:val="00EC4E7A"/>
    <w:rsid w:val="00F46023"/>
    <w:rsid w:val="00F66F96"/>
    <w:rsid w:val="00F968F4"/>
    <w:rsid w:val="00F97E28"/>
    <w:rsid w:val="00FB3A62"/>
    <w:rsid w:val="00FB79B6"/>
    <w:rsid w:val="00FF7E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65B159A0-73C7-44FE-A472-0BD5D2D97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87E2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5166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4D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4D81"/>
  </w:style>
  <w:style w:type="paragraph" w:styleId="Footer">
    <w:name w:val="footer"/>
    <w:basedOn w:val="Normal"/>
    <w:link w:val="FooterChar"/>
    <w:uiPriority w:val="99"/>
    <w:unhideWhenUsed/>
    <w:rsid w:val="00BF4D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4D81"/>
  </w:style>
  <w:style w:type="paragraph" w:styleId="FootnoteText">
    <w:name w:val="footnote text"/>
    <w:basedOn w:val="Normal"/>
    <w:link w:val="FootnoteTextChar"/>
    <w:uiPriority w:val="99"/>
    <w:semiHidden/>
    <w:unhideWhenUsed/>
    <w:rsid w:val="00E7652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7652B"/>
    <w:rPr>
      <w:sz w:val="20"/>
      <w:szCs w:val="20"/>
    </w:rPr>
  </w:style>
  <w:style w:type="character" w:styleId="FootnoteReference">
    <w:name w:val="footnote reference"/>
    <w:basedOn w:val="DefaultParagraphFont"/>
    <w:uiPriority w:val="99"/>
    <w:semiHidden/>
    <w:unhideWhenUsed/>
    <w:rsid w:val="00E7652B"/>
    <w:rPr>
      <w:vertAlign w:val="superscript"/>
    </w:rPr>
  </w:style>
  <w:style w:type="character" w:styleId="Hyperlink">
    <w:name w:val="Hyperlink"/>
    <w:basedOn w:val="DefaultParagraphFont"/>
    <w:uiPriority w:val="99"/>
    <w:unhideWhenUsed/>
    <w:rsid w:val="00E7652B"/>
    <w:rPr>
      <w:color w:val="0000FF"/>
      <w:u w:val="single"/>
    </w:rPr>
  </w:style>
  <w:style w:type="character" w:customStyle="1" w:styleId="Heading2Char">
    <w:name w:val="Heading 2 Char"/>
    <w:basedOn w:val="DefaultParagraphFont"/>
    <w:link w:val="Heading2"/>
    <w:uiPriority w:val="9"/>
    <w:rsid w:val="00051664"/>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A82D39"/>
    <w:pPr>
      <w:ind w:left="720"/>
      <w:contextualSpacing/>
    </w:pPr>
  </w:style>
  <w:style w:type="character" w:customStyle="1" w:styleId="Heading1Char">
    <w:name w:val="Heading 1 Char"/>
    <w:basedOn w:val="DefaultParagraphFont"/>
    <w:link w:val="Heading1"/>
    <w:uiPriority w:val="9"/>
    <w:rsid w:val="00387E25"/>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387E25"/>
    <w:pPr>
      <w:outlineLvl w:val="9"/>
    </w:pPr>
    <w:rPr>
      <w:lang w:val="en-US"/>
    </w:rPr>
  </w:style>
  <w:style w:type="paragraph" w:styleId="TOC2">
    <w:name w:val="toc 2"/>
    <w:basedOn w:val="Normal"/>
    <w:next w:val="Normal"/>
    <w:autoRedefine/>
    <w:uiPriority w:val="39"/>
    <w:unhideWhenUsed/>
    <w:rsid w:val="00387E25"/>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12715">
      <w:bodyDiv w:val="1"/>
      <w:marLeft w:val="0"/>
      <w:marRight w:val="0"/>
      <w:marTop w:val="0"/>
      <w:marBottom w:val="0"/>
      <w:divBdr>
        <w:top w:val="none" w:sz="0" w:space="0" w:color="auto"/>
        <w:left w:val="none" w:sz="0" w:space="0" w:color="auto"/>
        <w:bottom w:val="none" w:sz="0" w:space="0" w:color="auto"/>
        <w:right w:val="none" w:sz="0" w:space="0" w:color="auto"/>
      </w:divBdr>
    </w:div>
    <w:div w:id="514029943">
      <w:bodyDiv w:val="1"/>
      <w:marLeft w:val="0"/>
      <w:marRight w:val="0"/>
      <w:marTop w:val="0"/>
      <w:marBottom w:val="0"/>
      <w:divBdr>
        <w:top w:val="none" w:sz="0" w:space="0" w:color="auto"/>
        <w:left w:val="none" w:sz="0" w:space="0" w:color="auto"/>
        <w:bottom w:val="none" w:sz="0" w:space="0" w:color="auto"/>
        <w:right w:val="none" w:sz="0" w:space="0" w:color="auto"/>
      </w:divBdr>
    </w:div>
    <w:div w:id="608314572">
      <w:bodyDiv w:val="1"/>
      <w:marLeft w:val="0"/>
      <w:marRight w:val="0"/>
      <w:marTop w:val="0"/>
      <w:marBottom w:val="0"/>
      <w:divBdr>
        <w:top w:val="none" w:sz="0" w:space="0" w:color="auto"/>
        <w:left w:val="none" w:sz="0" w:space="0" w:color="auto"/>
        <w:bottom w:val="none" w:sz="0" w:space="0" w:color="auto"/>
        <w:right w:val="none" w:sz="0" w:space="0" w:color="auto"/>
      </w:divBdr>
    </w:div>
    <w:div w:id="771322524">
      <w:bodyDiv w:val="1"/>
      <w:marLeft w:val="0"/>
      <w:marRight w:val="0"/>
      <w:marTop w:val="0"/>
      <w:marBottom w:val="0"/>
      <w:divBdr>
        <w:top w:val="none" w:sz="0" w:space="0" w:color="auto"/>
        <w:left w:val="none" w:sz="0" w:space="0" w:color="auto"/>
        <w:bottom w:val="none" w:sz="0" w:space="0" w:color="auto"/>
        <w:right w:val="none" w:sz="0" w:space="0" w:color="auto"/>
      </w:divBdr>
    </w:div>
    <w:div w:id="960261823">
      <w:bodyDiv w:val="1"/>
      <w:marLeft w:val="0"/>
      <w:marRight w:val="0"/>
      <w:marTop w:val="0"/>
      <w:marBottom w:val="0"/>
      <w:divBdr>
        <w:top w:val="none" w:sz="0" w:space="0" w:color="auto"/>
        <w:left w:val="none" w:sz="0" w:space="0" w:color="auto"/>
        <w:bottom w:val="none" w:sz="0" w:space="0" w:color="auto"/>
        <w:right w:val="none" w:sz="0" w:space="0" w:color="auto"/>
      </w:divBdr>
    </w:div>
    <w:div w:id="960570472">
      <w:bodyDiv w:val="1"/>
      <w:marLeft w:val="0"/>
      <w:marRight w:val="0"/>
      <w:marTop w:val="0"/>
      <w:marBottom w:val="0"/>
      <w:divBdr>
        <w:top w:val="none" w:sz="0" w:space="0" w:color="auto"/>
        <w:left w:val="none" w:sz="0" w:space="0" w:color="auto"/>
        <w:bottom w:val="none" w:sz="0" w:space="0" w:color="auto"/>
        <w:right w:val="none" w:sz="0" w:space="0" w:color="auto"/>
      </w:divBdr>
    </w:div>
    <w:div w:id="1068067909">
      <w:bodyDiv w:val="1"/>
      <w:marLeft w:val="0"/>
      <w:marRight w:val="0"/>
      <w:marTop w:val="0"/>
      <w:marBottom w:val="0"/>
      <w:divBdr>
        <w:top w:val="none" w:sz="0" w:space="0" w:color="auto"/>
        <w:left w:val="none" w:sz="0" w:space="0" w:color="auto"/>
        <w:bottom w:val="none" w:sz="0" w:space="0" w:color="auto"/>
        <w:right w:val="none" w:sz="0" w:space="0" w:color="auto"/>
      </w:divBdr>
    </w:div>
    <w:div w:id="1441491383">
      <w:bodyDiv w:val="1"/>
      <w:marLeft w:val="0"/>
      <w:marRight w:val="0"/>
      <w:marTop w:val="0"/>
      <w:marBottom w:val="0"/>
      <w:divBdr>
        <w:top w:val="none" w:sz="0" w:space="0" w:color="auto"/>
        <w:left w:val="none" w:sz="0" w:space="0" w:color="auto"/>
        <w:bottom w:val="none" w:sz="0" w:space="0" w:color="auto"/>
        <w:right w:val="none" w:sz="0" w:space="0" w:color="auto"/>
      </w:divBdr>
    </w:div>
    <w:div w:id="2121534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png"/></Relationships>
</file>

<file path=word/_rels/footnotes.xml.rels><?xml version="1.0" encoding="UTF-8" standalone="yes"?>
<Relationships xmlns="http://schemas.openxmlformats.org/package/2006/relationships"><Relationship Id="rId3" Type="http://schemas.openxmlformats.org/officeDocument/2006/relationships/hyperlink" Target="https://fingertips.phe.org.uk/search/noise%20complaints" TargetMode="External"/><Relationship Id="rId2" Type="http://schemas.openxmlformats.org/officeDocument/2006/relationships/hyperlink" Target="https://www.who.int/gard/publications/Risk%20factors.pdf" TargetMode="External"/><Relationship Id="rId1" Type="http://schemas.openxmlformats.org/officeDocument/2006/relationships/hyperlink" Target="https://fingertips.phe.org.uk/profile/healthy-ageing/da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D6FF08-C68C-4A55-8202-9E2F43850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524</TotalTime>
  <Pages>18</Pages>
  <Words>4595</Words>
  <Characters>26196</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Peterborough City Council</Company>
  <LinksUpToDate>false</LinksUpToDate>
  <CharactersWithSpaces>30730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O'Neill Ryan</dc:creator>
  <cp:keywords/>
  <dc:description/>
  <cp:lastModifiedBy>O'Neill Ryan</cp:lastModifiedBy>
  <cp:revision>23</cp:revision>
  <dcterms:created xsi:type="dcterms:W3CDTF">2019-07-02T14:06:00Z</dcterms:created>
  <dcterms:modified xsi:type="dcterms:W3CDTF">2019-07-04T09:45:00Z</dcterms:modified>
</cp:coreProperties>
</file>