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9EF972" w14:textId="56314F13" w:rsidR="00B82B43" w:rsidRPr="001A5940" w:rsidRDefault="006A54F5" w:rsidP="0038179C">
      <w:pPr>
        <w:spacing w:line="240" w:lineRule="auto"/>
        <w:ind w:right="-540"/>
        <w:rPr>
          <w:color w:val="FF0000"/>
        </w:rPr>
      </w:pPr>
      <w:bookmarkStart w:id="0" w:name="_GoBack"/>
      <w:bookmarkEnd w:id="0"/>
      <w:r>
        <w:rPr>
          <w:noProof/>
          <w:lang w:eastAsia="en-GB"/>
        </w:rPr>
        <w:drawing>
          <wp:anchor distT="0" distB="0" distL="114300" distR="114300" simplePos="0" relativeHeight="251699200" behindDoc="1" locked="0" layoutInCell="1" allowOverlap="1" wp14:anchorId="0CA760B9" wp14:editId="0912B620">
            <wp:simplePos x="0" y="0"/>
            <wp:positionH relativeFrom="page">
              <wp:align>right</wp:align>
            </wp:positionH>
            <wp:positionV relativeFrom="paragraph">
              <wp:posOffset>137795</wp:posOffset>
            </wp:positionV>
            <wp:extent cx="2124075" cy="751205"/>
            <wp:effectExtent l="0" t="0" r="9525" b="0"/>
            <wp:wrapTight wrapText="bothSides">
              <wp:wrapPolygon edited="0">
                <wp:start x="0" y="0"/>
                <wp:lineTo x="0" y="20815"/>
                <wp:lineTo x="21503" y="20815"/>
                <wp:lineTo x="21503" y="0"/>
                <wp:lineTo x="0" y="0"/>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24075" cy="751205"/>
                    </a:xfrm>
                    <a:prstGeom prst="rect">
                      <a:avLst/>
                    </a:prstGeom>
                  </pic:spPr>
                </pic:pic>
              </a:graphicData>
            </a:graphic>
            <wp14:sizeRelH relativeFrom="page">
              <wp14:pctWidth>0</wp14:pctWidth>
            </wp14:sizeRelH>
            <wp14:sizeRelV relativeFrom="page">
              <wp14:pctHeight>0</wp14:pctHeight>
            </wp14:sizeRelV>
          </wp:anchor>
        </w:drawing>
      </w:r>
      <w:r w:rsidR="00704EE8" w:rsidRPr="00152926">
        <w:rPr>
          <w:noProof/>
          <w:color w:val="FF0000"/>
          <w:lang w:eastAsia="en-GB"/>
        </w:rPr>
        <mc:AlternateContent>
          <mc:Choice Requires="wpg">
            <w:drawing>
              <wp:anchor distT="0" distB="0" distL="114300" distR="114300" simplePos="0" relativeHeight="251659264" behindDoc="0" locked="0" layoutInCell="1" allowOverlap="1" wp14:anchorId="57880E94" wp14:editId="19A42E77">
                <wp:simplePos x="0" y="0"/>
                <wp:positionH relativeFrom="column">
                  <wp:posOffset>-261139</wp:posOffset>
                </wp:positionH>
                <wp:positionV relativeFrom="paragraph">
                  <wp:posOffset>281940</wp:posOffset>
                </wp:positionV>
                <wp:extent cx="2478405" cy="527685"/>
                <wp:effectExtent l="0" t="0" r="0" b="5715"/>
                <wp:wrapNone/>
                <wp:docPr id="94"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78405" cy="527685"/>
                          <a:chOff x="0" y="-3"/>
                          <a:chExt cx="5760" cy="1229"/>
                        </a:xfrm>
                      </wpg:grpSpPr>
                      <wps:wsp>
                        <wps:cNvPr id="96" name="AutoShape 11"/>
                        <wps:cNvSpPr>
                          <a:spLocks noChangeAspect="1" noChangeArrowheads="1" noTextEdit="1"/>
                        </wps:cNvSpPr>
                        <wps:spPr bwMode="auto">
                          <a:xfrm>
                            <a:off x="0" y="0"/>
                            <a:ext cx="5760" cy="1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Freeform 3"/>
                        <wps:cNvSpPr>
                          <a:spLocks noChangeAspect="1"/>
                        </wps:cNvSpPr>
                        <wps:spPr bwMode="auto">
                          <a:xfrm>
                            <a:off x="2178" y="56"/>
                            <a:ext cx="276" cy="425"/>
                          </a:xfrm>
                          <a:custGeom>
                            <a:avLst/>
                            <a:gdLst>
                              <a:gd name="T0" fmla="*/ 0 w 172"/>
                              <a:gd name="T1" fmla="*/ 343 h 264"/>
                              <a:gd name="T2" fmla="*/ 265 w 172"/>
                              <a:gd name="T3" fmla="*/ 0 h 264"/>
                              <a:gd name="T4" fmla="*/ 417 w 172"/>
                              <a:gd name="T5" fmla="*/ 37 h 264"/>
                              <a:gd name="T6" fmla="*/ 443 w 172"/>
                              <a:gd name="T7" fmla="*/ 72 h 264"/>
                              <a:gd name="T8" fmla="*/ 443 w 172"/>
                              <a:gd name="T9" fmla="*/ 93 h 264"/>
                              <a:gd name="T10" fmla="*/ 425 w 172"/>
                              <a:gd name="T11" fmla="*/ 111 h 264"/>
                              <a:gd name="T12" fmla="*/ 409 w 172"/>
                              <a:gd name="T13" fmla="*/ 106 h 264"/>
                              <a:gd name="T14" fmla="*/ 273 w 172"/>
                              <a:gd name="T15" fmla="*/ 68 h 264"/>
                              <a:gd name="T16" fmla="*/ 75 w 172"/>
                              <a:gd name="T17" fmla="*/ 343 h 264"/>
                              <a:gd name="T18" fmla="*/ 273 w 172"/>
                              <a:gd name="T19" fmla="*/ 617 h 264"/>
                              <a:gd name="T20" fmla="*/ 409 w 172"/>
                              <a:gd name="T21" fmla="*/ 578 h 264"/>
                              <a:gd name="T22" fmla="*/ 425 w 172"/>
                              <a:gd name="T23" fmla="*/ 573 h 264"/>
                              <a:gd name="T24" fmla="*/ 443 w 172"/>
                              <a:gd name="T25" fmla="*/ 591 h 264"/>
                              <a:gd name="T26" fmla="*/ 443 w 172"/>
                              <a:gd name="T27" fmla="*/ 615 h 264"/>
                              <a:gd name="T28" fmla="*/ 417 w 172"/>
                              <a:gd name="T29" fmla="*/ 650 h 264"/>
                              <a:gd name="T30" fmla="*/ 265 w 172"/>
                              <a:gd name="T31" fmla="*/ 684 h 264"/>
                              <a:gd name="T32" fmla="*/ 0 w 172"/>
                              <a:gd name="T33" fmla="*/ 343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2" h="264">
                                <a:moveTo>
                                  <a:pt x="0" y="132"/>
                                </a:moveTo>
                                <a:cubicBezTo>
                                  <a:pt x="0" y="47"/>
                                  <a:pt x="43" y="0"/>
                                  <a:pt x="103" y="0"/>
                                </a:cubicBezTo>
                                <a:cubicBezTo>
                                  <a:pt x="134" y="0"/>
                                  <a:pt x="153" y="9"/>
                                  <a:pt x="162" y="14"/>
                                </a:cubicBezTo>
                                <a:cubicBezTo>
                                  <a:pt x="167" y="18"/>
                                  <a:pt x="172" y="22"/>
                                  <a:pt x="172" y="28"/>
                                </a:cubicBezTo>
                                <a:cubicBezTo>
                                  <a:pt x="172" y="36"/>
                                  <a:pt x="172" y="36"/>
                                  <a:pt x="172" y="36"/>
                                </a:cubicBezTo>
                                <a:cubicBezTo>
                                  <a:pt x="172" y="41"/>
                                  <a:pt x="169" y="43"/>
                                  <a:pt x="165" y="43"/>
                                </a:cubicBezTo>
                                <a:cubicBezTo>
                                  <a:pt x="163" y="43"/>
                                  <a:pt x="161" y="43"/>
                                  <a:pt x="159" y="41"/>
                                </a:cubicBezTo>
                                <a:cubicBezTo>
                                  <a:pt x="151" y="37"/>
                                  <a:pt x="132" y="26"/>
                                  <a:pt x="106" y="26"/>
                                </a:cubicBezTo>
                                <a:cubicBezTo>
                                  <a:pt x="61" y="26"/>
                                  <a:pt x="29" y="61"/>
                                  <a:pt x="29" y="132"/>
                                </a:cubicBezTo>
                                <a:cubicBezTo>
                                  <a:pt x="29" y="203"/>
                                  <a:pt x="61" y="238"/>
                                  <a:pt x="106" y="238"/>
                                </a:cubicBezTo>
                                <a:cubicBezTo>
                                  <a:pt x="132" y="238"/>
                                  <a:pt x="152" y="228"/>
                                  <a:pt x="159" y="223"/>
                                </a:cubicBezTo>
                                <a:cubicBezTo>
                                  <a:pt x="161" y="222"/>
                                  <a:pt x="163" y="221"/>
                                  <a:pt x="165" y="221"/>
                                </a:cubicBezTo>
                                <a:cubicBezTo>
                                  <a:pt x="169" y="221"/>
                                  <a:pt x="172" y="224"/>
                                  <a:pt x="172" y="228"/>
                                </a:cubicBezTo>
                                <a:cubicBezTo>
                                  <a:pt x="172" y="237"/>
                                  <a:pt x="172" y="237"/>
                                  <a:pt x="172" y="237"/>
                                </a:cubicBezTo>
                                <a:cubicBezTo>
                                  <a:pt x="172" y="243"/>
                                  <a:pt x="167" y="247"/>
                                  <a:pt x="162" y="251"/>
                                </a:cubicBezTo>
                                <a:cubicBezTo>
                                  <a:pt x="154" y="256"/>
                                  <a:pt x="134" y="264"/>
                                  <a:pt x="103" y="264"/>
                                </a:cubicBezTo>
                                <a:cubicBezTo>
                                  <a:pt x="43" y="264"/>
                                  <a:pt x="0" y="218"/>
                                  <a:pt x="0" y="132"/>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4"/>
                        <wps:cNvSpPr>
                          <a:spLocks noChangeAspect="1" noEditPoints="1"/>
                        </wps:cNvSpPr>
                        <wps:spPr bwMode="auto">
                          <a:xfrm>
                            <a:off x="2486" y="161"/>
                            <a:ext cx="239" cy="319"/>
                          </a:xfrm>
                          <a:custGeom>
                            <a:avLst/>
                            <a:gdLst>
                              <a:gd name="T0" fmla="*/ 0 w 149"/>
                              <a:gd name="T1" fmla="*/ 364 h 198"/>
                              <a:gd name="T2" fmla="*/ 199 w 149"/>
                              <a:gd name="T3" fmla="*/ 197 h 198"/>
                              <a:gd name="T4" fmla="*/ 290 w 149"/>
                              <a:gd name="T5" fmla="*/ 205 h 198"/>
                              <a:gd name="T6" fmla="*/ 290 w 149"/>
                              <a:gd name="T7" fmla="*/ 200 h 198"/>
                              <a:gd name="T8" fmla="*/ 205 w 149"/>
                              <a:gd name="T9" fmla="*/ 60 h 198"/>
                              <a:gd name="T10" fmla="*/ 59 w 149"/>
                              <a:gd name="T11" fmla="*/ 102 h 198"/>
                              <a:gd name="T12" fmla="*/ 47 w 149"/>
                              <a:gd name="T13" fmla="*/ 106 h 198"/>
                              <a:gd name="T14" fmla="*/ 30 w 149"/>
                              <a:gd name="T15" fmla="*/ 89 h 198"/>
                              <a:gd name="T16" fmla="*/ 30 w 149"/>
                              <a:gd name="T17" fmla="*/ 60 h 198"/>
                              <a:gd name="T18" fmla="*/ 55 w 149"/>
                              <a:gd name="T19" fmla="*/ 31 h 198"/>
                              <a:gd name="T20" fmla="*/ 213 w 149"/>
                              <a:gd name="T21" fmla="*/ 0 h 198"/>
                              <a:gd name="T22" fmla="*/ 361 w 149"/>
                              <a:gd name="T23" fmla="*/ 169 h 198"/>
                              <a:gd name="T24" fmla="*/ 361 w 149"/>
                              <a:gd name="T25" fmla="*/ 437 h 198"/>
                              <a:gd name="T26" fmla="*/ 383 w 149"/>
                              <a:gd name="T27" fmla="*/ 467 h 198"/>
                              <a:gd name="T28" fmla="*/ 383 w 149"/>
                              <a:gd name="T29" fmla="*/ 480 h 198"/>
                              <a:gd name="T30" fmla="*/ 335 w 149"/>
                              <a:gd name="T31" fmla="*/ 514 h 198"/>
                              <a:gd name="T32" fmla="*/ 290 w 149"/>
                              <a:gd name="T33" fmla="*/ 459 h 198"/>
                              <a:gd name="T34" fmla="*/ 290 w 149"/>
                              <a:gd name="T35" fmla="*/ 451 h 198"/>
                              <a:gd name="T36" fmla="*/ 154 w 149"/>
                              <a:gd name="T37" fmla="*/ 514 h 198"/>
                              <a:gd name="T38" fmla="*/ 0 w 149"/>
                              <a:gd name="T39" fmla="*/ 364 h 198"/>
                              <a:gd name="T40" fmla="*/ 290 w 149"/>
                              <a:gd name="T41" fmla="*/ 390 h 198"/>
                              <a:gd name="T42" fmla="*/ 290 w 149"/>
                              <a:gd name="T43" fmla="*/ 263 h 198"/>
                              <a:gd name="T44" fmla="*/ 209 w 149"/>
                              <a:gd name="T45" fmla="*/ 251 h 198"/>
                              <a:gd name="T46" fmla="*/ 69 w 149"/>
                              <a:gd name="T47" fmla="*/ 361 h 198"/>
                              <a:gd name="T48" fmla="*/ 167 w 149"/>
                              <a:gd name="T49" fmla="*/ 458 h 198"/>
                              <a:gd name="T50" fmla="*/ 290 w 149"/>
                              <a:gd name="T51" fmla="*/ 390 h 19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9" h="198">
                                <a:moveTo>
                                  <a:pt x="0" y="140"/>
                                </a:moveTo>
                                <a:cubicBezTo>
                                  <a:pt x="0" y="110"/>
                                  <a:pt x="19" y="76"/>
                                  <a:pt x="77" y="76"/>
                                </a:cubicBezTo>
                                <a:cubicBezTo>
                                  <a:pt x="87" y="76"/>
                                  <a:pt x="101" y="77"/>
                                  <a:pt x="113" y="79"/>
                                </a:cubicBezTo>
                                <a:cubicBezTo>
                                  <a:pt x="113" y="77"/>
                                  <a:pt x="113" y="77"/>
                                  <a:pt x="113" y="77"/>
                                </a:cubicBezTo>
                                <a:cubicBezTo>
                                  <a:pt x="113" y="41"/>
                                  <a:pt x="111" y="23"/>
                                  <a:pt x="80" y="23"/>
                                </a:cubicBezTo>
                                <a:cubicBezTo>
                                  <a:pt x="58" y="23"/>
                                  <a:pt x="34" y="32"/>
                                  <a:pt x="23" y="39"/>
                                </a:cubicBezTo>
                                <a:cubicBezTo>
                                  <a:pt x="21" y="40"/>
                                  <a:pt x="20" y="41"/>
                                  <a:pt x="18" y="41"/>
                                </a:cubicBezTo>
                                <a:cubicBezTo>
                                  <a:pt x="14" y="41"/>
                                  <a:pt x="12" y="38"/>
                                  <a:pt x="12" y="34"/>
                                </a:cubicBezTo>
                                <a:cubicBezTo>
                                  <a:pt x="12" y="23"/>
                                  <a:pt x="12" y="23"/>
                                  <a:pt x="12" y="23"/>
                                </a:cubicBezTo>
                                <a:cubicBezTo>
                                  <a:pt x="12" y="19"/>
                                  <a:pt x="15" y="15"/>
                                  <a:pt x="21" y="12"/>
                                </a:cubicBezTo>
                                <a:cubicBezTo>
                                  <a:pt x="35" y="4"/>
                                  <a:pt x="62" y="0"/>
                                  <a:pt x="83" y="0"/>
                                </a:cubicBezTo>
                                <a:cubicBezTo>
                                  <a:pt x="134" y="0"/>
                                  <a:pt x="140" y="27"/>
                                  <a:pt x="140" y="65"/>
                                </a:cubicBezTo>
                                <a:cubicBezTo>
                                  <a:pt x="140" y="168"/>
                                  <a:pt x="140" y="168"/>
                                  <a:pt x="140" y="168"/>
                                </a:cubicBezTo>
                                <a:cubicBezTo>
                                  <a:pt x="140" y="177"/>
                                  <a:pt x="143" y="180"/>
                                  <a:pt x="149" y="180"/>
                                </a:cubicBezTo>
                                <a:cubicBezTo>
                                  <a:pt x="149" y="185"/>
                                  <a:pt x="149" y="185"/>
                                  <a:pt x="149" y="185"/>
                                </a:cubicBezTo>
                                <a:cubicBezTo>
                                  <a:pt x="149" y="191"/>
                                  <a:pt x="144" y="198"/>
                                  <a:pt x="130" y="198"/>
                                </a:cubicBezTo>
                                <a:cubicBezTo>
                                  <a:pt x="121" y="198"/>
                                  <a:pt x="113" y="192"/>
                                  <a:pt x="113" y="177"/>
                                </a:cubicBezTo>
                                <a:cubicBezTo>
                                  <a:pt x="113" y="174"/>
                                  <a:pt x="113" y="174"/>
                                  <a:pt x="113" y="174"/>
                                </a:cubicBezTo>
                                <a:cubicBezTo>
                                  <a:pt x="103" y="186"/>
                                  <a:pt x="88" y="198"/>
                                  <a:pt x="60" y="198"/>
                                </a:cubicBezTo>
                                <a:cubicBezTo>
                                  <a:pt x="29" y="198"/>
                                  <a:pt x="0" y="183"/>
                                  <a:pt x="0" y="140"/>
                                </a:cubicBezTo>
                                <a:moveTo>
                                  <a:pt x="113" y="150"/>
                                </a:moveTo>
                                <a:cubicBezTo>
                                  <a:pt x="113" y="101"/>
                                  <a:pt x="113" y="101"/>
                                  <a:pt x="113" y="101"/>
                                </a:cubicBezTo>
                                <a:cubicBezTo>
                                  <a:pt x="102" y="98"/>
                                  <a:pt x="89" y="97"/>
                                  <a:pt x="81" y="97"/>
                                </a:cubicBezTo>
                                <a:cubicBezTo>
                                  <a:pt x="42" y="97"/>
                                  <a:pt x="27" y="114"/>
                                  <a:pt x="27" y="139"/>
                                </a:cubicBezTo>
                                <a:cubicBezTo>
                                  <a:pt x="27" y="168"/>
                                  <a:pt x="44" y="176"/>
                                  <a:pt x="65" y="176"/>
                                </a:cubicBezTo>
                                <a:cubicBezTo>
                                  <a:pt x="86" y="176"/>
                                  <a:pt x="105" y="164"/>
                                  <a:pt x="113" y="15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5"/>
                        <wps:cNvSpPr>
                          <a:spLocks noChangeAspect="1"/>
                        </wps:cNvSpPr>
                        <wps:spPr bwMode="auto">
                          <a:xfrm>
                            <a:off x="2776" y="163"/>
                            <a:ext cx="391" cy="312"/>
                          </a:xfrm>
                          <a:custGeom>
                            <a:avLst/>
                            <a:gdLst>
                              <a:gd name="T0" fmla="*/ 0 w 244"/>
                              <a:gd name="T1" fmla="*/ 484 h 194"/>
                              <a:gd name="T2" fmla="*/ 0 w 244"/>
                              <a:gd name="T3" fmla="*/ 26 h 194"/>
                              <a:gd name="T4" fmla="*/ 21 w 244"/>
                              <a:gd name="T5" fmla="*/ 8 h 194"/>
                              <a:gd name="T6" fmla="*/ 48 w 244"/>
                              <a:gd name="T7" fmla="*/ 8 h 194"/>
                              <a:gd name="T8" fmla="*/ 69 w 244"/>
                              <a:gd name="T9" fmla="*/ 26 h 194"/>
                              <a:gd name="T10" fmla="*/ 69 w 244"/>
                              <a:gd name="T11" fmla="*/ 42 h 194"/>
                              <a:gd name="T12" fmla="*/ 223 w 244"/>
                              <a:gd name="T13" fmla="*/ 0 h 194"/>
                              <a:gd name="T14" fmla="*/ 324 w 244"/>
                              <a:gd name="T15" fmla="*/ 50 h 194"/>
                              <a:gd name="T16" fmla="*/ 500 w 244"/>
                              <a:gd name="T17" fmla="*/ 0 h 194"/>
                              <a:gd name="T18" fmla="*/ 627 w 244"/>
                              <a:gd name="T19" fmla="*/ 148 h 194"/>
                              <a:gd name="T20" fmla="*/ 627 w 244"/>
                              <a:gd name="T21" fmla="*/ 484 h 194"/>
                              <a:gd name="T22" fmla="*/ 609 w 244"/>
                              <a:gd name="T23" fmla="*/ 502 h 194"/>
                              <a:gd name="T24" fmla="*/ 578 w 244"/>
                              <a:gd name="T25" fmla="*/ 502 h 194"/>
                              <a:gd name="T26" fmla="*/ 559 w 244"/>
                              <a:gd name="T27" fmla="*/ 484 h 194"/>
                              <a:gd name="T28" fmla="*/ 559 w 244"/>
                              <a:gd name="T29" fmla="*/ 148 h 194"/>
                              <a:gd name="T30" fmla="*/ 482 w 244"/>
                              <a:gd name="T31" fmla="*/ 68 h 194"/>
                              <a:gd name="T32" fmla="*/ 346 w 244"/>
                              <a:gd name="T33" fmla="*/ 101 h 194"/>
                              <a:gd name="T34" fmla="*/ 346 w 244"/>
                              <a:gd name="T35" fmla="*/ 484 h 194"/>
                              <a:gd name="T36" fmla="*/ 329 w 244"/>
                              <a:gd name="T37" fmla="*/ 502 h 194"/>
                              <a:gd name="T38" fmla="*/ 298 w 244"/>
                              <a:gd name="T39" fmla="*/ 502 h 194"/>
                              <a:gd name="T40" fmla="*/ 280 w 244"/>
                              <a:gd name="T41" fmla="*/ 484 h 194"/>
                              <a:gd name="T42" fmla="*/ 280 w 244"/>
                              <a:gd name="T43" fmla="*/ 148 h 194"/>
                              <a:gd name="T44" fmla="*/ 204 w 244"/>
                              <a:gd name="T45" fmla="*/ 68 h 194"/>
                              <a:gd name="T46" fmla="*/ 69 w 244"/>
                              <a:gd name="T47" fmla="*/ 101 h 194"/>
                              <a:gd name="T48" fmla="*/ 69 w 244"/>
                              <a:gd name="T49" fmla="*/ 484 h 194"/>
                              <a:gd name="T50" fmla="*/ 48 w 244"/>
                              <a:gd name="T51" fmla="*/ 502 h 194"/>
                              <a:gd name="T52" fmla="*/ 21 w 244"/>
                              <a:gd name="T53" fmla="*/ 502 h 194"/>
                              <a:gd name="T54" fmla="*/ 0 w 244"/>
                              <a:gd name="T55" fmla="*/ 484 h 194"/>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244" h="194">
                                <a:moveTo>
                                  <a:pt x="0" y="187"/>
                                </a:moveTo>
                                <a:cubicBezTo>
                                  <a:pt x="0" y="10"/>
                                  <a:pt x="0" y="10"/>
                                  <a:pt x="0" y="10"/>
                                </a:cubicBezTo>
                                <a:cubicBezTo>
                                  <a:pt x="0" y="6"/>
                                  <a:pt x="3" y="3"/>
                                  <a:pt x="8" y="3"/>
                                </a:cubicBezTo>
                                <a:cubicBezTo>
                                  <a:pt x="19" y="3"/>
                                  <a:pt x="19" y="3"/>
                                  <a:pt x="19" y="3"/>
                                </a:cubicBezTo>
                                <a:cubicBezTo>
                                  <a:pt x="23" y="3"/>
                                  <a:pt x="27" y="6"/>
                                  <a:pt x="27" y="10"/>
                                </a:cubicBezTo>
                                <a:cubicBezTo>
                                  <a:pt x="27" y="16"/>
                                  <a:pt x="27" y="16"/>
                                  <a:pt x="27" y="16"/>
                                </a:cubicBezTo>
                                <a:cubicBezTo>
                                  <a:pt x="36" y="13"/>
                                  <a:pt x="57" y="0"/>
                                  <a:pt x="87" y="0"/>
                                </a:cubicBezTo>
                                <a:cubicBezTo>
                                  <a:pt x="106" y="0"/>
                                  <a:pt x="120" y="9"/>
                                  <a:pt x="126" y="19"/>
                                </a:cubicBezTo>
                                <a:cubicBezTo>
                                  <a:pt x="137" y="15"/>
                                  <a:pt x="167" y="0"/>
                                  <a:pt x="195" y="0"/>
                                </a:cubicBezTo>
                                <a:cubicBezTo>
                                  <a:pt x="222" y="0"/>
                                  <a:pt x="244" y="14"/>
                                  <a:pt x="244" y="57"/>
                                </a:cubicBezTo>
                                <a:cubicBezTo>
                                  <a:pt x="244" y="187"/>
                                  <a:pt x="244" y="187"/>
                                  <a:pt x="244" y="187"/>
                                </a:cubicBezTo>
                                <a:cubicBezTo>
                                  <a:pt x="244" y="191"/>
                                  <a:pt x="241" y="194"/>
                                  <a:pt x="237" y="194"/>
                                </a:cubicBezTo>
                                <a:cubicBezTo>
                                  <a:pt x="225" y="194"/>
                                  <a:pt x="225" y="194"/>
                                  <a:pt x="225" y="194"/>
                                </a:cubicBezTo>
                                <a:cubicBezTo>
                                  <a:pt x="221" y="194"/>
                                  <a:pt x="218" y="191"/>
                                  <a:pt x="218" y="187"/>
                                </a:cubicBezTo>
                                <a:cubicBezTo>
                                  <a:pt x="218" y="57"/>
                                  <a:pt x="218" y="57"/>
                                  <a:pt x="218" y="57"/>
                                </a:cubicBezTo>
                                <a:cubicBezTo>
                                  <a:pt x="218" y="37"/>
                                  <a:pt x="209" y="26"/>
                                  <a:pt x="188" y="26"/>
                                </a:cubicBezTo>
                                <a:cubicBezTo>
                                  <a:pt x="166" y="26"/>
                                  <a:pt x="135" y="39"/>
                                  <a:pt x="135" y="39"/>
                                </a:cubicBezTo>
                                <a:cubicBezTo>
                                  <a:pt x="135" y="187"/>
                                  <a:pt x="135" y="187"/>
                                  <a:pt x="135" y="187"/>
                                </a:cubicBezTo>
                                <a:cubicBezTo>
                                  <a:pt x="135" y="191"/>
                                  <a:pt x="132" y="194"/>
                                  <a:pt x="128" y="194"/>
                                </a:cubicBezTo>
                                <a:cubicBezTo>
                                  <a:pt x="116" y="194"/>
                                  <a:pt x="116" y="194"/>
                                  <a:pt x="116" y="194"/>
                                </a:cubicBezTo>
                                <a:cubicBezTo>
                                  <a:pt x="112" y="194"/>
                                  <a:pt x="109" y="191"/>
                                  <a:pt x="109" y="187"/>
                                </a:cubicBezTo>
                                <a:cubicBezTo>
                                  <a:pt x="109" y="57"/>
                                  <a:pt x="109" y="57"/>
                                  <a:pt x="109" y="57"/>
                                </a:cubicBezTo>
                                <a:cubicBezTo>
                                  <a:pt x="109" y="37"/>
                                  <a:pt x="100" y="26"/>
                                  <a:pt x="79" y="26"/>
                                </a:cubicBezTo>
                                <a:cubicBezTo>
                                  <a:pt x="57" y="26"/>
                                  <a:pt x="27" y="39"/>
                                  <a:pt x="27" y="39"/>
                                </a:cubicBezTo>
                                <a:cubicBezTo>
                                  <a:pt x="27" y="187"/>
                                  <a:pt x="27" y="187"/>
                                  <a:pt x="27" y="187"/>
                                </a:cubicBezTo>
                                <a:cubicBezTo>
                                  <a:pt x="27" y="191"/>
                                  <a:pt x="23" y="194"/>
                                  <a:pt x="19" y="194"/>
                                </a:cubicBezTo>
                                <a:cubicBezTo>
                                  <a:pt x="8" y="194"/>
                                  <a:pt x="8" y="194"/>
                                  <a:pt x="8"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6"/>
                        <wps:cNvSpPr>
                          <a:spLocks noChangeAspect="1" noEditPoints="1"/>
                        </wps:cNvSpPr>
                        <wps:spPr bwMode="auto">
                          <a:xfrm>
                            <a:off x="3234" y="15"/>
                            <a:ext cx="253" cy="466"/>
                          </a:xfrm>
                          <a:custGeom>
                            <a:avLst/>
                            <a:gdLst>
                              <a:gd name="T0" fmla="*/ 67 w 158"/>
                              <a:gd name="T1" fmla="*/ 673 h 290"/>
                              <a:gd name="T2" fmla="*/ 67 w 158"/>
                              <a:gd name="T3" fmla="*/ 720 h 290"/>
                              <a:gd name="T4" fmla="*/ 48 w 158"/>
                              <a:gd name="T5" fmla="*/ 739 h 290"/>
                              <a:gd name="T6" fmla="*/ 18 w 158"/>
                              <a:gd name="T7" fmla="*/ 739 h 290"/>
                              <a:gd name="T8" fmla="*/ 0 w 158"/>
                              <a:gd name="T9" fmla="*/ 720 h 290"/>
                              <a:gd name="T10" fmla="*/ 0 w 158"/>
                              <a:gd name="T11" fmla="*/ 21 h 290"/>
                              <a:gd name="T12" fmla="*/ 18 w 158"/>
                              <a:gd name="T13" fmla="*/ 0 h 290"/>
                              <a:gd name="T14" fmla="*/ 48 w 158"/>
                              <a:gd name="T15" fmla="*/ 0 h 290"/>
                              <a:gd name="T16" fmla="*/ 67 w 158"/>
                              <a:gd name="T17" fmla="*/ 21 h 290"/>
                              <a:gd name="T18" fmla="*/ 67 w 158"/>
                              <a:gd name="T19" fmla="*/ 307 h 290"/>
                              <a:gd name="T20" fmla="*/ 208 w 158"/>
                              <a:gd name="T21" fmla="*/ 235 h 290"/>
                              <a:gd name="T22" fmla="*/ 405 w 158"/>
                              <a:gd name="T23" fmla="*/ 490 h 290"/>
                              <a:gd name="T24" fmla="*/ 208 w 158"/>
                              <a:gd name="T25" fmla="*/ 749 h 290"/>
                              <a:gd name="T26" fmla="*/ 67 w 158"/>
                              <a:gd name="T27" fmla="*/ 673 h 290"/>
                              <a:gd name="T28" fmla="*/ 338 w 158"/>
                              <a:gd name="T29" fmla="*/ 490 h 290"/>
                              <a:gd name="T30" fmla="*/ 208 w 158"/>
                              <a:gd name="T31" fmla="*/ 297 h 290"/>
                              <a:gd name="T32" fmla="*/ 67 w 158"/>
                              <a:gd name="T33" fmla="*/ 392 h 290"/>
                              <a:gd name="T34" fmla="*/ 67 w 158"/>
                              <a:gd name="T35" fmla="*/ 588 h 290"/>
                              <a:gd name="T36" fmla="*/ 208 w 158"/>
                              <a:gd name="T37" fmla="*/ 686 h 290"/>
                              <a:gd name="T38" fmla="*/ 338 w 158"/>
                              <a:gd name="T39" fmla="*/ 490 h 29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8" h="290">
                                <a:moveTo>
                                  <a:pt x="26" y="261"/>
                                </a:moveTo>
                                <a:cubicBezTo>
                                  <a:pt x="26" y="279"/>
                                  <a:pt x="26" y="279"/>
                                  <a:pt x="26" y="279"/>
                                </a:cubicBezTo>
                                <a:cubicBezTo>
                                  <a:pt x="26" y="283"/>
                                  <a:pt x="23" y="286"/>
                                  <a:pt x="19" y="286"/>
                                </a:cubicBezTo>
                                <a:cubicBezTo>
                                  <a:pt x="7" y="286"/>
                                  <a:pt x="7" y="286"/>
                                  <a:pt x="7" y="286"/>
                                </a:cubicBezTo>
                                <a:cubicBezTo>
                                  <a:pt x="3" y="286"/>
                                  <a:pt x="0" y="283"/>
                                  <a:pt x="0" y="279"/>
                                </a:cubicBezTo>
                                <a:cubicBezTo>
                                  <a:pt x="0" y="8"/>
                                  <a:pt x="0" y="8"/>
                                  <a:pt x="0" y="8"/>
                                </a:cubicBezTo>
                                <a:cubicBezTo>
                                  <a:pt x="0" y="4"/>
                                  <a:pt x="3" y="0"/>
                                  <a:pt x="7" y="0"/>
                                </a:cubicBezTo>
                                <a:cubicBezTo>
                                  <a:pt x="19" y="0"/>
                                  <a:pt x="19" y="0"/>
                                  <a:pt x="19" y="0"/>
                                </a:cubicBezTo>
                                <a:cubicBezTo>
                                  <a:pt x="23" y="0"/>
                                  <a:pt x="26" y="4"/>
                                  <a:pt x="26" y="8"/>
                                </a:cubicBezTo>
                                <a:cubicBezTo>
                                  <a:pt x="26" y="119"/>
                                  <a:pt x="26" y="119"/>
                                  <a:pt x="26" y="119"/>
                                </a:cubicBezTo>
                                <a:cubicBezTo>
                                  <a:pt x="34" y="106"/>
                                  <a:pt x="55" y="91"/>
                                  <a:pt x="81" y="91"/>
                                </a:cubicBezTo>
                                <a:cubicBezTo>
                                  <a:pt x="134" y="91"/>
                                  <a:pt x="158" y="132"/>
                                  <a:pt x="158" y="190"/>
                                </a:cubicBezTo>
                                <a:cubicBezTo>
                                  <a:pt x="158" y="249"/>
                                  <a:pt x="134" y="290"/>
                                  <a:pt x="81" y="290"/>
                                </a:cubicBezTo>
                                <a:cubicBezTo>
                                  <a:pt x="55" y="290"/>
                                  <a:pt x="34" y="275"/>
                                  <a:pt x="26" y="261"/>
                                </a:cubicBezTo>
                                <a:moveTo>
                                  <a:pt x="132" y="190"/>
                                </a:moveTo>
                                <a:cubicBezTo>
                                  <a:pt x="132" y="137"/>
                                  <a:pt x="112" y="115"/>
                                  <a:pt x="81" y="115"/>
                                </a:cubicBezTo>
                                <a:cubicBezTo>
                                  <a:pt x="53" y="115"/>
                                  <a:pt x="33" y="134"/>
                                  <a:pt x="26" y="152"/>
                                </a:cubicBezTo>
                                <a:cubicBezTo>
                                  <a:pt x="26" y="228"/>
                                  <a:pt x="26" y="228"/>
                                  <a:pt x="26" y="228"/>
                                </a:cubicBezTo>
                                <a:cubicBezTo>
                                  <a:pt x="33" y="247"/>
                                  <a:pt x="53" y="266"/>
                                  <a:pt x="81" y="266"/>
                                </a:cubicBezTo>
                                <a:cubicBezTo>
                                  <a:pt x="112" y="266"/>
                                  <a:pt x="132" y="244"/>
                                  <a:pt x="132" y="19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7"/>
                        <wps:cNvSpPr>
                          <a:spLocks noChangeAspect="1"/>
                        </wps:cNvSpPr>
                        <wps:spPr bwMode="auto">
                          <a:xfrm>
                            <a:off x="3543" y="167"/>
                            <a:ext cx="154" cy="308"/>
                          </a:xfrm>
                          <a:custGeom>
                            <a:avLst/>
                            <a:gdLst>
                              <a:gd name="T0" fmla="*/ 0 w 96"/>
                              <a:gd name="T1" fmla="*/ 479 h 191"/>
                              <a:gd name="T2" fmla="*/ 0 w 96"/>
                              <a:gd name="T3" fmla="*/ 18 h 191"/>
                              <a:gd name="T4" fmla="*/ 18 w 96"/>
                              <a:gd name="T5" fmla="*/ 0 h 191"/>
                              <a:gd name="T6" fmla="*/ 48 w 96"/>
                              <a:gd name="T7" fmla="*/ 0 h 191"/>
                              <a:gd name="T8" fmla="*/ 67 w 96"/>
                              <a:gd name="T9" fmla="*/ 18 h 191"/>
                              <a:gd name="T10" fmla="*/ 67 w 96"/>
                              <a:gd name="T11" fmla="*/ 52 h 191"/>
                              <a:gd name="T12" fmla="*/ 188 w 96"/>
                              <a:gd name="T13" fmla="*/ 0 h 191"/>
                              <a:gd name="T14" fmla="*/ 247 w 96"/>
                              <a:gd name="T15" fmla="*/ 37 h 191"/>
                              <a:gd name="T16" fmla="*/ 247 w 96"/>
                              <a:gd name="T17" fmla="*/ 73 h 191"/>
                              <a:gd name="T18" fmla="*/ 229 w 96"/>
                              <a:gd name="T19" fmla="*/ 89 h 191"/>
                              <a:gd name="T20" fmla="*/ 217 w 96"/>
                              <a:gd name="T21" fmla="*/ 85 h 191"/>
                              <a:gd name="T22" fmla="*/ 165 w 96"/>
                              <a:gd name="T23" fmla="*/ 65 h 191"/>
                              <a:gd name="T24" fmla="*/ 67 w 96"/>
                              <a:gd name="T25" fmla="*/ 111 h 191"/>
                              <a:gd name="T26" fmla="*/ 67 w 96"/>
                              <a:gd name="T27" fmla="*/ 479 h 191"/>
                              <a:gd name="T28" fmla="*/ 48 w 96"/>
                              <a:gd name="T29" fmla="*/ 497 h 191"/>
                              <a:gd name="T30" fmla="*/ 18 w 96"/>
                              <a:gd name="T31" fmla="*/ 497 h 191"/>
                              <a:gd name="T32" fmla="*/ 0 w 96"/>
                              <a:gd name="T33" fmla="*/ 479 h 1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6" h="191">
                                <a:moveTo>
                                  <a:pt x="0" y="184"/>
                                </a:moveTo>
                                <a:cubicBezTo>
                                  <a:pt x="0" y="7"/>
                                  <a:pt x="0" y="7"/>
                                  <a:pt x="0" y="7"/>
                                </a:cubicBezTo>
                                <a:cubicBezTo>
                                  <a:pt x="0" y="3"/>
                                  <a:pt x="3" y="0"/>
                                  <a:pt x="7" y="0"/>
                                </a:cubicBezTo>
                                <a:cubicBezTo>
                                  <a:pt x="19" y="0"/>
                                  <a:pt x="19" y="0"/>
                                  <a:pt x="19" y="0"/>
                                </a:cubicBezTo>
                                <a:cubicBezTo>
                                  <a:pt x="23" y="0"/>
                                  <a:pt x="26" y="3"/>
                                  <a:pt x="26" y="7"/>
                                </a:cubicBezTo>
                                <a:cubicBezTo>
                                  <a:pt x="26" y="20"/>
                                  <a:pt x="26" y="20"/>
                                  <a:pt x="26" y="20"/>
                                </a:cubicBezTo>
                                <a:cubicBezTo>
                                  <a:pt x="41" y="7"/>
                                  <a:pt x="60" y="0"/>
                                  <a:pt x="73" y="0"/>
                                </a:cubicBezTo>
                                <a:cubicBezTo>
                                  <a:pt x="84" y="0"/>
                                  <a:pt x="96" y="5"/>
                                  <a:pt x="96" y="14"/>
                                </a:cubicBezTo>
                                <a:cubicBezTo>
                                  <a:pt x="96" y="28"/>
                                  <a:pt x="96" y="28"/>
                                  <a:pt x="96" y="28"/>
                                </a:cubicBezTo>
                                <a:cubicBezTo>
                                  <a:pt x="96" y="32"/>
                                  <a:pt x="93" y="34"/>
                                  <a:pt x="89" y="34"/>
                                </a:cubicBezTo>
                                <a:cubicBezTo>
                                  <a:pt x="87" y="34"/>
                                  <a:pt x="86" y="34"/>
                                  <a:pt x="84" y="33"/>
                                </a:cubicBezTo>
                                <a:cubicBezTo>
                                  <a:pt x="79" y="29"/>
                                  <a:pt x="74" y="25"/>
                                  <a:pt x="64" y="25"/>
                                </a:cubicBezTo>
                                <a:cubicBezTo>
                                  <a:pt x="54" y="25"/>
                                  <a:pt x="40" y="32"/>
                                  <a:pt x="26" y="43"/>
                                </a:cubicBezTo>
                                <a:cubicBezTo>
                                  <a:pt x="26" y="184"/>
                                  <a:pt x="26" y="184"/>
                                  <a:pt x="26" y="184"/>
                                </a:cubicBezTo>
                                <a:cubicBezTo>
                                  <a:pt x="26" y="188"/>
                                  <a:pt x="23" y="191"/>
                                  <a:pt x="19" y="191"/>
                                </a:cubicBezTo>
                                <a:cubicBezTo>
                                  <a:pt x="7" y="191"/>
                                  <a:pt x="7" y="191"/>
                                  <a:pt x="7" y="191"/>
                                </a:cubicBezTo>
                                <a:cubicBezTo>
                                  <a:pt x="3" y="191"/>
                                  <a:pt x="0" y="188"/>
                                  <a:pt x="0" y="184"/>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8"/>
                        <wps:cNvSpPr>
                          <a:spLocks noChangeAspect="1" noEditPoints="1"/>
                        </wps:cNvSpPr>
                        <wps:spPr bwMode="auto">
                          <a:xfrm>
                            <a:off x="3736" y="60"/>
                            <a:ext cx="53" cy="415"/>
                          </a:xfrm>
                          <a:custGeom>
                            <a:avLst/>
                            <a:gdLst>
                              <a:gd name="T0" fmla="*/ 0 w 33"/>
                              <a:gd name="T1" fmla="*/ 47 h 258"/>
                              <a:gd name="T2" fmla="*/ 43 w 33"/>
                              <a:gd name="T3" fmla="*/ 0 h 258"/>
                              <a:gd name="T4" fmla="*/ 85 w 33"/>
                              <a:gd name="T5" fmla="*/ 47 h 258"/>
                              <a:gd name="T6" fmla="*/ 43 w 33"/>
                              <a:gd name="T7" fmla="*/ 90 h 258"/>
                              <a:gd name="T8" fmla="*/ 0 w 33"/>
                              <a:gd name="T9" fmla="*/ 47 h 258"/>
                              <a:gd name="T10" fmla="*/ 8 w 33"/>
                              <a:gd name="T11" fmla="*/ 650 h 258"/>
                              <a:gd name="T12" fmla="*/ 8 w 33"/>
                              <a:gd name="T13" fmla="*/ 191 h 258"/>
                              <a:gd name="T14" fmla="*/ 29 w 33"/>
                              <a:gd name="T15" fmla="*/ 174 h 258"/>
                              <a:gd name="T16" fmla="*/ 56 w 33"/>
                              <a:gd name="T17" fmla="*/ 174 h 258"/>
                              <a:gd name="T18" fmla="*/ 77 w 33"/>
                              <a:gd name="T19" fmla="*/ 191 h 258"/>
                              <a:gd name="T20" fmla="*/ 77 w 33"/>
                              <a:gd name="T21" fmla="*/ 650 h 258"/>
                              <a:gd name="T22" fmla="*/ 56 w 33"/>
                              <a:gd name="T23" fmla="*/ 668 h 258"/>
                              <a:gd name="T24" fmla="*/ 29 w 33"/>
                              <a:gd name="T25" fmla="*/ 668 h 258"/>
                              <a:gd name="T26" fmla="*/ 8 w 33"/>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3" h="258">
                                <a:moveTo>
                                  <a:pt x="0" y="18"/>
                                </a:moveTo>
                                <a:cubicBezTo>
                                  <a:pt x="0" y="8"/>
                                  <a:pt x="7" y="0"/>
                                  <a:pt x="17" y="0"/>
                                </a:cubicBezTo>
                                <a:cubicBezTo>
                                  <a:pt x="26" y="0"/>
                                  <a:pt x="33" y="8"/>
                                  <a:pt x="33" y="18"/>
                                </a:cubicBezTo>
                                <a:cubicBezTo>
                                  <a:pt x="33" y="27"/>
                                  <a:pt x="26" y="35"/>
                                  <a:pt x="17" y="35"/>
                                </a:cubicBezTo>
                                <a:cubicBezTo>
                                  <a:pt x="7" y="35"/>
                                  <a:pt x="0" y="27"/>
                                  <a:pt x="0" y="18"/>
                                </a:cubicBezTo>
                                <a:moveTo>
                                  <a:pt x="3" y="251"/>
                                </a:moveTo>
                                <a:cubicBezTo>
                                  <a:pt x="3" y="74"/>
                                  <a:pt x="3" y="74"/>
                                  <a:pt x="3" y="74"/>
                                </a:cubicBezTo>
                                <a:cubicBezTo>
                                  <a:pt x="3" y="70"/>
                                  <a:pt x="7" y="67"/>
                                  <a:pt x="11" y="67"/>
                                </a:cubicBezTo>
                                <a:cubicBezTo>
                                  <a:pt x="22" y="67"/>
                                  <a:pt x="22" y="67"/>
                                  <a:pt x="22" y="67"/>
                                </a:cubicBezTo>
                                <a:cubicBezTo>
                                  <a:pt x="27" y="67"/>
                                  <a:pt x="30" y="70"/>
                                  <a:pt x="30" y="74"/>
                                </a:cubicBezTo>
                                <a:cubicBezTo>
                                  <a:pt x="30" y="251"/>
                                  <a:pt x="30" y="251"/>
                                  <a:pt x="30" y="251"/>
                                </a:cubicBezTo>
                                <a:cubicBezTo>
                                  <a:pt x="30" y="255"/>
                                  <a:pt x="27" y="258"/>
                                  <a:pt x="22" y="258"/>
                                </a:cubicBezTo>
                                <a:cubicBezTo>
                                  <a:pt x="11" y="258"/>
                                  <a:pt x="11" y="258"/>
                                  <a:pt x="11" y="258"/>
                                </a:cubicBezTo>
                                <a:cubicBezTo>
                                  <a:pt x="7" y="258"/>
                                  <a:pt x="3" y="255"/>
                                  <a:pt x="3"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9"/>
                        <wps:cNvSpPr>
                          <a:spLocks noChangeAspect="1" noEditPoints="1"/>
                        </wps:cNvSpPr>
                        <wps:spPr bwMode="auto">
                          <a:xfrm>
                            <a:off x="3830" y="15"/>
                            <a:ext cx="270" cy="466"/>
                          </a:xfrm>
                          <a:custGeom>
                            <a:avLst/>
                            <a:gdLst>
                              <a:gd name="T0" fmla="*/ 0 w 168"/>
                              <a:gd name="T1" fmla="*/ 490 h 290"/>
                              <a:gd name="T2" fmla="*/ 199 w 168"/>
                              <a:gd name="T3" fmla="*/ 235 h 290"/>
                              <a:gd name="T4" fmla="*/ 341 w 168"/>
                              <a:gd name="T5" fmla="*/ 307 h 290"/>
                              <a:gd name="T6" fmla="*/ 341 w 168"/>
                              <a:gd name="T7" fmla="*/ 21 h 290"/>
                              <a:gd name="T8" fmla="*/ 362 w 168"/>
                              <a:gd name="T9" fmla="*/ 0 h 290"/>
                              <a:gd name="T10" fmla="*/ 391 w 168"/>
                              <a:gd name="T11" fmla="*/ 0 h 290"/>
                              <a:gd name="T12" fmla="*/ 411 w 168"/>
                              <a:gd name="T13" fmla="*/ 21 h 290"/>
                              <a:gd name="T14" fmla="*/ 411 w 168"/>
                              <a:gd name="T15" fmla="*/ 668 h 290"/>
                              <a:gd name="T16" fmla="*/ 434 w 168"/>
                              <a:gd name="T17" fmla="*/ 699 h 290"/>
                              <a:gd name="T18" fmla="*/ 434 w 168"/>
                              <a:gd name="T19" fmla="*/ 713 h 290"/>
                              <a:gd name="T20" fmla="*/ 384 w 168"/>
                              <a:gd name="T21" fmla="*/ 746 h 290"/>
                              <a:gd name="T22" fmla="*/ 341 w 168"/>
                              <a:gd name="T23" fmla="*/ 693 h 290"/>
                              <a:gd name="T24" fmla="*/ 341 w 168"/>
                              <a:gd name="T25" fmla="*/ 673 h 290"/>
                              <a:gd name="T26" fmla="*/ 199 w 168"/>
                              <a:gd name="T27" fmla="*/ 749 h 290"/>
                              <a:gd name="T28" fmla="*/ 0 w 168"/>
                              <a:gd name="T29" fmla="*/ 490 h 290"/>
                              <a:gd name="T30" fmla="*/ 341 w 168"/>
                              <a:gd name="T31" fmla="*/ 588 h 290"/>
                              <a:gd name="T32" fmla="*/ 341 w 168"/>
                              <a:gd name="T33" fmla="*/ 392 h 290"/>
                              <a:gd name="T34" fmla="*/ 199 w 168"/>
                              <a:gd name="T35" fmla="*/ 297 h 290"/>
                              <a:gd name="T36" fmla="*/ 69 w 168"/>
                              <a:gd name="T37" fmla="*/ 490 h 290"/>
                              <a:gd name="T38" fmla="*/ 199 w 168"/>
                              <a:gd name="T39" fmla="*/ 686 h 290"/>
                              <a:gd name="T40" fmla="*/ 341 w 168"/>
                              <a:gd name="T41" fmla="*/ 588 h 29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68" h="290">
                                <a:moveTo>
                                  <a:pt x="0" y="190"/>
                                </a:moveTo>
                                <a:cubicBezTo>
                                  <a:pt x="0" y="132"/>
                                  <a:pt x="25" y="91"/>
                                  <a:pt x="77" y="91"/>
                                </a:cubicBezTo>
                                <a:cubicBezTo>
                                  <a:pt x="104" y="91"/>
                                  <a:pt x="124" y="106"/>
                                  <a:pt x="132" y="119"/>
                                </a:cubicBezTo>
                                <a:cubicBezTo>
                                  <a:pt x="132" y="8"/>
                                  <a:pt x="132" y="8"/>
                                  <a:pt x="132" y="8"/>
                                </a:cubicBezTo>
                                <a:cubicBezTo>
                                  <a:pt x="132" y="4"/>
                                  <a:pt x="135" y="0"/>
                                  <a:pt x="140" y="0"/>
                                </a:cubicBezTo>
                                <a:cubicBezTo>
                                  <a:pt x="151" y="0"/>
                                  <a:pt x="151" y="0"/>
                                  <a:pt x="151" y="0"/>
                                </a:cubicBezTo>
                                <a:cubicBezTo>
                                  <a:pt x="155" y="0"/>
                                  <a:pt x="159" y="4"/>
                                  <a:pt x="159" y="8"/>
                                </a:cubicBezTo>
                                <a:cubicBezTo>
                                  <a:pt x="159" y="259"/>
                                  <a:pt x="159" y="259"/>
                                  <a:pt x="159" y="259"/>
                                </a:cubicBezTo>
                                <a:cubicBezTo>
                                  <a:pt x="159" y="268"/>
                                  <a:pt x="162" y="271"/>
                                  <a:pt x="168" y="271"/>
                                </a:cubicBezTo>
                                <a:cubicBezTo>
                                  <a:pt x="168" y="276"/>
                                  <a:pt x="168" y="276"/>
                                  <a:pt x="168" y="276"/>
                                </a:cubicBezTo>
                                <a:cubicBezTo>
                                  <a:pt x="168" y="282"/>
                                  <a:pt x="163" y="289"/>
                                  <a:pt x="149" y="289"/>
                                </a:cubicBezTo>
                                <a:cubicBezTo>
                                  <a:pt x="140" y="289"/>
                                  <a:pt x="132" y="283"/>
                                  <a:pt x="132" y="268"/>
                                </a:cubicBezTo>
                                <a:cubicBezTo>
                                  <a:pt x="132" y="261"/>
                                  <a:pt x="132" y="261"/>
                                  <a:pt x="132" y="261"/>
                                </a:cubicBezTo>
                                <a:cubicBezTo>
                                  <a:pt x="124" y="275"/>
                                  <a:pt x="104" y="290"/>
                                  <a:pt x="77" y="290"/>
                                </a:cubicBezTo>
                                <a:cubicBezTo>
                                  <a:pt x="25" y="290"/>
                                  <a:pt x="0" y="249"/>
                                  <a:pt x="0" y="190"/>
                                </a:cubicBezTo>
                                <a:moveTo>
                                  <a:pt x="132" y="228"/>
                                </a:moveTo>
                                <a:cubicBezTo>
                                  <a:pt x="132" y="152"/>
                                  <a:pt x="132" y="152"/>
                                  <a:pt x="132" y="152"/>
                                </a:cubicBezTo>
                                <a:cubicBezTo>
                                  <a:pt x="125" y="134"/>
                                  <a:pt x="106" y="115"/>
                                  <a:pt x="77" y="115"/>
                                </a:cubicBezTo>
                                <a:cubicBezTo>
                                  <a:pt x="47" y="115"/>
                                  <a:pt x="27" y="137"/>
                                  <a:pt x="27" y="190"/>
                                </a:cubicBezTo>
                                <a:cubicBezTo>
                                  <a:pt x="27" y="244"/>
                                  <a:pt x="47" y="266"/>
                                  <a:pt x="77" y="266"/>
                                </a:cubicBezTo>
                                <a:cubicBezTo>
                                  <a:pt x="106" y="266"/>
                                  <a:pt x="125" y="247"/>
                                  <a:pt x="132" y="228"/>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0"/>
                        <wps:cNvSpPr>
                          <a:spLocks noChangeAspect="1" noEditPoints="1"/>
                        </wps:cNvSpPr>
                        <wps:spPr bwMode="auto">
                          <a:xfrm>
                            <a:off x="4133" y="143"/>
                            <a:ext cx="257" cy="475"/>
                          </a:xfrm>
                          <a:custGeom>
                            <a:avLst/>
                            <a:gdLst>
                              <a:gd name="T0" fmla="*/ 357 w 160"/>
                              <a:gd name="T1" fmla="*/ 0 h 295"/>
                              <a:gd name="T2" fmla="*/ 413 w 160"/>
                              <a:gd name="T3" fmla="*/ 39 h 295"/>
                              <a:gd name="T4" fmla="*/ 413 w 160"/>
                              <a:gd name="T5" fmla="*/ 76 h 295"/>
                              <a:gd name="T6" fmla="*/ 397 w 160"/>
                              <a:gd name="T7" fmla="*/ 90 h 295"/>
                              <a:gd name="T8" fmla="*/ 384 w 160"/>
                              <a:gd name="T9" fmla="*/ 85 h 295"/>
                              <a:gd name="T10" fmla="*/ 332 w 160"/>
                              <a:gd name="T11" fmla="*/ 64 h 295"/>
                              <a:gd name="T12" fmla="*/ 307 w 160"/>
                              <a:gd name="T13" fmla="*/ 69 h 295"/>
                              <a:gd name="T14" fmla="*/ 361 w 160"/>
                              <a:gd name="T15" fmla="*/ 204 h 295"/>
                              <a:gd name="T16" fmla="*/ 188 w 160"/>
                              <a:gd name="T17" fmla="*/ 382 h 295"/>
                              <a:gd name="T18" fmla="*/ 137 w 160"/>
                              <a:gd name="T19" fmla="*/ 375 h 295"/>
                              <a:gd name="T20" fmla="*/ 108 w 160"/>
                              <a:gd name="T21" fmla="*/ 425 h 295"/>
                              <a:gd name="T22" fmla="*/ 135 w 160"/>
                              <a:gd name="T23" fmla="*/ 475 h 295"/>
                              <a:gd name="T24" fmla="*/ 201 w 160"/>
                              <a:gd name="T25" fmla="*/ 469 h 295"/>
                              <a:gd name="T26" fmla="*/ 400 w 160"/>
                              <a:gd name="T27" fmla="*/ 620 h 295"/>
                              <a:gd name="T28" fmla="*/ 201 w 160"/>
                              <a:gd name="T29" fmla="*/ 765 h 295"/>
                              <a:gd name="T30" fmla="*/ 0 w 160"/>
                              <a:gd name="T31" fmla="*/ 620 h 295"/>
                              <a:gd name="T32" fmla="*/ 72 w 160"/>
                              <a:gd name="T33" fmla="*/ 496 h 295"/>
                              <a:gd name="T34" fmla="*/ 47 w 160"/>
                              <a:gd name="T35" fmla="*/ 425 h 295"/>
                              <a:gd name="T36" fmla="*/ 82 w 160"/>
                              <a:gd name="T37" fmla="*/ 349 h 295"/>
                              <a:gd name="T38" fmla="*/ 16 w 160"/>
                              <a:gd name="T39" fmla="*/ 204 h 295"/>
                              <a:gd name="T40" fmla="*/ 188 w 160"/>
                              <a:gd name="T41" fmla="*/ 29 h 295"/>
                              <a:gd name="T42" fmla="*/ 260 w 160"/>
                              <a:gd name="T43" fmla="*/ 42 h 295"/>
                              <a:gd name="T44" fmla="*/ 357 w 160"/>
                              <a:gd name="T45" fmla="*/ 0 h 295"/>
                              <a:gd name="T46" fmla="*/ 337 w 160"/>
                              <a:gd name="T47" fmla="*/ 620 h 295"/>
                              <a:gd name="T48" fmla="*/ 201 w 160"/>
                              <a:gd name="T49" fmla="*/ 535 h 295"/>
                              <a:gd name="T50" fmla="*/ 63 w 160"/>
                              <a:gd name="T51" fmla="*/ 620 h 295"/>
                              <a:gd name="T52" fmla="*/ 201 w 160"/>
                              <a:gd name="T53" fmla="*/ 705 h 295"/>
                              <a:gd name="T54" fmla="*/ 337 w 160"/>
                              <a:gd name="T55" fmla="*/ 620 h 295"/>
                              <a:gd name="T56" fmla="*/ 297 w 160"/>
                              <a:gd name="T57" fmla="*/ 204 h 295"/>
                              <a:gd name="T58" fmla="*/ 188 w 160"/>
                              <a:gd name="T59" fmla="*/ 84 h 295"/>
                              <a:gd name="T60" fmla="*/ 80 w 160"/>
                              <a:gd name="T61" fmla="*/ 204 h 295"/>
                              <a:gd name="T62" fmla="*/ 188 w 160"/>
                              <a:gd name="T63" fmla="*/ 327 h 295"/>
                              <a:gd name="T64" fmla="*/ 297 w 160"/>
                              <a:gd name="T65" fmla="*/ 204 h 29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60" h="295">
                                <a:moveTo>
                                  <a:pt x="138" y="0"/>
                                </a:moveTo>
                                <a:cubicBezTo>
                                  <a:pt x="148" y="0"/>
                                  <a:pt x="160" y="6"/>
                                  <a:pt x="160" y="15"/>
                                </a:cubicBezTo>
                                <a:cubicBezTo>
                                  <a:pt x="160" y="29"/>
                                  <a:pt x="160" y="29"/>
                                  <a:pt x="160" y="29"/>
                                </a:cubicBezTo>
                                <a:cubicBezTo>
                                  <a:pt x="160" y="33"/>
                                  <a:pt x="158" y="35"/>
                                  <a:pt x="154" y="35"/>
                                </a:cubicBezTo>
                                <a:cubicBezTo>
                                  <a:pt x="152" y="35"/>
                                  <a:pt x="151" y="35"/>
                                  <a:pt x="149" y="33"/>
                                </a:cubicBezTo>
                                <a:cubicBezTo>
                                  <a:pt x="143" y="29"/>
                                  <a:pt x="139" y="25"/>
                                  <a:pt x="129" y="25"/>
                                </a:cubicBezTo>
                                <a:cubicBezTo>
                                  <a:pt x="125" y="25"/>
                                  <a:pt x="122" y="26"/>
                                  <a:pt x="119" y="27"/>
                                </a:cubicBezTo>
                                <a:cubicBezTo>
                                  <a:pt x="132" y="39"/>
                                  <a:pt x="140" y="57"/>
                                  <a:pt x="140" y="79"/>
                                </a:cubicBezTo>
                                <a:cubicBezTo>
                                  <a:pt x="140" y="120"/>
                                  <a:pt x="112" y="147"/>
                                  <a:pt x="73" y="147"/>
                                </a:cubicBezTo>
                                <a:cubicBezTo>
                                  <a:pt x="66" y="147"/>
                                  <a:pt x="59" y="146"/>
                                  <a:pt x="53" y="145"/>
                                </a:cubicBezTo>
                                <a:cubicBezTo>
                                  <a:pt x="47" y="148"/>
                                  <a:pt x="42" y="155"/>
                                  <a:pt x="42" y="164"/>
                                </a:cubicBezTo>
                                <a:cubicBezTo>
                                  <a:pt x="42" y="173"/>
                                  <a:pt x="46" y="180"/>
                                  <a:pt x="52" y="183"/>
                                </a:cubicBezTo>
                                <a:cubicBezTo>
                                  <a:pt x="60" y="182"/>
                                  <a:pt x="68" y="181"/>
                                  <a:pt x="78" y="181"/>
                                </a:cubicBezTo>
                                <a:cubicBezTo>
                                  <a:pt x="129" y="181"/>
                                  <a:pt x="155" y="205"/>
                                  <a:pt x="155" y="239"/>
                                </a:cubicBezTo>
                                <a:cubicBezTo>
                                  <a:pt x="155" y="273"/>
                                  <a:pt x="129" y="295"/>
                                  <a:pt x="78" y="295"/>
                                </a:cubicBezTo>
                                <a:cubicBezTo>
                                  <a:pt x="26" y="295"/>
                                  <a:pt x="0" y="273"/>
                                  <a:pt x="0" y="239"/>
                                </a:cubicBezTo>
                                <a:cubicBezTo>
                                  <a:pt x="0" y="218"/>
                                  <a:pt x="9" y="201"/>
                                  <a:pt x="28" y="191"/>
                                </a:cubicBezTo>
                                <a:cubicBezTo>
                                  <a:pt x="21" y="185"/>
                                  <a:pt x="18" y="175"/>
                                  <a:pt x="18" y="164"/>
                                </a:cubicBezTo>
                                <a:cubicBezTo>
                                  <a:pt x="18" y="152"/>
                                  <a:pt x="23" y="142"/>
                                  <a:pt x="32" y="135"/>
                                </a:cubicBezTo>
                                <a:cubicBezTo>
                                  <a:pt x="16" y="123"/>
                                  <a:pt x="6" y="103"/>
                                  <a:pt x="6" y="79"/>
                                </a:cubicBezTo>
                                <a:cubicBezTo>
                                  <a:pt x="6" y="37"/>
                                  <a:pt x="34" y="11"/>
                                  <a:pt x="73" y="11"/>
                                </a:cubicBezTo>
                                <a:cubicBezTo>
                                  <a:pt x="83" y="11"/>
                                  <a:pt x="93" y="13"/>
                                  <a:pt x="101" y="16"/>
                                </a:cubicBezTo>
                                <a:cubicBezTo>
                                  <a:pt x="112" y="5"/>
                                  <a:pt x="126" y="0"/>
                                  <a:pt x="138" y="0"/>
                                </a:cubicBezTo>
                                <a:moveTo>
                                  <a:pt x="131" y="239"/>
                                </a:moveTo>
                                <a:cubicBezTo>
                                  <a:pt x="131" y="217"/>
                                  <a:pt x="111" y="206"/>
                                  <a:pt x="78" y="206"/>
                                </a:cubicBezTo>
                                <a:cubicBezTo>
                                  <a:pt x="44" y="206"/>
                                  <a:pt x="24" y="217"/>
                                  <a:pt x="24" y="239"/>
                                </a:cubicBezTo>
                                <a:cubicBezTo>
                                  <a:pt x="24" y="261"/>
                                  <a:pt x="44" y="272"/>
                                  <a:pt x="78" y="272"/>
                                </a:cubicBezTo>
                                <a:cubicBezTo>
                                  <a:pt x="111" y="272"/>
                                  <a:pt x="131" y="261"/>
                                  <a:pt x="131" y="239"/>
                                </a:cubicBezTo>
                                <a:moveTo>
                                  <a:pt x="115" y="79"/>
                                </a:moveTo>
                                <a:cubicBezTo>
                                  <a:pt x="115" y="53"/>
                                  <a:pt x="102" y="32"/>
                                  <a:pt x="73" y="32"/>
                                </a:cubicBezTo>
                                <a:cubicBezTo>
                                  <a:pt x="44" y="32"/>
                                  <a:pt x="31" y="53"/>
                                  <a:pt x="31" y="79"/>
                                </a:cubicBezTo>
                                <a:cubicBezTo>
                                  <a:pt x="31" y="105"/>
                                  <a:pt x="44" y="126"/>
                                  <a:pt x="73" y="126"/>
                                </a:cubicBezTo>
                                <a:cubicBezTo>
                                  <a:pt x="102" y="126"/>
                                  <a:pt x="115" y="105"/>
                                  <a:pt x="115" y="7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
                        <wps:cNvSpPr>
                          <a:spLocks noChangeAspect="1" noEditPoints="1"/>
                        </wps:cNvSpPr>
                        <wps:spPr bwMode="auto">
                          <a:xfrm>
                            <a:off x="4407" y="161"/>
                            <a:ext cx="244" cy="320"/>
                          </a:xfrm>
                          <a:custGeom>
                            <a:avLst/>
                            <a:gdLst>
                              <a:gd name="T0" fmla="*/ 0 w 152"/>
                              <a:gd name="T1" fmla="*/ 256 h 199"/>
                              <a:gd name="T2" fmla="*/ 209 w 152"/>
                              <a:gd name="T3" fmla="*/ 0 h 199"/>
                              <a:gd name="T4" fmla="*/ 392 w 152"/>
                              <a:gd name="T5" fmla="*/ 195 h 199"/>
                              <a:gd name="T6" fmla="*/ 387 w 152"/>
                              <a:gd name="T7" fmla="*/ 264 h 199"/>
                              <a:gd name="T8" fmla="*/ 67 w 152"/>
                              <a:gd name="T9" fmla="*/ 264 h 199"/>
                              <a:gd name="T10" fmla="*/ 231 w 152"/>
                              <a:gd name="T11" fmla="*/ 455 h 199"/>
                              <a:gd name="T12" fmla="*/ 361 w 152"/>
                              <a:gd name="T13" fmla="*/ 412 h 199"/>
                              <a:gd name="T14" fmla="*/ 376 w 152"/>
                              <a:gd name="T15" fmla="*/ 405 h 199"/>
                              <a:gd name="T16" fmla="*/ 388 w 152"/>
                              <a:gd name="T17" fmla="*/ 425 h 199"/>
                              <a:gd name="T18" fmla="*/ 388 w 152"/>
                              <a:gd name="T19" fmla="*/ 439 h 199"/>
                              <a:gd name="T20" fmla="*/ 371 w 152"/>
                              <a:gd name="T21" fmla="*/ 471 h 199"/>
                              <a:gd name="T22" fmla="*/ 218 w 152"/>
                              <a:gd name="T23" fmla="*/ 515 h 199"/>
                              <a:gd name="T24" fmla="*/ 0 w 152"/>
                              <a:gd name="T25" fmla="*/ 256 h 199"/>
                              <a:gd name="T26" fmla="*/ 324 w 152"/>
                              <a:gd name="T27" fmla="*/ 209 h 199"/>
                              <a:gd name="T28" fmla="*/ 324 w 152"/>
                              <a:gd name="T29" fmla="*/ 175 h 199"/>
                              <a:gd name="T30" fmla="*/ 214 w 152"/>
                              <a:gd name="T31" fmla="*/ 59 h 199"/>
                              <a:gd name="T32" fmla="*/ 72 w 152"/>
                              <a:gd name="T33" fmla="*/ 209 h 199"/>
                              <a:gd name="T34" fmla="*/ 324 w 152"/>
                              <a:gd name="T35" fmla="*/ 209 h 19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52" h="199">
                                <a:moveTo>
                                  <a:pt x="0" y="99"/>
                                </a:moveTo>
                                <a:cubicBezTo>
                                  <a:pt x="0" y="41"/>
                                  <a:pt x="28" y="0"/>
                                  <a:pt x="81" y="0"/>
                                </a:cubicBezTo>
                                <a:cubicBezTo>
                                  <a:pt x="127" y="0"/>
                                  <a:pt x="152" y="28"/>
                                  <a:pt x="152" y="75"/>
                                </a:cubicBezTo>
                                <a:cubicBezTo>
                                  <a:pt x="152" y="83"/>
                                  <a:pt x="152" y="93"/>
                                  <a:pt x="150" y="102"/>
                                </a:cubicBezTo>
                                <a:cubicBezTo>
                                  <a:pt x="26" y="102"/>
                                  <a:pt x="26" y="102"/>
                                  <a:pt x="26" y="102"/>
                                </a:cubicBezTo>
                                <a:cubicBezTo>
                                  <a:pt x="26" y="148"/>
                                  <a:pt x="48" y="176"/>
                                  <a:pt x="90" y="176"/>
                                </a:cubicBezTo>
                                <a:cubicBezTo>
                                  <a:pt x="115" y="176"/>
                                  <a:pt x="133" y="163"/>
                                  <a:pt x="140" y="159"/>
                                </a:cubicBezTo>
                                <a:cubicBezTo>
                                  <a:pt x="142" y="158"/>
                                  <a:pt x="144" y="157"/>
                                  <a:pt x="146" y="157"/>
                                </a:cubicBezTo>
                                <a:cubicBezTo>
                                  <a:pt x="149" y="157"/>
                                  <a:pt x="151" y="160"/>
                                  <a:pt x="151" y="164"/>
                                </a:cubicBezTo>
                                <a:cubicBezTo>
                                  <a:pt x="151" y="170"/>
                                  <a:pt x="151" y="170"/>
                                  <a:pt x="151" y="170"/>
                                </a:cubicBezTo>
                                <a:cubicBezTo>
                                  <a:pt x="151" y="174"/>
                                  <a:pt x="150" y="178"/>
                                  <a:pt x="144" y="182"/>
                                </a:cubicBezTo>
                                <a:cubicBezTo>
                                  <a:pt x="137" y="186"/>
                                  <a:pt x="119" y="199"/>
                                  <a:pt x="85" y="199"/>
                                </a:cubicBezTo>
                                <a:cubicBezTo>
                                  <a:pt x="27" y="199"/>
                                  <a:pt x="0" y="158"/>
                                  <a:pt x="0" y="99"/>
                                </a:cubicBezTo>
                                <a:moveTo>
                                  <a:pt x="126" y="81"/>
                                </a:moveTo>
                                <a:cubicBezTo>
                                  <a:pt x="126" y="76"/>
                                  <a:pt x="126" y="72"/>
                                  <a:pt x="126" y="68"/>
                                </a:cubicBezTo>
                                <a:cubicBezTo>
                                  <a:pt x="126" y="40"/>
                                  <a:pt x="107" y="23"/>
                                  <a:pt x="83" y="23"/>
                                </a:cubicBezTo>
                                <a:cubicBezTo>
                                  <a:pt x="46" y="23"/>
                                  <a:pt x="32" y="48"/>
                                  <a:pt x="28" y="81"/>
                                </a:cubicBezTo>
                                <a:lnTo>
                                  <a:pt x="126" y="81"/>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2"/>
                        <wps:cNvSpPr>
                          <a:spLocks noChangeAspect="1"/>
                        </wps:cNvSpPr>
                        <wps:spPr bwMode="auto">
                          <a:xfrm>
                            <a:off x="4694" y="161"/>
                            <a:ext cx="193" cy="320"/>
                          </a:xfrm>
                          <a:custGeom>
                            <a:avLst/>
                            <a:gdLst>
                              <a:gd name="T0" fmla="*/ 23 w 120"/>
                              <a:gd name="T1" fmla="*/ 484 h 199"/>
                              <a:gd name="T2" fmla="*/ 0 w 120"/>
                              <a:gd name="T3" fmla="*/ 450 h 199"/>
                              <a:gd name="T4" fmla="*/ 0 w 120"/>
                              <a:gd name="T5" fmla="*/ 426 h 199"/>
                              <a:gd name="T6" fmla="*/ 16 w 120"/>
                              <a:gd name="T7" fmla="*/ 412 h 199"/>
                              <a:gd name="T8" fmla="*/ 31 w 120"/>
                              <a:gd name="T9" fmla="*/ 413 h 199"/>
                              <a:gd name="T10" fmla="*/ 156 w 120"/>
                              <a:gd name="T11" fmla="*/ 455 h 199"/>
                              <a:gd name="T12" fmla="*/ 243 w 120"/>
                              <a:gd name="T13" fmla="*/ 375 h 199"/>
                              <a:gd name="T14" fmla="*/ 142 w 120"/>
                              <a:gd name="T15" fmla="*/ 280 h 199"/>
                              <a:gd name="T16" fmla="*/ 13 w 120"/>
                              <a:gd name="T17" fmla="*/ 140 h 199"/>
                              <a:gd name="T18" fmla="*/ 156 w 120"/>
                              <a:gd name="T19" fmla="*/ 0 h 199"/>
                              <a:gd name="T20" fmla="*/ 272 w 120"/>
                              <a:gd name="T21" fmla="*/ 31 h 199"/>
                              <a:gd name="T22" fmla="*/ 293 w 120"/>
                              <a:gd name="T23" fmla="*/ 63 h 199"/>
                              <a:gd name="T24" fmla="*/ 293 w 120"/>
                              <a:gd name="T25" fmla="*/ 88 h 199"/>
                              <a:gd name="T26" fmla="*/ 280 w 120"/>
                              <a:gd name="T27" fmla="*/ 103 h 199"/>
                              <a:gd name="T28" fmla="*/ 264 w 120"/>
                              <a:gd name="T29" fmla="*/ 98 h 199"/>
                              <a:gd name="T30" fmla="*/ 161 w 120"/>
                              <a:gd name="T31" fmla="*/ 56 h 199"/>
                              <a:gd name="T32" fmla="*/ 77 w 120"/>
                              <a:gd name="T33" fmla="*/ 132 h 199"/>
                              <a:gd name="T34" fmla="*/ 161 w 120"/>
                              <a:gd name="T35" fmla="*/ 214 h 199"/>
                              <a:gd name="T36" fmla="*/ 310 w 120"/>
                              <a:gd name="T37" fmla="*/ 367 h 199"/>
                              <a:gd name="T38" fmla="*/ 156 w 120"/>
                              <a:gd name="T39" fmla="*/ 515 h 199"/>
                              <a:gd name="T40" fmla="*/ 23 w 120"/>
                              <a:gd name="T41" fmla="*/ 484 h 19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99">
                                <a:moveTo>
                                  <a:pt x="9" y="187"/>
                                </a:moveTo>
                                <a:cubicBezTo>
                                  <a:pt x="4" y="183"/>
                                  <a:pt x="0" y="179"/>
                                  <a:pt x="0" y="174"/>
                                </a:cubicBezTo>
                                <a:cubicBezTo>
                                  <a:pt x="0" y="165"/>
                                  <a:pt x="0" y="165"/>
                                  <a:pt x="0" y="165"/>
                                </a:cubicBezTo>
                                <a:cubicBezTo>
                                  <a:pt x="0" y="161"/>
                                  <a:pt x="2" y="159"/>
                                  <a:pt x="6" y="159"/>
                                </a:cubicBezTo>
                                <a:cubicBezTo>
                                  <a:pt x="8" y="159"/>
                                  <a:pt x="10" y="159"/>
                                  <a:pt x="12" y="160"/>
                                </a:cubicBezTo>
                                <a:cubicBezTo>
                                  <a:pt x="20" y="165"/>
                                  <a:pt x="35" y="176"/>
                                  <a:pt x="60" y="176"/>
                                </a:cubicBezTo>
                                <a:cubicBezTo>
                                  <a:pt x="76" y="176"/>
                                  <a:pt x="94" y="168"/>
                                  <a:pt x="94" y="145"/>
                                </a:cubicBezTo>
                                <a:cubicBezTo>
                                  <a:pt x="94" y="125"/>
                                  <a:pt x="84" y="115"/>
                                  <a:pt x="55" y="108"/>
                                </a:cubicBezTo>
                                <a:cubicBezTo>
                                  <a:pt x="32" y="102"/>
                                  <a:pt x="5" y="87"/>
                                  <a:pt x="5" y="54"/>
                                </a:cubicBezTo>
                                <a:cubicBezTo>
                                  <a:pt x="5" y="20"/>
                                  <a:pt x="30" y="0"/>
                                  <a:pt x="60" y="0"/>
                                </a:cubicBezTo>
                                <a:cubicBezTo>
                                  <a:pt x="85" y="0"/>
                                  <a:pt x="97" y="7"/>
                                  <a:pt x="105" y="12"/>
                                </a:cubicBezTo>
                                <a:cubicBezTo>
                                  <a:pt x="111" y="16"/>
                                  <a:pt x="113" y="19"/>
                                  <a:pt x="113" y="24"/>
                                </a:cubicBezTo>
                                <a:cubicBezTo>
                                  <a:pt x="113" y="34"/>
                                  <a:pt x="113" y="34"/>
                                  <a:pt x="113" y="34"/>
                                </a:cubicBezTo>
                                <a:cubicBezTo>
                                  <a:pt x="113" y="38"/>
                                  <a:pt x="112" y="40"/>
                                  <a:pt x="108" y="40"/>
                                </a:cubicBezTo>
                                <a:cubicBezTo>
                                  <a:pt x="105" y="40"/>
                                  <a:pt x="104" y="39"/>
                                  <a:pt x="102" y="38"/>
                                </a:cubicBezTo>
                                <a:cubicBezTo>
                                  <a:pt x="94" y="33"/>
                                  <a:pt x="86" y="22"/>
                                  <a:pt x="62" y="22"/>
                                </a:cubicBezTo>
                                <a:cubicBezTo>
                                  <a:pt x="42" y="22"/>
                                  <a:pt x="30" y="30"/>
                                  <a:pt x="30" y="51"/>
                                </a:cubicBezTo>
                                <a:cubicBezTo>
                                  <a:pt x="30" y="66"/>
                                  <a:pt x="40" y="78"/>
                                  <a:pt x="62" y="83"/>
                                </a:cubicBezTo>
                                <a:cubicBezTo>
                                  <a:pt x="94" y="91"/>
                                  <a:pt x="120" y="105"/>
                                  <a:pt x="120" y="142"/>
                                </a:cubicBezTo>
                                <a:cubicBezTo>
                                  <a:pt x="120" y="179"/>
                                  <a:pt x="92" y="199"/>
                                  <a:pt x="60" y="199"/>
                                </a:cubicBezTo>
                                <a:cubicBezTo>
                                  <a:pt x="35" y="199"/>
                                  <a:pt x="18" y="192"/>
                                  <a:pt x="9"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3"/>
                        <wps:cNvSpPr>
                          <a:spLocks noChangeAspect="1"/>
                        </wps:cNvSpPr>
                        <wps:spPr bwMode="auto">
                          <a:xfrm>
                            <a:off x="4936" y="15"/>
                            <a:ext cx="228" cy="460"/>
                          </a:xfrm>
                          <a:custGeom>
                            <a:avLst/>
                            <a:gdLst>
                              <a:gd name="T0" fmla="*/ 0 w 142"/>
                              <a:gd name="T1" fmla="*/ 722 h 286"/>
                              <a:gd name="T2" fmla="*/ 0 w 142"/>
                              <a:gd name="T3" fmla="*/ 21 h 286"/>
                              <a:gd name="T4" fmla="*/ 18 w 142"/>
                              <a:gd name="T5" fmla="*/ 0 h 286"/>
                              <a:gd name="T6" fmla="*/ 50 w 142"/>
                              <a:gd name="T7" fmla="*/ 0 h 286"/>
                              <a:gd name="T8" fmla="*/ 67 w 142"/>
                              <a:gd name="T9" fmla="*/ 21 h 286"/>
                              <a:gd name="T10" fmla="*/ 67 w 142"/>
                              <a:gd name="T11" fmla="*/ 280 h 286"/>
                              <a:gd name="T12" fmla="*/ 222 w 142"/>
                              <a:gd name="T13" fmla="*/ 238 h 286"/>
                              <a:gd name="T14" fmla="*/ 366 w 142"/>
                              <a:gd name="T15" fmla="*/ 391 h 286"/>
                              <a:gd name="T16" fmla="*/ 366 w 142"/>
                              <a:gd name="T17" fmla="*/ 722 h 286"/>
                              <a:gd name="T18" fmla="*/ 348 w 142"/>
                              <a:gd name="T19" fmla="*/ 740 h 286"/>
                              <a:gd name="T20" fmla="*/ 316 w 142"/>
                              <a:gd name="T21" fmla="*/ 740 h 286"/>
                              <a:gd name="T22" fmla="*/ 299 w 142"/>
                              <a:gd name="T23" fmla="*/ 722 h 286"/>
                              <a:gd name="T24" fmla="*/ 299 w 142"/>
                              <a:gd name="T25" fmla="*/ 391 h 286"/>
                              <a:gd name="T26" fmla="*/ 214 w 142"/>
                              <a:gd name="T27" fmla="*/ 306 h 286"/>
                              <a:gd name="T28" fmla="*/ 67 w 142"/>
                              <a:gd name="T29" fmla="*/ 339 h 286"/>
                              <a:gd name="T30" fmla="*/ 67 w 142"/>
                              <a:gd name="T31" fmla="*/ 722 h 286"/>
                              <a:gd name="T32" fmla="*/ 50 w 142"/>
                              <a:gd name="T33" fmla="*/ 740 h 286"/>
                              <a:gd name="T34" fmla="*/ 18 w 142"/>
                              <a:gd name="T35" fmla="*/ 740 h 286"/>
                              <a:gd name="T36" fmla="*/ 0 w 142"/>
                              <a:gd name="T37" fmla="*/ 722 h 28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286">
                                <a:moveTo>
                                  <a:pt x="0" y="279"/>
                                </a:moveTo>
                                <a:cubicBezTo>
                                  <a:pt x="0" y="8"/>
                                  <a:pt x="0" y="8"/>
                                  <a:pt x="0" y="8"/>
                                </a:cubicBezTo>
                                <a:cubicBezTo>
                                  <a:pt x="0" y="4"/>
                                  <a:pt x="3" y="0"/>
                                  <a:pt x="7" y="0"/>
                                </a:cubicBezTo>
                                <a:cubicBezTo>
                                  <a:pt x="19" y="0"/>
                                  <a:pt x="19" y="0"/>
                                  <a:pt x="19" y="0"/>
                                </a:cubicBezTo>
                                <a:cubicBezTo>
                                  <a:pt x="23" y="0"/>
                                  <a:pt x="26" y="4"/>
                                  <a:pt x="26" y="8"/>
                                </a:cubicBezTo>
                                <a:cubicBezTo>
                                  <a:pt x="26" y="108"/>
                                  <a:pt x="26" y="108"/>
                                  <a:pt x="26" y="108"/>
                                </a:cubicBezTo>
                                <a:cubicBezTo>
                                  <a:pt x="34" y="106"/>
                                  <a:pt x="55" y="92"/>
                                  <a:pt x="86" y="92"/>
                                </a:cubicBezTo>
                                <a:cubicBezTo>
                                  <a:pt x="119" y="92"/>
                                  <a:pt x="142" y="106"/>
                                  <a:pt x="142" y="151"/>
                                </a:cubicBezTo>
                                <a:cubicBezTo>
                                  <a:pt x="142" y="279"/>
                                  <a:pt x="142" y="279"/>
                                  <a:pt x="142" y="279"/>
                                </a:cubicBezTo>
                                <a:cubicBezTo>
                                  <a:pt x="142" y="283"/>
                                  <a:pt x="139" y="286"/>
                                  <a:pt x="135" y="286"/>
                                </a:cubicBezTo>
                                <a:cubicBezTo>
                                  <a:pt x="123" y="286"/>
                                  <a:pt x="123" y="286"/>
                                  <a:pt x="123" y="286"/>
                                </a:cubicBezTo>
                                <a:cubicBezTo>
                                  <a:pt x="119" y="286"/>
                                  <a:pt x="116" y="283"/>
                                  <a:pt x="116" y="279"/>
                                </a:cubicBezTo>
                                <a:cubicBezTo>
                                  <a:pt x="116" y="151"/>
                                  <a:pt x="116" y="151"/>
                                  <a:pt x="116" y="151"/>
                                </a:cubicBezTo>
                                <a:cubicBezTo>
                                  <a:pt x="116" y="129"/>
                                  <a:pt x="105" y="118"/>
                                  <a:pt x="83" y="118"/>
                                </a:cubicBezTo>
                                <a:cubicBezTo>
                                  <a:pt x="52" y="118"/>
                                  <a:pt x="26" y="131"/>
                                  <a:pt x="26" y="131"/>
                                </a:cubicBezTo>
                                <a:cubicBezTo>
                                  <a:pt x="26" y="279"/>
                                  <a:pt x="26" y="279"/>
                                  <a:pt x="26" y="279"/>
                                </a:cubicBezTo>
                                <a:cubicBezTo>
                                  <a:pt x="26" y="283"/>
                                  <a:pt x="23" y="286"/>
                                  <a:pt x="19" y="286"/>
                                </a:cubicBezTo>
                                <a:cubicBezTo>
                                  <a:pt x="7" y="286"/>
                                  <a:pt x="7" y="286"/>
                                  <a:pt x="7" y="286"/>
                                </a:cubicBezTo>
                                <a:cubicBezTo>
                                  <a:pt x="3" y="286"/>
                                  <a:pt x="0" y="283"/>
                                  <a:pt x="0" y="27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4"/>
                        <wps:cNvSpPr>
                          <a:spLocks noChangeAspect="1" noEditPoints="1"/>
                        </wps:cNvSpPr>
                        <wps:spPr bwMode="auto">
                          <a:xfrm>
                            <a:off x="5225" y="60"/>
                            <a:ext cx="53" cy="415"/>
                          </a:xfrm>
                          <a:custGeom>
                            <a:avLst/>
                            <a:gdLst>
                              <a:gd name="T0" fmla="*/ 0 w 33"/>
                              <a:gd name="T1" fmla="*/ 47 h 258"/>
                              <a:gd name="T2" fmla="*/ 43 w 33"/>
                              <a:gd name="T3" fmla="*/ 0 h 258"/>
                              <a:gd name="T4" fmla="*/ 85 w 33"/>
                              <a:gd name="T5" fmla="*/ 47 h 258"/>
                              <a:gd name="T6" fmla="*/ 43 w 33"/>
                              <a:gd name="T7" fmla="*/ 90 h 258"/>
                              <a:gd name="T8" fmla="*/ 0 w 33"/>
                              <a:gd name="T9" fmla="*/ 47 h 258"/>
                              <a:gd name="T10" fmla="*/ 8 w 33"/>
                              <a:gd name="T11" fmla="*/ 650 h 258"/>
                              <a:gd name="T12" fmla="*/ 8 w 33"/>
                              <a:gd name="T13" fmla="*/ 191 h 258"/>
                              <a:gd name="T14" fmla="*/ 29 w 33"/>
                              <a:gd name="T15" fmla="*/ 174 h 258"/>
                              <a:gd name="T16" fmla="*/ 56 w 33"/>
                              <a:gd name="T17" fmla="*/ 174 h 258"/>
                              <a:gd name="T18" fmla="*/ 77 w 33"/>
                              <a:gd name="T19" fmla="*/ 191 h 258"/>
                              <a:gd name="T20" fmla="*/ 77 w 33"/>
                              <a:gd name="T21" fmla="*/ 650 h 258"/>
                              <a:gd name="T22" fmla="*/ 56 w 33"/>
                              <a:gd name="T23" fmla="*/ 668 h 258"/>
                              <a:gd name="T24" fmla="*/ 29 w 33"/>
                              <a:gd name="T25" fmla="*/ 668 h 258"/>
                              <a:gd name="T26" fmla="*/ 8 w 33"/>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3" h="258">
                                <a:moveTo>
                                  <a:pt x="0" y="18"/>
                                </a:moveTo>
                                <a:cubicBezTo>
                                  <a:pt x="0" y="8"/>
                                  <a:pt x="7" y="0"/>
                                  <a:pt x="17" y="0"/>
                                </a:cubicBezTo>
                                <a:cubicBezTo>
                                  <a:pt x="26" y="0"/>
                                  <a:pt x="33" y="8"/>
                                  <a:pt x="33" y="18"/>
                                </a:cubicBezTo>
                                <a:cubicBezTo>
                                  <a:pt x="33" y="27"/>
                                  <a:pt x="26" y="35"/>
                                  <a:pt x="17" y="35"/>
                                </a:cubicBezTo>
                                <a:cubicBezTo>
                                  <a:pt x="7" y="35"/>
                                  <a:pt x="0" y="27"/>
                                  <a:pt x="0" y="18"/>
                                </a:cubicBezTo>
                                <a:moveTo>
                                  <a:pt x="3" y="251"/>
                                </a:moveTo>
                                <a:cubicBezTo>
                                  <a:pt x="3" y="74"/>
                                  <a:pt x="3" y="74"/>
                                  <a:pt x="3" y="74"/>
                                </a:cubicBezTo>
                                <a:cubicBezTo>
                                  <a:pt x="3" y="70"/>
                                  <a:pt x="6" y="67"/>
                                  <a:pt x="11" y="67"/>
                                </a:cubicBezTo>
                                <a:cubicBezTo>
                                  <a:pt x="22" y="67"/>
                                  <a:pt x="22" y="67"/>
                                  <a:pt x="22" y="67"/>
                                </a:cubicBezTo>
                                <a:cubicBezTo>
                                  <a:pt x="27" y="67"/>
                                  <a:pt x="30" y="70"/>
                                  <a:pt x="30" y="74"/>
                                </a:cubicBezTo>
                                <a:cubicBezTo>
                                  <a:pt x="30" y="251"/>
                                  <a:pt x="30" y="251"/>
                                  <a:pt x="30" y="251"/>
                                </a:cubicBezTo>
                                <a:cubicBezTo>
                                  <a:pt x="30" y="255"/>
                                  <a:pt x="27" y="258"/>
                                  <a:pt x="22" y="258"/>
                                </a:cubicBezTo>
                                <a:cubicBezTo>
                                  <a:pt x="11" y="258"/>
                                  <a:pt x="11" y="258"/>
                                  <a:pt x="11" y="258"/>
                                </a:cubicBezTo>
                                <a:cubicBezTo>
                                  <a:pt x="6" y="258"/>
                                  <a:pt x="3" y="255"/>
                                  <a:pt x="3"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
                        <wps:cNvSpPr>
                          <a:spLocks noChangeAspect="1"/>
                        </wps:cNvSpPr>
                        <wps:spPr bwMode="auto">
                          <a:xfrm>
                            <a:off x="5340" y="167"/>
                            <a:ext cx="154" cy="308"/>
                          </a:xfrm>
                          <a:custGeom>
                            <a:avLst/>
                            <a:gdLst>
                              <a:gd name="T0" fmla="*/ 0 w 96"/>
                              <a:gd name="T1" fmla="*/ 479 h 191"/>
                              <a:gd name="T2" fmla="*/ 0 w 96"/>
                              <a:gd name="T3" fmla="*/ 18 h 191"/>
                              <a:gd name="T4" fmla="*/ 18 w 96"/>
                              <a:gd name="T5" fmla="*/ 0 h 191"/>
                              <a:gd name="T6" fmla="*/ 48 w 96"/>
                              <a:gd name="T7" fmla="*/ 0 h 191"/>
                              <a:gd name="T8" fmla="*/ 67 w 96"/>
                              <a:gd name="T9" fmla="*/ 18 h 191"/>
                              <a:gd name="T10" fmla="*/ 67 w 96"/>
                              <a:gd name="T11" fmla="*/ 52 h 191"/>
                              <a:gd name="T12" fmla="*/ 188 w 96"/>
                              <a:gd name="T13" fmla="*/ 0 h 191"/>
                              <a:gd name="T14" fmla="*/ 247 w 96"/>
                              <a:gd name="T15" fmla="*/ 37 h 191"/>
                              <a:gd name="T16" fmla="*/ 247 w 96"/>
                              <a:gd name="T17" fmla="*/ 73 h 191"/>
                              <a:gd name="T18" fmla="*/ 231 w 96"/>
                              <a:gd name="T19" fmla="*/ 89 h 191"/>
                              <a:gd name="T20" fmla="*/ 218 w 96"/>
                              <a:gd name="T21" fmla="*/ 85 h 191"/>
                              <a:gd name="T22" fmla="*/ 165 w 96"/>
                              <a:gd name="T23" fmla="*/ 65 h 191"/>
                              <a:gd name="T24" fmla="*/ 67 w 96"/>
                              <a:gd name="T25" fmla="*/ 111 h 191"/>
                              <a:gd name="T26" fmla="*/ 67 w 96"/>
                              <a:gd name="T27" fmla="*/ 479 h 191"/>
                              <a:gd name="T28" fmla="*/ 48 w 96"/>
                              <a:gd name="T29" fmla="*/ 497 h 191"/>
                              <a:gd name="T30" fmla="*/ 18 w 96"/>
                              <a:gd name="T31" fmla="*/ 497 h 191"/>
                              <a:gd name="T32" fmla="*/ 0 w 96"/>
                              <a:gd name="T33" fmla="*/ 479 h 1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6" h="191">
                                <a:moveTo>
                                  <a:pt x="0" y="184"/>
                                </a:moveTo>
                                <a:cubicBezTo>
                                  <a:pt x="0" y="7"/>
                                  <a:pt x="0" y="7"/>
                                  <a:pt x="0" y="7"/>
                                </a:cubicBezTo>
                                <a:cubicBezTo>
                                  <a:pt x="0" y="3"/>
                                  <a:pt x="3" y="0"/>
                                  <a:pt x="7" y="0"/>
                                </a:cubicBezTo>
                                <a:cubicBezTo>
                                  <a:pt x="19" y="0"/>
                                  <a:pt x="19" y="0"/>
                                  <a:pt x="19" y="0"/>
                                </a:cubicBezTo>
                                <a:cubicBezTo>
                                  <a:pt x="23" y="0"/>
                                  <a:pt x="26" y="3"/>
                                  <a:pt x="26" y="7"/>
                                </a:cubicBezTo>
                                <a:cubicBezTo>
                                  <a:pt x="26" y="20"/>
                                  <a:pt x="26" y="20"/>
                                  <a:pt x="26" y="20"/>
                                </a:cubicBezTo>
                                <a:cubicBezTo>
                                  <a:pt x="41" y="7"/>
                                  <a:pt x="60" y="0"/>
                                  <a:pt x="73" y="0"/>
                                </a:cubicBezTo>
                                <a:cubicBezTo>
                                  <a:pt x="84" y="0"/>
                                  <a:pt x="96" y="5"/>
                                  <a:pt x="96" y="14"/>
                                </a:cubicBezTo>
                                <a:cubicBezTo>
                                  <a:pt x="96" y="28"/>
                                  <a:pt x="96" y="28"/>
                                  <a:pt x="96" y="28"/>
                                </a:cubicBezTo>
                                <a:cubicBezTo>
                                  <a:pt x="96" y="32"/>
                                  <a:pt x="93" y="34"/>
                                  <a:pt x="90" y="34"/>
                                </a:cubicBezTo>
                                <a:cubicBezTo>
                                  <a:pt x="88" y="34"/>
                                  <a:pt x="86" y="34"/>
                                  <a:pt x="85" y="33"/>
                                </a:cubicBezTo>
                                <a:cubicBezTo>
                                  <a:pt x="79" y="29"/>
                                  <a:pt x="75" y="25"/>
                                  <a:pt x="64" y="25"/>
                                </a:cubicBezTo>
                                <a:cubicBezTo>
                                  <a:pt x="54" y="25"/>
                                  <a:pt x="40" y="32"/>
                                  <a:pt x="26" y="43"/>
                                </a:cubicBezTo>
                                <a:cubicBezTo>
                                  <a:pt x="26" y="184"/>
                                  <a:pt x="26" y="184"/>
                                  <a:pt x="26" y="184"/>
                                </a:cubicBezTo>
                                <a:cubicBezTo>
                                  <a:pt x="26" y="188"/>
                                  <a:pt x="23" y="191"/>
                                  <a:pt x="19" y="191"/>
                                </a:cubicBezTo>
                                <a:cubicBezTo>
                                  <a:pt x="7" y="191"/>
                                  <a:pt x="7" y="191"/>
                                  <a:pt x="7" y="191"/>
                                </a:cubicBezTo>
                                <a:cubicBezTo>
                                  <a:pt x="3" y="191"/>
                                  <a:pt x="0" y="188"/>
                                  <a:pt x="0" y="184"/>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6"/>
                        <wps:cNvSpPr>
                          <a:spLocks noChangeAspect="1" noEditPoints="1"/>
                        </wps:cNvSpPr>
                        <wps:spPr bwMode="auto">
                          <a:xfrm>
                            <a:off x="5513" y="161"/>
                            <a:ext cx="245" cy="320"/>
                          </a:xfrm>
                          <a:custGeom>
                            <a:avLst/>
                            <a:gdLst>
                              <a:gd name="T0" fmla="*/ 0 w 153"/>
                              <a:gd name="T1" fmla="*/ 256 h 199"/>
                              <a:gd name="T2" fmla="*/ 210 w 153"/>
                              <a:gd name="T3" fmla="*/ 0 h 199"/>
                              <a:gd name="T4" fmla="*/ 392 w 153"/>
                              <a:gd name="T5" fmla="*/ 195 h 199"/>
                              <a:gd name="T6" fmla="*/ 384 w 153"/>
                              <a:gd name="T7" fmla="*/ 264 h 199"/>
                              <a:gd name="T8" fmla="*/ 69 w 153"/>
                              <a:gd name="T9" fmla="*/ 264 h 199"/>
                              <a:gd name="T10" fmla="*/ 234 w 153"/>
                              <a:gd name="T11" fmla="*/ 455 h 199"/>
                              <a:gd name="T12" fmla="*/ 362 w 153"/>
                              <a:gd name="T13" fmla="*/ 412 h 199"/>
                              <a:gd name="T14" fmla="*/ 375 w 153"/>
                              <a:gd name="T15" fmla="*/ 405 h 199"/>
                              <a:gd name="T16" fmla="*/ 389 w 153"/>
                              <a:gd name="T17" fmla="*/ 425 h 199"/>
                              <a:gd name="T18" fmla="*/ 389 w 153"/>
                              <a:gd name="T19" fmla="*/ 439 h 199"/>
                              <a:gd name="T20" fmla="*/ 370 w 153"/>
                              <a:gd name="T21" fmla="*/ 471 h 199"/>
                              <a:gd name="T22" fmla="*/ 221 w 153"/>
                              <a:gd name="T23" fmla="*/ 515 h 199"/>
                              <a:gd name="T24" fmla="*/ 0 w 153"/>
                              <a:gd name="T25" fmla="*/ 256 h 199"/>
                              <a:gd name="T26" fmla="*/ 323 w 153"/>
                              <a:gd name="T27" fmla="*/ 209 h 199"/>
                              <a:gd name="T28" fmla="*/ 325 w 153"/>
                              <a:gd name="T29" fmla="*/ 175 h 199"/>
                              <a:gd name="T30" fmla="*/ 213 w 153"/>
                              <a:gd name="T31" fmla="*/ 59 h 199"/>
                              <a:gd name="T32" fmla="*/ 72 w 153"/>
                              <a:gd name="T33" fmla="*/ 209 h 199"/>
                              <a:gd name="T34" fmla="*/ 323 w 153"/>
                              <a:gd name="T35" fmla="*/ 209 h 19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53" h="199">
                                <a:moveTo>
                                  <a:pt x="0" y="99"/>
                                </a:moveTo>
                                <a:cubicBezTo>
                                  <a:pt x="0" y="41"/>
                                  <a:pt x="29" y="0"/>
                                  <a:pt x="82" y="0"/>
                                </a:cubicBezTo>
                                <a:cubicBezTo>
                                  <a:pt x="128" y="0"/>
                                  <a:pt x="153" y="28"/>
                                  <a:pt x="153" y="75"/>
                                </a:cubicBezTo>
                                <a:cubicBezTo>
                                  <a:pt x="153" y="83"/>
                                  <a:pt x="152" y="93"/>
                                  <a:pt x="150" y="102"/>
                                </a:cubicBezTo>
                                <a:cubicBezTo>
                                  <a:pt x="27" y="102"/>
                                  <a:pt x="27" y="102"/>
                                  <a:pt x="27" y="102"/>
                                </a:cubicBezTo>
                                <a:cubicBezTo>
                                  <a:pt x="27" y="148"/>
                                  <a:pt x="49" y="176"/>
                                  <a:pt x="91" y="176"/>
                                </a:cubicBezTo>
                                <a:cubicBezTo>
                                  <a:pt x="116" y="176"/>
                                  <a:pt x="134" y="163"/>
                                  <a:pt x="141" y="159"/>
                                </a:cubicBezTo>
                                <a:cubicBezTo>
                                  <a:pt x="143" y="158"/>
                                  <a:pt x="145" y="157"/>
                                  <a:pt x="146" y="157"/>
                                </a:cubicBezTo>
                                <a:cubicBezTo>
                                  <a:pt x="150" y="157"/>
                                  <a:pt x="152" y="160"/>
                                  <a:pt x="152" y="164"/>
                                </a:cubicBezTo>
                                <a:cubicBezTo>
                                  <a:pt x="152" y="170"/>
                                  <a:pt x="152" y="170"/>
                                  <a:pt x="152" y="170"/>
                                </a:cubicBezTo>
                                <a:cubicBezTo>
                                  <a:pt x="152" y="174"/>
                                  <a:pt x="151" y="178"/>
                                  <a:pt x="144" y="182"/>
                                </a:cubicBezTo>
                                <a:cubicBezTo>
                                  <a:pt x="138" y="186"/>
                                  <a:pt x="119" y="199"/>
                                  <a:pt x="86" y="199"/>
                                </a:cubicBezTo>
                                <a:cubicBezTo>
                                  <a:pt x="28" y="199"/>
                                  <a:pt x="0" y="158"/>
                                  <a:pt x="0" y="99"/>
                                </a:cubicBezTo>
                                <a:moveTo>
                                  <a:pt x="126" y="81"/>
                                </a:moveTo>
                                <a:cubicBezTo>
                                  <a:pt x="127" y="76"/>
                                  <a:pt x="127" y="72"/>
                                  <a:pt x="127" y="68"/>
                                </a:cubicBezTo>
                                <a:cubicBezTo>
                                  <a:pt x="127" y="40"/>
                                  <a:pt x="108" y="23"/>
                                  <a:pt x="83" y="23"/>
                                </a:cubicBezTo>
                                <a:cubicBezTo>
                                  <a:pt x="47" y="23"/>
                                  <a:pt x="33" y="48"/>
                                  <a:pt x="28" y="81"/>
                                </a:cubicBezTo>
                                <a:lnTo>
                                  <a:pt x="126" y="81"/>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7"/>
                        <wps:cNvSpPr>
                          <a:spLocks noChangeAspect="1"/>
                        </wps:cNvSpPr>
                        <wps:spPr bwMode="auto">
                          <a:xfrm>
                            <a:off x="2178" y="665"/>
                            <a:ext cx="276" cy="424"/>
                          </a:xfrm>
                          <a:custGeom>
                            <a:avLst/>
                            <a:gdLst>
                              <a:gd name="T0" fmla="*/ 0 w 172"/>
                              <a:gd name="T1" fmla="*/ 344 h 264"/>
                              <a:gd name="T2" fmla="*/ 265 w 172"/>
                              <a:gd name="T3" fmla="*/ 0 h 264"/>
                              <a:gd name="T4" fmla="*/ 417 w 172"/>
                              <a:gd name="T5" fmla="*/ 35 h 264"/>
                              <a:gd name="T6" fmla="*/ 443 w 172"/>
                              <a:gd name="T7" fmla="*/ 72 h 264"/>
                              <a:gd name="T8" fmla="*/ 443 w 172"/>
                              <a:gd name="T9" fmla="*/ 93 h 264"/>
                              <a:gd name="T10" fmla="*/ 425 w 172"/>
                              <a:gd name="T11" fmla="*/ 114 h 264"/>
                              <a:gd name="T12" fmla="*/ 409 w 172"/>
                              <a:gd name="T13" fmla="*/ 108 h 264"/>
                              <a:gd name="T14" fmla="*/ 273 w 172"/>
                              <a:gd name="T15" fmla="*/ 67 h 264"/>
                              <a:gd name="T16" fmla="*/ 75 w 172"/>
                              <a:gd name="T17" fmla="*/ 344 h 264"/>
                              <a:gd name="T18" fmla="*/ 273 w 172"/>
                              <a:gd name="T19" fmla="*/ 614 h 264"/>
                              <a:gd name="T20" fmla="*/ 409 w 172"/>
                              <a:gd name="T21" fmla="*/ 575 h 264"/>
                              <a:gd name="T22" fmla="*/ 425 w 172"/>
                              <a:gd name="T23" fmla="*/ 570 h 264"/>
                              <a:gd name="T24" fmla="*/ 443 w 172"/>
                              <a:gd name="T25" fmla="*/ 588 h 264"/>
                              <a:gd name="T26" fmla="*/ 443 w 172"/>
                              <a:gd name="T27" fmla="*/ 612 h 264"/>
                              <a:gd name="T28" fmla="*/ 417 w 172"/>
                              <a:gd name="T29" fmla="*/ 647 h 264"/>
                              <a:gd name="T30" fmla="*/ 265 w 172"/>
                              <a:gd name="T31" fmla="*/ 681 h 264"/>
                              <a:gd name="T32" fmla="*/ 0 w 172"/>
                              <a:gd name="T33" fmla="*/ 344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2" h="264">
                                <a:moveTo>
                                  <a:pt x="0" y="133"/>
                                </a:moveTo>
                                <a:cubicBezTo>
                                  <a:pt x="0" y="47"/>
                                  <a:pt x="43" y="0"/>
                                  <a:pt x="103" y="0"/>
                                </a:cubicBezTo>
                                <a:cubicBezTo>
                                  <a:pt x="134" y="0"/>
                                  <a:pt x="153" y="9"/>
                                  <a:pt x="162" y="14"/>
                                </a:cubicBezTo>
                                <a:cubicBezTo>
                                  <a:pt x="167" y="18"/>
                                  <a:pt x="172" y="22"/>
                                  <a:pt x="172" y="28"/>
                                </a:cubicBezTo>
                                <a:cubicBezTo>
                                  <a:pt x="172" y="36"/>
                                  <a:pt x="172" y="36"/>
                                  <a:pt x="172" y="36"/>
                                </a:cubicBezTo>
                                <a:cubicBezTo>
                                  <a:pt x="172" y="41"/>
                                  <a:pt x="169" y="44"/>
                                  <a:pt x="165" y="44"/>
                                </a:cubicBezTo>
                                <a:cubicBezTo>
                                  <a:pt x="163" y="44"/>
                                  <a:pt x="161" y="43"/>
                                  <a:pt x="159" y="42"/>
                                </a:cubicBezTo>
                                <a:cubicBezTo>
                                  <a:pt x="151" y="37"/>
                                  <a:pt x="132" y="26"/>
                                  <a:pt x="106" y="26"/>
                                </a:cubicBezTo>
                                <a:cubicBezTo>
                                  <a:pt x="61" y="26"/>
                                  <a:pt x="29" y="61"/>
                                  <a:pt x="29" y="133"/>
                                </a:cubicBezTo>
                                <a:cubicBezTo>
                                  <a:pt x="29" y="204"/>
                                  <a:pt x="61" y="238"/>
                                  <a:pt x="106" y="238"/>
                                </a:cubicBezTo>
                                <a:cubicBezTo>
                                  <a:pt x="132" y="238"/>
                                  <a:pt x="152" y="228"/>
                                  <a:pt x="159" y="223"/>
                                </a:cubicBezTo>
                                <a:cubicBezTo>
                                  <a:pt x="161" y="222"/>
                                  <a:pt x="163" y="221"/>
                                  <a:pt x="165" y="221"/>
                                </a:cubicBezTo>
                                <a:cubicBezTo>
                                  <a:pt x="169" y="221"/>
                                  <a:pt x="172" y="224"/>
                                  <a:pt x="172" y="228"/>
                                </a:cubicBezTo>
                                <a:cubicBezTo>
                                  <a:pt x="172" y="237"/>
                                  <a:pt x="172" y="237"/>
                                  <a:pt x="172" y="237"/>
                                </a:cubicBezTo>
                                <a:cubicBezTo>
                                  <a:pt x="172" y="243"/>
                                  <a:pt x="167" y="247"/>
                                  <a:pt x="162" y="251"/>
                                </a:cubicBezTo>
                                <a:cubicBezTo>
                                  <a:pt x="154" y="256"/>
                                  <a:pt x="134" y="264"/>
                                  <a:pt x="103" y="264"/>
                                </a:cubicBezTo>
                                <a:cubicBezTo>
                                  <a:pt x="43" y="264"/>
                                  <a:pt x="0" y="218"/>
                                  <a:pt x="0" y="133"/>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8"/>
                        <wps:cNvSpPr>
                          <a:spLocks noChangeAspect="1" noEditPoints="1"/>
                        </wps:cNvSpPr>
                        <wps:spPr bwMode="auto">
                          <a:xfrm>
                            <a:off x="2479" y="769"/>
                            <a:ext cx="270" cy="320"/>
                          </a:xfrm>
                          <a:custGeom>
                            <a:avLst/>
                            <a:gdLst>
                              <a:gd name="T0" fmla="*/ 0 w 168"/>
                              <a:gd name="T1" fmla="*/ 256 h 199"/>
                              <a:gd name="T2" fmla="*/ 217 w 168"/>
                              <a:gd name="T3" fmla="*/ 0 h 199"/>
                              <a:gd name="T4" fmla="*/ 434 w 168"/>
                              <a:gd name="T5" fmla="*/ 256 h 199"/>
                              <a:gd name="T6" fmla="*/ 217 w 168"/>
                              <a:gd name="T7" fmla="*/ 515 h 199"/>
                              <a:gd name="T8" fmla="*/ 0 w 168"/>
                              <a:gd name="T9" fmla="*/ 256 h 199"/>
                              <a:gd name="T10" fmla="*/ 365 w 168"/>
                              <a:gd name="T11" fmla="*/ 256 h 199"/>
                              <a:gd name="T12" fmla="*/ 217 w 168"/>
                              <a:gd name="T13" fmla="*/ 63 h 199"/>
                              <a:gd name="T14" fmla="*/ 68 w 168"/>
                              <a:gd name="T15" fmla="*/ 256 h 199"/>
                              <a:gd name="T16" fmla="*/ 217 w 168"/>
                              <a:gd name="T17" fmla="*/ 452 h 199"/>
                              <a:gd name="T18" fmla="*/ 365 w 168"/>
                              <a:gd name="T19" fmla="*/ 256 h 19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68" h="199">
                                <a:moveTo>
                                  <a:pt x="0" y="99"/>
                                </a:moveTo>
                                <a:cubicBezTo>
                                  <a:pt x="0" y="41"/>
                                  <a:pt x="29" y="0"/>
                                  <a:pt x="84" y="0"/>
                                </a:cubicBezTo>
                                <a:cubicBezTo>
                                  <a:pt x="139" y="0"/>
                                  <a:pt x="168" y="41"/>
                                  <a:pt x="168" y="99"/>
                                </a:cubicBezTo>
                                <a:cubicBezTo>
                                  <a:pt x="168" y="158"/>
                                  <a:pt x="139" y="199"/>
                                  <a:pt x="84" y="199"/>
                                </a:cubicBezTo>
                                <a:cubicBezTo>
                                  <a:pt x="29" y="199"/>
                                  <a:pt x="0" y="158"/>
                                  <a:pt x="0" y="99"/>
                                </a:cubicBezTo>
                                <a:moveTo>
                                  <a:pt x="141" y="99"/>
                                </a:moveTo>
                                <a:cubicBezTo>
                                  <a:pt x="141" y="50"/>
                                  <a:pt x="119" y="24"/>
                                  <a:pt x="84" y="24"/>
                                </a:cubicBezTo>
                                <a:cubicBezTo>
                                  <a:pt x="48" y="24"/>
                                  <a:pt x="26" y="50"/>
                                  <a:pt x="26" y="99"/>
                                </a:cubicBezTo>
                                <a:cubicBezTo>
                                  <a:pt x="26" y="149"/>
                                  <a:pt x="48" y="175"/>
                                  <a:pt x="84" y="175"/>
                                </a:cubicBezTo>
                                <a:cubicBezTo>
                                  <a:pt x="119" y="175"/>
                                  <a:pt x="141" y="149"/>
                                  <a:pt x="141"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9"/>
                        <wps:cNvSpPr>
                          <a:spLocks noChangeAspect="1"/>
                        </wps:cNvSpPr>
                        <wps:spPr bwMode="auto">
                          <a:xfrm>
                            <a:off x="2800" y="776"/>
                            <a:ext cx="243" cy="312"/>
                          </a:xfrm>
                          <a:custGeom>
                            <a:avLst/>
                            <a:gdLst>
                              <a:gd name="T0" fmla="*/ 0 w 152"/>
                              <a:gd name="T1" fmla="*/ 349 h 194"/>
                              <a:gd name="T2" fmla="*/ 0 w 152"/>
                              <a:gd name="T3" fmla="*/ 18 h 194"/>
                              <a:gd name="T4" fmla="*/ 18 w 152"/>
                              <a:gd name="T5" fmla="*/ 0 h 194"/>
                              <a:gd name="T6" fmla="*/ 48 w 152"/>
                              <a:gd name="T7" fmla="*/ 0 h 194"/>
                              <a:gd name="T8" fmla="*/ 67 w 152"/>
                              <a:gd name="T9" fmla="*/ 18 h 194"/>
                              <a:gd name="T10" fmla="*/ 67 w 152"/>
                              <a:gd name="T11" fmla="*/ 349 h 194"/>
                              <a:gd name="T12" fmla="*/ 153 w 152"/>
                              <a:gd name="T13" fmla="*/ 434 h 194"/>
                              <a:gd name="T14" fmla="*/ 296 w 152"/>
                              <a:gd name="T15" fmla="*/ 370 h 194"/>
                              <a:gd name="T16" fmla="*/ 296 w 152"/>
                              <a:gd name="T17" fmla="*/ 18 h 194"/>
                              <a:gd name="T18" fmla="*/ 315 w 152"/>
                              <a:gd name="T19" fmla="*/ 0 h 194"/>
                              <a:gd name="T20" fmla="*/ 345 w 152"/>
                              <a:gd name="T21" fmla="*/ 0 h 194"/>
                              <a:gd name="T22" fmla="*/ 363 w 152"/>
                              <a:gd name="T23" fmla="*/ 18 h 194"/>
                              <a:gd name="T24" fmla="*/ 363 w 152"/>
                              <a:gd name="T25" fmla="*/ 425 h 194"/>
                              <a:gd name="T26" fmla="*/ 388 w 152"/>
                              <a:gd name="T27" fmla="*/ 455 h 194"/>
                              <a:gd name="T28" fmla="*/ 388 w 152"/>
                              <a:gd name="T29" fmla="*/ 468 h 194"/>
                              <a:gd name="T30" fmla="*/ 341 w 152"/>
                              <a:gd name="T31" fmla="*/ 502 h 194"/>
                              <a:gd name="T32" fmla="*/ 296 w 152"/>
                              <a:gd name="T33" fmla="*/ 447 h 194"/>
                              <a:gd name="T34" fmla="*/ 296 w 152"/>
                              <a:gd name="T35" fmla="*/ 433 h 194"/>
                              <a:gd name="T36" fmla="*/ 133 w 152"/>
                              <a:gd name="T37" fmla="*/ 502 h 194"/>
                              <a:gd name="T38" fmla="*/ 0 w 152"/>
                              <a:gd name="T39" fmla="*/ 349 h 19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2" h="194">
                                <a:moveTo>
                                  <a:pt x="0" y="135"/>
                                </a:moveTo>
                                <a:cubicBezTo>
                                  <a:pt x="0" y="7"/>
                                  <a:pt x="0" y="7"/>
                                  <a:pt x="0" y="7"/>
                                </a:cubicBezTo>
                                <a:cubicBezTo>
                                  <a:pt x="0" y="3"/>
                                  <a:pt x="3" y="0"/>
                                  <a:pt x="7" y="0"/>
                                </a:cubicBezTo>
                                <a:cubicBezTo>
                                  <a:pt x="19" y="0"/>
                                  <a:pt x="19" y="0"/>
                                  <a:pt x="19" y="0"/>
                                </a:cubicBezTo>
                                <a:cubicBezTo>
                                  <a:pt x="23" y="0"/>
                                  <a:pt x="26" y="3"/>
                                  <a:pt x="26" y="7"/>
                                </a:cubicBezTo>
                                <a:cubicBezTo>
                                  <a:pt x="26" y="135"/>
                                  <a:pt x="26" y="135"/>
                                  <a:pt x="26" y="135"/>
                                </a:cubicBezTo>
                                <a:cubicBezTo>
                                  <a:pt x="26" y="157"/>
                                  <a:pt x="37" y="168"/>
                                  <a:pt x="60" y="168"/>
                                </a:cubicBezTo>
                                <a:cubicBezTo>
                                  <a:pt x="74" y="168"/>
                                  <a:pt x="96" y="160"/>
                                  <a:pt x="116" y="143"/>
                                </a:cubicBezTo>
                                <a:cubicBezTo>
                                  <a:pt x="116" y="7"/>
                                  <a:pt x="116" y="7"/>
                                  <a:pt x="116" y="7"/>
                                </a:cubicBezTo>
                                <a:cubicBezTo>
                                  <a:pt x="116" y="3"/>
                                  <a:pt x="119" y="0"/>
                                  <a:pt x="123" y="0"/>
                                </a:cubicBezTo>
                                <a:cubicBezTo>
                                  <a:pt x="135" y="0"/>
                                  <a:pt x="135" y="0"/>
                                  <a:pt x="135" y="0"/>
                                </a:cubicBezTo>
                                <a:cubicBezTo>
                                  <a:pt x="139" y="0"/>
                                  <a:pt x="142" y="3"/>
                                  <a:pt x="142" y="7"/>
                                </a:cubicBezTo>
                                <a:cubicBezTo>
                                  <a:pt x="142" y="164"/>
                                  <a:pt x="142" y="164"/>
                                  <a:pt x="142" y="164"/>
                                </a:cubicBezTo>
                                <a:cubicBezTo>
                                  <a:pt x="142" y="173"/>
                                  <a:pt x="145" y="176"/>
                                  <a:pt x="152" y="176"/>
                                </a:cubicBezTo>
                                <a:cubicBezTo>
                                  <a:pt x="152" y="181"/>
                                  <a:pt x="152" y="181"/>
                                  <a:pt x="152" y="181"/>
                                </a:cubicBezTo>
                                <a:cubicBezTo>
                                  <a:pt x="152" y="187"/>
                                  <a:pt x="146" y="194"/>
                                  <a:pt x="133" y="194"/>
                                </a:cubicBezTo>
                                <a:cubicBezTo>
                                  <a:pt x="123" y="194"/>
                                  <a:pt x="116" y="188"/>
                                  <a:pt x="116" y="173"/>
                                </a:cubicBezTo>
                                <a:cubicBezTo>
                                  <a:pt x="116" y="167"/>
                                  <a:pt x="116" y="167"/>
                                  <a:pt x="116" y="167"/>
                                </a:cubicBezTo>
                                <a:cubicBezTo>
                                  <a:pt x="96" y="184"/>
                                  <a:pt x="72" y="194"/>
                                  <a:pt x="52" y="194"/>
                                </a:cubicBezTo>
                                <a:cubicBezTo>
                                  <a:pt x="24" y="194"/>
                                  <a:pt x="0" y="180"/>
                                  <a:pt x="0" y="135"/>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0"/>
                        <wps:cNvSpPr>
                          <a:spLocks noChangeAspect="1"/>
                        </wps:cNvSpPr>
                        <wps:spPr bwMode="auto">
                          <a:xfrm>
                            <a:off x="3096" y="771"/>
                            <a:ext cx="228" cy="312"/>
                          </a:xfrm>
                          <a:custGeom>
                            <a:avLst/>
                            <a:gdLst>
                              <a:gd name="T0" fmla="*/ 0 w 142"/>
                              <a:gd name="T1" fmla="*/ 484 h 194"/>
                              <a:gd name="T2" fmla="*/ 0 w 142"/>
                              <a:gd name="T3" fmla="*/ 26 h 194"/>
                              <a:gd name="T4" fmla="*/ 21 w 142"/>
                              <a:gd name="T5" fmla="*/ 8 h 194"/>
                              <a:gd name="T6" fmla="*/ 50 w 142"/>
                              <a:gd name="T7" fmla="*/ 8 h 194"/>
                              <a:gd name="T8" fmla="*/ 69 w 142"/>
                              <a:gd name="T9" fmla="*/ 26 h 194"/>
                              <a:gd name="T10" fmla="*/ 69 w 142"/>
                              <a:gd name="T11" fmla="*/ 42 h 194"/>
                              <a:gd name="T12" fmla="*/ 225 w 142"/>
                              <a:gd name="T13" fmla="*/ 0 h 194"/>
                              <a:gd name="T14" fmla="*/ 366 w 142"/>
                              <a:gd name="T15" fmla="*/ 153 h 194"/>
                              <a:gd name="T16" fmla="*/ 366 w 142"/>
                              <a:gd name="T17" fmla="*/ 484 h 194"/>
                              <a:gd name="T18" fmla="*/ 348 w 142"/>
                              <a:gd name="T19" fmla="*/ 502 h 194"/>
                              <a:gd name="T20" fmla="*/ 316 w 142"/>
                              <a:gd name="T21" fmla="*/ 502 h 194"/>
                              <a:gd name="T22" fmla="*/ 299 w 142"/>
                              <a:gd name="T23" fmla="*/ 484 h 194"/>
                              <a:gd name="T24" fmla="*/ 299 w 142"/>
                              <a:gd name="T25" fmla="*/ 153 h 194"/>
                              <a:gd name="T26" fmla="*/ 214 w 142"/>
                              <a:gd name="T27" fmla="*/ 68 h 194"/>
                              <a:gd name="T28" fmla="*/ 69 w 142"/>
                              <a:gd name="T29" fmla="*/ 101 h 194"/>
                              <a:gd name="T30" fmla="*/ 69 w 142"/>
                              <a:gd name="T31" fmla="*/ 484 h 194"/>
                              <a:gd name="T32" fmla="*/ 50 w 142"/>
                              <a:gd name="T33" fmla="*/ 502 h 194"/>
                              <a:gd name="T34" fmla="*/ 21 w 142"/>
                              <a:gd name="T35" fmla="*/ 502 h 194"/>
                              <a:gd name="T36" fmla="*/ 0 w 142"/>
                              <a:gd name="T37" fmla="*/ 484 h 1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194">
                                <a:moveTo>
                                  <a:pt x="0" y="187"/>
                                </a:moveTo>
                                <a:cubicBezTo>
                                  <a:pt x="0" y="10"/>
                                  <a:pt x="0" y="10"/>
                                  <a:pt x="0" y="10"/>
                                </a:cubicBezTo>
                                <a:cubicBezTo>
                                  <a:pt x="0" y="6"/>
                                  <a:pt x="3" y="3"/>
                                  <a:pt x="8" y="3"/>
                                </a:cubicBezTo>
                                <a:cubicBezTo>
                                  <a:pt x="19" y="3"/>
                                  <a:pt x="19" y="3"/>
                                  <a:pt x="19" y="3"/>
                                </a:cubicBezTo>
                                <a:cubicBezTo>
                                  <a:pt x="23" y="3"/>
                                  <a:pt x="27" y="6"/>
                                  <a:pt x="27" y="10"/>
                                </a:cubicBezTo>
                                <a:cubicBezTo>
                                  <a:pt x="27" y="16"/>
                                  <a:pt x="27" y="16"/>
                                  <a:pt x="27" y="16"/>
                                </a:cubicBezTo>
                                <a:cubicBezTo>
                                  <a:pt x="34" y="14"/>
                                  <a:pt x="55" y="0"/>
                                  <a:pt x="87" y="0"/>
                                </a:cubicBezTo>
                                <a:cubicBezTo>
                                  <a:pt x="119" y="0"/>
                                  <a:pt x="142" y="14"/>
                                  <a:pt x="142" y="59"/>
                                </a:cubicBezTo>
                                <a:cubicBezTo>
                                  <a:pt x="142" y="187"/>
                                  <a:pt x="142" y="187"/>
                                  <a:pt x="142" y="187"/>
                                </a:cubicBezTo>
                                <a:cubicBezTo>
                                  <a:pt x="142" y="191"/>
                                  <a:pt x="139" y="194"/>
                                  <a:pt x="135" y="194"/>
                                </a:cubicBezTo>
                                <a:cubicBezTo>
                                  <a:pt x="123" y="194"/>
                                  <a:pt x="123" y="194"/>
                                  <a:pt x="123" y="194"/>
                                </a:cubicBezTo>
                                <a:cubicBezTo>
                                  <a:pt x="119" y="194"/>
                                  <a:pt x="116" y="191"/>
                                  <a:pt x="116" y="187"/>
                                </a:cubicBezTo>
                                <a:cubicBezTo>
                                  <a:pt x="116" y="59"/>
                                  <a:pt x="116" y="59"/>
                                  <a:pt x="116" y="59"/>
                                </a:cubicBezTo>
                                <a:cubicBezTo>
                                  <a:pt x="116" y="37"/>
                                  <a:pt x="105" y="26"/>
                                  <a:pt x="83" y="26"/>
                                </a:cubicBezTo>
                                <a:cubicBezTo>
                                  <a:pt x="52" y="26"/>
                                  <a:pt x="27" y="39"/>
                                  <a:pt x="27" y="39"/>
                                </a:cubicBezTo>
                                <a:cubicBezTo>
                                  <a:pt x="27" y="187"/>
                                  <a:pt x="27" y="187"/>
                                  <a:pt x="27" y="187"/>
                                </a:cubicBezTo>
                                <a:cubicBezTo>
                                  <a:pt x="27" y="191"/>
                                  <a:pt x="23" y="194"/>
                                  <a:pt x="19" y="194"/>
                                </a:cubicBezTo>
                                <a:cubicBezTo>
                                  <a:pt x="8" y="194"/>
                                  <a:pt x="8" y="194"/>
                                  <a:pt x="8"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21"/>
                        <wps:cNvSpPr>
                          <a:spLocks noChangeAspect="1"/>
                        </wps:cNvSpPr>
                        <wps:spPr bwMode="auto">
                          <a:xfrm>
                            <a:off x="3361" y="700"/>
                            <a:ext cx="138" cy="386"/>
                          </a:xfrm>
                          <a:custGeom>
                            <a:avLst/>
                            <a:gdLst>
                              <a:gd name="T0" fmla="*/ 56 w 86"/>
                              <a:gd name="T1" fmla="*/ 545 h 240"/>
                              <a:gd name="T2" fmla="*/ 56 w 86"/>
                              <a:gd name="T3" fmla="*/ 175 h 240"/>
                              <a:gd name="T4" fmla="*/ 18 w 86"/>
                              <a:gd name="T5" fmla="*/ 175 h 240"/>
                              <a:gd name="T6" fmla="*/ 0 w 86"/>
                              <a:gd name="T7" fmla="*/ 158 h 240"/>
                              <a:gd name="T8" fmla="*/ 0 w 86"/>
                              <a:gd name="T9" fmla="*/ 140 h 240"/>
                              <a:gd name="T10" fmla="*/ 18 w 86"/>
                              <a:gd name="T11" fmla="*/ 122 h 240"/>
                              <a:gd name="T12" fmla="*/ 56 w 86"/>
                              <a:gd name="T13" fmla="*/ 122 h 240"/>
                              <a:gd name="T14" fmla="*/ 56 w 86"/>
                              <a:gd name="T15" fmla="*/ 21 h 240"/>
                              <a:gd name="T16" fmla="*/ 75 w 86"/>
                              <a:gd name="T17" fmla="*/ 0 h 240"/>
                              <a:gd name="T18" fmla="*/ 103 w 86"/>
                              <a:gd name="T19" fmla="*/ 0 h 240"/>
                              <a:gd name="T20" fmla="*/ 124 w 86"/>
                              <a:gd name="T21" fmla="*/ 21 h 240"/>
                              <a:gd name="T22" fmla="*/ 124 w 86"/>
                              <a:gd name="T23" fmla="*/ 122 h 240"/>
                              <a:gd name="T24" fmla="*/ 199 w 86"/>
                              <a:gd name="T25" fmla="*/ 122 h 240"/>
                              <a:gd name="T26" fmla="*/ 217 w 86"/>
                              <a:gd name="T27" fmla="*/ 140 h 240"/>
                              <a:gd name="T28" fmla="*/ 217 w 86"/>
                              <a:gd name="T29" fmla="*/ 158 h 240"/>
                              <a:gd name="T30" fmla="*/ 199 w 86"/>
                              <a:gd name="T31" fmla="*/ 175 h 240"/>
                              <a:gd name="T32" fmla="*/ 124 w 86"/>
                              <a:gd name="T33" fmla="*/ 175 h 240"/>
                              <a:gd name="T34" fmla="*/ 124 w 86"/>
                              <a:gd name="T35" fmla="*/ 531 h 240"/>
                              <a:gd name="T36" fmla="*/ 157 w 86"/>
                              <a:gd name="T37" fmla="*/ 565 h 240"/>
                              <a:gd name="T38" fmla="*/ 193 w 86"/>
                              <a:gd name="T39" fmla="*/ 558 h 240"/>
                              <a:gd name="T40" fmla="*/ 209 w 86"/>
                              <a:gd name="T41" fmla="*/ 553 h 240"/>
                              <a:gd name="T42" fmla="*/ 221 w 86"/>
                              <a:gd name="T43" fmla="*/ 566 h 240"/>
                              <a:gd name="T44" fmla="*/ 221 w 86"/>
                              <a:gd name="T45" fmla="*/ 579 h 240"/>
                              <a:gd name="T46" fmla="*/ 205 w 86"/>
                              <a:gd name="T47" fmla="*/ 605 h 240"/>
                              <a:gd name="T48" fmla="*/ 128 w 86"/>
                              <a:gd name="T49" fmla="*/ 621 h 240"/>
                              <a:gd name="T50" fmla="*/ 56 w 86"/>
                              <a:gd name="T51" fmla="*/ 545 h 24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86" h="240">
                                <a:moveTo>
                                  <a:pt x="22" y="211"/>
                                </a:moveTo>
                                <a:cubicBezTo>
                                  <a:pt x="22" y="68"/>
                                  <a:pt x="22" y="68"/>
                                  <a:pt x="22" y="68"/>
                                </a:cubicBezTo>
                                <a:cubicBezTo>
                                  <a:pt x="7" y="68"/>
                                  <a:pt x="7" y="68"/>
                                  <a:pt x="7" y="68"/>
                                </a:cubicBezTo>
                                <a:cubicBezTo>
                                  <a:pt x="3" y="68"/>
                                  <a:pt x="0" y="65"/>
                                  <a:pt x="0" y="61"/>
                                </a:cubicBezTo>
                                <a:cubicBezTo>
                                  <a:pt x="0" y="54"/>
                                  <a:pt x="0" y="54"/>
                                  <a:pt x="0" y="54"/>
                                </a:cubicBezTo>
                                <a:cubicBezTo>
                                  <a:pt x="0" y="50"/>
                                  <a:pt x="3" y="47"/>
                                  <a:pt x="7" y="47"/>
                                </a:cubicBezTo>
                                <a:cubicBezTo>
                                  <a:pt x="22" y="47"/>
                                  <a:pt x="22" y="47"/>
                                  <a:pt x="22" y="47"/>
                                </a:cubicBezTo>
                                <a:cubicBezTo>
                                  <a:pt x="22" y="8"/>
                                  <a:pt x="22" y="8"/>
                                  <a:pt x="22" y="8"/>
                                </a:cubicBezTo>
                                <a:cubicBezTo>
                                  <a:pt x="22" y="4"/>
                                  <a:pt x="25" y="0"/>
                                  <a:pt x="29" y="0"/>
                                </a:cubicBezTo>
                                <a:cubicBezTo>
                                  <a:pt x="40" y="0"/>
                                  <a:pt x="40" y="0"/>
                                  <a:pt x="40" y="0"/>
                                </a:cubicBezTo>
                                <a:cubicBezTo>
                                  <a:pt x="45" y="0"/>
                                  <a:pt x="48" y="4"/>
                                  <a:pt x="48" y="8"/>
                                </a:cubicBezTo>
                                <a:cubicBezTo>
                                  <a:pt x="48" y="47"/>
                                  <a:pt x="48" y="47"/>
                                  <a:pt x="48" y="47"/>
                                </a:cubicBezTo>
                                <a:cubicBezTo>
                                  <a:pt x="77" y="47"/>
                                  <a:pt x="77" y="47"/>
                                  <a:pt x="77" y="47"/>
                                </a:cubicBezTo>
                                <a:cubicBezTo>
                                  <a:pt x="81" y="47"/>
                                  <a:pt x="84" y="50"/>
                                  <a:pt x="84" y="54"/>
                                </a:cubicBezTo>
                                <a:cubicBezTo>
                                  <a:pt x="84" y="61"/>
                                  <a:pt x="84" y="61"/>
                                  <a:pt x="84" y="61"/>
                                </a:cubicBezTo>
                                <a:cubicBezTo>
                                  <a:pt x="84" y="65"/>
                                  <a:pt x="81" y="68"/>
                                  <a:pt x="77" y="68"/>
                                </a:cubicBezTo>
                                <a:cubicBezTo>
                                  <a:pt x="48" y="68"/>
                                  <a:pt x="48" y="68"/>
                                  <a:pt x="48" y="68"/>
                                </a:cubicBezTo>
                                <a:cubicBezTo>
                                  <a:pt x="48" y="205"/>
                                  <a:pt x="48" y="205"/>
                                  <a:pt x="48" y="205"/>
                                </a:cubicBezTo>
                                <a:cubicBezTo>
                                  <a:pt x="48" y="214"/>
                                  <a:pt x="53" y="218"/>
                                  <a:pt x="61" y="218"/>
                                </a:cubicBezTo>
                                <a:cubicBezTo>
                                  <a:pt x="68" y="218"/>
                                  <a:pt x="71" y="217"/>
                                  <a:pt x="75" y="216"/>
                                </a:cubicBezTo>
                                <a:cubicBezTo>
                                  <a:pt x="77" y="215"/>
                                  <a:pt x="79" y="214"/>
                                  <a:pt x="81" y="214"/>
                                </a:cubicBezTo>
                                <a:cubicBezTo>
                                  <a:pt x="84" y="214"/>
                                  <a:pt x="86" y="216"/>
                                  <a:pt x="86" y="219"/>
                                </a:cubicBezTo>
                                <a:cubicBezTo>
                                  <a:pt x="86" y="224"/>
                                  <a:pt x="86" y="224"/>
                                  <a:pt x="86" y="224"/>
                                </a:cubicBezTo>
                                <a:cubicBezTo>
                                  <a:pt x="86" y="229"/>
                                  <a:pt x="84" y="233"/>
                                  <a:pt x="80" y="234"/>
                                </a:cubicBezTo>
                                <a:cubicBezTo>
                                  <a:pt x="72" y="238"/>
                                  <a:pt x="65" y="240"/>
                                  <a:pt x="50" y="240"/>
                                </a:cubicBezTo>
                                <a:cubicBezTo>
                                  <a:pt x="34" y="240"/>
                                  <a:pt x="22" y="231"/>
                                  <a:pt x="22" y="21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2"/>
                        <wps:cNvSpPr>
                          <a:spLocks noChangeAspect="1"/>
                        </wps:cNvSpPr>
                        <wps:spPr bwMode="auto">
                          <a:xfrm>
                            <a:off x="3537" y="776"/>
                            <a:ext cx="228" cy="450"/>
                          </a:xfrm>
                          <a:custGeom>
                            <a:avLst/>
                            <a:gdLst>
                              <a:gd name="T0" fmla="*/ 165 w 142"/>
                              <a:gd name="T1" fmla="*/ 723 h 280"/>
                              <a:gd name="T2" fmla="*/ 47 w 142"/>
                              <a:gd name="T3" fmla="*/ 689 h 280"/>
                              <a:gd name="T4" fmla="*/ 47 w 142"/>
                              <a:gd name="T5" fmla="*/ 656 h 280"/>
                              <a:gd name="T6" fmla="*/ 63 w 142"/>
                              <a:gd name="T7" fmla="*/ 641 h 280"/>
                              <a:gd name="T8" fmla="*/ 93 w 142"/>
                              <a:gd name="T9" fmla="*/ 651 h 280"/>
                              <a:gd name="T10" fmla="*/ 162 w 142"/>
                              <a:gd name="T11" fmla="*/ 661 h 280"/>
                              <a:gd name="T12" fmla="*/ 299 w 142"/>
                              <a:gd name="T13" fmla="*/ 503 h 280"/>
                              <a:gd name="T14" fmla="*/ 299 w 142"/>
                              <a:gd name="T15" fmla="*/ 460 h 280"/>
                              <a:gd name="T16" fmla="*/ 145 w 142"/>
                              <a:gd name="T17" fmla="*/ 501 h 280"/>
                              <a:gd name="T18" fmla="*/ 0 w 142"/>
                              <a:gd name="T19" fmla="*/ 349 h 280"/>
                              <a:gd name="T20" fmla="*/ 0 w 142"/>
                              <a:gd name="T21" fmla="*/ 18 h 280"/>
                              <a:gd name="T22" fmla="*/ 18 w 142"/>
                              <a:gd name="T23" fmla="*/ 0 h 280"/>
                              <a:gd name="T24" fmla="*/ 50 w 142"/>
                              <a:gd name="T25" fmla="*/ 0 h 280"/>
                              <a:gd name="T26" fmla="*/ 67 w 142"/>
                              <a:gd name="T27" fmla="*/ 18 h 280"/>
                              <a:gd name="T28" fmla="*/ 67 w 142"/>
                              <a:gd name="T29" fmla="*/ 349 h 280"/>
                              <a:gd name="T30" fmla="*/ 154 w 142"/>
                              <a:gd name="T31" fmla="*/ 434 h 280"/>
                              <a:gd name="T32" fmla="*/ 299 w 142"/>
                              <a:gd name="T33" fmla="*/ 400 h 280"/>
                              <a:gd name="T34" fmla="*/ 299 w 142"/>
                              <a:gd name="T35" fmla="*/ 18 h 280"/>
                              <a:gd name="T36" fmla="*/ 316 w 142"/>
                              <a:gd name="T37" fmla="*/ 0 h 280"/>
                              <a:gd name="T38" fmla="*/ 348 w 142"/>
                              <a:gd name="T39" fmla="*/ 0 h 280"/>
                              <a:gd name="T40" fmla="*/ 366 w 142"/>
                              <a:gd name="T41" fmla="*/ 18 h 280"/>
                              <a:gd name="T42" fmla="*/ 366 w 142"/>
                              <a:gd name="T43" fmla="*/ 511 h 280"/>
                              <a:gd name="T44" fmla="*/ 165 w 142"/>
                              <a:gd name="T45" fmla="*/ 723 h 28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42" h="280">
                                <a:moveTo>
                                  <a:pt x="64" y="280"/>
                                </a:moveTo>
                                <a:cubicBezTo>
                                  <a:pt x="46" y="280"/>
                                  <a:pt x="18" y="276"/>
                                  <a:pt x="18" y="267"/>
                                </a:cubicBezTo>
                                <a:cubicBezTo>
                                  <a:pt x="18" y="254"/>
                                  <a:pt x="18" y="254"/>
                                  <a:pt x="18" y="254"/>
                                </a:cubicBezTo>
                                <a:cubicBezTo>
                                  <a:pt x="18" y="250"/>
                                  <a:pt x="20" y="248"/>
                                  <a:pt x="24" y="248"/>
                                </a:cubicBezTo>
                                <a:cubicBezTo>
                                  <a:pt x="26" y="248"/>
                                  <a:pt x="30" y="250"/>
                                  <a:pt x="36" y="252"/>
                                </a:cubicBezTo>
                                <a:cubicBezTo>
                                  <a:pt x="42" y="254"/>
                                  <a:pt x="51" y="256"/>
                                  <a:pt x="63" y="256"/>
                                </a:cubicBezTo>
                                <a:cubicBezTo>
                                  <a:pt x="98" y="256"/>
                                  <a:pt x="116" y="243"/>
                                  <a:pt x="116" y="195"/>
                                </a:cubicBezTo>
                                <a:cubicBezTo>
                                  <a:pt x="116" y="178"/>
                                  <a:pt x="116" y="178"/>
                                  <a:pt x="116" y="178"/>
                                </a:cubicBezTo>
                                <a:cubicBezTo>
                                  <a:pt x="108" y="180"/>
                                  <a:pt x="88" y="194"/>
                                  <a:pt x="56" y="194"/>
                                </a:cubicBezTo>
                                <a:cubicBezTo>
                                  <a:pt x="23" y="194"/>
                                  <a:pt x="0" y="180"/>
                                  <a:pt x="0" y="135"/>
                                </a:cubicBezTo>
                                <a:cubicBezTo>
                                  <a:pt x="0" y="7"/>
                                  <a:pt x="0" y="7"/>
                                  <a:pt x="0" y="7"/>
                                </a:cubicBezTo>
                                <a:cubicBezTo>
                                  <a:pt x="0" y="3"/>
                                  <a:pt x="3" y="0"/>
                                  <a:pt x="7" y="0"/>
                                </a:cubicBezTo>
                                <a:cubicBezTo>
                                  <a:pt x="19" y="0"/>
                                  <a:pt x="19" y="0"/>
                                  <a:pt x="19" y="0"/>
                                </a:cubicBezTo>
                                <a:cubicBezTo>
                                  <a:pt x="23" y="0"/>
                                  <a:pt x="26" y="3"/>
                                  <a:pt x="26" y="7"/>
                                </a:cubicBezTo>
                                <a:cubicBezTo>
                                  <a:pt x="26" y="135"/>
                                  <a:pt x="26" y="135"/>
                                  <a:pt x="26" y="135"/>
                                </a:cubicBezTo>
                                <a:cubicBezTo>
                                  <a:pt x="26" y="157"/>
                                  <a:pt x="37" y="168"/>
                                  <a:pt x="60" y="168"/>
                                </a:cubicBezTo>
                                <a:cubicBezTo>
                                  <a:pt x="90" y="168"/>
                                  <a:pt x="116" y="155"/>
                                  <a:pt x="116" y="155"/>
                                </a:cubicBezTo>
                                <a:cubicBezTo>
                                  <a:pt x="116" y="7"/>
                                  <a:pt x="116" y="7"/>
                                  <a:pt x="116" y="7"/>
                                </a:cubicBezTo>
                                <a:cubicBezTo>
                                  <a:pt x="116" y="3"/>
                                  <a:pt x="119" y="0"/>
                                  <a:pt x="123" y="0"/>
                                </a:cubicBezTo>
                                <a:cubicBezTo>
                                  <a:pt x="135" y="0"/>
                                  <a:pt x="135" y="0"/>
                                  <a:pt x="135" y="0"/>
                                </a:cubicBezTo>
                                <a:cubicBezTo>
                                  <a:pt x="139" y="0"/>
                                  <a:pt x="142" y="3"/>
                                  <a:pt x="142" y="7"/>
                                </a:cubicBezTo>
                                <a:cubicBezTo>
                                  <a:pt x="142" y="198"/>
                                  <a:pt x="142" y="198"/>
                                  <a:pt x="142" y="198"/>
                                </a:cubicBezTo>
                                <a:cubicBezTo>
                                  <a:pt x="142" y="267"/>
                                  <a:pt x="98" y="280"/>
                                  <a:pt x="64" y="28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23"/>
                        <wps:cNvSpPr>
                          <a:spLocks noChangeAspect="1"/>
                        </wps:cNvSpPr>
                        <wps:spPr bwMode="auto">
                          <a:xfrm>
                            <a:off x="3904" y="665"/>
                            <a:ext cx="274" cy="424"/>
                          </a:xfrm>
                          <a:custGeom>
                            <a:avLst/>
                            <a:gdLst>
                              <a:gd name="T0" fmla="*/ 0 w 171"/>
                              <a:gd name="T1" fmla="*/ 344 h 264"/>
                              <a:gd name="T2" fmla="*/ 261 w 171"/>
                              <a:gd name="T3" fmla="*/ 0 h 264"/>
                              <a:gd name="T4" fmla="*/ 413 w 171"/>
                              <a:gd name="T5" fmla="*/ 35 h 264"/>
                              <a:gd name="T6" fmla="*/ 439 w 171"/>
                              <a:gd name="T7" fmla="*/ 72 h 264"/>
                              <a:gd name="T8" fmla="*/ 439 w 171"/>
                              <a:gd name="T9" fmla="*/ 93 h 264"/>
                              <a:gd name="T10" fmla="*/ 423 w 171"/>
                              <a:gd name="T11" fmla="*/ 114 h 264"/>
                              <a:gd name="T12" fmla="*/ 409 w 171"/>
                              <a:gd name="T13" fmla="*/ 108 h 264"/>
                              <a:gd name="T14" fmla="*/ 272 w 171"/>
                              <a:gd name="T15" fmla="*/ 67 h 264"/>
                              <a:gd name="T16" fmla="*/ 74 w 171"/>
                              <a:gd name="T17" fmla="*/ 344 h 264"/>
                              <a:gd name="T18" fmla="*/ 272 w 171"/>
                              <a:gd name="T19" fmla="*/ 614 h 264"/>
                              <a:gd name="T20" fmla="*/ 409 w 171"/>
                              <a:gd name="T21" fmla="*/ 575 h 264"/>
                              <a:gd name="T22" fmla="*/ 423 w 171"/>
                              <a:gd name="T23" fmla="*/ 570 h 264"/>
                              <a:gd name="T24" fmla="*/ 439 w 171"/>
                              <a:gd name="T25" fmla="*/ 588 h 264"/>
                              <a:gd name="T26" fmla="*/ 439 w 171"/>
                              <a:gd name="T27" fmla="*/ 612 h 264"/>
                              <a:gd name="T28" fmla="*/ 413 w 171"/>
                              <a:gd name="T29" fmla="*/ 647 h 264"/>
                              <a:gd name="T30" fmla="*/ 261 w 171"/>
                              <a:gd name="T31" fmla="*/ 681 h 264"/>
                              <a:gd name="T32" fmla="*/ 0 w 171"/>
                              <a:gd name="T33" fmla="*/ 344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1" h="264">
                                <a:moveTo>
                                  <a:pt x="0" y="133"/>
                                </a:moveTo>
                                <a:cubicBezTo>
                                  <a:pt x="0" y="47"/>
                                  <a:pt x="43" y="0"/>
                                  <a:pt x="102" y="0"/>
                                </a:cubicBezTo>
                                <a:cubicBezTo>
                                  <a:pt x="133" y="0"/>
                                  <a:pt x="153" y="9"/>
                                  <a:pt x="161" y="14"/>
                                </a:cubicBezTo>
                                <a:cubicBezTo>
                                  <a:pt x="167" y="18"/>
                                  <a:pt x="171" y="22"/>
                                  <a:pt x="171" y="28"/>
                                </a:cubicBezTo>
                                <a:cubicBezTo>
                                  <a:pt x="171" y="36"/>
                                  <a:pt x="171" y="36"/>
                                  <a:pt x="171" y="36"/>
                                </a:cubicBezTo>
                                <a:cubicBezTo>
                                  <a:pt x="171" y="41"/>
                                  <a:pt x="168" y="44"/>
                                  <a:pt x="165" y="44"/>
                                </a:cubicBezTo>
                                <a:cubicBezTo>
                                  <a:pt x="163" y="44"/>
                                  <a:pt x="161" y="43"/>
                                  <a:pt x="159" y="42"/>
                                </a:cubicBezTo>
                                <a:cubicBezTo>
                                  <a:pt x="151" y="37"/>
                                  <a:pt x="132" y="26"/>
                                  <a:pt x="106" y="26"/>
                                </a:cubicBezTo>
                                <a:cubicBezTo>
                                  <a:pt x="60" y="26"/>
                                  <a:pt x="29" y="61"/>
                                  <a:pt x="29" y="133"/>
                                </a:cubicBezTo>
                                <a:cubicBezTo>
                                  <a:pt x="29" y="204"/>
                                  <a:pt x="60" y="238"/>
                                  <a:pt x="106" y="238"/>
                                </a:cubicBezTo>
                                <a:cubicBezTo>
                                  <a:pt x="132" y="238"/>
                                  <a:pt x="151" y="228"/>
                                  <a:pt x="159" y="223"/>
                                </a:cubicBezTo>
                                <a:cubicBezTo>
                                  <a:pt x="160" y="222"/>
                                  <a:pt x="162" y="221"/>
                                  <a:pt x="165" y="221"/>
                                </a:cubicBezTo>
                                <a:cubicBezTo>
                                  <a:pt x="169" y="221"/>
                                  <a:pt x="171" y="224"/>
                                  <a:pt x="171" y="228"/>
                                </a:cubicBezTo>
                                <a:cubicBezTo>
                                  <a:pt x="171" y="237"/>
                                  <a:pt x="171" y="237"/>
                                  <a:pt x="171" y="237"/>
                                </a:cubicBezTo>
                                <a:cubicBezTo>
                                  <a:pt x="171" y="243"/>
                                  <a:pt x="167" y="247"/>
                                  <a:pt x="161" y="251"/>
                                </a:cubicBezTo>
                                <a:cubicBezTo>
                                  <a:pt x="153" y="256"/>
                                  <a:pt x="133" y="264"/>
                                  <a:pt x="102" y="264"/>
                                </a:cubicBezTo>
                                <a:cubicBezTo>
                                  <a:pt x="43" y="264"/>
                                  <a:pt x="0" y="218"/>
                                  <a:pt x="0" y="133"/>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24"/>
                        <wps:cNvSpPr>
                          <a:spLocks noChangeAspect="1" noEditPoints="1"/>
                        </wps:cNvSpPr>
                        <wps:spPr bwMode="auto">
                          <a:xfrm>
                            <a:off x="4204" y="769"/>
                            <a:ext cx="269" cy="320"/>
                          </a:xfrm>
                          <a:custGeom>
                            <a:avLst/>
                            <a:gdLst>
                              <a:gd name="T0" fmla="*/ 0 w 168"/>
                              <a:gd name="T1" fmla="*/ 256 h 199"/>
                              <a:gd name="T2" fmla="*/ 216 w 168"/>
                              <a:gd name="T3" fmla="*/ 0 h 199"/>
                              <a:gd name="T4" fmla="*/ 431 w 168"/>
                              <a:gd name="T5" fmla="*/ 256 h 199"/>
                              <a:gd name="T6" fmla="*/ 216 w 168"/>
                              <a:gd name="T7" fmla="*/ 515 h 199"/>
                              <a:gd name="T8" fmla="*/ 0 w 168"/>
                              <a:gd name="T9" fmla="*/ 256 h 199"/>
                              <a:gd name="T10" fmla="*/ 363 w 168"/>
                              <a:gd name="T11" fmla="*/ 256 h 199"/>
                              <a:gd name="T12" fmla="*/ 216 w 168"/>
                              <a:gd name="T13" fmla="*/ 63 h 199"/>
                              <a:gd name="T14" fmla="*/ 67 w 168"/>
                              <a:gd name="T15" fmla="*/ 256 h 199"/>
                              <a:gd name="T16" fmla="*/ 216 w 168"/>
                              <a:gd name="T17" fmla="*/ 452 h 199"/>
                              <a:gd name="T18" fmla="*/ 363 w 168"/>
                              <a:gd name="T19" fmla="*/ 256 h 19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68" h="199">
                                <a:moveTo>
                                  <a:pt x="0" y="99"/>
                                </a:moveTo>
                                <a:cubicBezTo>
                                  <a:pt x="0" y="41"/>
                                  <a:pt x="29" y="0"/>
                                  <a:pt x="84" y="0"/>
                                </a:cubicBezTo>
                                <a:cubicBezTo>
                                  <a:pt x="139" y="0"/>
                                  <a:pt x="168" y="41"/>
                                  <a:pt x="168" y="99"/>
                                </a:cubicBezTo>
                                <a:cubicBezTo>
                                  <a:pt x="168" y="158"/>
                                  <a:pt x="139" y="199"/>
                                  <a:pt x="84" y="199"/>
                                </a:cubicBezTo>
                                <a:cubicBezTo>
                                  <a:pt x="29" y="199"/>
                                  <a:pt x="0" y="158"/>
                                  <a:pt x="0" y="99"/>
                                </a:cubicBezTo>
                                <a:moveTo>
                                  <a:pt x="142" y="99"/>
                                </a:moveTo>
                                <a:cubicBezTo>
                                  <a:pt x="142" y="50"/>
                                  <a:pt x="120" y="24"/>
                                  <a:pt x="84" y="24"/>
                                </a:cubicBezTo>
                                <a:cubicBezTo>
                                  <a:pt x="49" y="24"/>
                                  <a:pt x="26" y="50"/>
                                  <a:pt x="26" y="99"/>
                                </a:cubicBezTo>
                                <a:cubicBezTo>
                                  <a:pt x="26" y="149"/>
                                  <a:pt x="49" y="175"/>
                                  <a:pt x="84" y="175"/>
                                </a:cubicBezTo>
                                <a:cubicBezTo>
                                  <a:pt x="120" y="175"/>
                                  <a:pt x="142" y="149"/>
                                  <a:pt x="142"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25"/>
                        <wps:cNvSpPr>
                          <a:spLocks noChangeAspect="1"/>
                        </wps:cNvSpPr>
                        <wps:spPr bwMode="auto">
                          <a:xfrm>
                            <a:off x="4524" y="776"/>
                            <a:ext cx="244" cy="312"/>
                          </a:xfrm>
                          <a:custGeom>
                            <a:avLst/>
                            <a:gdLst>
                              <a:gd name="T0" fmla="*/ 0 w 152"/>
                              <a:gd name="T1" fmla="*/ 349 h 194"/>
                              <a:gd name="T2" fmla="*/ 0 w 152"/>
                              <a:gd name="T3" fmla="*/ 18 h 194"/>
                              <a:gd name="T4" fmla="*/ 21 w 152"/>
                              <a:gd name="T5" fmla="*/ 0 h 194"/>
                              <a:gd name="T6" fmla="*/ 50 w 152"/>
                              <a:gd name="T7" fmla="*/ 0 h 194"/>
                              <a:gd name="T8" fmla="*/ 69 w 152"/>
                              <a:gd name="T9" fmla="*/ 18 h 194"/>
                              <a:gd name="T10" fmla="*/ 69 w 152"/>
                              <a:gd name="T11" fmla="*/ 349 h 194"/>
                              <a:gd name="T12" fmla="*/ 154 w 152"/>
                              <a:gd name="T13" fmla="*/ 434 h 194"/>
                              <a:gd name="T14" fmla="*/ 299 w 152"/>
                              <a:gd name="T15" fmla="*/ 370 h 194"/>
                              <a:gd name="T16" fmla="*/ 299 w 152"/>
                              <a:gd name="T17" fmla="*/ 18 h 194"/>
                              <a:gd name="T18" fmla="*/ 319 w 152"/>
                              <a:gd name="T19" fmla="*/ 0 h 194"/>
                              <a:gd name="T20" fmla="*/ 348 w 152"/>
                              <a:gd name="T21" fmla="*/ 0 h 194"/>
                              <a:gd name="T22" fmla="*/ 369 w 152"/>
                              <a:gd name="T23" fmla="*/ 18 h 194"/>
                              <a:gd name="T24" fmla="*/ 369 w 152"/>
                              <a:gd name="T25" fmla="*/ 425 h 194"/>
                              <a:gd name="T26" fmla="*/ 392 w 152"/>
                              <a:gd name="T27" fmla="*/ 455 h 194"/>
                              <a:gd name="T28" fmla="*/ 392 w 152"/>
                              <a:gd name="T29" fmla="*/ 468 h 194"/>
                              <a:gd name="T30" fmla="*/ 344 w 152"/>
                              <a:gd name="T31" fmla="*/ 502 h 194"/>
                              <a:gd name="T32" fmla="*/ 299 w 152"/>
                              <a:gd name="T33" fmla="*/ 447 h 194"/>
                              <a:gd name="T34" fmla="*/ 299 w 152"/>
                              <a:gd name="T35" fmla="*/ 433 h 194"/>
                              <a:gd name="T36" fmla="*/ 133 w 152"/>
                              <a:gd name="T37" fmla="*/ 502 h 194"/>
                              <a:gd name="T38" fmla="*/ 0 w 152"/>
                              <a:gd name="T39" fmla="*/ 349 h 19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2" h="194">
                                <a:moveTo>
                                  <a:pt x="0" y="135"/>
                                </a:moveTo>
                                <a:cubicBezTo>
                                  <a:pt x="0" y="7"/>
                                  <a:pt x="0" y="7"/>
                                  <a:pt x="0" y="7"/>
                                </a:cubicBezTo>
                                <a:cubicBezTo>
                                  <a:pt x="0" y="3"/>
                                  <a:pt x="4" y="0"/>
                                  <a:pt x="8" y="0"/>
                                </a:cubicBezTo>
                                <a:cubicBezTo>
                                  <a:pt x="19" y="0"/>
                                  <a:pt x="19" y="0"/>
                                  <a:pt x="19" y="0"/>
                                </a:cubicBezTo>
                                <a:cubicBezTo>
                                  <a:pt x="24" y="0"/>
                                  <a:pt x="27" y="3"/>
                                  <a:pt x="27" y="7"/>
                                </a:cubicBezTo>
                                <a:cubicBezTo>
                                  <a:pt x="27" y="135"/>
                                  <a:pt x="27" y="135"/>
                                  <a:pt x="27" y="135"/>
                                </a:cubicBezTo>
                                <a:cubicBezTo>
                                  <a:pt x="27" y="157"/>
                                  <a:pt x="37" y="168"/>
                                  <a:pt x="60" y="168"/>
                                </a:cubicBezTo>
                                <a:cubicBezTo>
                                  <a:pt x="74" y="168"/>
                                  <a:pt x="97" y="160"/>
                                  <a:pt x="116" y="143"/>
                                </a:cubicBezTo>
                                <a:cubicBezTo>
                                  <a:pt x="116" y="7"/>
                                  <a:pt x="116" y="7"/>
                                  <a:pt x="116" y="7"/>
                                </a:cubicBezTo>
                                <a:cubicBezTo>
                                  <a:pt x="116" y="3"/>
                                  <a:pt x="119" y="0"/>
                                  <a:pt x="124" y="0"/>
                                </a:cubicBezTo>
                                <a:cubicBezTo>
                                  <a:pt x="135" y="0"/>
                                  <a:pt x="135" y="0"/>
                                  <a:pt x="135" y="0"/>
                                </a:cubicBezTo>
                                <a:cubicBezTo>
                                  <a:pt x="139" y="0"/>
                                  <a:pt x="143" y="3"/>
                                  <a:pt x="143" y="7"/>
                                </a:cubicBezTo>
                                <a:cubicBezTo>
                                  <a:pt x="143" y="164"/>
                                  <a:pt x="143" y="164"/>
                                  <a:pt x="143" y="164"/>
                                </a:cubicBezTo>
                                <a:cubicBezTo>
                                  <a:pt x="143" y="173"/>
                                  <a:pt x="146" y="176"/>
                                  <a:pt x="152" y="176"/>
                                </a:cubicBezTo>
                                <a:cubicBezTo>
                                  <a:pt x="152" y="181"/>
                                  <a:pt x="152" y="181"/>
                                  <a:pt x="152" y="181"/>
                                </a:cubicBezTo>
                                <a:cubicBezTo>
                                  <a:pt x="152" y="187"/>
                                  <a:pt x="147" y="194"/>
                                  <a:pt x="133" y="194"/>
                                </a:cubicBezTo>
                                <a:cubicBezTo>
                                  <a:pt x="124" y="194"/>
                                  <a:pt x="116" y="188"/>
                                  <a:pt x="116" y="173"/>
                                </a:cubicBezTo>
                                <a:cubicBezTo>
                                  <a:pt x="116" y="167"/>
                                  <a:pt x="116" y="167"/>
                                  <a:pt x="116" y="167"/>
                                </a:cubicBezTo>
                                <a:cubicBezTo>
                                  <a:pt x="97" y="184"/>
                                  <a:pt x="72" y="194"/>
                                  <a:pt x="52" y="194"/>
                                </a:cubicBezTo>
                                <a:cubicBezTo>
                                  <a:pt x="24" y="194"/>
                                  <a:pt x="0" y="180"/>
                                  <a:pt x="0" y="135"/>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26"/>
                        <wps:cNvSpPr>
                          <a:spLocks noChangeAspect="1"/>
                        </wps:cNvSpPr>
                        <wps:spPr bwMode="auto">
                          <a:xfrm>
                            <a:off x="4822" y="771"/>
                            <a:ext cx="228" cy="312"/>
                          </a:xfrm>
                          <a:custGeom>
                            <a:avLst/>
                            <a:gdLst>
                              <a:gd name="T0" fmla="*/ 0 w 142"/>
                              <a:gd name="T1" fmla="*/ 484 h 194"/>
                              <a:gd name="T2" fmla="*/ 0 w 142"/>
                              <a:gd name="T3" fmla="*/ 26 h 194"/>
                              <a:gd name="T4" fmla="*/ 18 w 142"/>
                              <a:gd name="T5" fmla="*/ 8 h 194"/>
                              <a:gd name="T6" fmla="*/ 50 w 142"/>
                              <a:gd name="T7" fmla="*/ 8 h 194"/>
                              <a:gd name="T8" fmla="*/ 67 w 142"/>
                              <a:gd name="T9" fmla="*/ 26 h 194"/>
                              <a:gd name="T10" fmla="*/ 67 w 142"/>
                              <a:gd name="T11" fmla="*/ 42 h 194"/>
                              <a:gd name="T12" fmla="*/ 222 w 142"/>
                              <a:gd name="T13" fmla="*/ 0 h 194"/>
                              <a:gd name="T14" fmla="*/ 366 w 142"/>
                              <a:gd name="T15" fmla="*/ 153 h 194"/>
                              <a:gd name="T16" fmla="*/ 366 w 142"/>
                              <a:gd name="T17" fmla="*/ 484 h 194"/>
                              <a:gd name="T18" fmla="*/ 345 w 142"/>
                              <a:gd name="T19" fmla="*/ 502 h 194"/>
                              <a:gd name="T20" fmla="*/ 316 w 142"/>
                              <a:gd name="T21" fmla="*/ 502 h 194"/>
                              <a:gd name="T22" fmla="*/ 297 w 142"/>
                              <a:gd name="T23" fmla="*/ 484 h 194"/>
                              <a:gd name="T24" fmla="*/ 297 w 142"/>
                              <a:gd name="T25" fmla="*/ 153 h 194"/>
                              <a:gd name="T26" fmla="*/ 212 w 142"/>
                              <a:gd name="T27" fmla="*/ 68 h 194"/>
                              <a:gd name="T28" fmla="*/ 67 w 142"/>
                              <a:gd name="T29" fmla="*/ 101 h 194"/>
                              <a:gd name="T30" fmla="*/ 67 w 142"/>
                              <a:gd name="T31" fmla="*/ 484 h 194"/>
                              <a:gd name="T32" fmla="*/ 50 w 142"/>
                              <a:gd name="T33" fmla="*/ 502 h 194"/>
                              <a:gd name="T34" fmla="*/ 18 w 142"/>
                              <a:gd name="T35" fmla="*/ 502 h 194"/>
                              <a:gd name="T36" fmla="*/ 0 w 142"/>
                              <a:gd name="T37" fmla="*/ 484 h 1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194">
                                <a:moveTo>
                                  <a:pt x="0" y="187"/>
                                </a:moveTo>
                                <a:cubicBezTo>
                                  <a:pt x="0" y="10"/>
                                  <a:pt x="0" y="10"/>
                                  <a:pt x="0" y="10"/>
                                </a:cubicBezTo>
                                <a:cubicBezTo>
                                  <a:pt x="0" y="6"/>
                                  <a:pt x="3" y="3"/>
                                  <a:pt x="7" y="3"/>
                                </a:cubicBezTo>
                                <a:cubicBezTo>
                                  <a:pt x="19" y="3"/>
                                  <a:pt x="19" y="3"/>
                                  <a:pt x="19" y="3"/>
                                </a:cubicBezTo>
                                <a:cubicBezTo>
                                  <a:pt x="23" y="3"/>
                                  <a:pt x="26" y="6"/>
                                  <a:pt x="26" y="10"/>
                                </a:cubicBezTo>
                                <a:cubicBezTo>
                                  <a:pt x="26" y="16"/>
                                  <a:pt x="26" y="16"/>
                                  <a:pt x="26" y="16"/>
                                </a:cubicBezTo>
                                <a:cubicBezTo>
                                  <a:pt x="33" y="14"/>
                                  <a:pt x="54" y="0"/>
                                  <a:pt x="86" y="0"/>
                                </a:cubicBezTo>
                                <a:cubicBezTo>
                                  <a:pt x="118" y="0"/>
                                  <a:pt x="142" y="14"/>
                                  <a:pt x="142" y="59"/>
                                </a:cubicBezTo>
                                <a:cubicBezTo>
                                  <a:pt x="142" y="187"/>
                                  <a:pt x="142" y="187"/>
                                  <a:pt x="142" y="187"/>
                                </a:cubicBezTo>
                                <a:cubicBezTo>
                                  <a:pt x="142" y="191"/>
                                  <a:pt x="139" y="194"/>
                                  <a:pt x="134" y="194"/>
                                </a:cubicBezTo>
                                <a:cubicBezTo>
                                  <a:pt x="123" y="194"/>
                                  <a:pt x="123" y="194"/>
                                  <a:pt x="123" y="194"/>
                                </a:cubicBezTo>
                                <a:cubicBezTo>
                                  <a:pt x="118" y="194"/>
                                  <a:pt x="115" y="191"/>
                                  <a:pt x="115" y="187"/>
                                </a:cubicBezTo>
                                <a:cubicBezTo>
                                  <a:pt x="115" y="59"/>
                                  <a:pt x="115" y="59"/>
                                  <a:pt x="115" y="59"/>
                                </a:cubicBezTo>
                                <a:cubicBezTo>
                                  <a:pt x="115" y="37"/>
                                  <a:pt x="105" y="26"/>
                                  <a:pt x="82" y="26"/>
                                </a:cubicBezTo>
                                <a:cubicBezTo>
                                  <a:pt x="52" y="26"/>
                                  <a:pt x="26" y="39"/>
                                  <a:pt x="26" y="39"/>
                                </a:cubicBezTo>
                                <a:cubicBezTo>
                                  <a:pt x="26" y="187"/>
                                  <a:pt x="26" y="187"/>
                                  <a:pt x="26" y="187"/>
                                </a:cubicBezTo>
                                <a:cubicBezTo>
                                  <a:pt x="26" y="191"/>
                                  <a:pt x="23" y="194"/>
                                  <a:pt x="19" y="194"/>
                                </a:cubicBezTo>
                                <a:cubicBezTo>
                                  <a:pt x="7" y="194"/>
                                  <a:pt x="7" y="194"/>
                                  <a:pt x="7"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7"/>
                        <wps:cNvSpPr>
                          <a:spLocks noChangeAspect="1"/>
                        </wps:cNvSpPr>
                        <wps:spPr bwMode="auto">
                          <a:xfrm>
                            <a:off x="5101" y="769"/>
                            <a:ext cx="231" cy="320"/>
                          </a:xfrm>
                          <a:custGeom>
                            <a:avLst/>
                            <a:gdLst>
                              <a:gd name="T0" fmla="*/ 0 w 144"/>
                              <a:gd name="T1" fmla="*/ 256 h 199"/>
                              <a:gd name="T2" fmla="*/ 217 w 144"/>
                              <a:gd name="T3" fmla="*/ 0 h 199"/>
                              <a:gd name="T4" fmla="*/ 348 w 144"/>
                              <a:gd name="T5" fmla="*/ 31 h 199"/>
                              <a:gd name="T6" fmla="*/ 371 w 144"/>
                              <a:gd name="T7" fmla="*/ 64 h 199"/>
                              <a:gd name="T8" fmla="*/ 371 w 144"/>
                              <a:gd name="T9" fmla="*/ 82 h 199"/>
                              <a:gd name="T10" fmla="*/ 358 w 144"/>
                              <a:gd name="T11" fmla="*/ 98 h 199"/>
                              <a:gd name="T12" fmla="*/ 342 w 144"/>
                              <a:gd name="T13" fmla="*/ 93 h 199"/>
                              <a:gd name="T14" fmla="*/ 225 w 144"/>
                              <a:gd name="T15" fmla="*/ 59 h 199"/>
                              <a:gd name="T16" fmla="*/ 67 w 144"/>
                              <a:gd name="T17" fmla="*/ 256 h 199"/>
                              <a:gd name="T18" fmla="*/ 225 w 144"/>
                              <a:gd name="T19" fmla="*/ 455 h 199"/>
                              <a:gd name="T20" fmla="*/ 342 w 144"/>
                              <a:gd name="T21" fmla="*/ 420 h 199"/>
                              <a:gd name="T22" fmla="*/ 358 w 144"/>
                              <a:gd name="T23" fmla="*/ 413 h 199"/>
                              <a:gd name="T24" fmla="*/ 371 w 144"/>
                              <a:gd name="T25" fmla="*/ 433 h 199"/>
                              <a:gd name="T26" fmla="*/ 371 w 144"/>
                              <a:gd name="T27" fmla="*/ 450 h 199"/>
                              <a:gd name="T28" fmla="*/ 348 w 144"/>
                              <a:gd name="T29" fmla="*/ 484 h 199"/>
                              <a:gd name="T30" fmla="*/ 217 w 144"/>
                              <a:gd name="T31" fmla="*/ 515 h 199"/>
                              <a:gd name="T32" fmla="*/ 0 w 144"/>
                              <a:gd name="T33" fmla="*/ 256 h 19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4" h="199">
                                <a:moveTo>
                                  <a:pt x="0" y="99"/>
                                </a:moveTo>
                                <a:cubicBezTo>
                                  <a:pt x="0" y="37"/>
                                  <a:pt x="34" y="0"/>
                                  <a:pt x="84" y="0"/>
                                </a:cubicBezTo>
                                <a:cubicBezTo>
                                  <a:pt x="108" y="0"/>
                                  <a:pt x="128" y="6"/>
                                  <a:pt x="135" y="12"/>
                                </a:cubicBezTo>
                                <a:cubicBezTo>
                                  <a:pt x="141" y="16"/>
                                  <a:pt x="144" y="20"/>
                                  <a:pt x="144" y="25"/>
                                </a:cubicBezTo>
                                <a:cubicBezTo>
                                  <a:pt x="144" y="32"/>
                                  <a:pt x="144" y="32"/>
                                  <a:pt x="144" y="32"/>
                                </a:cubicBezTo>
                                <a:cubicBezTo>
                                  <a:pt x="144" y="36"/>
                                  <a:pt x="142" y="38"/>
                                  <a:pt x="139" y="38"/>
                                </a:cubicBezTo>
                                <a:cubicBezTo>
                                  <a:pt x="137" y="38"/>
                                  <a:pt x="135" y="38"/>
                                  <a:pt x="133" y="36"/>
                                </a:cubicBezTo>
                                <a:cubicBezTo>
                                  <a:pt x="126" y="32"/>
                                  <a:pt x="107" y="23"/>
                                  <a:pt x="87" y="23"/>
                                </a:cubicBezTo>
                                <a:cubicBezTo>
                                  <a:pt x="50" y="23"/>
                                  <a:pt x="26" y="50"/>
                                  <a:pt x="26" y="99"/>
                                </a:cubicBezTo>
                                <a:cubicBezTo>
                                  <a:pt x="26" y="149"/>
                                  <a:pt x="50" y="176"/>
                                  <a:pt x="87" y="176"/>
                                </a:cubicBezTo>
                                <a:cubicBezTo>
                                  <a:pt x="107" y="176"/>
                                  <a:pt x="126" y="167"/>
                                  <a:pt x="133" y="162"/>
                                </a:cubicBezTo>
                                <a:cubicBezTo>
                                  <a:pt x="135" y="161"/>
                                  <a:pt x="137" y="160"/>
                                  <a:pt x="139" y="160"/>
                                </a:cubicBezTo>
                                <a:cubicBezTo>
                                  <a:pt x="142" y="160"/>
                                  <a:pt x="144" y="163"/>
                                  <a:pt x="144" y="167"/>
                                </a:cubicBezTo>
                                <a:cubicBezTo>
                                  <a:pt x="144" y="174"/>
                                  <a:pt x="144" y="174"/>
                                  <a:pt x="144" y="174"/>
                                </a:cubicBezTo>
                                <a:cubicBezTo>
                                  <a:pt x="144" y="179"/>
                                  <a:pt x="141" y="183"/>
                                  <a:pt x="135" y="187"/>
                                </a:cubicBezTo>
                                <a:cubicBezTo>
                                  <a:pt x="128" y="192"/>
                                  <a:pt x="108" y="199"/>
                                  <a:pt x="84" y="199"/>
                                </a:cubicBezTo>
                                <a:cubicBezTo>
                                  <a:pt x="34" y="199"/>
                                  <a:pt x="0" y="162"/>
                                  <a:pt x="0"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28"/>
                        <wps:cNvSpPr>
                          <a:spLocks noChangeAspect="1" noEditPoints="1"/>
                        </wps:cNvSpPr>
                        <wps:spPr bwMode="auto">
                          <a:xfrm>
                            <a:off x="5372" y="668"/>
                            <a:ext cx="55" cy="415"/>
                          </a:xfrm>
                          <a:custGeom>
                            <a:avLst/>
                            <a:gdLst>
                              <a:gd name="T0" fmla="*/ 0 w 34"/>
                              <a:gd name="T1" fmla="*/ 47 h 258"/>
                              <a:gd name="T2" fmla="*/ 45 w 34"/>
                              <a:gd name="T3" fmla="*/ 0 h 258"/>
                              <a:gd name="T4" fmla="*/ 89 w 34"/>
                              <a:gd name="T5" fmla="*/ 47 h 258"/>
                              <a:gd name="T6" fmla="*/ 45 w 34"/>
                              <a:gd name="T7" fmla="*/ 90 h 258"/>
                              <a:gd name="T8" fmla="*/ 0 w 34"/>
                              <a:gd name="T9" fmla="*/ 47 h 258"/>
                              <a:gd name="T10" fmla="*/ 10 w 34"/>
                              <a:gd name="T11" fmla="*/ 650 h 258"/>
                              <a:gd name="T12" fmla="*/ 10 w 34"/>
                              <a:gd name="T13" fmla="*/ 191 h 258"/>
                              <a:gd name="T14" fmla="*/ 29 w 34"/>
                              <a:gd name="T15" fmla="*/ 174 h 258"/>
                              <a:gd name="T16" fmla="*/ 60 w 34"/>
                              <a:gd name="T17" fmla="*/ 174 h 258"/>
                              <a:gd name="T18" fmla="*/ 79 w 34"/>
                              <a:gd name="T19" fmla="*/ 191 h 258"/>
                              <a:gd name="T20" fmla="*/ 79 w 34"/>
                              <a:gd name="T21" fmla="*/ 650 h 258"/>
                              <a:gd name="T22" fmla="*/ 60 w 34"/>
                              <a:gd name="T23" fmla="*/ 668 h 258"/>
                              <a:gd name="T24" fmla="*/ 29 w 34"/>
                              <a:gd name="T25" fmla="*/ 668 h 258"/>
                              <a:gd name="T26" fmla="*/ 10 w 34"/>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4" h="258">
                                <a:moveTo>
                                  <a:pt x="0" y="18"/>
                                </a:moveTo>
                                <a:cubicBezTo>
                                  <a:pt x="0" y="8"/>
                                  <a:pt x="8" y="0"/>
                                  <a:pt x="17" y="0"/>
                                </a:cubicBezTo>
                                <a:cubicBezTo>
                                  <a:pt x="26" y="0"/>
                                  <a:pt x="34" y="8"/>
                                  <a:pt x="34" y="18"/>
                                </a:cubicBezTo>
                                <a:cubicBezTo>
                                  <a:pt x="34" y="27"/>
                                  <a:pt x="26" y="35"/>
                                  <a:pt x="17" y="35"/>
                                </a:cubicBezTo>
                                <a:cubicBezTo>
                                  <a:pt x="8" y="35"/>
                                  <a:pt x="0" y="27"/>
                                  <a:pt x="0" y="18"/>
                                </a:cubicBezTo>
                                <a:moveTo>
                                  <a:pt x="4" y="251"/>
                                </a:moveTo>
                                <a:cubicBezTo>
                                  <a:pt x="4" y="74"/>
                                  <a:pt x="4" y="74"/>
                                  <a:pt x="4" y="74"/>
                                </a:cubicBezTo>
                                <a:cubicBezTo>
                                  <a:pt x="4" y="70"/>
                                  <a:pt x="7" y="67"/>
                                  <a:pt x="11" y="67"/>
                                </a:cubicBezTo>
                                <a:cubicBezTo>
                                  <a:pt x="23" y="67"/>
                                  <a:pt x="23" y="67"/>
                                  <a:pt x="23" y="67"/>
                                </a:cubicBezTo>
                                <a:cubicBezTo>
                                  <a:pt x="27" y="67"/>
                                  <a:pt x="30" y="70"/>
                                  <a:pt x="30" y="74"/>
                                </a:cubicBezTo>
                                <a:cubicBezTo>
                                  <a:pt x="30" y="251"/>
                                  <a:pt x="30" y="251"/>
                                  <a:pt x="30" y="251"/>
                                </a:cubicBezTo>
                                <a:cubicBezTo>
                                  <a:pt x="30" y="255"/>
                                  <a:pt x="27" y="258"/>
                                  <a:pt x="23" y="258"/>
                                </a:cubicBezTo>
                                <a:cubicBezTo>
                                  <a:pt x="11" y="258"/>
                                  <a:pt x="11" y="258"/>
                                  <a:pt x="11" y="258"/>
                                </a:cubicBezTo>
                                <a:cubicBezTo>
                                  <a:pt x="7" y="258"/>
                                  <a:pt x="4" y="255"/>
                                  <a:pt x="4"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29"/>
                        <wps:cNvSpPr>
                          <a:spLocks noChangeAspect="1"/>
                        </wps:cNvSpPr>
                        <wps:spPr bwMode="auto">
                          <a:xfrm>
                            <a:off x="5487" y="624"/>
                            <a:ext cx="44" cy="459"/>
                          </a:xfrm>
                          <a:custGeom>
                            <a:avLst/>
                            <a:gdLst>
                              <a:gd name="T0" fmla="*/ 0 w 27"/>
                              <a:gd name="T1" fmla="*/ 722 h 285"/>
                              <a:gd name="T2" fmla="*/ 0 w 27"/>
                              <a:gd name="T3" fmla="*/ 18 h 285"/>
                              <a:gd name="T4" fmla="*/ 21 w 27"/>
                              <a:gd name="T5" fmla="*/ 0 h 285"/>
                              <a:gd name="T6" fmla="*/ 51 w 27"/>
                              <a:gd name="T7" fmla="*/ 0 h 285"/>
                              <a:gd name="T8" fmla="*/ 72 w 27"/>
                              <a:gd name="T9" fmla="*/ 18 h 285"/>
                              <a:gd name="T10" fmla="*/ 72 w 27"/>
                              <a:gd name="T11" fmla="*/ 722 h 285"/>
                              <a:gd name="T12" fmla="*/ 51 w 27"/>
                              <a:gd name="T13" fmla="*/ 739 h 285"/>
                              <a:gd name="T14" fmla="*/ 21 w 27"/>
                              <a:gd name="T15" fmla="*/ 739 h 285"/>
                              <a:gd name="T16" fmla="*/ 0 w 27"/>
                              <a:gd name="T17" fmla="*/ 722 h 2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7" h="285">
                                <a:moveTo>
                                  <a:pt x="0" y="278"/>
                                </a:moveTo>
                                <a:cubicBezTo>
                                  <a:pt x="0" y="7"/>
                                  <a:pt x="0" y="7"/>
                                  <a:pt x="0" y="7"/>
                                </a:cubicBezTo>
                                <a:cubicBezTo>
                                  <a:pt x="0" y="3"/>
                                  <a:pt x="3" y="0"/>
                                  <a:pt x="8" y="0"/>
                                </a:cubicBezTo>
                                <a:cubicBezTo>
                                  <a:pt x="19" y="0"/>
                                  <a:pt x="19" y="0"/>
                                  <a:pt x="19" y="0"/>
                                </a:cubicBezTo>
                                <a:cubicBezTo>
                                  <a:pt x="23" y="0"/>
                                  <a:pt x="27" y="3"/>
                                  <a:pt x="27" y="7"/>
                                </a:cubicBezTo>
                                <a:cubicBezTo>
                                  <a:pt x="27" y="278"/>
                                  <a:pt x="27" y="278"/>
                                  <a:pt x="27" y="278"/>
                                </a:cubicBezTo>
                                <a:cubicBezTo>
                                  <a:pt x="27" y="282"/>
                                  <a:pt x="23" y="285"/>
                                  <a:pt x="19" y="285"/>
                                </a:cubicBezTo>
                                <a:cubicBezTo>
                                  <a:pt x="8" y="285"/>
                                  <a:pt x="8" y="285"/>
                                  <a:pt x="8" y="285"/>
                                </a:cubicBezTo>
                                <a:cubicBezTo>
                                  <a:pt x="3" y="285"/>
                                  <a:pt x="0" y="282"/>
                                  <a:pt x="0" y="278"/>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30"/>
                        <wps:cNvSpPr>
                          <a:spLocks noChangeAspect="1"/>
                        </wps:cNvSpPr>
                        <wps:spPr bwMode="auto">
                          <a:xfrm>
                            <a:off x="2" y="-3"/>
                            <a:ext cx="1990" cy="676"/>
                          </a:xfrm>
                          <a:custGeom>
                            <a:avLst/>
                            <a:gdLst>
                              <a:gd name="T0" fmla="*/ 2695 w 1242"/>
                              <a:gd name="T1" fmla="*/ 31 h 420"/>
                              <a:gd name="T2" fmla="*/ 2618 w 1242"/>
                              <a:gd name="T3" fmla="*/ 31 h 420"/>
                              <a:gd name="T4" fmla="*/ 2174 w 1242"/>
                              <a:gd name="T5" fmla="*/ 480 h 420"/>
                              <a:gd name="T6" fmla="*/ 2077 w 1242"/>
                              <a:gd name="T7" fmla="*/ 480 h 420"/>
                              <a:gd name="T8" fmla="*/ 1633 w 1242"/>
                              <a:gd name="T9" fmla="*/ 31 h 420"/>
                              <a:gd name="T10" fmla="*/ 1556 w 1242"/>
                              <a:gd name="T11" fmla="*/ 31 h 420"/>
                              <a:gd name="T12" fmla="*/ 1112 w 1242"/>
                              <a:gd name="T13" fmla="*/ 480 h 420"/>
                              <a:gd name="T14" fmla="*/ 1014 w 1242"/>
                              <a:gd name="T15" fmla="*/ 480 h 420"/>
                              <a:gd name="T16" fmla="*/ 570 w 1242"/>
                              <a:gd name="T17" fmla="*/ 31 h 420"/>
                              <a:gd name="T18" fmla="*/ 493 w 1242"/>
                              <a:gd name="T19" fmla="*/ 31 h 420"/>
                              <a:gd name="T20" fmla="*/ 0 w 1242"/>
                              <a:gd name="T21" fmla="*/ 528 h 420"/>
                              <a:gd name="T22" fmla="*/ 0 w 1242"/>
                              <a:gd name="T23" fmla="*/ 1088 h 420"/>
                              <a:gd name="T24" fmla="*/ 482 w 1242"/>
                              <a:gd name="T25" fmla="*/ 600 h 420"/>
                              <a:gd name="T26" fmla="*/ 580 w 1242"/>
                              <a:gd name="T27" fmla="*/ 600 h 420"/>
                              <a:gd name="T28" fmla="*/ 1024 w 1242"/>
                              <a:gd name="T29" fmla="*/ 1049 h 420"/>
                              <a:gd name="T30" fmla="*/ 1101 w 1242"/>
                              <a:gd name="T31" fmla="*/ 1049 h 420"/>
                              <a:gd name="T32" fmla="*/ 1546 w 1242"/>
                              <a:gd name="T33" fmla="*/ 600 h 420"/>
                              <a:gd name="T34" fmla="*/ 1642 w 1242"/>
                              <a:gd name="T35" fmla="*/ 600 h 420"/>
                              <a:gd name="T36" fmla="*/ 2088 w 1242"/>
                              <a:gd name="T37" fmla="*/ 1049 h 420"/>
                              <a:gd name="T38" fmla="*/ 2165 w 1242"/>
                              <a:gd name="T39" fmla="*/ 1049 h 420"/>
                              <a:gd name="T40" fmla="*/ 2608 w 1242"/>
                              <a:gd name="T41" fmla="*/ 600 h 420"/>
                              <a:gd name="T42" fmla="*/ 2706 w 1242"/>
                              <a:gd name="T43" fmla="*/ 600 h 420"/>
                              <a:gd name="T44" fmla="*/ 3188 w 1242"/>
                              <a:gd name="T45" fmla="*/ 1088 h 420"/>
                              <a:gd name="T46" fmla="*/ 3188 w 1242"/>
                              <a:gd name="T47" fmla="*/ 528 h 420"/>
                              <a:gd name="T48" fmla="*/ 2695 w 1242"/>
                              <a:gd name="T49" fmla="*/ 31 h 42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242" h="420">
                                <a:moveTo>
                                  <a:pt x="1050" y="12"/>
                                </a:moveTo>
                                <a:cubicBezTo>
                                  <a:pt x="1039" y="0"/>
                                  <a:pt x="1032" y="0"/>
                                  <a:pt x="1020" y="12"/>
                                </a:cubicBezTo>
                                <a:cubicBezTo>
                                  <a:pt x="847" y="185"/>
                                  <a:pt x="847" y="185"/>
                                  <a:pt x="847" y="185"/>
                                </a:cubicBezTo>
                                <a:cubicBezTo>
                                  <a:pt x="837" y="195"/>
                                  <a:pt x="820" y="195"/>
                                  <a:pt x="809" y="185"/>
                                </a:cubicBezTo>
                                <a:cubicBezTo>
                                  <a:pt x="636" y="12"/>
                                  <a:pt x="636" y="12"/>
                                  <a:pt x="636" y="12"/>
                                </a:cubicBezTo>
                                <a:cubicBezTo>
                                  <a:pt x="625" y="0"/>
                                  <a:pt x="617" y="0"/>
                                  <a:pt x="606" y="12"/>
                                </a:cubicBezTo>
                                <a:cubicBezTo>
                                  <a:pt x="433" y="185"/>
                                  <a:pt x="433" y="185"/>
                                  <a:pt x="433" y="185"/>
                                </a:cubicBezTo>
                                <a:cubicBezTo>
                                  <a:pt x="423" y="195"/>
                                  <a:pt x="405" y="195"/>
                                  <a:pt x="395" y="185"/>
                                </a:cubicBezTo>
                                <a:cubicBezTo>
                                  <a:pt x="222" y="12"/>
                                  <a:pt x="222" y="12"/>
                                  <a:pt x="222" y="12"/>
                                </a:cubicBezTo>
                                <a:cubicBezTo>
                                  <a:pt x="211" y="0"/>
                                  <a:pt x="203" y="0"/>
                                  <a:pt x="192" y="12"/>
                                </a:cubicBezTo>
                                <a:cubicBezTo>
                                  <a:pt x="0" y="204"/>
                                  <a:pt x="0" y="204"/>
                                  <a:pt x="0" y="204"/>
                                </a:cubicBezTo>
                                <a:cubicBezTo>
                                  <a:pt x="0" y="420"/>
                                  <a:pt x="0" y="420"/>
                                  <a:pt x="0" y="420"/>
                                </a:cubicBezTo>
                                <a:cubicBezTo>
                                  <a:pt x="188" y="232"/>
                                  <a:pt x="188" y="232"/>
                                  <a:pt x="188" y="232"/>
                                </a:cubicBezTo>
                                <a:cubicBezTo>
                                  <a:pt x="198" y="222"/>
                                  <a:pt x="216" y="222"/>
                                  <a:pt x="226" y="232"/>
                                </a:cubicBezTo>
                                <a:cubicBezTo>
                                  <a:pt x="399" y="405"/>
                                  <a:pt x="399" y="405"/>
                                  <a:pt x="399" y="405"/>
                                </a:cubicBezTo>
                                <a:cubicBezTo>
                                  <a:pt x="410" y="417"/>
                                  <a:pt x="418" y="417"/>
                                  <a:pt x="429" y="405"/>
                                </a:cubicBezTo>
                                <a:cubicBezTo>
                                  <a:pt x="602" y="232"/>
                                  <a:pt x="602" y="232"/>
                                  <a:pt x="602" y="232"/>
                                </a:cubicBezTo>
                                <a:cubicBezTo>
                                  <a:pt x="612" y="222"/>
                                  <a:pt x="630" y="222"/>
                                  <a:pt x="640" y="232"/>
                                </a:cubicBezTo>
                                <a:cubicBezTo>
                                  <a:pt x="813" y="405"/>
                                  <a:pt x="813" y="405"/>
                                  <a:pt x="813" y="405"/>
                                </a:cubicBezTo>
                                <a:cubicBezTo>
                                  <a:pt x="825" y="417"/>
                                  <a:pt x="832" y="417"/>
                                  <a:pt x="843" y="405"/>
                                </a:cubicBezTo>
                                <a:cubicBezTo>
                                  <a:pt x="1016" y="232"/>
                                  <a:pt x="1016" y="232"/>
                                  <a:pt x="1016" y="232"/>
                                </a:cubicBezTo>
                                <a:cubicBezTo>
                                  <a:pt x="1027" y="222"/>
                                  <a:pt x="1044" y="222"/>
                                  <a:pt x="1054" y="232"/>
                                </a:cubicBezTo>
                                <a:cubicBezTo>
                                  <a:pt x="1242" y="420"/>
                                  <a:pt x="1242" y="420"/>
                                  <a:pt x="1242" y="420"/>
                                </a:cubicBezTo>
                                <a:cubicBezTo>
                                  <a:pt x="1242" y="204"/>
                                  <a:pt x="1242" y="204"/>
                                  <a:pt x="1242" y="204"/>
                                </a:cubicBezTo>
                                <a:lnTo>
                                  <a:pt x="1050" y="12"/>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31"/>
                        <wps:cNvSpPr>
                          <a:spLocks noChangeAspect="1"/>
                        </wps:cNvSpPr>
                        <wps:spPr bwMode="auto">
                          <a:xfrm>
                            <a:off x="2" y="435"/>
                            <a:ext cx="1990" cy="675"/>
                          </a:xfrm>
                          <a:custGeom>
                            <a:avLst/>
                            <a:gdLst>
                              <a:gd name="T0" fmla="*/ 2695 w 1242"/>
                              <a:gd name="T1" fmla="*/ 31 h 420"/>
                              <a:gd name="T2" fmla="*/ 2618 w 1242"/>
                              <a:gd name="T3" fmla="*/ 31 h 420"/>
                              <a:gd name="T4" fmla="*/ 2174 w 1242"/>
                              <a:gd name="T5" fmla="*/ 476 h 420"/>
                              <a:gd name="T6" fmla="*/ 2077 w 1242"/>
                              <a:gd name="T7" fmla="*/ 476 h 420"/>
                              <a:gd name="T8" fmla="*/ 1633 w 1242"/>
                              <a:gd name="T9" fmla="*/ 31 h 420"/>
                              <a:gd name="T10" fmla="*/ 1556 w 1242"/>
                              <a:gd name="T11" fmla="*/ 31 h 420"/>
                              <a:gd name="T12" fmla="*/ 1112 w 1242"/>
                              <a:gd name="T13" fmla="*/ 476 h 420"/>
                              <a:gd name="T14" fmla="*/ 1014 w 1242"/>
                              <a:gd name="T15" fmla="*/ 476 h 420"/>
                              <a:gd name="T16" fmla="*/ 570 w 1242"/>
                              <a:gd name="T17" fmla="*/ 31 h 420"/>
                              <a:gd name="T18" fmla="*/ 493 w 1242"/>
                              <a:gd name="T19" fmla="*/ 31 h 420"/>
                              <a:gd name="T20" fmla="*/ 0 w 1242"/>
                              <a:gd name="T21" fmla="*/ 527 h 420"/>
                              <a:gd name="T22" fmla="*/ 0 w 1242"/>
                              <a:gd name="T23" fmla="*/ 1085 h 420"/>
                              <a:gd name="T24" fmla="*/ 482 w 1242"/>
                              <a:gd name="T25" fmla="*/ 599 h 420"/>
                              <a:gd name="T26" fmla="*/ 580 w 1242"/>
                              <a:gd name="T27" fmla="*/ 599 h 420"/>
                              <a:gd name="T28" fmla="*/ 1024 w 1242"/>
                              <a:gd name="T29" fmla="*/ 1046 h 420"/>
                              <a:gd name="T30" fmla="*/ 1101 w 1242"/>
                              <a:gd name="T31" fmla="*/ 1046 h 420"/>
                              <a:gd name="T32" fmla="*/ 1546 w 1242"/>
                              <a:gd name="T33" fmla="*/ 599 h 420"/>
                              <a:gd name="T34" fmla="*/ 1642 w 1242"/>
                              <a:gd name="T35" fmla="*/ 599 h 420"/>
                              <a:gd name="T36" fmla="*/ 2088 w 1242"/>
                              <a:gd name="T37" fmla="*/ 1046 h 420"/>
                              <a:gd name="T38" fmla="*/ 2165 w 1242"/>
                              <a:gd name="T39" fmla="*/ 1046 h 420"/>
                              <a:gd name="T40" fmla="*/ 2608 w 1242"/>
                              <a:gd name="T41" fmla="*/ 599 h 420"/>
                              <a:gd name="T42" fmla="*/ 2706 w 1242"/>
                              <a:gd name="T43" fmla="*/ 599 h 420"/>
                              <a:gd name="T44" fmla="*/ 3188 w 1242"/>
                              <a:gd name="T45" fmla="*/ 1085 h 420"/>
                              <a:gd name="T46" fmla="*/ 3188 w 1242"/>
                              <a:gd name="T47" fmla="*/ 527 h 420"/>
                              <a:gd name="T48" fmla="*/ 2695 w 1242"/>
                              <a:gd name="T49" fmla="*/ 31 h 42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242" h="420">
                                <a:moveTo>
                                  <a:pt x="1050" y="12"/>
                                </a:moveTo>
                                <a:cubicBezTo>
                                  <a:pt x="1039" y="0"/>
                                  <a:pt x="1032" y="0"/>
                                  <a:pt x="1020" y="12"/>
                                </a:cubicBezTo>
                                <a:cubicBezTo>
                                  <a:pt x="847" y="184"/>
                                  <a:pt x="847" y="184"/>
                                  <a:pt x="847" y="184"/>
                                </a:cubicBezTo>
                                <a:cubicBezTo>
                                  <a:pt x="837" y="195"/>
                                  <a:pt x="820" y="195"/>
                                  <a:pt x="809" y="184"/>
                                </a:cubicBezTo>
                                <a:cubicBezTo>
                                  <a:pt x="636" y="12"/>
                                  <a:pt x="636" y="12"/>
                                  <a:pt x="636" y="12"/>
                                </a:cubicBezTo>
                                <a:cubicBezTo>
                                  <a:pt x="625" y="0"/>
                                  <a:pt x="617" y="0"/>
                                  <a:pt x="606" y="12"/>
                                </a:cubicBezTo>
                                <a:cubicBezTo>
                                  <a:pt x="433" y="184"/>
                                  <a:pt x="433" y="184"/>
                                  <a:pt x="433" y="184"/>
                                </a:cubicBezTo>
                                <a:cubicBezTo>
                                  <a:pt x="423" y="195"/>
                                  <a:pt x="405" y="195"/>
                                  <a:pt x="395" y="184"/>
                                </a:cubicBezTo>
                                <a:cubicBezTo>
                                  <a:pt x="222" y="12"/>
                                  <a:pt x="222" y="12"/>
                                  <a:pt x="222" y="12"/>
                                </a:cubicBezTo>
                                <a:cubicBezTo>
                                  <a:pt x="211" y="0"/>
                                  <a:pt x="203" y="0"/>
                                  <a:pt x="192" y="12"/>
                                </a:cubicBezTo>
                                <a:cubicBezTo>
                                  <a:pt x="0" y="204"/>
                                  <a:pt x="0" y="204"/>
                                  <a:pt x="0" y="204"/>
                                </a:cubicBezTo>
                                <a:cubicBezTo>
                                  <a:pt x="0" y="420"/>
                                  <a:pt x="0" y="420"/>
                                  <a:pt x="0" y="420"/>
                                </a:cubicBezTo>
                                <a:cubicBezTo>
                                  <a:pt x="188" y="232"/>
                                  <a:pt x="188" y="232"/>
                                  <a:pt x="188" y="232"/>
                                </a:cubicBezTo>
                                <a:cubicBezTo>
                                  <a:pt x="198" y="222"/>
                                  <a:pt x="216" y="222"/>
                                  <a:pt x="226" y="232"/>
                                </a:cubicBezTo>
                                <a:cubicBezTo>
                                  <a:pt x="399" y="405"/>
                                  <a:pt x="399" y="405"/>
                                  <a:pt x="399" y="405"/>
                                </a:cubicBezTo>
                                <a:cubicBezTo>
                                  <a:pt x="410" y="417"/>
                                  <a:pt x="418" y="417"/>
                                  <a:pt x="429" y="405"/>
                                </a:cubicBezTo>
                                <a:cubicBezTo>
                                  <a:pt x="602" y="232"/>
                                  <a:pt x="602" y="232"/>
                                  <a:pt x="602" y="232"/>
                                </a:cubicBezTo>
                                <a:cubicBezTo>
                                  <a:pt x="612" y="222"/>
                                  <a:pt x="630" y="222"/>
                                  <a:pt x="640" y="232"/>
                                </a:cubicBezTo>
                                <a:cubicBezTo>
                                  <a:pt x="813" y="405"/>
                                  <a:pt x="813" y="405"/>
                                  <a:pt x="813" y="405"/>
                                </a:cubicBezTo>
                                <a:cubicBezTo>
                                  <a:pt x="825" y="417"/>
                                  <a:pt x="832" y="417"/>
                                  <a:pt x="843" y="405"/>
                                </a:cubicBezTo>
                                <a:cubicBezTo>
                                  <a:pt x="1016" y="232"/>
                                  <a:pt x="1016" y="232"/>
                                  <a:pt x="1016" y="232"/>
                                </a:cubicBezTo>
                                <a:cubicBezTo>
                                  <a:pt x="1027" y="222"/>
                                  <a:pt x="1044" y="222"/>
                                  <a:pt x="1054" y="232"/>
                                </a:cubicBezTo>
                                <a:cubicBezTo>
                                  <a:pt x="1242" y="420"/>
                                  <a:pt x="1242" y="420"/>
                                  <a:pt x="1242" y="420"/>
                                </a:cubicBezTo>
                                <a:cubicBezTo>
                                  <a:pt x="1242" y="204"/>
                                  <a:pt x="1242" y="204"/>
                                  <a:pt x="1242" y="204"/>
                                </a:cubicBezTo>
                                <a:lnTo>
                                  <a:pt x="1050" y="12"/>
                                </a:lnTo>
                                <a:close/>
                              </a:path>
                            </a:pathLst>
                          </a:custGeom>
                          <a:solidFill>
                            <a:srgbClr val="00A0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B3ACC9E" id="Group 12" o:spid="_x0000_s1026" style="position:absolute;margin-left:-20.55pt;margin-top:22.2pt;width:195.15pt;height:41.55pt;z-index:251659264" coordorigin=",-3" coordsize="5760,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">
                <o:lock v:ext="edit" aspectratio="t"/>
                <v:rect id="AutoShape 11" o:spid="_x0000_s1027" style="position:absolute;width:5760;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" filled="f" stroked="f">
                  <o:lock v:ext="edit" aspectratio="t" text="t"/>
                </v:rect>
                <v:shape id="Freeform 3" o:spid="_x0000_s1028" style="position:absolute;left:2178;top:56;width:276;height:425;visibility:visible;mso-wrap-style:square;v-text-anchor:top" coordsize="17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" path="m,132c,47,43,,103,v31,,50,9,59,14c167,18,172,22,172,28v,8,,8,,8c172,41,169,43,165,43v-2,,-4,,-6,-2c151,37,132,26,106,26,61,26,29,61,29,132v,71,32,106,77,106c132,238,152,228,159,223v2,-1,4,-2,6,-2c169,221,172,224,172,228v,9,,9,,9c172,243,167,247,162,251v-8,5,-28,13,-59,13c43,264,,218,,132e" fillcolor="#8f5a28" stroked="f">
                  <v:path arrowok="t" o:connecttype="custom" o:connectlocs="0,552;425,0;669,60;711,116;711,150;682,179;656,171;438,109;120,552;438,993;656,930;682,922;711,951;711,990;669,1046;425,1101;0,552" o:connectangles="0,0,0,0,0,0,0,0,0,0,0,0,0,0,0,0,0"/>
                  <o:lock v:ext="edit" aspectratio="t"/>
                </v:shape>
                <v:shape id="Freeform 4" o:spid="_x0000_s1029" style="position:absolute;left:2486;top:161;width:239;height:319;visibility:visible;mso-wrap-style:square;v-text-anchor:top" coordsize="149,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" path="m,140c,110,19,76,77,76v10,,24,1,36,3c113,77,113,77,113,77,113,41,111,23,80,23,58,23,34,32,23,39v-2,1,-3,2,-5,2c14,41,12,38,12,34v,-11,,-11,,-11c12,19,15,15,21,12,35,4,62,,83,v51,,57,27,57,65c140,168,140,168,140,168v,9,3,12,9,12c149,185,149,185,149,185v,6,-5,13,-19,13c121,198,113,192,113,177v,-3,,-3,,-3c103,186,88,198,60,198,29,198,,183,,140t113,10c113,101,113,101,113,101,102,98,89,97,81,97v-39,,-54,17,-54,42c27,168,44,176,65,176v21,,40,-12,48,-26e" fillcolor="#8f5a28" stroked="f">
                  <v:path arrowok="t" o:connecttype="custom" o:connectlocs="0,586;319,317;465,330;465,322;329,97;95,164;75,171;48,143;48,97;88,50;342,0;579,272;579,704;614,752;614,773;537,828;465,740;465,727;247,828;0,586;465,628;465,424;335,404;111,582;268,738;465,628" o:connectangles="0,0,0,0,0,0,0,0,0,0,0,0,0,0,0,0,0,0,0,0,0,0,0,0,0,0"/>
                  <o:lock v:ext="edit" aspectratio="t" verticies="t"/>
                </v:shape>
                <v:shape id="Freeform 5" o:spid="_x0000_s1030" style="position:absolute;left:2776;top:163;width:391;height:312;visibility:visible;mso-wrap-style:square;v-text-anchor:top" coordsize="24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" path="m,187c,10,,10,,10,,6,3,3,8,3v11,,11,,11,c23,3,27,6,27,10v,6,,6,,6c36,13,57,,87,v19,,33,9,39,19c137,15,167,,195,v27,,49,14,49,57c244,187,244,187,244,187v,4,-3,7,-7,7c225,194,225,194,225,194v-4,,-7,-3,-7,-7c218,57,218,57,218,57v,-20,-9,-31,-30,-31c166,26,135,39,135,39v,148,,148,,148c135,191,132,194,128,194v-12,,-12,,-12,c112,194,109,191,109,187v,-130,,-130,,-130c109,37,100,26,79,26,57,26,27,39,27,39v,148,,148,,148c27,191,23,194,19,194v-11,,-11,,-11,c3,194,,191,,187e" fillcolor="#8f5a28" stroked="f">
                  <v:path arrowok="t" o:connecttype="custom" o:connectlocs="0,778;0,42;34,13;77,13;111,42;111,68;357,0;519,80;801,0;1005,238;1005,778;976,807;926,807;896,778;896,238;772,109;554,162;554,778;527,807;478,807;449,778;449,238;327,109;111,162;111,778;77,807;34,807;0,778" o:connectangles="0,0,0,0,0,0,0,0,0,0,0,0,0,0,0,0,0,0,0,0,0,0,0,0,0,0,0,0"/>
                  <o:lock v:ext="edit" aspectratio="t"/>
                </v:shape>
                <v:shape id="Freeform 6" o:spid="_x0000_s1031" style="position:absolute;left:3234;top:15;width:253;height:466;visibility:visible;mso-wrap-style:square;v-text-anchor:top" coordsize="15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" path="m26,261v,18,,18,,18c26,283,23,286,19,286v-12,,-12,,-12,c3,286,,283,,279,,8,,8,,8,,4,3,,7,,19,,19,,19,v4,,7,4,7,8c26,119,26,119,26,119,34,106,55,91,81,91v53,,77,41,77,99c158,249,134,290,81,290,55,290,34,275,26,261m132,190v,-53,-20,-75,-51,-75c53,115,33,134,26,152v,76,,76,,76c33,247,53,266,81,266v31,,51,-22,51,-76e" fillcolor="#8f5a28" stroked="f">
                  <v:path arrowok="t" o:connecttype="custom" o:connectlocs="107,1081;107,1157;77,1187;29,1187;0,1157;0,34;29,0;77,0;107,34;107,493;333,378;649,787;333,1204;107,1081;541,787;333,477;107,630;107,945;333,1102;541,787" o:connectangles="0,0,0,0,0,0,0,0,0,0,0,0,0,0,0,0,0,0,0,0"/>
                  <o:lock v:ext="edit" aspectratio="t" verticies="t"/>
                </v:shape>
                <v:shape id="Freeform 7" o:spid="_x0000_s1032" style="position:absolute;left:3543;top:167;width:154;height:308;visibility:visible;mso-wrap-style:square;v-text-anchor:top" coordsize="9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" path="m,184c,7,,7,,7,,3,3,,7,,19,,19,,19,v4,,7,3,7,7c26,20,26,20,26,20,41,7,60,,73,,84,,96,5,96,14v,14,,14,,14c96,32,93,34,89,34v-2,,-3,,-5,-1c79,29,74,25,64,25,54,25,40,32,26,43v,141,,141,,141c26,188,23,191,19,191v-12,,-12,,-12,c3,191,,188,,184e" fillcolor="#8f5a28" stroked="f">
                  <v:path arrowok="t" o:connecttype="custom" o:connectlocs="0,772;0,29;29,0;77,0;107,29;107,84;302,0;396,60;396,118;367,144;348,137;265,105;107,179;107,772;77,801;29,801;0,772" o:connectangles="0,0,0,0,0,0,0,0,0,0,0,0,0,0,0,0,0"/>
                  <o:lock v:ext="edit" aspectratio="t"/>
                </v:shape>
                <v:shape id="Freeform 8" o:spid="_x0000_s1033" style="position:absolute;left:3736;top:60;width:53;height:415;visibility:visible;mso-wrap-style:square;v-text-anchor:top" coordsize="3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" path="m,18c,8,7,,17,v9,,16,8,16,18c33,27,26,35,17,35,7,35,,27,,18m3,251c3,74,3,74,3,74v,-4,4,-7,8,-7c22,67,22,67,22,67v5,,8,3,8,7c30,251,30,251,30,251v,4,-3,7,-8,7c11,258,11,258,11,258v-4,,-8,-3,-8,-7e" fillcolor="#8f5a28" stroked="f">
                  <v:path arrowok="t" o:connecttype="custom" o:connectlocs="0,76;69,0;137,76;69,145;0,76;13,1046;13,307;47,280;90,280;124,307;124,1046;90,1074;47,1074;13,1046" o:connectangles="0,0,0,0,0,0,0,0,0,0,0,0,0,0"/>
                  <o:lock v:ext="edit" aspectratio="t" verticies="t"/>
                </v:shape>
                <v:shape id="Freeform 9" o:spid="_x0000_s1034" style="position:absolute;left:3830;top:15;width:270;height:466;visibility:visible;mso-wrap-style:square;v-text-anchor:top" coordsize="16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" path="m,190c,132,25,91,77,91v27,,47,15,55,28c132,8,132,8,132,8v,-4,3,-8,8,-8c151,,151,,151,v4,,8,4,8,8c159,259,159,259,159,259v,9,3,12,9,12c168,276,168,276,168,276v,6,-5,13,-19,13c140,289,132,283,132,268v,-7,,-7,,-7c124,275,104,290,77,290,25,290,,249,,190t132,38c132,152,132,152,132,152,125,134,106,115,77,115v-30,,-50,22,-50,75c27,244,47,266,77,266v29,,48,-19,55,-38e" fillcolor="#8f5a28" stroked="f">
                  <v:path arrowok="t" o:connecttype="custom" o:connectlocs="0,787;320,378;548,493;548,34;582,0;628,0;661,34;661,1073;698,1123;698,1146;617,1199;548,1114;548,1081;320,1204;0,787;548,945;548,630;320,477;111,787;320,1102;548,945" o:connectangles="0,0,0,0,0,0,0,0,0,0,0,0,0,0,0,0,0,0,0,0,0"/>
                  <o:lock v:ext="edit" aspectratio="t" verticies="t"/>
                </v:shape>
                <v:shape id="Freeform 10" o:spid="_x0000_s1035" style="position:absolute;left:4133;top:143;width:257;height:475;visibility:visible;mso-wrap-style:square;v-text-anchor:top" coordsize="16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" path="m138,v10,,22,6,22,15c160,29,160,29,160,29v,4,-2,6,-6,6c152,35,151,35,149,33v-6,-4,-10,-8,-20,-8c125,25,122,26,119,27v13,12,21,30,21,52c140,120,112,147,73,147v-7,,-14,-1,-20,-2c47,148,42,155,42,164v,9,4,16,10,19c60,182,68,181,78,181v51,,77,24,77,58c155,273,129,295,78,295,26,295,,273,,239,,218,9,201,28,191,21,185,18,175,18,164v,-12,5,-22,14,-29c16,123,6,103,6,79,6,37,34,11,73,11v10,,20,2,28,5c112,5,126,,138,t-7,239c131,217,111,206,78,206v-34,,-54,11,-54,33c24,261,44,272,78,272v33,,53,-11,53,-33m115,79c115,53,102,32,73,32,44,32,31,53,31,79v,26,13,47,42,47c102,126,115,105,115,79e" fillcolor="#8f5a28" stroked="f">
                  <v:path arrowok="t" o:connecttype="custom" o:connectlocs="573,0;663,63;663,122;638,145;617,137;533,103;493,111;580,328;302,615;220,604;173,684;217,765;323,755;643,998;323,1232;0,998;116,799;75,684;132,562;26,328;302,47;418,68;573,0;541,998;323,861;101,998;323,1135;541,998;477,328;302,135;129,328;302,527;477,328" o:connectangles="0,0,0,0,0,0,0,0,0,0,0,0,0,0,0,0,0,0,0,0,0,0,0,0,0,0,0,0,0,0,0,0,0"/>
                  <o:lock v:ext="edit" aspectratio="t" verticies="t"/>
                </v:shape>
                <v:shape id="Freeform 11" o:spid="_x0000_s1036" style="position:absolute;left:4407;top:161;width:244;height:320;visibility:visible;mso-wrap-style:square;v-text-anchor:top" coordsize="15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" path="m,99c,41,28,,81,v46,,71,28,71,75c152,83,152,93,150,102v-124,,-124,,-124,c26,148,48,176,90,176v25,,43,-13,50,-17c142,158,144,157,146,157v3,,5,3,5,7c151,170,151,170,151,170v,4,-1,8,-7,12c137,186,119,199,85,199,27,199,,158,,99m126,81v,-5,,-9,,-13c126,40,107,23,83,23,46,23,32,48,28,81r98,xe" fillcolor="#8f5a28" stroked="f">
                  <v:path arrowok="t" o:connecttype="custom" o:connectlocs="0,412;336,0;629,314;621,425;108,425;371,732;580,663;604,651;623,683;623,706;596,757;350,828;0,412;520,336;520,281;344,95;116,336;520,336" o:connectangles="0,0,0,0,0,0,0,0,0,0,0,0,0,0,0,0,0,0"/>
                  <o:lock v:ext="edit" aspectratio="t" verticies="t"/>
                </v:shape>
                <v:shape id="Freeform 12" o:spid="_x0000_s1037" style="position:absolute;left:4694;top:161;width:193;height:320;visibility:visible;mso-wrap-style:square;v-text-anchor:top" coordsize="12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" path="m9,187c4,183,,179,,174v,-9,,-9,,-9c,161,2,159,6,159v2,,4,,6,1c20,165,35,176,60,176v16,,34,-8,34,-31c94,125,84,115,55,108,32,102,5,87,5,54,5,20,30,,60,v25,,37,7,45,12c111,16,113,19,113,24v,10,,10,,10c113,38,112,40,108,40v-3,,-4,-1,-6,-2c94,33,86,22,62,22,42,22,30,30,30,51v,15,10,27,32,32c94,91,120,105,120,142v,37,-28,57,-60,57c35,199,18,192,9,187e" fillcolor="#8f5a28" stroked="f">
                  <v:path arrowok="t" o:connecttype="custom" o:connectlocs="37,778;0,724;0,685;26,663;50,664;251,732;391,603;228,450;21,225;251,0;437,50;471,101;471,142;450,166;425,158;259,90;124,212;259,344;499,590;251,828;37,778" o:connectangles="0,0,0,0,0,0,0,0,0,0,0,0,0,0,0,0,0,0,0,0,0"/>
                  <o:lock v:ext="edit" aspectratio="t"/>
                </v:shape>
                <v:shape id="Freeform 13" o:spid="_x0000_s1038" style="position:absolute;left:4936;top:15;width:228;height:460;visibility:visible;mso-wrap-style:square;v-text-anchor:top" coordsize="14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" path="m,279c,8,,8,,8,,4,3,,7,,19,,19,,19,v4,,7,4,7,8c26,108,26,108,26,108,34,106,55,92,86,92v33,,56,14,56,59c142,279,142,279,142,279v,4,-3,7,-7,7c123,286,123,286,123,286v-4,,-7,-3,-7,-7c116,151,116,151,116,151v,-22,-11,-33,-33,-33c52,118,26,131,26,131v,148,,148,,148c26,283,23,286,19,286v-12,,-12,,-12,c3,286,,283,,279e" fillcolor="#8f5a28" stroked="f">
                  <v:path arrowok="t" o:connecttype="custom" o:connectlocs="0,1161;0,34;29,0;80,0;108,34;108,450;356,383;588,629;588,1161;559,1190;507,1190;480,1161;480,629;344,492;108,545;108,1161;80,1190;29,1190;0,1161" o:connectangles="0,0,0,0,0,0,0,0,0,0,0,0,0,0,0,0,0,0,0"/>
                  <o:lock v:ext="edit" aspectratio="t"/>
                </v:shape>
                <v:shape id="Freeform 14" o:spid="_x0000_s1039" style="position:absolute;left:5225;top:60;width:53;height:415;visibility:visible;mso-wrap-style:square;v-text-anchor:top" coordsize="3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" path="m,18c,8,7,,17,v9,,16,8,16,18c33,27,26,35,17,35,7,35,,27,,18m3,251c3,74,3,74,3,74v,-4,3,-7,8,-7c22,67,22,67,22,67v5,,8,3,8,7c30,251,30,251,30,251v,4,-3,7,-8,7c11,258,11,258,11,258v-5,,-8,-3,-8,-7e" fillcolor="#8f5a28" stroked="f">
                  <v:path arrowok="t" o:connecttype="custom" o:connectlocs="0,76;69,0;137,76;69,145;0,76;13,1046;13,307;47,280;90,280;124,307;124,1046;90,1074;47,1074;13,1046" o:connectangles="0,0,0,0,0,0,0,0,0,0,0,0,0,0"/>
                  <o:lock v:ext="edit" aspectratio="t" verticies="t"/>
                </v:shape>
                <v:shape id="Freeform 15" o:spid="_x0000_s1040" style="position:absolute;left:5340;top:167;width:154;height:308;visibility:visible;mso-wrap-style:square;v-text-anchor:top" coordsize="9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" path="m,184c,7,,7,,7,,3,3,,7,,19,,19,,19,v4,,7,3,7,7c26,20,26,20,26,20,41,7,60,,73,,84,,96,5,96,14v,14,,14,,14c96,32,93,34,90,34v-2,,-4,,-5,-1c79,29,75,25,64,25,54,25,40,32,26,43v,141,,141,,141c26,188,23,191,19,191v-12,,-12,,-12,c3,191,,188,,184e" fillcolor="#8f5a28" stroked="f">
                  <v:path arrowok="t" o:connecttype="custom" o:connectlocs="0,772;0,29;29,0;77,0;107,29;107,84;302,0;396,60;396,118;371,144;350,137;265,105;107,179;107,772;77,801;29,801;0,772" o:connectangles="0,0,0,0,0,0,0,0,0,0,0,0,0,0,0,0,0"/>
                  <o:lock v:ext="edit" aspectratio="t"/>
                </v:shape>
                <v:shape id="Freeform 16" o:spid="_x0000_s1041" style="position:absolute;left:5513;top:161;width:245;height:320;visibility:visible;mso-wrap-style:square;v-text-anchor:top" coordsize="15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" path="m,99c,41,29,,82,v46,,71,28,71,75c153,83,152,93,150,102v-123,,-123,,-123,c27,148,49,176,91,176v25,,43,-13,50,-17c143,158,145,157,146,157v4,,6,3,6,7c152,170,152,170,152,170v,4,-1,8,-8,12c138,186,119,199,86,199,28,199,,158,,99m126,81v1,-5,1,-9,1,-13c127,40,108,23,83,23,47,23,33,48,28,81r98,xe" fillcolor="#8f5a28" stroked="f">
                  <v:path arrowok="t" o:connecttype="custom" o:connectlocs="0,412;336,0;628,314;615,425;110,425;375,732;580,663;600,651;623,683;623,706;592,757;354,828;0,412;517,336;520,281;341,95;115,336;517,336" o:connectangles="0,0,0,0,0,0,0,0,0,0,0,0,0,0,0,0,0,0"/>
                  <o:lock v:ext="edit" aspectratio="t" verticies="t"/>
                </v:shape>
                <v:shape id="Freeform 17" o:spid="_x0000_s1042" style="position:absolute;left:2178;top:665;width:276;height:424;visibility:visible;mso-wrap-style:square;v-text-anchor:top" coordsize="17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" path="m,133c,47,43,,103,v31,,50,9,59,14c167,18,172,22,172,28v,8,,8,,8c172,41,169,44,165,44v-2,,-4,-1,-6,-2c151,37,132,26,106,26,61,26,29,61,29,133v,71,32,105,77,105c132,238,152,228,159,223v2,-1,4,-2,6,-2c169,221,172,224,172,228v,9,,9,,9c172,243,167,247,162,251v-8,5,-28,13,-59,13c43,264,,218,,133e" fillcolor="#8f5a28" stroked="f">
                  <v:path arrowok="t" o:connecttype="custom" o:connectlocs="0,552;425,0;669,56;711,116;711,149;682,183;656,173;438,108;120,552;438,986;656,923;682,915;711,944;711,983;669,1039;425,1094;0,552" o:connectangles="0,0,0,0,0,0,0,0,0,0,0,0,0,0,0,0,0"/>
                  <o:lock v:ext="edit" aspectratio="t"/>
                </v:shape>
                <v:shape id="Freeform 18" o:spid="_x0000_s1043" style="position:absolute;left:2479;top:769;width:270;height:320;visibility:visible;mso-wrap-style:square;v-text-anchor:top" coordsize="1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" path="m,99c,41,29,,84,v55,,84,41,84,99c168,158,139,199,84,199,29,199,,158,,99t141,c141,50,119,24,84,24,48,24,26,50,26,99v,50,22,76,58,76c119,175,141,149,141,99e" fillcolor="#8f5a28" stroked="f">
                  <v:path arrowok="t" o:connecttype="custom" o:connectlocs="0,412;349,0;698,412;349,828;0,412;587,412;349,101;109,412;349,727;587,412" o:connectangles="0,0,0,0,0,0,0,0,0,0"/>
                  <o:lock v:ext="edit" aspectratio="t" verticies="t"/>
                </v:shape>
                <v:shape id="Freeform 19" o:spid="_x0000_s1044" style="position:absolute;left:2800;top:776;width:243;height:312;visibility:visible;mso-wrap-style:square;v-text-anchor:top" coordsize="15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" path="m,135c,7,,7,,7,,3,3,,7,,19,,19,,19,v4,,7,3,7,7c26,135,26,135,26,135v,22,11,33,34,33c74,168,96,160,116,143,116,7,116,7,116,7v,-4,3,-7,7,-7c135,,135,,135,v4,,7,3,7,7c142,164,142,164,142,164v,9,3,12,10,12c152,181,152,181,152,181v,6,-6,13,-19,13c123,194,116,188,116,173v,-6,,-6,,-6c96,184,72,194,52,194,24,194,,180,,135e" fillcolor="#8f5a28" stroked="f">
                  <v:path arrowok="t" o:connecttype="custom" o:connectlocs="0,561;0,29;29,0;77,0;107,29;107,561;245,698;473,595;473,29;504,0;552,0;580,29;580,684;620,732;620,753;545,807;473,719;473,696;213,807;0,561" o:connectangles="0,0,0,0,0,0,0,0,0,0,0,0,0,0,0,0,0,0,0,0"/>
                  <o:lock v:ext="edit" aspectratio="t"/>
                </v:shape>
                <v:shape id="Freeform 20" o:spid="_x0000_s1045" style="position:absolute;left:3096;top:771;width:228;height:312;visibility:visible;mso-wrap-style:square;v-text-anchor:top" coordsize="14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" path="m,187c,10,,10,,10,,6,3,3,8,3v11,,11,,11,c23,3,27,6,27,10v,6,,6,,6c34,14,55,,87,v32,,55,14,55,59c142,187,142,187,142,187v,4,-3,7,-7,7c123,194,123,194,123,194v-4,,-7,-3,-7,-7c116,59,116,59,116,59,116,37,105,26,83,26,52,26,27,39,27,39v,148,,148,,148c27,191,23,194,19,194v-11,,-11,,-11,c3,194,,191,,187e" fillcolor="#8f5a28" stroked="f">
                  <v:path arrowok="t" o:connecttype="custom" o:connectlocs="0,778;0,42;34,13;80,13;111,42;111,68;361,0;588,246;588,778;559,807;507,807;480,778;480,246;344,109;111,162;111,778;80,807;34,807;0,778" o:connectangles="0,0,0,0,0,0,0,0,0,0,0,0,0,0,0,0,0,0,0"/>
                  <o:lock v:ext="edit" aspectratio="t"/>
                </v:shape>
                <v:shape id="Freeform 21" o:spid="_x0000_s1046" style="position:absolute;left:3361;top:700;width:138;height:386;visibility:visible;mso-wrap-style:square;v-text-anchor:top" coordsize="8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" path="m22,211c22,68,22,68,22,68,7,68,7,68,7,68,3,68,,65,,61,,54,,54,,54,,50,3,47,7,47v15,,15,,15,c22,8,22,8,22,8,22,4,25,,29,,40,,40,,40,v5,,8,4,8,8c48,47,48,47,48,47v29,,29,,29,c81,47,84,50,84,54v,7,,7,,7c84,65,81,68,77,68v-29,,-29,,-29,c48,205,48,205,48,205v,9,5,13,13,13c68,218,71,217,75,216v2,-1,4,-2,6,-2c84,214,86,216,86,219v,5,,5,,5c86,229,84,233,80,234v-8,4,-15,6,-30,6c34,240,22,231,22,211e" fillcolor="#8f5a28" stroked="f">
                  <v:path arrowok="t" o:connecttype="custom" o:connectlocs="90,877;90,281;29,281;0,254;0,225;29,196;90,196;90,34;120,0;165,0;199,34;199,196;319,196;348,225;348,254;319,281;199,281;199,854;252,909;310,897;335,889;355,910;355,931;329,973;205,999;90,877" o:connectangles="0,0,0,0,0,0,0,0,0,0,0,0,0,0,0,0,0,0,0,0,0,0,0,0,0,0"/>
                  <o:lock v:ext="edit" aspectratio="t"/>
                </v:shape>
                <v:shape id="Freeform 22" o:spid="_x0000_s1047" style="position:absolute;left:3537;top:776;width:228;height:450;visibility:visible;mso-wrap-style:square;v-text-anchor:top" coordsize="14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" path="m64,280v-18,,-46,-4,-46,-13c18,254,18,254,18,254v,-4,2,-6,6,-6c26,248,30,250,36,252v6,2,15,4,27,4c98,256,116,243,116,195v,-17,,-17,,-17c108,180,88,194,56,194,23,194,,180,,135,,7,,7,,7,,3,3,,7,,19,,19,,19,v4,,7,3,7,7c26,135,26,135,26,135v,22,11,33,34,33c90,168,116,155,116,155,116,7,116,7,116,7v,-4,3,-7,7,-7c135,,135,,135,v4,,7,3,7,7c142,198,142,198,142,198v,69,-44,82,-78,82e" fillcolor="#8f5a28" stroked="f">
                  <v:path arrowok="t" o:connecttype="custom" o:connectlocs="265,1162;75,1107;75,1054;101,1030;149,1046;260,1062;480,808;480,739;233,805;0,561;0,29;29,0;80,0;108,29;108,561;247,698;480,643;480,29;507,0;559,0;588,29;588,821;265,1162" o:connectangles="0,0,0,0,0,0,0,0,0,0,0,0,0,0,0,0,0,0,0,0,0,0,0"/>
                  <o:lock v:ext="edit" aspectratio="t"/>
                </v:shape>
                <v:shape id="Freeform 23" o:spid="_x0000_s1048" style="position:absolute;left:3904;top:665;width:274;height:424;visibility:visible;mso-wrap-style:square;v-text-anchor:top" coordsize="17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" path="m,133c,47,43,,102,v31,,51,9,59,14c167,18,171,22,171,28v,8,,8,,8c171,41,168,44,165,44v-2,,-4,-1,-6,-2c151,37,132,26,106,26,60,26,29,61,29,133v,71,31,105,77,105c132,238,151,228,159,223v1,-1,3,-2,6,-2c169,221,171,224,171,228v,9,,9,,9c171,243,167,247,161,251v-8,5,-28,13,-59,13c43,264,,218,,133e" fillcolor="#8f5a28" stroked="f">
                  <v:path arrowok="t" o:connecttype="custom" o:connectlocs="0,552;418,0;662,56;703,116;703,149;678,183;655,173;436,108;119,552;436,986;655,923;678,915;703,944;703,983;662,1039;418,1094;0,552" o:connectangles="0,0,0,0,0,0,0,0,0,0,0,0,0,0,0,0,0"/>
                  <o:lock v:ext="edit" aspectratio="t"/>
                </v:shape>
                <v:shape id="Freeform 24" o:spid="_x0000_s1049" style="position:absolute;left:4204;top:769;width:269;height:320;visibility:visible;mso-wrap-style:square;v-text-anchor:top" coordsize="1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" path="m,99c,41,29,,84,v55,,84,41,84,99c168,158,139,199,84,199,29,199,,158,,99t142,c142,50,120,24,84,24,49,24,26,50,26,99v,50,23,76,58,76c120,175,142,149,142,99e" fillcolor="#8f5a28" stroked="f">
                  <v:path arrowok="t" o:connecttype="custom" o:connectlocs="0,412;346,0;690,412;346,828;0,412;581,412;346,101;107,412;346,727;581,412" o:connectangles="0,0,0,0,0,0,0,0,0,0"/>
                  <o:lock v:ext="edit" aspectratio="t" verticies="t"/>
                </v:shape>
                <v:shape id="Freeform 25" o:spid="_x0000_s1050" style="position:absolute;left:4524;top:776;width:244;height:312;visibility:visible;mso-wrap-style:square;v-text-anchor:top" coordsize="15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" path="m,135c,7,,7,,7,,3,4,,8,,19,,19,,19,v5,,8,3,8,7c27,135,27,135,27,135v,22,10,33,33,33c74,168,97,160,116,143,116,7,116,7,116,7v,-4,3,-7,8,-7c135,,135,,135,v4,,8,3,8,7c143,164,143,164,143,164v,9,3,12,9,12c152,181,152,181,152,181v,6,-5,13,-19,13c124,194,116,188,116,173v,-6,,-6,,-6c97,184,72,194,52,194,24,194,,180,,135e" fillcolor="#8f5a28" stroked="f">
                  <v:path arrowok="t" o:connecttype="custom" o:connectlocs="0,561;0,29;34,0;80,0;111,29;111,561;247,698;480,595;480,29;512,0;559,0;592,29;592,684;629,732;629,753;552,807;480,719;480,696;214,807;0,561" o:connectangles="0,0,0,0,0,0,0,0,0,0,0,0,0,0,0,0,0,0,0,0"/>
                  <o:lock v:ext="edit" aspectratio="t"/>
                </v:shape>
                <v:shape id="Freeform 26" o:spid="_x0000_s1051" style="position:absolute;left:4822;top:771;width:228;height:312;visibility:visible;mso-wrap-style:square;v-text-anchor:top" coordsize="14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" path="m,187c,10,,10,,10,,6,3,3,7,3v12,,12,,12,c23,3,26,6,26,10v,6,,6,,6c33,14,54,,86,v32,,56,14,56,59c142,187,142,187,142,187v,4,-3,7,-8,7c123,194,123,194,123,194v-5,,-8,-3,-8,-7c115,59,115,59,115,59,115,37,105,26,82,26,52,26,26,39,26,39v,148,,148,,148c26,191,23,194,19,194v-12,,-12,,-12,c3,194,,191,,187e" fillcolor="#8f5a28" stroked="f">
                  <v:path arrowok="t" o:connecttype="custom" o:connectlocs="0,778;0,42;29,13;80,13;108,42;108,68;356,0;588,246;588,778;554,807;507,807;477,778;477,246;340,109;108,162;108,778;80,807;29,807;0,778" o:connectangles="0,0,0,0,0,0,0,0,0,0,0,0,0,0,0,0,0,0,0"/>
                  <o:lock v:ext="edit" aspectratio="t"/>
                </v:shape>
                <v:shape id="Freeform 27" o:spid="_x0000_s1052" style="position:absolute;left:5101;top:769;width:231;height:320;visibility:visible;mso-wrap-style:square;v-text-anchor:top" coordsize="14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" path="m,99c,37,34,,84,v24,,44,6,51,12c141,16,144,20,144,25v,7,,7,,7c144,36,142,38,139,38v-2,,-4,,-6,-2c126,32,107,23,87,23,50,23,26,50,26,99v,50,24,77,61,77c107,176,126,167,133,162v2,-1,4,-2,6,-2c142,160,144,163,144,167v,7,,7,,7c144,179,141,183,135,187v-7,5,-27,12,-51,12c34,199,,162,,99e" fillcolor="#8f5a28" stroked="f">
                  <v:path arrowok="t" o:connecttype="custom" o:connectlocs="0,412;348,0;558,50;595,103;595,132;574,158;549,150;361,95;107,412;361,732;549,675;574,664;595,696;595,724;558,778;348,828;0,412" o:connectangles="0,0,0,0,0,0,0,0,0,0,0,0,0,0,0,0,0"/>
                  <o:lock v:ext="edit" aspectratio="t"/>
                </v:shape>
                <v:shape id="Freeform 28" o:spid="_x0000_s1053" style="position:absolute;left:5372;top:668;width:55;height:415;visibility:visible;mso-wrap-style:square;v-text-anchor:top" coordsize="3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" path="m,18c,8,8,,17,v9,,17,8,17,18c34,27,26,35,17,35,8,35,,27,,18m4,251c4,74,4,74,4,74v,-4,3,-7,7,-7c23,67,23,67,23,67v4,,7,3,7,7c30,251,30,251,30,251v,4,-3,7,-7,7c11,258,11,258,11,258v-4,,-7,-3,-7,-7e" fillcolor="#8f5a28" stroked="f">
                  <v:path arrowok="t" o:connecttype="custom" o:connectlocs="0,76;73,0;144,76;73,145;0,76;16,1046;16,307;47,280;97,280;128,307;128,1046;97,1074;47,1074;16,1046" o:connectangles="0,0,0,0,0,0,0,0,0,0,0,0,0,0"/>
                  <o:lock v:ext="edit" aspectratio="t" verticies="t"/>
                </v:shape>
                <v:shape id="Freeform 29" o:spid="_x0000_s1054" style="position:absolute;left:5487;top:624;width:44;height:459;visibility:visible;mso-wrap-style:square;v-text-anchor:top" coordsize="2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" path="m,278c,7,,7,,7,,3,3,,8,,19,,19,,19,v4,,8,3,8,7c27,278,27,278,27,278v,4,-4,7,-8,7c8,285,8,285,8,285,3,285,,282,,278e" fillcolor="#8f5a28" stroked="f">
                  <v:path arrowok="t" o:connecttype="custom" o:connectlocs="0,1163;0,29;34,0;83,0;117,29;117,1163;83,1190;34,1190;0,1163" o:connectangles="0,0,0,0,0,0,0,0,0"/>
                  <o:lock v:ext="edit" aspectratio="t"/>
                </v:shape>
                <v:shape id="Freeform 30" o:spid="_x0000_s1055" style="position:absolute;left:2;top:-3;width:1990;height:676;visibility:visible;mso-wrap-style:square;v-text-anchor:top" coordsize="124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" path="m1050,12c1039,,1032,,1020,12,847,185,847,185,847,185v-10,10,-27,10,-38,c636,12,636,12,636,12,625,,617,,606,12,433,185,433,185,433,185v-10,10,-28,10,-38,c222,12,222,12,222,12,211,,203,,192,12,,204,,204,,204,,420,,420,,420,188,232,188,232,188,232v10,-10,28,-10,38,c399,405,399,405,399,405v11,12,19,12,30,c602,232,602,232,602,232v10,-10,28,-10,38,c813,405,813,405,813,405v12,12,19,12,30,c1016,232,1016,232,1016,232v11,-10,28,-10,38,c1242,420,1242,420,1242,420v,-216,,-216,,-216l1050,12xe" fillcolor="#8f5a28" stroked="f">
                  <v:path arrowok="t" o:connecttype="custom" o:connectlocs="4318,50;4195,50;3483,773;3328,773;2616,50;2493,50;1782,773;1625,773;913,50;790,50;0,850;0,1751;772,966;929,966;1641,1688;1764,1688;2477,966;2631,966;3346,1688;3469,1688;4179,966;4336,966;5108,1751;5108,850;4318,50" o:connectangles="0,0,0,0,0,0,0,0,0,0,0,0,0,0,0,0,0,0,0,0,0,0,0,0,0"/>
                  <o:lock v:ext="edit" aspectratio="t"/>
                </v:shape>
                <v:shape id="Freeform 31" o:spid="_x0000_s1056" style="position:absolute;left:2;top:435;width:1990;height:675;visibility:visible;mso-wrap-style:square;v-text-anchor:top" coordsize="124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" path="m1050,12c1039,,1032,,1020,12,847,184,847,184,847,184v-10,11,-27,11,-38,c636,12,636,12,636,12,625,,617,,606,12,433,184,433,184,433,184v-10,11,-28,11,-38,c222,12,222,12,222,12,211,,203,,192,12,,204,,204,,204,,420,,420,,420,188,232,188,232,188,232v10,-10,28,-10,38,c399,405,399,405,399,405v11,12,19,12,30,c602,232,602,232,602,232v10,-10,28,-10,38,c813,405,813,405,813,405v12,12,19,12,30,c1016,232,1016,232,1016,232v11,-10,28,-10,38,c1242,420,1242,420,1242,420v,-216,,-216,,-216l1050,12xe" fillcolor="#00a0e2" stroked="f">
                  <v:path arrowok="t" o:connecttype="custom" o:connectlocs="4318,50;4195,50;3483,765;3328,765;2616,50;2493,50;1782,765;1625,765;913,50;790,50;0,847;0,1744;772,963;929,963;1641,1681;1764,1681;2477,963;2631,963;3346,1681;3469,1681;4179,963;4336,963;5108,1744;5108,847;4318,50" o:connectangles="0,0,0,0,0,0,0,0,0,0,0,0,0,0,0,0,0,0,0,0,0,0,0,0,0"/>
                  <o:lock v:ext="edit" aspectratio="t"/>
                </v:shape>
              </v:group>
            </w:pict>
          </mc:Fallback>
        </mc:AlternateContent>
      </w:r>
      <w:r w:rsidR="00704EE8" w:rsidRPr="00152926">
        <w:rPr>
          <w:noProof/>
          <w:color w:val="FF0000"/>
          <w:lang w:eastAsia="en-GB"/>
        </w:rPr>
        <mc:AlternateContent>
          <mc:Choice Requires="wps">
            <w:drawing>
              <wp:anchor distT="0" distB="0" distL="114300" distR="114300" simplePos="0" relativeHeight="251662336" behindDoc="0" locked="0" layoutInCell="1" allowOverlap="1" wp14:anchorId="4A9757E2" wp14:editId="2B134BF9">
                <wp:simplePos x="0" y="0"/>
                <wp:positionH relativeFrom="column">
                  <wp:posOffset>-152400</wp:posOffset>
                </wp:positionH>
                <wp:positionV relativeFrom="paragraph">
                  <wp:posOffset>1400810</wp:posOffset>
                </wp:positionV>
                <wp:extent cx="6848475" cy="114427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114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FCED9" w14:textId="77777777" w:rsidR="002816C8" w:rsidRPr="00E96303" w:rsidRDefault="002816C8" w:rsidP="00B82B43">
                            <w:pPr>
                              <w:spacing w:line="800" w:lineRule="exact"/>
                              <w:rPr>
                                <w:b/>
                                <w:color w:val="002F5D"/>
                                <w:sz w:val="72"/>
                                <w:szCs w:val="72"/>
                              </w:rPr>
                            </w:pPr>
                            <w:r>
                              <w:rPr>
                                <w:b/>
                                <w:color w:val="002F5D"/>
                                <w:sz w:val="72"/>
                                <w:szCs w:val="72"/>
                              </w:rPr>
                              <w:t>Cambridgeshire &amp; Peterborough Joint Strategic Needs Assessment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A9757E2" id="_x0000_t202" coordsize="21600,21600" o:spt="202" path="m,l,21600r21600,l21600,xe">
                <v:stroke joinstyle="miter"/>
                <v:path gradientshapeok="t" o:connecttype="rect"/>
              </v:shapetype>
              <v:shape id="Text Box 2" o:spid="_x0000_s1026" type="#_x0000_t202" style="position:absolute;margin-left:-12pt;margin-top:110.3pt;width:539.25pt;height:9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qQtwIAALs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" filled="f" stroked="f">
                <v:textbox>
                  <w:txbxContent>
                    <w:p w14:paraId="21CFCED9" w14:textId="77777777" w:rsidR="002816C8" w:rsidRPr="00E96303" w:rsidRDefault="002816C8" w:rsidP="00B82B43">
                      <w:pPr>
                        <w:spacing w:line="800" w:lineRule="exact"/>
                        <w:rPr>
                          <w:b/>
                          <w:color w:val="002F5D"/>
                          <w:sz w:val="72"/>
                          <w:szCs w:val="72"/>
                        </w:rPr>
                      </w:pPr>
                      <w:r>
                        <w:rPr>
                          <w:b/>
                          <w:color w:val="002F5D"/>
                          <w:sz w:val="72"/>
                          <w:szCs w:val="72"/>
                        </w:rPr>
                        <w:t>Cambridgeshire &amp; Peterborough Joint Strategic Needs Assessment</w:t>
                      </w:r>
                    </w:p>
                  </w:txbxContent>
                </v:textbox>
              </v:shape>
            </w:pict>
          </mc:Fallback>
        </mc:AlternateContent>
      </w:r>
      <w:r w:rsidR="00704EE8" w:rsidRPr="00152926">
        <w:rPr>
          <w:noProof/>
          <w:color w:val="FF0000"/>
          <w:lang w:eastAsia="en-GB"/>
        </w:rPr>
        <mc:AlternateContent>
          <mc:Choice Requires="wps">
            <w:drawing>
              <wp:anchor distT="0" distB="0" distL="114300" distR="114300" simplePos="0" relativeHeight="251663360" behindDoc="0" locked="0" layoutInCell="1" allowOverlap="1" wp14:anchorId="1E566541" wp14:editId="73772143">
                <wp:simplePos x="0" y="0"/>
                <wp:positionH relativeFrom="column">
                  <wp:posOffset>-152400</wp:posOffset>
                </wp:positionH>
                <wp:positionV relativeFrom="paragraph">
                  <wp:posOffset>2541905</wp:posOffset>
                </wp:positionV>
                <wp:extent cx="4916170" cy="114480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6170" cy="114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71AE2" w14:textId="77777777" w:rsidR="00014D1E" w:rsidRDefault="002816C8" w:rsidP="00B82B43">
                            <w:pPr>
                              <w:spacing w:line="800" w:lineRule="exact"/>
                              <w:rPr>
                                <w:color w:val="00A0E2"/>
                                <w:sz w:val="56"/>
                                <w:szCs w:val="56"/>
                              </w:rPr>
                            </w:pPr>
                            <w:r>
                              <w:rPr>
                                <w:color w:val="00A0E2"/>
                                <w:sz w:val="56"/>
                                <w:szCs w:val="56"/>
                              </w:rPr>
                              <w:t>Core dataset, 2019</w:t>
                            </w:r>
                          </w:p>
                          <w:p w14:paraId="188895DB" w14:textId="1D708CE4" w:rsidR="00014D1E" w:rsidRPr="00014D1E" w:rsidRDefault="00014D1E" w:rsidP="00B82B43">
                            <w:pPr>
                              <w:spacing w:line="800" w:lineRule="exact"/>
                              <w:rPr>
                                <w:color w:val="00A0E2"/>
                                <w:sz w:val="56"/>
                                <w:szCs w:val="56"/>
                              </w:rPr>
                            </w:pPr>
                            <w:r w:rsidRPr="00014D1E">
                              <w:rPr>
                                <w:color w:val="00A0E2"/>
                                <w:sz w:val="20"/>
                                <w:szCs w:val="20"/>
                              </w:rPr>
                              <w:t>Version</w:t>
                            </w:r>
                            <w:r>
                              <w:rPr>
                                <w:color w:val="00A0E2"/>
                                <w:sz w:val="20"/>
                                <w:szCs w:val="20"/>
                              </w:rPr>
                              <w:t>: J</w:t>
                            </w:r>
                            <w:r w:rsidR="00E2705C">
                              <w:rPr>
                                <w:color w:val="00A0E2"/>
                                <w:sz w:val="20"/>
                                <w:szCs w:val="20"/>
                              </w:rPr>
                              <w:t>uly</w:t>
                            </w:r>
                            <w:r>
                              <w:rPr>
                                <w:color w:val="00A0E2"/>
                                <w:sz w:val="20"/>
                                <w:szCs w:val="20"/>
                              </w:rPr>
                              <w:t>2019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566541" id="_x0000_s1027" type="#_x0000_t202" style="position:absolute;margin-left:-12pt;margin-top:200.15pt;width:387.1pt;height:9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" filled="f" stroked="f">
                <v:textbox>
                  <w:txbxContent>
                    <w:p w14:paraId="13271AE2" w14:textId="77777777" w:rsidR="00014D1E" w:rsidRDefault="002816C8" w:rsidP="00B82B43">
                      <w:pPr>
                        <w:spacing w:line="800" w:lineRule="exact"/>
                        <w:rPr>
                          <w:color w:val="00A0E2"/>
                          <w:sz w:val="56"/>
                          <w:szCs w:val="56"/>
                        </w:rPr>
                      </w:pPr>
                      <w:r>
                        <w:rPr>
                          <w:color w:val="00A0E2"/>
                          <w:sz w:val="56"/>
                          <w:szCs w:val="56"/>
                        </w:rPr>
                        <w:t>Core dataset, 2019</w:t>
                      </w:r>
                    </w:p>
                    <w:p w14:paraId="188895DB" w14:textId="1D708CE4" w:rsidR="00014D1E" w:rsidRPr="00014D1E" w:rsidRDefault="00014D1E" w:rsidP="00B82B43">
                      <w:pPr>
                        <w:spacing w:line="800" w:lineRule="exact"/>
                        <w:rPr>
                          <w:color w:val="00A0E2"/>
                          <w:sz w:val="56"/>
                          <w:szCs w:val="56"/>
                        </w:rPr>
                      </w:pPr>
                      <w:r w:rsidRPr="00014D1E">
                        <w:rPr>
                          <w:color w:val="00A0E2"/>
                          <w:sz w:val="20"/>
                          <w:szCs w:val="20"/>
                        </w:rPr>
                        <w:t>Version</w:t>
                      </w:r>
                      <w:r>
                        <w:rPr>
                          <w:color w:val="00A0E2"/>
                          <w:sz w:val="20"/>
                          <w:szCs w:val="20"/>
                        </w:rPr>
                        <w:t>: J</w:t>
                      </w:r>
                      <w:r w:rsidR="00E2705C">
                        <w:rPr>
                          <w:color w:val="00A0E2"/>
                          <w:sz w:val="20"/>
                          <w:szCs w:val="20"/>
                        </w:rPr>
                        <w:t>uly</w:t>
                      </w:r>
                      <w:r>
                        <w:rPr>
                          <w:color w:val="00A0E2"/>
                          <w:sz w:val="20"/>
                          <w:szCs w:val="20"/>
                        </w:rPr>
                        <w:t>2019</w:t>
                      </w:r>
                    </w:p>
                  </w:txbxContent>
                </v:textbox>
              </v:shape>
            </w:pict>
          </mc:Fallback>
        </mc:AlternateContent>
      </w:r>
      <w:r w:rsidR="00C62A49" w:rsidRPr="00152926">
        <w:rPr>
          <w:noProof/>
          <w:color w:val="FF0000"/>
          <w:lang w:eastAsia="en-GB"/>
        </w:rPr>
        <mc:AlternateContent>
          <mc:Choice Requires="wps">
            <w:drawing>
              <wp:anchor distT="0" distB="0" distL="114300" distR="114300" simplePos="0" relativeHeight="251660288" behindDoc="0" locked="0" layoutInCell="1" allowOverlap="1" wp14:anchorId="3C43FF73" wp14:editId="17ABBF36">
                <wp:simplePos x="0" y="0"/>
                <wp:positionH relativeFrom="column">
                  <wp:posOffset>-386715</wp:posOffset>
                </wp:positionH>
                <wp:positionV relativeFrom="paragraph">
                  <wp:posOffset>3689984</wp:posOffset>
                </wp:positionV>
                <wp:extent cx="6905625" cy="6029325"/>
                <wp:effectExtent l="0" t="0" r="9525" b="9525"/>
                <wp:wrapNone/>
                <wp:docPr id="10"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05625" cy="6029325"/>
                        </a:xfrm>
                        <a:custGeom>
                          <a:avLst/>
                          <a:gdLst>
                            <a:gd name="T0" fmla="*/ 1484 w 2151"/>
                            <a:gd name="T1" fmla="*/ 57 h 1583"/>
                            <a:gd name="T2" fmla="*/ 623 w 2151"/>
                            <a:gd name="T3" fmla="*/ 918 h 1583"/>
                            <a:gd name="T4" fmla="*/ 431 w 2151"/>
                            <a:gd name="T5" fmla="*/ 918 h 1583"/>
                            <a:gd name="T6" fmla="*/ 0 w 2151"/>
                            <a:gd name="T7" fmla="*/ 487 h 1583"/>
                            <a:gd name="T8" fmla="*/ 0 w 2151"/>
                            <a:gd name="T9" fmla="*/ 1560 h 1583"/>
                            <a:gd name="T10" fmla="*/ 23 w 2151"/>
                            <a:gd name="T11" fmla="*/ 1583 h 1583"/>
                            <a:gd name="T12" fmla="*/ 2128 w 2151"/>
                            <a:gd name="T13" fmla="*/ 1583 h 1583"/>
                            <a:gd name="T14" fmla="*/ 2151 w 2151"/>
                            <a:gd name="T15" fmla="*/ 1560 h 1583"/>
                            <a:gd name="T16" fmla="*/ 2151 w 2151"/>
                            <a:gd name="T17" fmla="*/ 574 h 1583"/>
                            <a:gd name="T18" fmla="*/ 1633 w 2151"/>
                            <a:gd name="T19" fmla="*/ 57 h 1583"/>
                            <a:gd name="T20" fmla="*/ 1484 w 2151"/>
                            <a:gd name="T21" fmla="*/ 57 h 15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51" h="1583">
                              <a:moveTo>
                                <a:pt x="1484" y="57"/>
                              </a:moveTo>
                              <a:cubicBezTo>
                                <a:pt x="623" y="918"/>
                                <a:pt x="623" y="918"/>
                                <a:pt x="623" y="918"/>
                              </a:cubicBezTo>
                              <a:cubicBezTo>
                                <a:pt x="570" y="971"/>
                                <a:pt x="484" y="971"/>
                                <a:pt x="431" y="918"/>
                              </a:cubicBezTo>
                              <a:cubicBezTo>
                                <a:pt x="0" y="487"/>
                                <a:pt x="0" y="487"/>
                                <a:pt x="0" y="487"/>
                              </a:cubicBezTo>
                              <a:cubicBezTo>
                                <a:pt x="0" y="1560"/>
                                <a:pt x="0" y="1560"/>
                                <a:pt x="0" y="1560"/>
                              </a:cubicBezTo>
                              <a:cubicBezTo>
                                <a:pt x="0" y="1560"/>
                                <a:pt x="0" y="1583"/>
                                <a:pt x="23" y="1583"/>
                              </a:cubicBezTo>
                              <a:cubicBezTo>
                                <a:pt x="2128" y="1583"/>
                                <a:pt x="2128" y="1583"/>
                                <a:pt x="2128" y="1583"/>
                              </a:cubicBezTo>
                              <a:cubicBezTo>
                                <a:pt x="2128" y="1583"/>
                                <a:pt x="2151" y="1583"/>
                                <a:pt x="2151" y="1560"/>
                              </a:cubicBezTo>
                              <a:cubicBezTo>
                                <a:pt x="2151" y="574"/>
                                <a:pt x="2151" y="574"/>
                                <a:pt x="2151" y="574"/>
                              </a:cubicBezTo>
                              <a:cubicBezTo>
                                <a:pt x="1633" y="57"/>
                                <a:pt x="1633" y="57"/>
                                <a:pt x="1633" y="57"/>
                              </a:cubicBezTo>
                              <a:cubicBezTo>
                                <a:pt x="1576" y="0"/>
                                <a:pt x="1541" y="0"/>
                                <a:pt x="1484" y="57"/>
                              </a:cubicBezTo>
                              <a:close/>
                            </a:path>
                          </a:pathLst>
                        </a:custGeom>
                        <a:solidFill>
                          <a:srgbClr val="0038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C3C4267" id="Freeform 37" o:spid="_x0000_s1026" style="position:absolute;margin-left:-30.45pt;margin-top:290.55pt;width:543.75pt;height:47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1,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" path="m1484,57c623,918,623,918,623,918v-53,53,-139,53,-192,c,487,,487,,487,,1560,,1560,,1560v,,,23,23,23c2128,1583,2128,1583,2128,1583v,,23,,23,-23c2151,574,2151,574,2151,574,1633,57,1633,57,1633,57,1576,,1541,,1484,57xe" fillcolor="#003865" stroked="f">
                <v:path arrowok="t" o:connecttype="custom" o:connectlocs="4764271,217101;2000095,3496475;1383693,3496475;0,1854884;0,5941723;73840,6029325;6831785,6029325;6905625,5941723;6905625,2186249;5242625,217101;4764271,217101" o:connectangles="0,0,0,0,0,0,0,0,0,0,0"/>
              </v:shape>
            </w:pict>
          </mc:Fallback>
        </mc:AlternateContent>
      </w:r>
      <w:r w:rsidR="00B82B43" w:rsidRPr="00152926">
        <w:rPr>
          <w:rFonts w:cs="Arial"/>
          <w:b/>
          <w:color w:val="FF0000"/>
        </w:rPr>
        <w:br w:type="page"/>
      </w:r>
    </w:p>
    <w:p w14:paraId="2DD4641B" w14:textId="77777777" w:rsidR="00EA1751" w:rsidRPr="00E57C48" w:rsidRDefault="00AF3983" w:rsidP="00AF3983">
      <w:pPr>
        <w:pStyle w:val="JSNA1"/>
        <w:numPr>
          <w:ilvl w:val="0"/>
          <w:numId w:val="0"/>
        </w:numPr>
        <w:ind w:left="567" w:hanging="567"/>
      </w:pPr>
      <w:r w:rsidRPr="00E57C48">
        <w:lastRenderedPageBreak/>
        <w:t xml:space="preserve">  </w:t>
      </w:r>
      <w:bookmarkStart w:id="1" w:name="_Toc4407821"/>
      <w:r w:rsidR="0069562A" w:rsidRPr="00E57C48">
        <w:t>CONTENTS</w:t>
      </w:r>
      <w:bookmarkEnd w:id="1"/>
    </w:p>
    <w:sdt>
      <w:sdtPr>
        <w:rPr>
          <w:rFonts w:asciiTheme="minorHAnsi" w:eastAsiaTheme="minorHAnsi" w:hAnsiTheme="minorHAnsi" w:cstheme="minorBidi"/>
          <w:color w:val="002F5D"/>
          <w:sz w:val="22"/>
          <w:szCs w:val="22"/>
          <w:lang w:val="en-GB"/>
        </w:rPr>
        <w:id w:val="-1438433551"/>
        <w:docPartObj>
          <w:docPartGallery w:val="Table of Contents"/>
          <w:docPartUnique/>
        </w:docPartObj>
      </w:sdtPr>
      <w:sdtEndPr>
        <w:rPr>
          <w:b/>
          <w:bCs/>
          <w:noProof/>
        </w:rPr>
      </w:sdtEndPr>
      <w:sdtContent>
        <w:p w14:paraId="4811238B" w14:textId="77777777" w:rsidR="00D03219" w:rsidRPr="00E57C48" w:rsidRDefault="00D03219">
          <w:pPr>
            <w:pStyle w:val="TOCHeading"/>
            <w:rPr>
              <w:color w:val="002F5D"/>
              <w:sz w:val="2"/>
            </w:rPr>
          </w:pPr>
        </w:p>
        <w:p w14:paraId="4C7AE7D6" w14:textId="115DAD84" w:rsidR="000D21F6" w:rsidRPr="000D21F6" w:rsidRDefault="00D03219">
          <w:pPr>
            <w:pStyle w:val="TOC1"/>
            <w:rPr>
              <w:rFonts w:eastAsiaTheme="minorEastAsia"/>
              <w:noProof/>
              <w:color w:val="002F5D"/>
              <w:lang w:eastAsia="en-GB"/>
            </w:rPr>
          </w:pPr>
          <w:r w:rsidRPr="000D21F6">
            <w:rPr>
              <w:color w:val="002F5D"/>
            </w:rPr>
            <w:fldChar w:fldCharType="begin"/>
          </w:r>
          <w:r w:rsidRPr="000D21F6">
            <w:rPr>
              <w:color w:val="002F5D"/>
            </w:rPr>
            <w:instrText xml:space="preserve"> TOC \o "1-3" \h \z \u </w:instrText>
          </w:r>
          <w:r w:rsidRPr="000D21F6">
            <w:rPr>
              <w:color w:val="002F5D"/>
            </w:rPr>
            <w:fldChar w:fldCharType="separate"/>
          </w:r>
          <w:hyperlink w:anchor="_Toc4407821" w:history="1">
            <w:r w:rsidR="000D21F6" w:rsidRPr="000D21F6">
              <w:rPr>
                <w:rStyle w:val="Hyperlink"/>
                <w:noProof/>
                <w:color w:val="002F5D"/>
              </w:rPr>
              <w:t>CONTENTS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_Toc4407821 \h </w:instrText>
            </w:r>
            <w:r w:rsidR="000D21F6" w:rsidRPr="000D21F6">
              <w:rPr>
                <w:noProof/>
                <w:webHidden/>
                <w:color w:val="002F5D"/>
              </w:rPr>
            </w:r>
            <w:r w:rsidR="000D21F6" w:rsidRPr="000D21F6">
              <w:rPr>
                <w:noProof/>
                <w:webHidden/>
                <w:color w:val="002F5D"/>
              </w:rPr>
              <w:fldChar w:fldCharType="separate"/>
            </w:r>
            <w:r w:rsidR="00E80CFE">
              <w:rPr>
                <w:noProof/>
                <w:webHidden/>
                <w:color w:val="002F5D"/>
              </w:rPr>
              <w:t>2</w:t>
            </w:r>
            <w:r w:rsidR="000D21F6" w:rsidRPr="000D21F6">
              <w:rPr>
                <w:noProof/>
                <w:webHidden/>
                <w:color w:val="002F5D"/>
              </w:rPr>
              <w:fldChar w:fldCharType="end"/>
            </w:r>
          </w:hyperlink>
        </w:p>
        <w:p w14:paraId="221CE14C" w14:textId="2C0B2436" w:rsidR="000D21F6" w:rsidRPr="000D21F6" w:rsidRDefault="00E80CFE">
          <w:pPr>
            <w:pStyle w:val="TOC3"/>
            <w:tabs>
              <w:tab w:val="right" w:leader="dot" w:pos="9628"/>
            </w:tabs>
            <w:rPr>
              <w:rFonts w:eastAsiaTheme="minorEastAsia"/>
              <w:noProof/>
              <w:color w:val="002F5D"/>
              <w:lang w:eastAsia="en-GB"/>
            </w:rPr>
          </w:pPr>
          <w:hyperlink w:anchor="_Toc4407822" w:history="1">
            <w:r w:rsidR="000D21F6" w:rsidRPr="000D21F6">
              <w:rPr>
                <w:rStyle w:val="Hyperlink"/>
                <w:noProof/>
                <w:color w:val="002F5D"/>
              </w:rPr>
              <w:t>Using this document</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_Toc4407822 \h </w:instrText>
            </w:r>
            <w:r w:rsidR="000D21F6" w:rsidRPr="000D21F6">
              <w:rPr>
                <w:noProof/>
                <w:webHidden/>
                <w:color w:val="002F5D"/>
              </w:rPr>
            </w:r>
            <w:r w:rsidR="000D21F6" w:rsidRPr="000D21F6">
              <w:rPr>
                <w:noProof/>
                <w:webHidden/>
                <w:color w:val="002F5D"/>
              </w:rPr>
              <w:fldChar w:fldCharType="separate"/>
            </w:r>
            <w:r>
              <w:rPr>
                <w:noProof/>
                <w:webHidden/>
                <w:color w:val="002F5D"/>
              </w:rPr>
              <w:t>5</w:t>
            </w:r>
            <w:r w:rsidR="000D21F6" w:rsidRPr="000D21F6">
              <w:rPr>
                <w:noProof/>
                <w:webHidden/>
                <w:color w:val="002F5D"/>
              </w:rPr>
              <w:fldChar w:fldCharType="end"/>
            </w:r>
          </w:hyperlink>
        </w:p>
        <w:p w14:paraId="48FBF14F" w14:textId="32C8853F" w:rsidR="000D21F6" w:rsidRPr="000D21F6" w:rsidRDefault="00E80CFE">
          <w:pPr>
            <w:pStyle w:val="TOC1"/>
            <w:rPr>
              <w:rFonts w:eastAsiaTheme="minorEastAsia"/>
              <w:noProof/>
              <w:color w:val="002F5D"/>
              <w:lang w:eastAsia="en-GB"/>
            </w:rPr>
          </w:pPr>
          <w:hyperlink w:anchor="_Toc4407823" w:history="1">
            <w:r w:rsidR="000D21F6" w:rsidRPr="000D21F6">
              <w:rPr>
                <w:rStyle w:val="Hyperlink"/>
                <w:noProof/>
                <w:color w:val="002F5D"/>
              </w:rPr>
              <w:t>1.</w:t>
            </w:r>
            <w:r w:rsidR="000D21F6" w:rsidRPr="000D21F6">
              <w:rPr>
                <w:rFonts w:eastAsiaTheme="minorEastAsia"/>
                <w:noProof/>
                <w:color w:val="002F5D"/>
                <w:lang w:eastAsia="en-GB"/>
              </w:rPr>
              <w:tab/>
            </w:r>
            <w:r w:rsidR="000D21F6" w:rsidRPr="000D21F6">
              <w:rPr>
                <w:rStyle w:val="Hyperlink"/>
                <w:noProof/>
                <w:color w:val="002F5D"/>
              </w:rPr>
              <w:t>EXECUTIVE SUMMARY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_Toc4407823 \h </w:instrText>
            </w:r>
            <w:r w:rsidR="000D21F6" w:rsidRPr="000D21F6">
              <w:rPr>
                <w:noProof/>
                <w:webHidden/>
                <w:color w:val="002F5D"/>
              </w:rPr>
            </w:r>
            <w:r w:rsidR="000D21F6" w:rsidRPr="000D21F6">
              <w:rPr>
                <w:noProof/>
                <w:webHidden/>
                <w:color w:val="002F5D"/>
              </w:rPr>
              <w:fldChar w:fldCharType="separate"/>
            </w:r>
            <w:r>
              <w:rPr>
                <w:noProof/>
                <w:webHidden/>
                <w:color w:val="002F5D"/>
              </w:rPr>
              <w:t>6</w:t>
            </w:r>
            <w:r w:rsidR="000D21F6" w:rsidRPr="000D21F6">
              <w:rPr>
                <w:noProof/>
                <w:webHidden/>
                <w:color w:val="002F5D"/>
              </w:rPr>
              <w:fldChar w:fldCharType="end"/>
            </w:r>
          </w:hyperlink>
        </w:p>
        <w:p w14:paraId="04652F3B" w14:textId="616413D7" w:rsidR="000D21F6" w:rsidRPr="000D21F6" w:rsidRDefault="00E80CFE">
          <w:pPr>
            <w:pStyle w:val="TOC2"/>
            <w:rPr>
              <w:rFonts w:eastAsiaTheme="minorEastAsia"/>
              <w:noProof/>
              <w:color w:val="002F5D"/>
              <w:lang w:eastAsia="en-GB"/>
            </w:rPr>
          </w:pPr>
          <w:hyperlink w:anchor="_Toc4407824" w:history="1">
            <w:r w:rsidR="000D21F6" w:rsidRPr="000D21F6">
              <w:rPr>
                <w:rStyle w:val="Hyperlink"/>
                <w:noProof/>
                <w:color w:val="002F5D"/>
              </w:rPr>
              <w:t>1.1</w:t>
            </w:r>
            <w:r w:rsidR="000D21F6" w:rsidRPr="000D21F6">
              <w:rPr>
                <w:rFonts w:eastAsiaTheme="minorEastAsia"/>
                <w:noProof/>
                <w:color w:val="002F5D"/>
                <w:lang w:eastAsia="en-GB"/>
              </w:rPr>
              <w:tab/>
            </w:r>
            <w:r w:rsidR="000D21F6" w:rsidRPr="000D21F6">
              <w:rPr>
                <w:rStyle w:val="Hyperlink"/>
                <w:noProof/>
                <w:color w:val="002F5D"/>
              </w:rPr>
              <w:t>Health Profile summary for Peterborough, Cambridgeshire and the districts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_Toc4407824 \h </w:instrText>
            </w:r>
            <w:r w:rsidR="000D21F6" w:rsidRPr="000D21F6">
              <w:rPr>
                <w:noProof/>
                <w:webHidden/>
                <w:color w:val="002F5D"/>
              </w:rPr>
            </w:r>
            <w:r w:rsidR="000D21F6" w:rsidRPr="000D21F6">
              <w:rPr>
                <w:noProof/>
                <w:webHidden/>
                <w:color w:val="002F5D"/>
              </w:rPr>
              <w:fldChar w:fldCharType="separate"/>
            </w:r>
            <w:r>
              <w:rPr>
                <w:noProof/>
                <w:webHidden/>
                <w:color w:val="002F5D"/>
              </w:rPr>
              <w:t>21</w:t>
            </w:r>
            <w:r w:rsidR="000D21F6" w:rsidRPr="000D21F6">
              <w:rPr>
                <w:noProof/>
                <w:webHidden/>
                <w:color w:val="002F5D"/>
              </w:rPr>
              <w:fldChar w:fldCharType="end"/>
            </w:r>
          </w:hyperlink>
        </w:p>
        <w:p w14:paraId="38D1A182" w14:textId="36929554" w:rsidR="000D21F6" w:rsidRPr="000D21F6" w:rsidRDefault="00E80CFE">
          <w:pPr>
            <w:pStyle w:val="TOC1"/>
            <w:rPr>
              <w:rFonts w:eastAsiaTheme="minorEastAsia"/>
              <w:noProof/>
              <w:color w:val="002F5D"/>
              <w:lang w:eastAsia="en-GB"/>
            </w:rPr>
          </w:pPr>
          <w:hyperlink w:anchor="_Toc4407825" w:history="1">
            <w:r w:rsidR="000D21F6" w:rsidRPr="000D21F6">
              <w:rPr>
                <w:rStyle w:val="Hyperlink"/>
                <w:noProof/>
                <w:color w:val="002F5D"/>
              </w:rPr>
              <w:t>2.</w:t>
            </w:r>
            <w:r w:rsidR="000D21F6" w:rsidRPr="000D21F6">
              <w:rPr>
                <w:rFonts w:eastAsiaTheme="minorEastAsia"/>
                <w:noProof/>
                <w:color w:val="002F5D"/>
                <w:lang w:eastAsia="en-GB"/>
              </w:rPr>
              <w:tab/>
            </w:r>
            <w:r w:rsidR="000D21F6" w:rsidRPr="000D21F6">
              <w:rPr>
                <w:rStyle w:val="Hyperlink"/>
                <w:noProof/>
                <w:color w:val="002F5D"/>
              </w:rPr>
              <w:t>GEOGRAPHY AND DEMOGRAPHY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_Toc4407825 \h </w:instrText>
            </w:r>
            <w:r w:rsidR="000D21F6" w:rsidRPr="000D21F6">
              <w:rPr>
                <w:noProof/>
                <w:webHidden/>
                <w:color w:val="002F5D"/>
              </w:rPr>
            </w:r>
            <w:r w:rsidR="000D21F6" w:rsidRPr="000D21F6">
              <w:rPr>
                <w:noProof/>
                <w:webHidden/>
                <w:color w:val="002F5D"/>
              </w:rPr>
              <w:fldChar w:fldCharType="separate"/>
            </w:r>
            <w:r>
              <w:rPr>
                <w:noProof/>
                <w:webHidden/>
                <w:color w:val="002F5D"/>
              </w:rPr>
              <w:t>25</w:t>
            </w:r>
            <w:r w:rsidR="000D21F6" w:rsidRPr="000D21F6">
              <w:rPr>
                <w:noProof/>
                <w:webHidden/>
                <w:color w:val="002F5D"/>
              </w:rPr>
              <w:fldChar w:fldCharType="end"/>
            </w:r>
          </w:hyperlink>
        </w:p>
        <w:p w14:paraId="5D2DBF1B" w14:textId="778E7087" w:rsidR="000D21F6" w:rsidRPr="000D21F6" w:rsidRDefault="00E80CFE">
          <w:pPr>
            <w:pStyle w:val="TOC2"/>
            <w:rPr>
              <w:rFonts w:eastAsiaTheme="minorEastAsia"/>
              <w:noProof/>
              <w:color w:val="002F5D"/>
              <w:lang w:eastAsia="en-GB"/>
            </w:rPr>
          </w:pPr>
          <w:hyperlink w:anchor="_Toc4407826" w:history="1">
            <w:r w:rsidR="000D21F6" w:rsidRPr="000D21F6">
              <w:rPr>
                <w:rStyle w:val="Hyperlink"/>
                <w:noProof/>
                <w:color w:val="002F5D"/>
              </w:rPr>
              <w:t>2.1</w:t>
            </w:r>
            <w:r w:rsidR="000D21F6" w:rsidRPr="000D21F6">
              <w:rPr>
                <w:rFonts w:eastAsiaTheme="minorEastAsia"/>
                <w:noProof/>
                <w:color w:val="002F5D"/>
                <w:lang w:eastAsia="en-GB"/>
              </w:rPr>
              <w:tab/>
            </w:r>
            <w:r w:rsidR="000D21F6" w:rsidRPr="000D21F6">
              <w:rPr>
                <w:rStyle w:val="Hyperlink"/>
                <w:noProof/>
                <w:color w:val="002F5D"/>
              </w:rPr>
              <w:t>Cambridgeshire and Peterborough – geography and main administrative boundaries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_Toc4407826 \h </w:instrText>
            </w:r>
            <w:r w:rsidR="000D21F6" w:rsidRPr="000D21F6">
              <w:rPr>
                <w:noProof/>
                <w:webHidden/>
                <w:color w:val="002F5D"/>
              </w:rPr>
            </w:r>
            <w:r w:rsidR="000D21F6" w:rsidRPr="000D21F6">
              <w:rPr>
                <w:noProof/>
                <w:webHidden/>
                <w:color w:val="002F5D"/>
              </w:rPr>
              <w:fldChar w:fldCharType="separate"/>
            </w:r>
            <w:r>
              <w:rPr>
                <w:noProof/>
                <w:webHidden/>
                <w:color w:val="002F5D"/>
              </w:rPr>
              <w:t>25</w:t>
            </w:r>
            <w:r w:rsidR="000D21F6" w:rsidRPr="000D21F6">
              <w:rPr>
                <w:noProof/>
                <w:webHidden/>
                <w:color w:val="002F5D"/>
              </w:rPr>
              <w:fldChar w:fldCharType="end"/>
            </w:r>
          </w:hyperlink>
        </w:p>
        <w:p w14:paraId="3F096891" w14:textId="7AB8D57E" w:rsidR="000D21F6" w:rsidRPr="000D21F6" w:rsidRDefault="00E80CFE">
          <w:pPr>
            <w:pStyle w:val="TOC2"/>
            <w:rPr>
              <w:rFonts w:eastAsiaTheme="minorEastAsia"/>
              <w:noProof/>
              <w:color w:val="002F5D"/>
              <w:lang w:eastAsia="en-GB"/>
            </w:rPr>
          </w:pPr>
          <w:hyperlink w:anchor="_Toc4407827" w:history="1">
            <w:r w:rsidR="000D21F6" w:rsidRPr="000D21F6">
              <w:rPr>
                <w:rStyle w:val="Hyperlink"/>
                <w:noProof/>
                <w:color w:val="002F5D"/>
              </w:rPr>
              <w:t>2.2</w:t>
            </w:r>
            <w:r w:rsidR="000D21F6" w:rsidRPr="000D21F6">
              <w:rPr>
                <w:rFonts w:eastAsiaTheme="minorEastAsia"/>
                <w:noProof/>
                <w:color w:val="002F5D"/>
                <w:lang w:eastAsia="en-GB"/>
              </w:rPr>
              <w:tab/>
            </w:r>
            <w:r w:rsidR="000D21F6" w:rsidRPr="000D21F6">
              <w:rPr>
                <w:rStyle w:val="Hyperlink"/>
                <w:noProof/>
                <w:color w:val="002F5D"/>
              </w:rPr>
              <w:t>Demography, housing growth and land use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_Toc4407827 \h </w:instrText>
            </w:r>
            <w:r w:rsidR="000D21F6" w:rsidRPr="000D21F6">
              <w:rPr>
                <w:noProof/>
                <w:webHidden/>
                <w:color w:val="002F5D"/>
              </w:rPr>
            </w:r>
            <w:r w:rsidR="000D21F6" w:rsidRPr="000D21F6">
              <w:rPr>
                <w:noProof/>
                <w:webHidden/>
                <w:color w:val="002F5D"/>
              </w:rPr>
              <w:fldChar w:fldCharType="separate"/>
            </w:r>
            <w:r>
              <w:rPr>
                <w:noProof/>
                <w:webHidden/>
                <w:color w:val="002F5D"/>
              </w:rPr>
              <w:t>25</w:t>
            </w:r>
            <w:r w:rsidR="000D21F6" w:rsidRPr="000D21F6">
              <w:rPr>
                <w:noProof/>
                <w:webHidden/>
                <w:color w:val="002F5D"/>
              </w:rPr>
              <w:fldChar w:fldCharType="end"/>
            </w:r>
          </w:hyperlink>
        </w:p>
        <w:p w14:paraId="66FD62E2" w14:textId="6B53F0BC" w:rsidR="000D21F6" w:rsidRPr="000D21F6" w:rsidRDefault="00E80CFE">
          <w:pPr>
            <w:pStyle w:val="TOC3"/>
            <w:tabs>
              <w:tab w:val="right" w:leader="dot" w:pos="9628"/>
            </w:tabs>
            <w:rPr>
              <w:rFonts w:eastAsiaTheme="minorEastAsia"/>
              <w:noProof/>
              <w:color w:val="002F5D"/>
              <w:lang w:eastAsia="en-GB"/>
            </w:rPr>
          </w:pPr>
          <w:hyperlink w:anchor="_Toc4407828" w:history="1">
            <w:r w:rsidR="000D21F6" w:rsidRPr="000D21F6">
              <w:rPr>
                <w:rStyle w:val="Hyperlink"/>
                <w:noProof/>
                <w:color w:val="002F5D"/>
              </w:rPr>
              <w:t>Population estimates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_Toc4407828 \h </w:instrText>
            </w:r>
            <w:r w:rsidR="000D21F6" w:rsidRPr="000D21F6">
              <w:rPr>
                <w:noProof/>
                <w:webHidden/>
                <w:color w:val="002F5D"/>
              </w:rPr>
            </w:r>
            <w:r w:rsidR="000D21F6" w:rsidRPr="000D21F6">
              <w:rPr>
                <w:noProof/>
                <w:webHidden/>
                <w:color w:val="002F5D"/>
              </w:rPr>
              <w:fldChar w:fldCharType="separate"/>
            </w:r>
            <w:r>
              <w:rPr>
                <w:noProof/>
                <w:webHidden/>
                <w:color w:val="002F5D"/>
              </w:rPr>
              <w:t>26</w:t>
            </w:r>
            <w:r w:rsidR="000D21F6" w:rsidRPr="000D21F6">
              <w:rPr>
                <w:noProof/>
                <w:webHidden/>
                <w:color w:val="002F5D"/>
              </w:rPr>
              <w:fldChar w:fldCharType="end"/>
            </w:r>
          </w:hyperlink>
        </w:p>
        <w:p w14:paraId="21C75AA2" w14:textId="630D8850" w:rsidR="000D21F6" w:rsidRPr="000D21F6" w:rsidRDefault="00E80CFE">
          <w:pPr>
            <w:pStyle w:val="TOC3"/>
            <w:tabs>
              <w:tab w:val="right" w:leader="dot" w:pos="9628"/>
            </w:tabs>
            <w:rPr>
              <w:rFonts w:eastAsiaTheme="minorEastAsia"/>
              <w:noProof/>
              <w:color w:val="002F5D"/>
              <w:lang w:eastAsia="en-GB"/>
            </w:rPr>
          </w:pPr>
          <w:hyperlink w:anchor="_Toc4407829" w:history="1">
            <w:r w:rsidR="000D21F6" w:rsidRPr="000D21F6">
              <w:rPr>
                <w:rStyle w:val="Hyperlink"/>
                <w:noProof/>
                <w:color w:val="002F5D"/>
              </w:rPr>
              <w:t>Population data for NHS Cambridgeshire and Peterborough Clinical Commissioning Group (CCG)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_Toc4407829 \h </w:instrText>
            </w:r>
            <w:r w:rsidR="000D21F6" w:rsidRPr="000D21F6">
              <w:rPr>
                <w:noProof/>
                <w:webHidden/>
                <w:color w:val="002F5D"/>
              </w:rPr>
            </w:r>
            <w:r w:rsidR="000D21F6" w:rsidRPr="000D21F6">
              <w:rPr>
                <w:noProof/>
                <w:webHidden/>
                <w:color w:val="002F5D"/>
              </w:rPr>
              <w:fldChar w:fldCharType="separate"/>
            </w:r>
            <w:r>
              <w:rPr>
                <w:noProof/>
                <w:webHidden/>
                <w:color w:val="002F5D"/>
              </w:rPr>
              <w:t>31</w:t>
            </w:r>
            <w:r w:rsidR="000D21F6" w:rsidRPr="000D21F6">
              <w:rPr>
                <w:noProof/>
                <w:webHidden/>
                <w:color w:val="002F5D"/>
              </w:rPr>
              <w:fldChar w:fldCharType="end"/>
            </w:r>
          </w:hyperlink>
        </w:p>
        <w:p w14:paraId="77ECCD38" w14:textId="5E20942A" w:rsidR="000D21F6" w:rsidRPr="000D21F6" w:rsidRDefault="00E80CFE">
          <w:pPr>
            <w:pStyle w:val="TOC3"/>
            <w:tabs>
              <w:tab w:val="right" w:leader="dot" w:pos="9628"/>
            </w:tabs>
            <w:rPr>
              <w:rFonts w:eastAsiaTheme="minorEastAsia"/>
              <w:noProof/>
              <w:color w:val="002F5D"/>
              <w:lang w:eastAsia="en-GB"/>
            </w:rPr>
          </w:pPr>
          <w:hyperlink w:anchor="_Toc4407830" w:history="1">
            <w:r w:rsidR="000D21F6" w:rsidRPr="000D21F6">
              <w:rPr>
                <w:rStyle w:val="Hyperlink"/>
                <w:noProof/>
                <w:color w:val="002F5D"/>
              </w:rPr>
              <w:t>Population forecasts: background to short, medium and long term forecasts to 2036</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_Toc4407830 \h </w:instrText>
            </w:r>
            <w:r w:rsidR="000D21F6" w:rsidRPr="000D21F6">
              <w:rPr>
                <w:noProof/>
                <w:webHidden/>
                <w:color w:val="002F5D"/>
              </w:rPr>
            </w:r>
            <w:r w:rsidR="000D21F6" w:rsidRPr="000D21F6">
              <w:rPr>
                <w:noProof/>
                <w:webHidden/>
                <w:color w:val="002F5D"/>
              </w:rPr>
              <w:fldChar w:fldCharType="separate"/>
            </w:r>
            <w:r>
              <w:rPr>
                <w:noProof/>
                <w:webHidden/>
                <w:color w:val="002F5D"/>
              </w:rPr>
              <w:t>33</w:t>
            </w:r>
            <w:r w:rsidR="000D21F6" w:rsidRPr="000D21F6">
              <w:rPr>
                <w:noProof/>
                <w:webHidden/>
                <w:color w:val="002F5D"/>
              </w:rPr>
              <w:fldChar w:fldCharType="end"/>
            </w:r>
          </w:hyperlink>
        </w:p>
        <w:p w14:paraId="5289CB6A" w14:textId="2DFE6058" w:rsidR="000D21F6" w:rsidRPr="000D21F6" w:rsidRDefault="00E80CFE">
          <w:pPr>
            <w:pStyle w:val="TOC3"/>
            <w:tabs>
              <w:tab w:val="right" w:leader="dot" w:pos="9628"/>
            </w:tabs>
            <w:rPr>
              <w:rFonts w:eastAsiaTheme="minorEastAsia"/>
              <w:noProof/>
              <w:color w:val="002F5D"/>
              <w:lang w:eastAsia="en-GB"/>
            </w:rPr>
          </w:pPr>
          <w:hyperlink w:anchor="_Toc4407831" w:history="1">
            <w:r w:rsidR="000D21F6" w:rsidRPr="000D21F6">
              <w:rPr>
                <w:rStyle w:val="Hyperlink"/>
                <w:noProof/>
                <w:color w:val="002F5D"/>
              </w:rPr>
              <w:t>Population forecasts: CCC Research Group and ONS long term forecasts to 2036</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_Toc4407831 \h </w:instrText>
            </w:r>
            <w:r w:rsidR="000D21F6" w:rsidRPr="000D21F6">
              <w:rPr>
                <w:noProof/>
                <w:webHidden/>
                <w:color w:val="002F5D"/>
              </w:rPr>
            </w:r>
            <w:r w:rsidR="000D21F6" w:rsidRPr="000D21F6">
              <w:rPr>
                <w:noProof/>
                <w:webHidden/>
                <w:color w:val="002F5D"/>
              </w:rPr>
              <w:fldChar w:fldCharType="separate"/>
            </w:r>
            <w:r>
              <w:rPr>
                <w:noProof/>
                <w:webHidden/>
                <w:color w:val="002F5D"/>
              </w:rPr>
              <w:t>35</w:t>
            </w:r>
            <w:r w:rsidR="000D21F6" w:rsidRPr="000D21F6">
              <w:rPr>
                <w:noProof/>
                <w:webHidden/>
                <w:color w:val="002F5D"/>
              </w:rPr>
              <w:fldChar w:fldCharType="end"/>
            </w:r>
          </w:hyperlink>
        </w:p>
        <w:p w14:paraId="0B4D74E8" w14:textId="5865B4D4" w:rsidR="000D21F6" w:rsidRPr="000D21F6" w:rsidRDefault="00E80CFE">
          <w:pPr>
            <w:pStyle w:val="TOC3"/>
            <w:tabs>
              <w:tab w:val="right" w:leader="dot" w:pos="9628"/>
            </w:tabs>
            <w:rPr>
              <w:rFonts w:eastAsiaTheme="minorEastAsia"/>
              <w:noProof/>
              <w:color w:val="002F5D"/>
              <w:lang w:eastAsia="en-GB"/>
            </w:rPr>
          </w:pPr>
          <w:hyperlink w:anchor="_Toc4407832" w:history="1">
            <w:r w:rsidR="000D21F6" w:rsidRPr="000D21F6">
              <w:rPr>
                <w:rStyle w:val="Hyperlink"/>
                <w:noProof/>
                <w:color w:val="002F5D"/>
              </w:rPr>
              <w:t>Population forecasts: CCC Research Group and ONS short and medium term forecasts to 2026</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_Toc4407832 \h </w:instrText>
            </w:r>
            <w:r w:rsidR="000D21F6" w:rsidRPr="000D21F6">
              <w:rPr>
                <w:noProof/>
                <w:webHidden/>
                <w:color w:val="002F5D"/>
              </w:rPr>
            </w:r>
            <w:r w:rsidR="000D21F6" w:rsidRPr="000D21F6">
              <w:rPr>
                <w:noProof/>
                <w:webHidden/>
                <w:color w:val="002F5D"/>
              </w:rPr>
              <w:fldChar w:fldCharType="separate"/>
            </w:r>
            <w:r>
              <w:rPr>
                <w:noProof/>
                <w:webHidden/>
                <w:color w:val="002F5D"/>
              </w:rPr>
              <w:t>40</w:t>
            </w:r>
            <w:r w:rsidR="000D21F6" w:rsidRPr="000D21F6">
              <w:rPr>
                <w:noProof/>
                <w:webHidden/>
                <w:color w:val="002F5D"/>
              </w:rPr>
              <w:fldChar w:fldCharType="end"/>
            </w:r>
          </w:hyperlink>
        </w:p>
        <w:p w14:paraId="358AA220" w14:textId="67BA0D82" w:rsidR="000D21F6" w:rsidRPr="000D21F6" w:rsidRDefault="00E80CFE">
          <w:pPr>
            <w:pStyle w:val="TOC3"/>
            <w:tabs>
              <w:tab w:val="right" w:leader="dot" w:pos="9628"/>
            </w:tabs>
            <w:rPr>
              <w:rFonts w:eastAsiaTheme="minorEastAsia"/>
              <w:noProof/>
              <w:color w:val="002F5D"/>
              <w:lang w:eastAsia="en-GB"/>
            </w:rPr>
          </w:pPr>
          <w:hyperlink w:anchor="_Toc4407833" w:history="1">
            <w:r w:rsidR="000D21F6" w:rsidRPr="000D21F6">
              <w:rPr>
                <w:rStyle w:val="Hyperlink"/>
                <w:noProof/>
                <w:color w:val="002F5D"/>
              </w:rPr>
              <w:t>Population forecasts: CCC Research Group and ONS by age group - short and medium term forecasts to 2026</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_Toc4407833 \h </w:instrText>
            </w:r>
            <w:r w:rsidR="000D21F6" w:rsidRPr="000D21F6">
              <w:rPr>
                <w:noProof/>
                <w:webHidden/>
                <w:color w:val="002F5D"/>
              </w:rPr>
            </w:r>
            <w:r w:rsidR="000D21F6" w:rsidRPr="000D21F6">
              <w:rPr>
                <w:noProof/>
                <w:webHidden/>
                <w:color w:val="002F5D"/>
              </w:rPr>
              <w:fldChar w:fldCharType="separate"/>
            </w:r>
            <w:r>
              <w:rPr>
                <w:noProof/>
                <w:webHidden/>
                <w:color w:val="002F5D"/>
              </w:rPr>
              <w:t>42</w:t>
            </w:r>
            <w:r w:rsidR="000D21F6" w:rsidRPr="000D21F6">
              <w:rPr>
                <w:noProof/>
                <w:webHidden/>
                <w:color w:val="002F5D"/>
              </w:rPr>
              <w:fldChar w:fldCharType="end"/>
            </w:r>
          </w:hyperlink>
        </w:p>
        <w:p w14:paraId="227A8828" w14:textId="441BFCB3" w:rsidR="000D21F6" w:rsidRPr="000D21F6" w:rsidRDefault="00E80CFE">
          <w:pPr>
            <w:pStyle w:val="TOC3"/>
            <w:tabs>
              <w:tab w:val="right" w:leader="dot" w:pos="9628"/>
            </w:tabs>
            <w:rPr>
              <w:rFonts w:eastAsiaTheme="minorEastAsia"/>
              <w:noProof/>
              <w:color w:val="002F5D"/>
              <w:lang w:eastAsia="en-GB"/>
            </w:rPr>
          </w:pPr>
          <w:hyperlink w:anchor="_Toc4407834" w:history="1">
            <w:r w:rsidR="000D21F6" w:rsidRPr="000D21F6">
              <w:rPr>
                <w:rStyle w:val="Hyperlink"/>
                <w:noProof/>
                <w:color w:val="002F5D"/>
              </w:rPr>
              <w:t>Population change and house building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_Toc4407834 \h </w:instrText>
            </w:r>
            <w:r w:rsidR="000D21F6" w:rsidRPr="000D21F6">
              <w:rPr>
                <w:noProof/>
                <w:webHidden/>
                <w:color w:val="002F5D"/>
              </w:rPr>
            </w:r>
            <w:r w:rsidR="000D21F6" w:rsidRPr="000D21F6">
              <w:rPr>
                <w:noProof/>
                <w:webHidden/>
                <w:color w:val="002F5D"/>
              </w:rPr>
              <w:fldChar w:fldCharType="separate"/>
            </w:r>
            <w:r>
              <w:rPr>
                <w:noProof/>
                <w:webHidden/>
                <w:color w:val="002F5D"/>
              </w:rPr>
              <w:t>46</w:t>
            </w:r>
            <w:r w:rsidR="000D21F6" w:rsidRPr="000D21F6">
              <w:rPr>
                <w:noProof/>
                <w:webHidden/>
                <w:color w:val="002F5D"/>
              </w:rPr>
              <w:fldChar w:fldCharType="end"/>
            </w:r>
          </w:hyperlink>
        </w:p>
        <w:p w14:paraId="51C63AE6" w14:textId="01C2DE3B" w:rsidR="000D21F6" w:rsidRPr="000D21F6" w:rsidRDefault="00E80CFE">
          <w:pPr>
            <w:pStyle w:val="TOC3"/>
            <w:tabs>
              <w:tab w:val="right" w:leader="dot" w:pos="9628"/>
            </w:tabs>
            <w:rPr>
              <w:rFonts w:eastAsiaTheme="minorEastAsia"/>
              <w:noProof/>
              <w:color w:val="002F5D"/>
              <w:lang w:eastAsia="en-GB"/>
            </w:rPr>
          </w:pPr>
          <w:hyperlink w:anchor="_Toc4407835" w:history="1">
            <w:r w:rsidR="000D21F6" w:rsidRPr="000D21F6">
              <w:rPr>
                <w:rStyle w:val="Hyperlink"/>
                <w:noProof/>
                <w:color w:val="002F5D"/>
              </w:rPr>
              <w:t>Population density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_Toc4407835 \h </w:instrText>
            </w:r>
            <w:r w:rsidR="000D21F6" w:rsidRPr="000D21F6">
              <w:rPr>
                <w:noProof/>
                <w:webHidden/>
                <w:color w:val="002F5D"/>
              </w:rPr>
            </w:r>
            <w:r w:rsidR="000D21F6" w:rsidRPr="000D21F6">
              <w:rPr>
                <w:noProof/>
                <w:webHidden/>
                <w:color w:val="002F5D"/>
              </w:rPr>
              <w:fldChar w:fldCharType="separate"/>
            </w:r>
            <w:r>
              <w:rPr>
                <w:noProof/>
                <w:webHidden/>
                <w:color w:val="002F5D"/>
              </w:rPr>
              <w:t>48</w:t>
            </w:r>
            <w:r w:rsidR="000D21F6" w:rsidRPr="000D21F6">
              <w:rPr>
                <w:noProof/>
                <w:webHidden/>
                <w:color w:val="002F5D"/>
              </w:rPr>
              <w:fldChar w:fldCharType="end"/>
            </w:r>
          </w:hyperlink>
        </w:p>
        <w:p w14:paraId="3CCE77A0" w14:textId="078D4A80" w:rsidR="000D21F6" w:rsidRPr="000D21F6" w:rsidRDefault="00E80CFE">
          <w:pPr>
            <w:pStyle w:val="TOC3"/>
            <w:tabs>
              <w:tab w:val="right" w:leader="dot" w:pos="9628"/>
            </w:tabs>
            <w:rPr>
              <w:rFonts w:eastAsiaTheme="minorEastAsia"/>
              <w:noProof/>
              <w:color w:val="002F5D"/>
              <w:lang w:eastAsia="en-GB"/>
            </w:rPr>
          </w:pPr>
          <w:hyperlink w:anchor="_Toc4407836" w:history="1">
            <w:r w:rsidR="000D21F6" w:rsidRPr="000D21F6">
              <w:rPr>
                <w:rStyle w:val="Hyperlink"/>
                <w:noProof/>
                <w:color w:val="002F5D"/>
              </w:rPr>
              <w:t>Fertility, components of population change, national insurance number registrations and ethnicity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_Toc4407836 \h </w:instrText>
            </w:r>
            <w:r w:rsidR="000D21F6" w:rsidRPr="000D21F6">
              <w:rPr>
                <w:noProof/>
                <w:webHidden/>
                <w:color w:val="002F5D"/>
              </w:rPr>
            </w:r>
            <w:r w:rsidR="000D21F6" w:rsidRPr="000D21F6">
              <w:rPr>
                <w:noProof/>
                <w:webHidden/>
                <w:color w:val="002F5D"/>
              </w:rPr>
              <w:fldChar w:fldCharType="separate"/>
            </w:r>
            <w:r>
              <w:rPr>
                <w:noProof/>
                <w:webHidden/>
                <w:color w:val="002F5D"/>
              </w:rPr>
              <w:t>49</w:t>
            </w:r>
            <w:r w:rsidR="000D21F6" w:rsidRPr="000D21F6">
              <w:rPr>
                <w:noProof/>
                <w:webHidden/>
                <w:color w:val="002F5D"/>
              </w:rPr>
              <w:fldChar w:fldCharType="end"/>
            </w:r>
          </w:hyperlink>
        </w:p>
        <w:p w14:paraId="57D00872" w14:textId="230D82F5" w:rsidR="000D21F6" w:rsidRPr="000D21F6" w:rsidRDefault="00E80CFE">
          <w:pPr>
            <w:pStyle w:val="TOC2"/>
            <w:rPr>
              <w:rFonts w:eastAsiaTheme="minorEastAsia"/>
              <w:noProof/>
              <w:color w:val="002F5D"/>
              <w:lang w:eastAsia="en-GB"/>
            </w:rPr>
          </w:pPr>
          <w:hyperlink w:anchor="_Toc4407837" w:history="1">
            <w:r w:rsidR="000D21F6" w:rsidRPr="000D21F6">
              <w:rPr>
                <w:rStyle w:val="Hyperlink"/>
                <w:noProof/>
                <w:color w:val="002F5D"/>
              </w:rPr>
              <w:t>2.3</w:t>
            </w:r>
            <w:r w:rsidR="000D21F6" w:rsidRPr="000D21F6">
              <w:rPr>
                <w:rFonts w:eastAsiaTheme="minorEastAsia"/>
                <w:noProof/>
                <w:color w:val="002F5D"/>
                <w:lang w:eastAsia="en-GB"/>
              </w:rPr>
              <w:tab/>
            </w:r>
            <w:r w:rsidR="000D21F6" w:rsidRPr="000D21F6">
              <w:rPr>
                <w:rStyle w:val="Hyperlink"/>
                <w:noProof/>
                <w:color w:val="002F5D"/>
              </w:rPr>
              <w:t>Other Populations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_Toc4407837 \h </w:instrText>
            </w:r>
            <w:r w:rsidR="000D21F6" w:rsidRPr="000D21F6">
              <w:rPr>
                <w:noProof/>
                <w:webHidden/>
                <w:color w:val="002F5D"/>
              </w:rPr>
            </w:r>
            <w:r w:rsidR="000D21F6" w:rsidRPr="000D21F6">
              <w:rPr>
                <w:noProof/>
                <w:webHidden/>
                <w:color w:val="002F5D"/>
              </w:rPr>
              <w:fldChar w:fldCharType="separate"/>
            </w:r>
            <w:r>
              <w:rPr>
                <w:noProof/>
                <w:webHidden/>
                <w:color w:val="002F5D"/>
              </w:rPr>
              <w:t>55</w:t>
            </w:r>
            <w:r w:rsidR="000D21F6" w:rsidRPr="000D21F6">
              <w:rPr>
                <w:noProof/>
                <w:webHidden/>
                <w:color w:val="002F5D"/>
              </w:rPr>
              <w:fldChar w:fldCharType="end"/>
            </w:r>
          </w:hyperlink>
        </w:p>
        <w:p w14:paraId="62E0D6A7" w14:textId="5226C908" w:rsidR="000D21F6" w:rsidRPr="000D21F6" w:rsidRDefault="00E80CFE">
          <w:pPr>
            <w:pStyle w:val="TOC3"/>
            <w:tabs>
              <w:tab w:val="right" w:leader="dot" w:pos="9628"/>
            </w:tabs>
            <w:rPr>
              <w:rFonts w:eastAsiaTheme="minorEastAsia"/>
              <w:noProof/>
              <w:color w:val="002F5D"/>
              <w:lang w:eastAsia="en-GB"/>
            </w:rPr>
          </w:pPr>
          <w:hyperlink w:anchor="_Toc4407838" w:history="1">
            <w:r w:rsidR="000D21F6" w:rsidRPr="000D21F6">
              <w:rPr>
                <w:rStyle w:val="Hyperlink"/>
                <w:noProof/>
                <w:color w:val="002F5D"/>
              </w:rPr>
              <w:t>Armed Forces Population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_Toc4407838 \h </w:instrText>
            </w:r>
            <w:r w:rsidR="000D21F6" w:rsidRPr="000D21F6">
              <w:rPr>
                <w:noProof/>
                <w:webHidden/>
                <w:color w:val="002F5D"/>
              </w:rPr>
            </w:r>
            <w:r w:rsidR="000D21F6" w:rsidRPr="000D21F6">
              <w:rPr>
                <w:noProof/>
                <w:webHidden/>
                <w:color w:val="002F5D"/>
              </w:rPr>
              <w:fldChar w:fldCharType="separate"/>
            </w:r>
            <w:r>
              <w:rPr>
                <w:noProof/>
                <w:webHidden/>
                <w:color w:val="002F5D"/>
              </w:rPr>
              <w:t>55</w:t>
            </w:r>
            <w:r w:rsidR="000D21F6" w:rsidRPr="000D21F6">
              <w:rPr>
                <w:noProof/>
                <w:webHidden/>
                <w:color w:val="002F5D"/>
              </w:rPr>
              <w:fldChar w:fldCharType="end"/>
            </w:r>
          </w:hyperlink>
        </w:p>
        <w:p w14:paraId="6697AB51" w14:textId="1EE77DEE" w:rsidR="000D21F6" w:rsidRPr="000D21F6" w:rsidRDefault="00E80CFE">
          <w:pPr>
            <w:pStyle w:val="TOC3"/>
            <w:tabs>
              <w:tab w:val="right" w:leader="dot" w:pos="9628"/>
            </w:tabs>
            <w:rPr>
              <w:rFonts w:eastAsiaTheme="minorEastAsia"/>
              <w:noProof/>
              <w:color w:val="002F5D"/>
              <w:lang w:eastAsia="en-GB"/>
            </w:rPr>
          </w:pPr>
          <w:hyperlink w:anchor="_Toc4407839" w:history="1">
            <w:r w:rsidR="000D21F6" w:rsidRPr="000D21F6">
              <w:rPr>
                <w:rStyle w:val="Hyperlink"/>
                <w:noProof/>
                <w:color w:val="002F5D"/>
              </w:rPr>
              <w:t>Prison Population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_Toc4407839 \h </w:instrText>
            </w:r>
            <w:r w:rsidR="000D21F6" w:rsidRPr="000D21F6">
              <w:rPr>
                <w:noProof/>
                <w:webHidden/>
                <w:color w:val="002F5D"/>
              </w:rPr>
            </w:r>
            <w:r w:rsidR="000D21F6" w:rsidRPr="000D21F6">
              <w:rPr>
                <w:noProof/>
                <w:webHidden/>
                <w:color w:val="002F5D"/>
              </w:rPr>
              <w:fldChar w:fldCharType="separate"/>
            </w:r>
            <w:r>
              <w:rPr>
                <w:noProof/>
                <w:webHidden/>
                <w:color w:val="002F5D"/>
              </w:rPr>
              <w:t>57</w:t>
            </w:r>
            <w:r w:rsidR="000D21F6" w:rsidRPr="000D21F6">
              <w:rPr>
                <w:noProof/>
                <w:webHidden/>
                <w:color w:val="002F5D"/>
              </w:rPr>
              <w:fldChar w:fldCharType="end"/>
            </w:r>
          </w:hyperlink>
        </w:p>
        <w:p w14:paraId="63943CC8" w14:textId="1CAB1C89" w:rsidR="000D21F6" w:rsidRPr="000D21F6" w:rsidRDefault="00E80CFE">
          <w:pPr>
            <w:pStyle w:val="TOC3"/>
            <w:tabs>
              <w:tab w:val="right" w:leader="dot" w:pos="9628"/>
            </w:tabs>
            <w:rPr>
              <w:rFonts w:eastAsiaTheme="minorEastAsia"/>
              <w:noProof/>
              <w:color w:val="002F5D"/>
              <w:lang w:eastAsia="en-GB"/>
            </w:rPr>
          </w:pPr>
          <w:hyperlink w:anchor="_Toc4407840" w:history="1">
            <w:r w:rsidR="000D21F6" w:rsidRPr="000D21F6">
              <w:rPr>
                <w:rStyle w:val="Hyperlink"/>
                <w:noProof/>
                <w:color w:val="002F5D"/>
              </w:rPr>
              <w:t>Homeless Population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_Toc4407840 \h </w:instrText>
            </w:r>
            <w:r w:rsidR="000D21F6" w:rsidRPr="000D21F6">
              <w:rPr>
                <w:noProof/>
                <w:webHidden/>
                <w:color w:val="002F5D"/>
              </w:rPr>
            </w:r>
            <w:r w:rsidR="000D21F6" w:rsidRPr="000D21F6">
              <w:rPr>
                <w:noProof/>
                <w:webHidden/>
                <w:color w:val="002F5D"/>
              </w:rPr>
              <w:fldChar w:fldCharType="separate"/>
            </w:r>
            <w:r>
              <w:rPr>
                <w:noProof/>
                <w:webHidden/>
                <w:color w:val="002F5D"/>
              </w:rPr>
              <w:t>58</w:t>
            </w:r>
            <w:r w:rsidR="000D21F6" w:rsidRPr="000D21F6">
              <w:rPr>
                <w:noProof/>
                <w:webHidden/>
                <w:color w:val="002F5D"/>
              </w:rPr>
              <w:fldChar w:fldCharType="end"/>
            </w:r>
          </w:hyperlink>
        </w:p>
        <w:p w14:paraId="48ECB63F" w14:textId="220BE9BD" w:rsidR="000D21F6" w:rsidRPr="000D21F6" w:rsidRDefault="00E80CFE">
          <w:pPr>
            <w:pStyle w:val="TOC1"/>
            <w:rPr>
              <w:rFonts w:eastAsiaTheme="minorEastAsia"/>
              <w:noProof/>
              <w:color w:val="002F5D"/>
              <w:lang w:eastAsia="en-GB"/>
            </w:rPr>
          </w:pPr>
          <w:hyperlink w:anchor="_Toc4407841" w:history="1">
            <w:r w:rsidR="000D21F6" w:rsidRPr="000D21F6">
              <w:rPr>
                <w:rStyle w:val="Hyperlink"/>
                <w:noProof/>
                <w:color w:val="002F5D"/>
              </w:rPr>
              <w:t>3.</w:t>
            </w:r>
            <w:r w:rsidR="000D21F6" w:rsidRPr="000D21F6">
              <w:rPr>
                <w:rFonts w:eastAsiaTheme="minorEastAsia"/>
                <w:noProof/>
                <w:color w:val="002F5D"/>
                <w:lang w:eastAsia="en-GB"/>
              </w:rPr>
              <w:tab/>
            </w:r>
            <w:r w:rsidR="000D21F6" w:rsidRPr="000D21F6">
              <w:rPr>
                <w:rStyle w:val="Hyperlink"/>
                <w:noProof/>
                <w:color w:val="002F5D"/>
              </w:rPr>
              <w:t>RELATIVE DEPRIVATION AND WIDER DETERMINANTS OF HEALTH</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_Toc4407841 \h </w:instrText>
            </w:r>
            <w:r w:rsidR="000D21F6" w:rsidRPr="000D21F6">
              <w:rPr>
                <w:noProof/>
                <w:webHidden/>
                <w:color w:val="002F5D"/>
              </w:rPr>
            </w:r>
            <w:r w:rsidR="000D21F6" w:rsidRPr="000D21F6">
              <w:rPr>
                <w:noProof/>
                <w:webHidden/>
                <w:color w:val="002F5D"/>
              </w:rPr>
              <w:fldChar w:fldCharType="separate"/>
            </w:r>
            <w:r>
              <w:rPr>
                <w:noProof/>
                <w:webHidden/>
                <w:color w:val="002F5D"/>
              </w:rPr>
              <w:t>62</w:t>
            </w:r>
            <w:r w:rsidR="000D21F6" w:rsidRPr="000D21F6">
              <w:rPr>
                <w:noProof/>
                <w:webHidden/>
                <w:color w:val="002F5D"/>
              </w:rPr>
              <w:fldChar w:fldCharType="end"/>
            </w:r>
          </w:hyperlink>
        </w:p>
        <w:p w14:paraId="3C1876D0" w14:textId="6E951FDD" w:rsidR="000D21F6" w:rsidRPr="000D21F6" w:rsidRDefault="00E80CFE">
          <w:pPr>
            <w:pStyle w:val="TOC2"/>
            <w:rPr>
              <w:rFonts w:eastAsiaTheme="minorEastAsia"/>
              <w:noProof/>
              <w:color w:val="002F5D"/>
              <w:lang w:eastAsia="en-GB"/>
            </w:rPr>
          </w:pPr>
          <w:hyperlink w:anchor="_Toc4407842" w:history="1">
            <w:r w:rsidR="000D21F6" w:rsidRPr="000D21F6">
              <w:rPr>
                <w:rStyle w:val="Hyperlink"/>
                <w:noProof/>
                <w:color w:val="002F5D"/>
              </w:rPr>
              <w:t>3.1</w:t>
            </w:r>
            <w:r w:rsidR="000D21F6" w:rsidRPr="000D21F6">
              <w:rPr>
                <w:rFonts w:eastAsiaTheme="minorEastAsia"/>
                <w:noProof/>
                <w:color w:val="002F5D"/>
                <w:lang w:eastAsia="en-GB"/>
              </w:rPr>
              <w:tab/>
            </w:r>
            <w:r w:rsidR="000D21F6" w:rsidRPr="000D21F6">
              <w:rPr>
                <w:rStyle w:val="Hyperlink"/>
                <w:noProof/>
                <w:color w:val="002F5D"/>
              </w:rPr>
              <w:t>Relative deprivation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_Toc4407842 \h </w:instrText>
            </w:r>
            <w:r w:rsidR="000D21F6" w:rsidRPr="000D21F6">
              <w:rPr>
                <w:noProof/>
                <w:webHidden/>
                <w:color w:val="002F5D"/>
              </w:rPr>
            </w:r>
            <w:r w:rsidR="000D21F6" w:rsidRPr="000D21F6">
              <w:rPr>
                <w:noProof/>
                <w:webHidden/>
                <w:color w:val="002F5D"/>
              </w:rPr>
              <w:fldChar w:fldCharType="separate"/>
            </w:r>
            <w:r>
              <w:rPr>
                <w:noProof/>
                <w:webHidden/>
                <w:color w:val="002F5D"/>
              </w:rPr>
              <w:t>62</w:t>
            </w:r>
            <w:r w:rsidR="000D21F6" w:rsidRPr="000D21F6">
              <w:rPr>
                <w:noProof/>
                <w:webHidden/>
                <w:color w:val="002F5D"/>
              </w:rPr>
              <w:fldChar w:fldCharType="end"/>
            </w:r>
          </w:hyperlink>
        </w:p>
        <w:p w14:paraId="1192E0EF" w14:textId="5FDC83B0" w:rsidR="000D21F6" w:rsidRPr="000D21F6" w:rsidRDefault="00E80CFE">
          <w:pPr>
            <w:pStyle w:val="TOC2"/>
            <w:rPr>
              <w:rFonts w:eastAsiaTheme="minorEastAsia"/>
              <w:noProof/>
              <w:color w:val="002F5D"/>
              <w:lang w:eastAsia="en-GB"/>
            </w:rPr>
          </w:pPr>
          <w:hyperlink w:anchor="_Toc4407843" w:history="1">
            <w:r w:rsidR="000D21F6" w:rsidRPr="000D21F6">
              <w:rPr>
                <w:rStyle w:val="Hyperlink"/>
                <w:noProof/>
                <w:color w:val="002F5D"/>
              </w:rPr>
              <w:t>3.2</w:t>
            </w:r>
            <w:r w:rsidR="000D21F6" w:rsidRPr="000D21F6">
              <w:rPr>
                <w:rFonts w:eastAsiaTheme="minorEastAsia"/>
                <w:noProof/>
                <w:color w:val="002F5D"/>
                <w:lang w:eastAsia="en-GB"/>
              </w:rPr>
              <w:tab/>
            </w:r>
            <w:r w:rsidR="000D21F6" w:rsidRPr="000D21F6">
              <w:rPr>
                <w:rStyle w:val="Hyperlink"/>
                <w:noProof/>
                <w:color w:val="002F5D"/>
              </w:rPr>
              <w:t>Socio-economic factors and wider determinants influencing health and wellbeing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_Toc4407843 \h </w:instrText>
            </w:r>
            <w:r w:rsidR="000D21F6" w:rsidRPr="000D21F6">
              <w:rPr>
                <w:noProof/>
                <w:webHidden/>
                <w:color w:val="002F5D"/>
              </w:rPr>
            </w:r>
            <w:r w:rsidR="000D21F6" w:rsidRPr="000D21F6">
              <w:rPr>
                <w:noProof/>
                <w:webHidden/>
                <w:color w:val="002F5D"/>
              </w:rPr>
              <w:fldChar w:fldCharType="separate"/>
            </w:r>
            <w:r>
              <w:rPr>
                <w:noProof/>
                <w:webHidden/>
                <w:color w:val="002F5D"/>
              </w:rPr>
              <w:t>71</w:t>
            </w:r>
            <w:r w:rsidR="000D21F6" w:rsidRPr="000D21F6">
              <w:rPr>
                <w:noProof/>
                <w:webHidden/>
                <w:color w:val="002F5D"/>
              </w:rPr>
              <w:fldChar w:fldCharType="end"/>
            </w:r>
          </w:hyperlink>
        </w:p>
        <w:p w14:paraId="4ACBDC5B" w14:textId="1D51DF13" w:rsidR="000D21F6" w:rsidRPr="000D21F6" w:rsidRDefault="00E80CFE">
          <w:pPr>
            <w:pStyle w:val="TOC3"/>
            <w:tabs>
              <w:tab w:val="right" w:leader="dot" w:pos="9628"/>
            </w:tabs>
            <w:rPr>
              <w:rFonts w:eastAsiaTheme="minorEastAsia"/>
              <w:noProof/>
              <w:color w:val="002F5D"/>
              <w:lang w:eastAsia="en-GB"/>
            </w:rPr>
          </w:pPr>
          <w:hyperlink w:anchor="_Toc4407844" w:history="1">
            <w:r w:rsidR="000D21F6" w:rsidRPr="000D21F6">
              <w:rPr>
                <w:rStyle w:val="Hyperlink"/>
                <w:noProof/>
                <w:color w:val="002F5D"/>
              </w:rPr>
              <w:t>Child poverty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_Toc4407844 \h </w:instrText>
            </w:r>
            <w:r w:rsidR="000D21F6" w:rsidRPr="000D21F6">
              <w:rPr>
                <w:noProof/>
                <w:webHidden/>
                <w:color w:val="002F5D"/>
              </w:rPr>
            </w:r>
            <w:r w:rsidR="000D21F6" w:rsidRPr="000D21F6">
              <w:rPr>
                <w:noProof/>
                <w:webHidden/>
                <w:color w:val="002F5D"/>
              </w:rPr>
              <w:fldChar w:fldCharType="separate"/>
            </w:r>
            <w:r>
              <w:rPr>
                <w:noProof/>
                <w:webHidden/>
                <w:color w:val="002F5D"/>
              </w:rPr>
              <w:t>71</w:t>
            </w:r>
            <w:r w:rsidR="000D21F6" w:rsidRPr="000D21F6">
              <w:rPr>
                <w:noProof/>
                <w:webHidden/>
                <w:color w:val="002F5D"/>
              </w:rPr>
              <w:fldChar w:fldCharType="end"/>
            </w:r>
          </w:hyperlink>
        </w:p>
        <w:p w14:paraId="09D17D5B" w14:textId="16C1EA6C" w:rsidR="000D21F6" w:rsidRPr="000D21F6" w:rsidRDefault="00E80CFE">
          <w:pPr>
            <w:pStyle w:val="TOC3"/>
            <w:tabs>
              <w:tab w:val="right" w:leader="dot" w:pos="9628"/>
            </w:tabs>
            <w:rPr>
              <w:rFonts w:eastAsiaTheme="minorEastAsia"/>
              <w:noProof/>
              <w:color w:val="002F5D"/>
              <w:lang w:eastAsia="en-GB"/>
            </w:rPr>
          </w:pPr>
          <w:hyperlink w:anchor="_Toc4407845" w:history="1">
            <w:r w:rsidR="000D21F6" w:rsidRPr="000D21F6">
              <w:rPr>
                <w:rStyle w:val="Hyperlink"/>
                <w:noProof/>
                <w:color w:val="002F5D"/>
              </w:rPr>
              <w:t>Child development and educational attainment</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_Toc4407845 \h </w:instrText>
            </w:r>
            <w:r w:rsidR="000D21F6" w:rsidRPr="000D21F6">
              <w:rPr>
                <w:noProof/>
                <w:webHidden/>
                <w:color w:val="002F5D"/>
              </w:rPr>
            </w:r>
            <w:r w:rsidR="000D21F6" w:rsidRPr="000D21F6">
              <w:rPr>
                <w:noProof/>
                <w:webHidden/>
                <w:color w:val="002F5D"/>
              </w:rPr>
              <w:fldChar w:fldCharType="separate"/>
            </w:r>
            <w:r>
              <w:rPr>
                <w:noProof/>
                <w:webHidden/>
                <w:color w:val="002F5D"/>
              </w:rPr>
              <w:t>73</w:t>
            </w:r>
            <w:r w:rsidR="000D21F6" w:rsidRPr="000D21F6">
              <w:rPr>
                <w:noProof/>
                <w:webHidden/>
                <w:color w:val="002F5D"/>
              </w:rPr>
              <w:fldChar w:fldCharType="end"/>
            </w:r>
          </w:hyperlink>
        </w:p>
        <w:p w14:paraId="44C2CDEC" w14:textId="5CB645F8" w:rsidR="000D21F6" w:rsidRPr="000D21F6" w:rsidRDefault="00E80CFE">
          <w:pPr>
            <w:pStyle w:val="TOC3"/>
            <w:tabs>
              <w:tab w:val="right" w:leader="dot" w:pos="9628"/>
            </w:tabs>
            <w:rPr>
              <w:rFonts w:eastAsiaTheme="minorEastAsia"/>
              <w:noProof/>
              <w:color w:val="002F5D"/>
              <w:lang w:eastAsia="en-GB"/>
            </w:rPr>
          </w:pPr>
          <w:hyperlink w:anchor="_Toc4407846" w:history="1">
            <w:r w:rsidR="000D21F6" w:rsidRPr="000D21F6">
              <w:rPr>
                <w:rStyle w:val="Hyperlink"/>
                <w:noProof/>
                <w:color w:val="002F5D"/>
              </w:rPr>
              <w:t>Employment, worklessness, income and benefits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_Toc4407846 \h </w:instrText>
            </w:r>
            <w:r w:rsidR="000D21F6" w:rsidRPr="000D21F6">
              <w:rPr>
                <w:noProof/>
                <w:webHidden/>
                <w:color w:val="002F5D"/>
              </w:rPr>
            </w:r>
            <w:r w:rsidR="000D21F6" w:rsidRPr="000D21F6">
              <w:rPr>
                <w:noProof/>
                <w:webHidden/>
                <w:color w:val="002F5D"/>
              </w:rPr>
              <w:fldChar w:fldCharType="separate"/>
            </w:r>
            <w:r>
              <w:rPr>
                <w:noProof/>
                <w:webHidden/>
                <w:color w:val="002F5D"/>
              </w:rPr>
              <w:t>77</w:t>
            </w:r>
            <w:r w:rsidR="000D21F6" w:rsidRPr="000D21F6">
              <w:rPr>
                <w:noProof/>
                <w:webHidden/>
                <w:color w:val="002F5D"/>
              </w:rPr>
              <w:fldChar w:fldCharType="end"/>
            </w:r>
          </w:hyperlink>
        </w:p>
        <w:p w14:paraId="0062A39D" w14:textId="40BDFC48" w:rsidR="000D21F6" w:rsidRPr="000D21F6" w:rsidRDefault="00E80CFE">
          <w:pPr>
            <w:pStyle w:val="TOC1"/>
            <w:rPr>
              <w:rFonts w:eastAsiaTheme="minorEastAsia"/>
              <w:noProof/>
              <w:color w:val="002F5D"/>
              <w:lang w:eastAsia="en-GB"/>
            </w:rPr>
          </w:pPr>
          <w:hyperlink w:anchor="_Toc4407847" w:history="1">
            <w:r w:rsidR="000D21F6" w:rsidRPr="000D21F6">
              <w:rPr>
                <w:rStyle w:val="Hyperlink"/>
                <w:noProof/>
                <w:color w:val="002F5D"/>
              </w:rPr>
              <w:t>4.</w:t>
            </w:r>
            <w:r w:rsidR="000D21F6" w:rsidRPr="000D21F6">
              <w:rPr>
                <w:rFonts w:eastAsiaTheme="minorEastAsia"/>
                <w:noProof/>
                <w:color w:val="002F5D"/>
                <w:lang w:eastAsia="en-GB"/>
              </w:rPr>
              <w:tab/>
            </w:r>
            <w:r w:rsidR="000D21F6" w:rsidRPr="000D21F6">
              <w:rPr>
                <w:rStyle w:val="Hyperlink"/>
                <w:noProof/>
                <w:color w:val="002F5D"/>
              </w:rPr>
              <w:t>LIFESTYLES, RISK FACTORS AND HEALTH AND WELLBEING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_Toc4407847 \h </w:instrText>
            </w:r>
            <w:r w:rsidR="000D21F6" w:rsidRPr="000D21F6">
              <w:rPr>
                <w:noProof/>
                <w:webHidden/>
                <w:color w:val="002F5D"/>
              </w:rPr>
            </w:r>
            <w:r w:rsidR="000D21F6" w:rsidRPr="000D21F6">
              <w:rPr>
                <w:noProof/>
                <w:webHidden/>
                <w:color w:val="002F5D"/>
              </w:rPr>
              <w:fldChar w:fldCharType="separate"/>
            </w:r>
            <w:r>
              <w:rPr>
                <w:noProof/>
                <w:webHidden/>
                <w:color w:val="002F5D"/>
              </w:rPr>
              <w:t>86</w:t>
            </w:r>
            <w:r w:rsidR="000D21F6" w:rsidRPr="000D21F6">
              <w:rPr>
                <w:noProof/>
                <w:webHidden/>
                <w:color w:val="002F5D"/>
              </w:rPr>
              <w:fldChar w:fldCharType="end"/>
            </w:r>
          </w:hyperlink>
        </w:p>
        <w:p w14:paraId="632B7F72" w14:textId="0E551C4A" w:rsidR="000D21F6" w:rsidRPr="000D21F6" w:rsidRDefault="00E80CFE">
          <w:pPr>
            <w:pStyle w:val="TOC2"/>
            <w:rPr>
              <w:rFonts w:eastAsiaTheme="minorEastAsia"/>
              <w:noProof/>
              <w:color w:val="002F5D"/>
              <w:lang w:eastAsia="en-GB"/>
            </w:rPr>
          </w:pPr>
          <w:hyperlink w:anchor="_Toc4407848" w:history="1">
            <w:r w:rsidR="000D21F6" w:rsidRPr="000D21F6">
              <w:rPr>
                <w:rStyle w:val="Hyperlink"/>
                <w:noProof/>
                <w:color w:val="002F5D"/>
              </w:rPr>
              <w:t>4.1</w:t>
            </w:r>
            <w:r w:rsidR="000D21F6" w:rsidRPr="000D21F6">
              <w:rPr>
                <w:rFonts w:eastAsiaTheme="minorEastAsia"/>
                <w:noProof/>
                <w:color w:val="002F5D"/>
                <w:lang w:eastAsia="en-GB"/>
              </w:rPr>
              <w:tab/>
            </w:r>
            <w:r w:rsidR="000D21F6" w:rsidRPr="000D21F6">
              <w:rPr>
                <w:rStyle w:val="Hyperlink"/>
                <w:noProof/>
                <w:color w:val="002F5D"/>
              </w:rPr>
              <w:t>Excess weight</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_Toc4407848 \h </w:instrText>
            </w:r>
            <w:r w:rsidR="000D21F6" w:rsidRPr="000D21F6">
              <w:rPr>
                <w:noProof/>
                <w:webHidden/>
                <w:color w:val="002F5D"/>
              </w:rPr>
            </w:r>
            <w:r w:rsidR="000D21F6" w:rsidRPr="000D21F6">
              <w:rPr>
                <w:noProof/>
                <w:webHidden/>
                <w:color w:val="002F5D"/>
              </w:rPr>
              <w:fldChar w:fldCharType="separate"/>
            </w:r>
            <w:r>
              <w:rPr>
                <w:noProof/>
                <w:webHidden/>
                <w:color w:val="002F5D"/>
              </w:rPr>
              <w:t>86</w:t>
            </w:r>
            <w:r w:rsidR="000D21F6" w:rsidRPr="000D21F6">
              <w:rPr>
                <w:noProof/>
                <w:webHidden/>
                <w:color w:val="002F5D"/>
              </w:rPr>
              <w:fldChar w:fldCharType="end"/>
            </w:r>
          </w:hyperlink>
        </w:p>
        <w:p w14:paraId="16C52836" w14:textId="776A7FDF" w:rsidR="000D21F6" w:rsidRPr="000D21F6" w:rsidRDefault="00E80CFE">
          <w:pPr>
            <w:pStyle w:val="TOC3"/>
            <w:tabs>
              <w:tab w:val="right" w:leader="dot" w:pos="9628"/>
            </w:tabs>
            <w:rPr>
              <w:rFonts w:eastAsiaTheme="minorEastAsia"/>
              <w:noProof/>
              <w:color w:val="002F5D"/>
              <w:lang w:eastAsia="en-GB"/>
            </w:rPr>
          </w:pPr>
          <w:hyperlink w:anchor="_Toc4407849" w:history="1">
            <w:r w:rsidR="000D21F6" w:rsidRPr="000D21F6">
              <w:rPr>
                <w:rStyle w:val="Hyperlink"/>
                <w:noProof/>
                <w:color w:val="002F5D"/>
              </w:rPr>
              <w:t>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_Toc4407849 \h </w:instrText>
            </w:r>
            <w:r w:rsidR="000D21F6" w:rsidRPr="000D21F6">
              <w:rPr>
                <w:noProof/>
                <w:webHidden/>
                <w:color w:val="002F5D"/>
              </w:rPr>
            </w:r>
            <w:r w:rsidR="000D21F6" w:rsidRPr="000D21F6">
              <w:rPr>
                <w:noProof/>
                <w:webHidden/>
                <w:color w:val="002F5D"/>
              </w:rPr>
              <w:fldChar w:fldCharType="separate"/>
            </w:r>
            <w:r>
              <w:rPr>
                <w:noProof/>
                <w:webHidden/>
                <w:color w:val="002F5D"/>
              </w:rPr>
              <w:t>86</w:t>
            </w:r>
            <w:r w:rsidR="000D21F6" w:rsidRPr="000D21F6">
              <w:rPr>
                <w:noProof/>
                <w:webHidden/>
                <w:color w:val="002F5D"/>
              </w:rPr>
              <w:fldChar w:fldCharType="end"/>
            </w:r>
          </w:hyperlink>
        </w:p>
        <w:p w14:paraId="24A461C8" w14:textId="0273E2E3" w:rsidR="000D21F6" w:rsidRPr="000D21F6" w:rsidRDefault="00E80CFE">
          <w:pPr>
            <w:pStyle w:val="TOC3"/>
            <w:tabs>
              <w:tab w:val="right" w:leader="dot" w:pos="9628"/>
            </w:tabs>
            <w:rPr>
              <w:rFonts w:eastAsiaTheme="minorEastAsia"/>
              <w:noProof/>
              <w:color w:val="002F5D"/>
              <w:lang w:eastAsia="en-GB"/>
            </w:rPr>
          </w:pPr>
          <w:hyperlink w:anchor="_Toc4407850" w:history="1">
            <w:r w:rsidR="000D21F6" w:rsidRPr="000D21F6">
              <w:rPr>
                <w:rStyle w:val="Hyperlink"/>
                <w:noProof/>
                <w:color w:val="002F5D"/>
              </w:rPr>
              <w:t>Adults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_Toc4407850 \h </w:instrText>
            </w:r>
            <w:r w:rsidR="000D21F6" w:rsidRPr="000D21F6">
              <w:rPr>
                <w:noProof/>
                <w:webHidden/>
                <w:color w:val="002F5D"/>
              </w:rPr>
            </w:r>
            <w:r w:rsidR="000D21F6" w:rsidRPr="000D21F6">
              <w:rPr>
                <w:noProof/>
                <w:webHidden/>
                <w:color w:val="002F5D"/>
              </w:rPr>
              <w:fldChar w:fldCharType="separate"/>
            </w:r>
            <w:r>
              <w:rPr>
                <w:noProof/>
                <w:webHidden/>
                <w:color w:val="002F5D"/>
              </w:rPr>
              <w:t>87</w:t>
            </w:r>
            <w:r w:rsidR="000D21F6" w:rsidRPr="000D21F6">
              <w:rPr>
                <w:noProof/>
                <w:webHidden/>
                <w:color w:val="002F5D"/>
              </w:rPr>
              <w:fldChar w:fldCharType="end"/>
            </w:r>
          </w:hyperlink>
        </w:p>
        <w:p w14:paraId="5147F80B" w14:textId="020D4908" w:rsidR="000D21F6" w:rsidRPr="000D21F6" w:rsidRDefault="00E80CFE">
          <w:pPr>
            <w:pStyle w:val="TOC2"/>
            <w:rPr>
              <w:rFonts w:eastAsiaTheme="minorEastAsia"/>
              <w:noProof/>
              <w:color w:val="002F5D"/>
              <w:lang w:eastAsia="en-GB"/>
            </w:rPr>
          </w:pPr>
          <w:hyperlink w:anchor="_Toc4407851" w:history="1">
            <w:r w:rsidR="000D21F6" w:rsidRPr="000D21F6">
              <w:rPr>
                <w:rStyle w:val="Hyperlink"/>
                <w:noProof/>
                <w:color w:val="002F5D"/>
              </w:rPr>
              <w:t>4.2</w:t>
            </w:r>
            <w:r w:rsidR="000D21F6" w:rsidRPr="000D21F6">
              <w:rPr>
                <w:rFonts w:eastAsiaTheme="minorEastAsia"/>
                <w:noProof/>
                <w:color w:val="002F5D"/>
                <w:lang w:eastAsia="en-GB"/>
              </w:rPr>
              <w:tab/>
            </w:r>
            <w:r w:rsidR="000D21F6" w:rsidRPr="000D21F6">
              <w:rPr>
                <w:rStyle w:val="Hyperlink"/>
                <w:noProof/>
                <w:color w:val="002F5D"/>
              </w:rPr>
              <w:t>Physical activity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_Toc4407851 \h </w:instrText>
            </w:r>
            <w:r w:rsidR="000D21F6" w:rsidRPr="000D21F6">
              <w:rPr>
                <w:noProof/>
                <w:webHidden/>
                <w:color w:val="002F5D"/>
              </w:rPr>
            </w:r>
            <w:r w:rsidR="000D21F6" w:rsidRPr="000D21F6">
              <w:rPr>
                <w:noProof/>
                <w:webHidden/>
                <w:color w:val="002F5D"/>
              </w:rPr>
              <w:fldChar w:fldCharType="separate"/>
            </w:r>
            <w:r>
              <w:rPr>
                <w:noProof/>
                <w:webHidden/>
                <w:color w:val="002F5D"/>
              </w:rPr>
              <w:t>90</w:t>
            </w:r>
            <w:r w:rsidR="000D21F6" w:rsidRPr="000D21F6">
              <w:rPr>
                <w:noProof/>
                <w:webHidden/>
                <w:color w:val="002F5D"/>
              </w:rPr>
              <w:fldChar w:fldCharType="end"/>
            </w:r>
          </w:hyperlink>
        </w:p>
        <w:p w14:paraId="51039549" w14:textId="62E71188" w:rsidR="000D21F6" w:rsidRPr="000D21F6" w:rsidRDefault="00E80CFE">
          <w:pPr>
            <w:pStyle w:val="TOC3"/>
            <w:tabs>
              <w:tab w:val="right" w:leader="dot" w:pos="9628"/>
            </w:tabs>
            <w:rPr>
              <w:rFonts w:eastAsiaTheme="minorEastAsia"/>
              <w:noProof/>
              <w:color w:val="002F5D"/>
              <w:lang w:eastAsia="en-GB"/>
            </w:rPr>
          </w:pPr>
          <w:hyperlink w:anchor="_Toc4407852" w:history="1">
            <w:r w:rsidR="000D21F6" w:rsidRPr="000D21F6">
              <w:rPr>
                <w:rStyle w:val="Hyperlink"/>
                <w:noProof/>
                <w:color w:val="002F5D"/>
              </w:rPr>
              <w:t>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_Toc4407852 \h </w:instrText>
            </w:r>
            <w:r w:rsidR="000D21F6" w:rsidRPr="000D21F6">
              <w:rPr>
                <w:noProof/>
                <w:webHidden/>
                <w:color w:val="002F5D"/>
              </w:rPr>
            </w:r>
            <w:r w:rsidR="000D21F6" w:rsidRPr="000D21F6">
              <w:rPr>
                <w:noProof/>
                <w:webHidden/>
                <w:color w:val="002F5D"/>
              </w:rPr>
              <w:fldChar w:fldCharType="separate"/>
            </w:r>
            <w:r>
              <w:rPr>
                <w:noProof/>
                <w:webHidden/>
                <w:color w:val="002F5D"/>
              </w:rPr>
              <w:t>90</w:t>
            </w:r>
            <w:r w:rsidR="000D21F6" w:rsidRPr="000D21F6">
              <w:rPr>
                <w:noProof/>
                <w:webHidden/>
                <w:color w:val="002F5D"/>
              </w:rPr>
              <w:fldChar w:fldCharType="end"/>
            </w:r>
          </w:hyperlink>
        </w:p>
        <w:p w14:paraId="118302D0" w14:textId="54DB13ED" w:rsidR="000D21F6" w:rsidRPr="000D21F6" w:rsidRDefault="00E80CFE">
          <w:pPr>
            <w:pStyle w:val="TOC3"/>
            <w:tabs>
              <w:tab w:val="right" w:leader="dot" w:pos="9628"/>
            </w:tabs>
            <w:rPr>
              <w:rFonts w:eastAsiaTheme="minorEastAsia"/>
              <w:noProof/>
              <w:color w:val="002F5D"/>
              <w:lang w:eastAsia="en-GB"/>
            </w:rPr>
          </w:pPr>
          <w:hyperlink w:anchor="_Toc4407853" w:history="1">
            <w:r w:rsidR="000D21F6" w:rsidRPr="000D21F6">
              <w:rPr>
                <w:rStyle w:val="Hyperlink"/>
                <w:noProof/>
                <w:color w:val="002F5D"/>
              </w:rPr>
              <w:t>Adults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_Toc4407853 \h </w:instrText>
            </w:r>
            <w:r w:rsidR="000D21F6" w:rsidRPr="000D21F6">
              <w:rPr>
                <w:noProof/>
                <w:webHidden/>
                <w:color w:val="002F5D"/>
              </w:rPr>
            </w:r>
            <w:r w:rsidR="000D21F6" w:rsidRPr="000D21F6">
              <w:rPr>
                <w:noProof/>
                <w:webHidden/>
                <w:color w:val="002F5D"/>
              </w:rPr>
              <w:fldChar w:fldCharType="separate"/>
            </w:r>
            <w:r>
              <w:rPr>
                <w:noProof/>
                <w:webHidden/>
                <w:color w:val="002F5D"/>
              </w:rPr>
              <w:t>91</w:t>
            </w:r>
            <w:r w:rsidR="000D21F6" w:rsidRPr="000D21F6">
              <w:rPr>
                <w:noProof/>
                <w:webHidden/>
                <w:color w:val="002F5D"/>
              </w:rPr>
              <w:fldChar w:fldCharType="end"/>
            </w:r>
          </w:hyperlink>
        </w:p>
        <w:p w14:paraId="6A0FB19D" w14:textId="34B05051" w:rsidR="000D21F6" w:rsidRPr="000D21F6" w:rsidRDefault="00E80CFE">
          <w:pPr>
            <w:pStyle w:val="TOC2"/>
            <w:rPr>
              <w:rFonts w:eastAsiaTheme="minorEastAsia"/>
              <w:noProof/>
              <w:color w:val="002F5D"/>
              <w:lang w:eastAsia="en-GB"/>
            </w:rPr>
          </w:pPr>
          <w:hyperlink w:anchor="_Toc4407854" w:history="1">
            <w:r w:rsidR="000D21F6" w:rsidRPr="000D21F6">
              <w:rPr>
                <w:rStyle w:val="Hyperlink"/>
                <w:noProof/>
                <w:color w:val="002F5D"/>
              </w:rPr>
              <w:t>4.3</w:t>
            </w:r>
            <w:r w:rsidR="000D21F6" w:rsidRPr="000D21F6">
              <w:rPr>
                <w:rFonts w:eastAsiaTheme="minorEastAsia"/>
                <w:noProof/>
                <w:color w:val="002F5D"/>
                <w:lang w:eastAsia="en-GB"/>
              </w:rPr>
              <w:tab/>
            </w:r>
            <w:r w:rsidR="000D21F6" w:rsidRPr="000D21F6">
              <w:rPr>
                <w:rStyle w:val="Hyperlink"/>
                <w:noProof/>
                <w:color w:val="002F5D"/>
              </w:rPr>
              <w:t>Smoking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_Toc4407854 \h </w:instrText>
            </w:r>
            <w:r w:rsidR="000D21F6" w:rsidRPr="000D21F6">
              <w:rPr>
                <w:noProof/>
                <w:webHidden/>
                <w:color w:val="002F5D"/>
              </w:rPr>
            </w:r>
            <w:r w:rsidR="000D21F6" w:rsidRPr="000D21F6">
              <w:rPr>
                <w:noProof/>
                <w:webHidden/>
                <w:color w:val="002F5D"/>
              </w:rPr>
              <w:fldChar w:fldCharType="separate"/>
            </w:r>
            <w:r>
              <w:rPr>
                <w:noProof/>
                <w:webHidden/>
                <w:color w:val="002F5D"/>
              </w:rPr>
              <w:t>93</w:t>
            </w:r>
            <w:r w:rsidR="000D21F6" w:rsidRPr="000D21F6">
              <w:rPr>
                <w:noProof/>
                <w:webHidden/>
                <w:color w:val="002F5D"/>
              </w:rPr>
              <w:fldChar w:fldCharType="end"/>
            </w:r>
          </w:hyperlink>
        </w:p>
        <w:p w14:paraId="771DBBE2" w14:textId="5FBF57D3" w:rsidR="000D21F6" w:rsidRPr="000D21F6" w:rsidRDefault="00E80CFE">
          <w:pPr>
            <w:pStyle w:val="TOC3"/>
            <w:tabs>
              <w:tab w:val="right" w:leader="dot" w:pos="9628"/>
            </w:tabs>
            <w:rPr>
              <w:rFonts w:eastAsiaTheme="minorEastAsia"/>
              <w:noProof/>
              <w:color w:val="002F5D"/>
              <w:lang w:eastAsia="en-GB"/>
            </w:rPr>
          </w:pPr>
          <w:hyperlink w:anchor="_Toc4407855" w:history="1">
            <w:r w:rsidR="000D21F6" w:rsidRPr="000D21F6">
              <w:rPr>
                <w:rStyle w:val="Hyperlink"/>
                <w:noProof/>
                <w:color w:val="002F5D"/>
              </w:rPr>
              <w:t>Smoking prevalence in 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_Toc4407855 \h </w:instrText>
            </w:r>
            <w:r w:rsidR="000D21F6" w:rsidRPr="000D21F6">
              <w:rPr>
                <w:noProof/>
                <w:webHidden/>
                <w:color w:val="002F5D"/>
              </w:rPr>
            </w:r>
            <w:r w:rsidR="000D21F6" w:rsidRPr="000D21F6">
              <w:rPr>
                <w:noProof/>
                <w:webHidden/>
                <w:color w:val="002F5D"/>
              </w:rPr>
              <w:fldChar w:fldCharType="separate"/>
            </w:r>
            <w:r>
              <w:rPr>
                <w:noProof/>
                <w:webHidden/>
                <w:color w:val="002F5D"/>
              </w:rPr>
              <w:t>93</w:t>
            </w:r>
            <w:r w:rsidR="000D21F6" w:rsidRPr="000D21F6">
              <w:rPr>
                <w:noProof/>
                <w:webHidden/>
                <w:color w:val="002F5D"/>
              </w:rPr>
              <w:fldChar w:fldCharType="end"/>
            </w:r>
          </w:hyperlink>
        </w:p>
        <w:p w14:paraId="4ABDC3DD" w14:textId="7125710F" w:rsidR="000D21F6" w:rsidRPr="000D21F6" w:rsidRDefault="00E80CFE">
          <w:pPr>
            <w:pStyle w:val="TOC3"/>
            <w:tabs>
              <w:tab w:val="right" w:leader="dot" w:pos="9628"/>
            </w:tabs>
            <w:rPr>
              <w:rFonts w:eastAsiaTheme="minorEastAsia"/>
              <w:noProof/>
              <w:color w:val="002F5D"/>
              <w:lang w:eastAsia="en-GB"/>
            </w:rPr>
          </w:pPr>
          <w:hyperlink w:anchor="_Toc4407856" w:history="1">
            <w:r w:rsidR="000D21F6" w:rsidRPr="000D21F6">
              <w:rPr>
                <w:rStyle w:val="Hyperlink"/>
                <w:noProof/>
                <w:color w:val="002F5D"/>
              </w:rPr>
              <w:t>Smoking prevalence in adults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_Toc4407856 \h </w:instrText>
            </w:r>
            <w:r w:rsidR="000D21F6" w:rsidRPr="000D21F6">
              <w:rPr>
                <w:noProof/>
                <w:webHidden/>
                <w:color w:val="002F5D"/>
              </w:rPr>
            </w:r>
            <w:r w:rsidR="000D21F6" w:rsidRPr="000D21F6">
              <w:rPr>
                <w:noProof/>
                <w:webHidden/>
                <w:color w:val="002F5D"/>
              </w:rPr>
              <w:fldChar w:fldCharType="separate"/>
            </w:r>
            <w:r>
              <w:rPr>
                <w:noProof/>
                <w:webHidden/>
                <w:color w:val="002F5D"/>
              </w:rPr>
              <w:t>94</w:t>
            </w:r>
            <w:r w:rsidR="000D21F6" w:rsidRPr="000D21F6">
              <w:rPr>
                <w:noProof/>
                <w:webHidden/>
                <w:color w:val="002F5D"/>
              </w:rPr>
              <w:fldChar w:fldCharType="end"/>
            </w:r>
          </w:hyperlink>
        </w:p>
        <w:p w14:paraId="6D0FCB60" w14:textId="7AA34E05" w:rsidR="000D21F6" w:rsidRPr="000D21F6" w:rsidRDefault="00E80CFE">
          <w:pPr>
            <w:pStyle w:val="TOC3"/>
            <w:tabs>
              <w:tab w:val="right" w:leader="dot" w:pos="9628"/>
            </w:tabs>
            <w:rPr>
              <w:rFonts w:eastAsiaTheme="minorEastAsia"/>
              <w:noProof/>
              <w:color w:val="002F5D"/>
              <w:lang w:eastAsia="en-GB"/>
            </w:rPr>
          </w:pPr>
          <w:hyperlink w:anchor="_Toc4407857" w:history="1">
            <w:r w:rsidR="000D21F6" w:rsidRPr="000D21F6">
              <w:rPr>
                <w:rStyle w:val="Hyperlink"/>
                <w:noProof/>
                <w:color w:val="002F5D"/>
              </w:rPr>
              <w:t>Smoking cessation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_Toc4407857 \h </w:instrText>
            </w:r>
            <w:r w:rsidR="000D21F6" w:rsidRPr="000D21F6">
              <w:rPr>
                <w:noProof/>
                <w:webHidden/>
                <w:color w:val="002F5D"/>
              </w:rPr>
            </w:r>
            <w:r w:rsidR="000D21F6" w:rsidRPr="000D21F6">
              <w:rPr>
                <w:noProof/>
                <w:webHidden/>
                <w:color w:val="002F5D"/>
              </w:rPr>
              <w:fldChar w:fldCharType="separate"/>
            </w:r>
            <w:r>
              <w:rPr>
                <w:noProof/>
                <w:webHidden/>
                <w:color w:val="002F5D"/>
              </w:rPr>
              <w:t>95</w:t>
            </w:r>
            <w:r w:rsidR="000D21F6" w:rsidRPr="000D21F6">
              <w:rPr>
                <w:noProof/>
                <w:webHidden/>
                <w:color w:val="002F5D"/>
              </w:rPr>
              <w:fldChar w:fldCharType="end"/>
            </w:r>
          </w:hyperlink>
        </w:p>
        <w:p w14:paraId="11FA16C4" w14:textId="0321949C" w:rsidR="000D21F6" w:rsidRPr="000D21F6" w:rsidRDefault="00E80CFE">
          <w:pPr>
            <w:pStyle w:val="TOC2"/>
            <w:rPr>
              <w:rFonts w:eastAsiaTheme="minorEastAsia"/>
              <w:noProof/>
              <w:color w:val="002F5D"/>
              <w:lang w:eastAsia="en-GB"/>
            </w:rPr>
          </w:pPr>
          <w:hyperlink w:anchor="_Toc4407858" w:history="1">
            <w:r w:rsidR="000D21F6" w:rsidRPr="000D21F6">
              <w:rPr>
                <w:rStyle w:val="Hyperlink"/>
                <w:noProof/>
                <w:color w:val="002F5D"/>
              </w:rPr>
              <w:t>4.4</w:t>
            </w:r>
            <w:r w:rsidR="000D21F6" w:rsidRPr="000D21F6">
              <w:rPr>
                <w:rFonts w:eastAsiaTheme="minorEastAsia"/>
                <w:noProof/>
                <w:color w:val="002F5D"/>
                <w:lang w:eastAsia="en-GB"/>
              </w:rPr>
              <w:tab/>
            </w:r>
            <w:r w:rsidR="000D21F6" w:rsidRPr="000D21F6">
              <w:rPr>
                <w:rStyle w:val="Hyperlink"/>
                <w:noProof/>
                <w:color w:val="002F5D"/>
              </w:rPr>
              <w:t>Alcohol use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_Toc4407858 \h </w:instrText>
            </w:r>
            <w:r w:rsidR="000D21F6" w:rsidRPr="000D21F6">
              <w:rPr>
                <w:noProof/>
                <w:webHidden/>
                <w:color w:val="002F5D"/>
              </w:rPr>
            </w:r>
            <w:r w:rsidR="000D21F6" w:rsidRPr="000D21F6">
              <w:rPr>
                <w:noProof/>
                <w:webHidden/>
                <w:color w:val="002F5D"/>
              </w:rPr>
              <w:fldChar w:fldCharType="separate"/>
            </w:r>
            <w:r>
              <w:rPr>
                <w:noProof/>
                <w:webHidden/>
                <w:color w:val="002F5D"/>
              </w:rPr>
              <w:t>96</w:t>
            </w:r>
            <w:r w:rsidR="000D21F6" w:rsidRPr="000D21F6">
              <w:rPr>
                <w:noProof/>
                <w:webHidden/>
                <w:color w:val="002F5D"/>
              </w:rPr>
              <w:fldChar w:fldCharType="end"/>
            </w:r>
          </w:hyperlink>
        </w:p>
        <w:p w14:paraId="42481E77" w14:textId="7CBBA781" w:rsidR="000D21F6" w:rsidRPr="000D21F6" w:rsidRDefault="00E80CFE">
          <w:pPr>
            <w:pStyle w:val="TOC3"/>
            <w:tabs>
              <w:tab w:val="right" w:leader="dot" w:pos="9628"/>
            </w:tabs>
            <w:rPr>
              <w:rFonts w:eastAsiaTheme="minorEastAsia"/>
              <w:noProof/>
              <w:color w:val="002F5D"/>
              <w:lang w:eastAsia="en-GB"/>
            </w:rPr>
          </w:pPr>
          <w:hyperlink w:anchor="_Toc4407859" w:history="1">
            <w:r w:rsidR="000D21F6" w:rsidRPr="000D21F6">
              <w:rPr>
                <w:rStyle w:val="Hyperlink"/>
                <w:noProof/>
                <w:color w:val="002F5D"/>
              </w:rPr>
              <w:t>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_Toc4407859 \h </w:instrText>
            </w:r>
            <w:r w:rsidR="000D21F6" w:rsidRPr="000D21F6">
              <w:rPr>
                <w:noProof/>
                <w:webHidden/>
                <w:color w:val="002F5D"/>
              </w:rPr>
            </w:r>
            <w:r w:rsidR="000D21F6" w:rsidRPr="000D21F6">
              <w:rPr>
                <w:noProof/>
                <w:webHidden/>
                <w:color w:val="002F5D"/>
              </w:rPr>
              <w:fldChar w:fldCharType="separate"/>
            </w:r>
            <w:r>
              <w:rPr>
                <w:noProof/>
                <w:webHidden/>
                <w:color w:val="002F5D"/>
              </w:rPr>
              <w:t>96</w:t>
            </w:r>
            <w:r w:rsidR="000D21F6" w:rsidRPr="000D21F6">
              <w:rPr>
                <w:noProof/>
                <w:webHidden/>
                <w:color w:val="002F5D"/>
              </w:rPr>
              <w:fldChar w:fldCharType="end"/>
            </w:r>
          </w:hyperlink>
        </w:p>
        <w:p w14:paraId="63C59D16" w14:textId="52A079DB" w:rsidR="000D21F6" w:rsidRPr="000D21F6" w:rsidRDefault="00E80CFE">
          <w:pPr>
            <w:pStyle w:val="TOC3"/>
            <w:tabs>
              <w:tab w:val="right" w:leader="dot" w:pos="9628"/>
            </w:tabs>
            <w:rPr>
              <w:rFonts w:eastAsiaTheme="minorEastAsia"/>
              <w:noProof/>
              <w:color w:val="002F5D"/>
              <w:lang w:eastAsia="en-GB"/>
            </w:rPr>
          </w:pPr>
          <w:hyperlink w:anchor="_Toc4407860" w:history="1">
            <w:r w:rsidR="000D21F6" w:rsidRPr="000D21F6">
              <w:rPr>
                <w:rStyle w:val="Hyperlink"/>
                <w:noProof/>
                <w:color w:val="002F5D"/>
              </w:rPr>
              <w:t>Adults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_Toc4407860 \h </w:instrText>
            </w:r>
            <w:r w:rsidR="000D21F6" w:rsidRPr="000D21F6">
              <w:rPr>
                <w:noProof/>
                <w:webHidden/>
                <w:color w:val="002F5D"/>
              </w:rPr>
            </w:r>
            <w:r w:rsidR="000D21F6" w:rsidRPr="000D21F6">
              <w:rPr>
                <w:noProof/>
                <w:webHidden/>
                <w:color w:val="002F5D"/>
              </w:rPr>
              <w:fldChar w:fldCharType="separate"/>
            </w:r>
            <w:r>
              <w:rPr>
                <w:noProof/>
                <w:webHidden/>
                <w:color w:val="002F5D"/>
              </w:rPr>
              <w:t>96</w:t>
            </w:r>
            <w:r w:rsidR="000D21F6" w:rsidRPr="000D21F6">
              <w:rPr>
                <w:noProof/>
                <w:webHidden/>
                <w:color w:val="002F5D"/>
              </w:rPr>
              <w:fldChar w:fldCharType="end"/>
            </w:r>
          </w:hyperlink>
        </w:p>
        <w:p w14:paraId="2F283760" w14:textId="648E4206" w:rsidR="000D21F6" w:rsidRPr="000D21F6" w:rsidRDefault="00E80CFE">
          <w:pPr>
            <w:pStyle w:val="TOC2"/>
            <w:rPr>
              <w:rFonts w:eastAsiaTheme="minorEastAsia"/>
              <w:noProof/>
              <w:color w:val="002F5D"/>
              <w:lang w:eastAsia="en-GB"/>
            </w:rPr>
          </w:pPr>
          <w:hyperlink w:anchor="_Toc4407861" w:history="1">
            <w:r w:rsidR="000D21F6" w:rsidRPr="000D21F6">
              <w:rPr>
                <w:rStyle w:val="Hyperlink"/>
                <w:noProof/>
                <w:color w:val="002F5D"/>
              </w:rPr>
              <w:t>4.5</w:t>
            </w:r>
            <w:r w:rsidR="000D21F6" w:rsidRPr="000D21F6">
              <w:rPr>
                <w:rFonts w:eastAsiaTheme="minorEastAsia"/>
                <w:noProof/>
                <w:color w:val="002F5D"/>
                <w:lang w:eastAsia="en-GB"/>
              </w:rPr>
              <w:tab/>
            </w:r>
            <w:r w:rsidR="000D21F6" w:rsidRPr="000D21F6">
              <w:rPr>
                <w:rStyle w:val="Hyperlink"/>
                <w:noProof/>
                <w:color w:val="002F5D"/>
              </w:rPr>
              <w:t>Drug use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_Toc4407861 \h </w:instrText>
            </w:r>
            <w:r w:rsidR="000D21F6" w:rsidRPr="000D21F6">
              <w:rPr>
                <w:noProof/>
                <w:webHidden/>
                <w:color w:val="002F5D"/>
              </w:rPr>
            </w:r>
            <w:r w:rsidR="000D21F6" w:rsidRPr="000D21F6">
              <w:rPr>
                <w:noProof/>
                <w:webHidden/>
                <w:color w:val="002F5D"/>
              </w:rPr>
              <w:fldChar w:fldCharType="separate"/>
            </w:r>
            <w:r>
              <w:rPr>
                <w:noProof/>
                <w:webHidden/>
                <w:color w:val="002F5D"/>
              </w:rPr>
              <w:t>99</w:t>
            </w:r>
            <w:r w:rsidR="000D21F6" w:rsidRPr="000D21F6">
              <w:rPr>
                <w:noProof/>
                <w:webHidden/>
                <w:color w:val="002F5D"/>
              </w:rPr>
              <w:fldChar w:fldCharType="end"/>
            </w:r>
          </w:hyperlink>
        </w:p>
        <w:p w14:paraId="34E1244F" w14:textId="34AFC431" w:rsidR="000D21F6" w:rsidRPr="000D21F6" w:rsidRDefault="00E80CFE">
          <w:pPr>
            <w:pStyle w:val="TOC3"/>
            <w:tabs>
              <w:tab w:val="right" w:leader="dot" w:pos="9628"/>
            </w:tabs>
            <w:rPr>
              <w:rFonts w:eastAsiaTheme="minorEastAsia"/>
              <w:noProof/>
              <w:color w:val="002F5D"/>
              <w:lang w:eastAsia="en-GB"/>
            </w:rPr>
          </w:pPr>
          <w:hyperlink w:anchor="_Toc4407862" w:history="1">
            <w:r w:rsidR="000D21F6" w:rsidRPr="000D21F6">
              <w:rPr>
                <w:rStyle w:val="Hyperlink"/>
                <w:noProof/>
                <w:color w:val="002F5D"/>
              </w:rPr>
              <w:t>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_Toc4407862 \h </w:instrText>
            </w:r>
            <w:r w:rsidR="000D21F6" w:rsidRPr="000D21F6">
              <w:rPr>
                <w:noProof/>
                <w:webHidden/>
                <w:color w:val="002F5D"/>
              </w:rPr>
            </w:r>
            <w:r w:rsidR="000D21F6" w:rsidRPr="000D21F6">
              <w:rPr>
                <w:noProof/>
                <w:webHidden/>
                <w:color w:val="002F5D"/>
              </w:rPr>
              <w:fldChar w:fldCharType="separate"/>
            </w:r>
            <w:r>
              <w:rPr>
                <w:noProof/>
                <w:webHidden/>
                <w:color w:val="002F5D"/>
              </w:rPr>
              <w:t>99</w:t>
            </w:r>
            <w:r w:rsidR="000D21F6" w:rsidRPr="000D21F6">
              <w:rPr>
                <w:noProof/>
                <w:webHidden/>
                <w:color w:val="002F5D"/>
              </w:rPr>
              <w:fldChar w:fldCharType="end"/>
            </w:r>
          </w:hyperlink>
        </w:p>
        <w:p w14:paraId="3C3ABAA6" w14:textId="4E6A96C4" w:rsidR="000D21F6" w:rsidRPr="000D21F6" w:rsidRDefault="00E80CFE">
          <w:pPr>
            <w:pStyle w:val="TOC3"/>
            <w:tabs>
              <w:tab w:val="right" w:leader="dot" w:pos="9628"/>
            </w:tabs>
            <w:rPr>
              <w:rFonts w:eastAsiaTheme="minorEastAsia"/>
              <w:noProof/>
              <w:color w:val="002F5D"/>
              <w:lang w:eastAsia="en-GB"/>
            </w:rPr>
          </w:pPr>
          <w:hyperlink w:anchor="_Toc4407863" w:history="1">
            <w:r w:rsidR="000D21F6" w:rsidRPr="000D21F6">
              <w:rPr>
                <w:rStyle w:val="Hyperlink"/>
                <w:noProof/>
                <w:color w:val="002F5D"/>
              </w:rPr>
              <w:t>Adults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_Toc4407863 \h </w:instrText>
            </w:r>
            <w:r w:rsidR="000D21F6" w:rsidRPr="000D21F6">
              <w:rPr>
                <w:noProof/>
                <w:webHidden/>
                <w:color w:val="002F5D"/>
              </w:rPr>
            </w:r>
            <w:r w:rsidR="000D21F6" w:rsidRPr="000D21F6">
              <w:rPr>
                <w:noProof/>
                <w:webHidden/>
                <w:color w:val="002F5D"/>
              </w:rPr>
              <w:fldChar w:fldCharType="separate"/>
            </w:r>
            <w:r>
              <w:rPr>
                <w:noProof/>
                <w:webHidden/>
                <w:color w:val="002F5D"/>
              </w:rPr>
              <w:t>100</w:t>
            </w:r>
            <w:r w:rsidR="000D21F6" w:rsidRPr="000D21F6">
              <w:rPr>
                <w:noProof/>
                <w:webHidden/>
                <w:color w:val="002F5D"/>
              </w:rPr>
              <w:fldChar w:fldCharType="end"/>
            </w:r>
          </w:hyperlink>
        </w:p>
        <w:p w14:paraId="341744E0" w14:textId="6CB016FD" w:rsidR="000D21F6" w:rsidRPr="000D21F6" w:rsidRDefault="00E80CFE">
          <w:pPr>
            <w:pStyle w:val="TOC2"/>
            <w:rPr>
              <w:rFonts w:eastAsiaTheme="minorEastAsia"/>
              <w:noProof/>
              <w:color w:val="002F5D"/>
              <w:lang w:eastAsia="en-GB"/>
            </w:rPr>
          </w:pPr>
          <w:hyperlink w:anchor="_Toc4407864" w:history="1">
            <w:r w:rsidR="000D21F6" w:rsidRPr="000D21F6">
              <w:rPr>
                <w:rStyle w:val="Hyperlink"/>
                <w:noProof/>
                <w:color w:val="002F5D"/>
              </w:rPr>
              <w:t>4.6</w:t>
            </w:r>
            <w:r w:rsidR="000D21F6" w:rsidRPr="000D21F6">
              <w:rPr>
                <w:rFonts w:eastAsiaTheme="minorEastAsia"/>
                <w:noProof/>
                <w:color w:val="002F5D"/>
                <w:lang w:eastAsia="en-GB"/>
              </w:rPr>
              <w:tab/>
            </w:r>
            <w:r w:rsidR="000D21F6" w:rsidRPr="000D21F6">
              <w:rPr>
                <w:rStyle w:val="Hyperlink"/>
                <w:noProof/>
                <w:color w:val="002F5D"/>
              </w:rPr>
              <w:t>Sexual health</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_Toc4407864 \h </w:instrText>
            </w:r>
            <w:r w:rsidR="000D21F6" w:rsidRPr="000D21F6">
              <w:rPr>
                <w:noProof/>
                <w:webHidden/>
                <w:color w:val="002F5D"/>
              </w:rPr>
            </w:r>
            <w:r w:rsidR="000D21F6" w:rsidRPr="000D21F6">
              <w:rPr>
                <w:noProof/>
                <w:webHidden/>
                <w:color w:val="002F5D"/>
              </w:rPr>
              <w:fldChar w:fldCharType="separate"/>
            </w:r>
            <w:r>
              <w:rPr>
                <w:noProof/>
                <w:webHidden/>
                <w:color w:val="002F5D"/>
              </w:rPr>
              <w:t>102</w:t>
            </w:r>
            <w:r w:rsidR="000D21F6" w:rsidRPr="000D21F6">
              <w:rPr>
                <w:noProof/>
                <w:webHidden/>
                <w:color w:val="002F5D"/>
              </w:rPr>
              <w:fldChar w:fldCharType="end"/>
            </w:r>
          </w:hyperlink>
        </w:p>
        <w:p w14:paraId="7BBA25A8" w14:textId="4BCB7248" w:rsidR="000D21F6" w:rsidRPr="000D21F6" w:rsidRDefault="00E80CFE">
          <w:pPr>
            <w:pStyle w:val="TOC2"/>
            <w:rPr>
              <w:rFonts w:eastAsiaTheme="minorEastAsia"/>
              <w:noProof/>
              <w:color w:val="002F5D"/>
              <w:lang w:eastAsia="en-GB"/>
            </w:rPr>
          </w:pPr>
          <w:hyperlink w:anchor="_Toc4407865" w:history="1">
            <w:r w:rsidR="000D21F6" w:rsidRPr="000D21F6">
              <w:rPr>
                <w:rStyle w:val="Hyperlink"/>
                <w:noProof/>
                <w:color w:val="002F5D"/>
              </w:rPr>
              <w:t>4.7</w:t>
            </w:r>
            <w:r w:rsidR="000D21F6" w:rsidRPr="000D21F6">
              <w:rPr>
                <w:rFonts w:eastAsiaTheme="minorEastAsia"/>
                <w:noProof/>
                <w:color w:val="002F5D"/>
                <w:lang w:eastAsia="en-GB"/>
              </w:rPr>
              <w:tab/>
            </w:r>
            <w:r w:rsidR="000D21F6" w:rsidRPr="000D21F6">
              <w:rPr>
                <w:rStyle w:val="Hyperlink"/>
                <w:noProof/>
                <w:color w:val="002F5D"/>
              </w:rPr>
              <w:t>Under 18 conceptions and births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_Toc4407865 \h </w:instrText>
            </w:r>
            <w:r w:rsidR="000D21F6" w:rsidRPr="000D21F6">
              <w:rPr>
                <w:noProof/>
                <w:webHidden/>
                <w:color w:val="002F5D"/>
              </w:rPr>
            </w:r>
            <w:r w:rsidR="000D21F6" w:rsidRPr="000D21F6">
              <w:rPr>
                <w:noProof/>
                <w:webHidden/>
                <w:color w:val="002F5D"/>
              </w:rPr>
              <w:fldChar w:fldCharType="separate"/>
            </w:r>
            <w:r>
              <w:rPr>
                <w:noProof/>
                <w:webHidden/>
                <w:color w:val="002F5D"/>
              </w:rPr>
              <w:t>105</w:t>
            </w:r>
            <w:r w:rsidR="000D21F6" w:rsidRPr="000D21F6">
              <w:rPr>
                <w:noProof/>
                <w:webHidden/>
                <w:color w:val="002F5D"/>
              </w:rPr>
              <w:fldChar w:fldCharType="end"/>
            </w:r>
          </w:hyperlink>
        </w:p>
        <w:p w14:paraId="2F438788" w14:textId="39DBD60F" w:rsidR="000D21F6" w:rsidRPr="000D21F6" w:rsidRDefault="00E80CFE">
          <w:pPr>
            <w:pStyle w:val="TOC2"/>
            <w:rPr>
              <w:rFonts w:eastAsiaTheme="minorEastAsia"/>
              <w:noProof/>
              <w:color w:val="002F5D"/>
              <w:lang w:eastAsia="en-GB"/>
            </w:rPr>
          </w:pPr>
          <w:hyperlink w:anchor="_Toc4407866" w:history="1">
            <w:r w:rsidR="000D21F6" w:rsidRPr="000D21F6">
              <w:rPr>
                <w:rStyle w:val="Hyperlink"/>
                <w:noProof/>
                <w:color w:val="002F5D"/>
              </w:rPr>
              <w:t>4.8</w:t>
            </w:r>
            <w:r w:rsidR="000D21F6" w:rsidRPr="000D21F6">
              <w:rPr>
                <w:rFonts w:eastAsiaTheme="minorEastAsia"/>
                <w:noProof/>
                <w:color w:val="002F5D"/>
                <w:lang w:eastAsia="en-GB"/>
              </w:rPr>
              <w:tab/>
            </w:r>
            <w:r w:rsidR="000D21F6" w:rsidRPr="000D21F6">
              <w:rPr>
                <w:rStyle w:val="Hyperlink"/>
                <w:noProof/>
                <w:color w:val="002F5D"/>
              </w:rPr>
              <w:t>Falls and hip fracture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_Toc4407866 \h </w:instrText>
            </w:r>
            <w:r w:rsidR="000D21F6" w:rsidRPr="000D21F6">
              <w:rPr>
                <w:noProof/>
                <w:webHidden/>
                <w:color w:val="002F5D"/>
              </w:rPr>
            </w:r>
            <w:r w:rsidR="000D21F6" w:rsidRPr="000D21F6">
              <w:rPr>
                <w:noProof/>
                <w:webHidden/>
                <w:color w:val="002F5D"/>
              </w:rPr>
              <w:fldChar w:fldCharType="separate"/>
            </w:r>
            <w:r>
              <w:rPr>
                <w:noProof/>
                <w:webHidden/>
                <w:color w:val="002F5D"/>
              </w:rPr>
              <w:t>106</w:t>
            </w:r>
            <w:r w:rsidR="000D21F6" w:rsidRPr="000D21F6">
              <w:rPr>
                <w:noProof/>
                <w:webHidden/>
                <w:color w:val="002F5D"/>
              </w:rPr>
              <w:fldChar w:fldCharType="end"/>
            </w:r>
          </w:hyperlink>
        </w:p>
        <w:p w14:paraId="4CB33CA7" w14:textId="0FD4FB39" w:rsidR="000D21F6" w:rsidRPr="000D21F6" w:rsidRDefault="00E80CFE">
          <w:pPr>
            <w:pStyle w:val="TOC1"/>
            <w:rPr>
              <w:rFonts w:eastAsiaTheme="minorEastAsia"/>
              <w:noProof/>
              <w:color w:val="002F5D"/>
              <w:lang w:eastAsia="en-GB"/>
            </w:rPr>
          </w:pPr>
          <w:hyperlink w:anchor="_Toc4407867" w:history="1">
            <w:r w:rsidR="000D21F6" w:rsidRPr="000D21F6">
              <w:rPr>
                <w:rStyle w:val="Hyperlink"/>
                <w:noProof/>
                <w:color w:val="002F5D"/>
              </w:rPr>
              <w:t>5.</w:t>
            </w:r>
            <w:r w:rsidR="000D21F6" w:rsidRPr="000D21F6">
              <w:rPr>
                <w:rFonts w:eastAsiaTheme="minorEastAsia"/>
                <w:noProof/>
                <w:color w:val="002F5D"/>
                <w:lang w:eastAsia="en-GB"/>
              </w:rPr>
              <w:tab/>
            </w:r>
            <w:r w:rsidR="000D21F6" w:rsidRPr="000D21F6">
              <w:rPr>
                <w:rStyle w:val="Hyperlink"/>
                <w:noProof/>
                <w:color w:val="002F5D"/>
              </w:rPr>
              <w:t>SCREENING, VACCINATION AND IMMUNISATION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_Toc4407867 \h </w:instrText>
            </w:r>
            <w:r w:rsidR="000D21F6" w:rsidRPr="000D21F6">
              <w:rPr>
                <w:noProof/>
                <w:webHidden/>
                <w:color w:val="002F5D"/>
              </w:rPr>
            </w:r>
            <w:r w:rsidR="000D21F6" w:rsidRPr="000D21F6">
              <w:rPr>
                <w:noProof/>
                <w:webHidden/>
                <w:color w:val="002F5D"/>
              </w:rPr>
              <w:fldChar w:fldCharType="separate"/>
            </w:r>
            <w:r>
              <w:rPr>
                <w:noProof/>
                <w:webHidden/>
                <w:color w:val="002F5D"/>
              </w:rPr>
              <w:t>109</w:t>
            </w:r>
            <w:r w:rsidR="000D21F6" w:rsidRPr="000D21F6">
              <w:rPr>
                <w:noProof/>
                <w:webHidden/>
                <w:color w:val="002F5D"/>
              </w:rPr>
              <w:fldChar w:fldCharType="end"/>
            </w:r>
          </w:hyperlink>
        </w:p>
        <w:p w14:paraId="132AC11E" w14:textId="0D3EEAF1" w:rsidR="000D21F6" w:rsidRPr="000D21F6" w:rsidRDefault="00E80CFE">
          <w:pPr>
            <w:pStyle w:val="TOC2"/>
            <w:rPr>
              <w:rFonts w:eastAsiaTheme="minorEastAsia"/>
              <w:noProof/>
              <w:color w:val="002F5D"/>
              <w:lang w:eastAsia="en-GB"/>
            </w:rPr>
          </w:pPr>
          <w:hyperlink w:anchor="_Toc4407868" w:history="1">
            <w:r w:rsidR="000D21F6" w:rsidRPr="000D21F6">
              <w:rPr>
                <w:rStyle w:val="Hyperlink"/>
                <w:noProof/>
                <w:color w:val="002F5D"/>
              </w:rPr>
              <w:t>5.1</w:t>
            </w:r>
            <w:r w:rsidR="000D21F6" w:rsidRPr="000D21F6">
              <w:rPr>
                <w:rFonts w:eastAsiaTheme="minorEastAsia"/>
                <w:noProof/>
                <w:color w:val="002F5D"/>
                <w:lang w:eastAsia="en-GB"/>
              </w:rPr>
              <w:tab/>
            </w:r>
            <w:r w:rsidR="000D21F6" w:rsidRPr="000D21F6">
              <w:rPr>
                <w:rStyle w:val="Hyperlink"/>
                <w:noProof/>
                <w:color w:val="002F5D"/>
              </w:rPr>
              <w:t>Children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_Toc4407868 \h </w:instrText>
            </w:r>
            <w:r w:rsidR="000D21F6" w:rsidRPr="000D21F6">
              <w:rPr>
                <w:noProof/>
                <w:webHidden/>
                <w:color w:val="002F5D"/>
              </w:rPr>
            </w:r>
            <w:r w:rsidR="000D21F6" w:rsidRPr="000D21F6">
              <w:rPr>
                <w:noProof/>
                <w:webHidden/>
                <w:color w:val="002F5D"/>
              </w:rPr>
              <w:fldChar w:fldCharType="separate"/>
            </w:r>
            <w:r>
              <w:rPr>
                <w:noProof/>
                <w:webHidden/>
                <w:color w:val="002F5D"/>
              </w:rPr>
              <w:t>109</w:t>
            </w:r>
            <w:r w:rsidR="000D21F6" w:rsidRPr="000D21F6">
              <w:rPr>
                <w:noProof/>
                <w:webHidden/>
                <w:color w:val="002F5D"/>
              </w:rPr>
              <w:fldChar w:fldCharType="end"/>
            </w:r>
          </w:hyperlink>
        </w:p>
        <w:p w14:paraId="6A3F4555" w14:textId="2C75A882" w:rsidR="000D21F6" w:rsidRPr="000D21F6" w:rsidRDefault="00E80CFE">
          <w:pPr>
            <w:pStyle w:val="TOC2"/>
            <w:rPr>
              <w:rFonts w:eastAsiaTheme="minorEastAsia"/>
              <w:noProof/>
              <w:color w:val="002F5D"/>
              <w:lang w:eastAsia="en-GB"/>
            </w:rPr>
          </w:pPr>
          <w:hyperlink w:anchor="_Toc4407869" w:history="1">
            <w:r w:rsidR="000D21F6" w:rsidRPr="000D21F6">
              <w:rPr>
                <w:rStyle w:val="Hyperlink"/>
                <w:noProof/>
                <w:color w:val="002F5D"/>
              </w:rPr>
              <w:t>5.2</w:t>
            </w:r>
            <w:r w:rsidR="000D21F6" w:rsidRPr="000D21F6">
              <w:rPr>
                <w:rFonts w:eastAsiaTheme="minorEastAsia"/>
                <w:noProof/>
                <w:color w:val="002F5D"/>
                <w:lang w:eastAsia="en-GB"/>
              </w:rPr>
              <w:tab/>
            </w:r>
            <w:r w:rsidR="000D21F6" w:rsidRPr="000D21F6">
              <w:rPr>
                <w:rStyle w:val="Hyperlink"/>
                <w:noProof/>
                <w:color w:val="002F5D"/>
              </w:rPr>
              <w:t>Adult screening</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_Toc4407869 \h </w:instrText>
            </w:r>
            <w:r w:rsidR="000D21F6" w:rsidRPr="000D21F6">
              <w:rPr>
                <w:noProof/>
                <w:webHidden/>
                <w:color w:val="002F5D"/>
              </w:rPr>
            </w:r>
            <w:r w:rsidR="000D21F6" w:rsidRPr="000D21F6">
              <w:rPr>
                <w:noProof/>
                <w:webHidden/>
                <w:color w:val="002F5D"/>
              </w:rPr>
              <w:fldChar w:fldCharType="separate"/>
            </w:r>
            <w:r>
              <w:rPr>
                <w:noProof/>
                <w:webHidden/>
                <w:color w:val="002F5D"/>
              </w:rPr>
              <w:t>110</w:t>
            </w:r>
            <w:r w:rsidR="000D21F6" w:rsidRPr="000D21F6">
              <w:rPr>
                <w:noProof/>
                <w:webHidden/>
                <w:color w:val="002F5D"/>
              </w:rPr>
              <w:fldChar w:fldCharType="end"/>
            </w:r>
          </w:hyperlink>
        </w:p>
        <w:p w14:paraId="1853B8E1" w14:textId="5AE45FC0" w:rsidR="000D21F6" w:rsidRPr="000D21F6" w:rsidRDefault="00E80CFE">
          <w:pPr>
            <w:pStyle w:val="TOC2"/>
            <w:rPr>
              <w:rFonts w:eastAsiaTheme="minorEastAsia"/>
              <w:noProof/>
              <w:color w:val="002F5D"/>
              <w:lang w:eastAsia="en-GB"/>
            </w:rPr>
          </w:pPr>
          <w:hyperlink w:anchor="_Toc4407870" w:history="1">
            <w:r w:rsidR="000D21F6" w:rsidRPr="000D21F6">
              <w:rPr>
                <w:rStyle w:val="Hyperlink"/>
                <w:noProof/>
                <w:color w:val="002F5D"/>
              </w:rPr>
              <w:t>5.3</w:t>
            </w:r>
            <w:r w:rsidR="000D21F6" w:rsidRPr="000D21F6">
              <w:rPr>
                <w:rFonts w:eastAsiaTheme="minorEastAsia"/>
                <w:noProof/>
                <w:color w:val="002F5D"/>
                <w:lang w:eastAsia="en-GB"/>
              </w:rPr>
              <w:tab/>
            </w:r>
            <w:r w:rsidR="000D21F6" w:rsidRPr="000D21F6">
              <w:rPr>
                <w:rStyle w:val="Hyperlink"/>
                <w:noProof/>
                <w:color w:val="002F5D"/>
              </w:rPr>
              <w:t>Influenza</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_Toc4407870 \h </w:instrText>
            </w:r>
            <w:r w:rsidR="000D21F6" w:rsidRPr="000D21F6">
              <w:rPr>
                <w:noProof/>
                <w:webHidden/>
                <w:color w:val="002F5D"/>
              </w:rPr>
            </w:r>
            <w:r w:rsidR="000D21F6" w:rsidRPr="000D21F6">
              <w:rPr>
                <w:noProof/>
                <w:webHidden/>
                <w:color w:val="002F5D"/>
              </w:rPr>
              <w:fldChar w:fldCharType="separate"/>
            </w:r>
            <w:r>
              <w:rPr>
                <w:noProof/>
                <w:webHidden/>
                <w:color w:val="002F5D"/>
              </w:rPr>
              <w:t>111</w:t>
            </w:r>
            <w:r w:rsidR="000D21F6" w:rsidRPr="000D21F6">
              <w:rPr>
                <w:noProof/>
                <w:webHidden/>
                <w:color w:val="002F5D"/>
              </w:rPr>
              <w:fldChar w:fldCharType="end"/>
            </w:r>
          </w:hyperlink>
        </w:p>
        <w:p w14:paraId="5EE851E6" w14:textId="00C37BB8" w:rsidR="000D21F6" w:rsidRPr="000D21F6" w:rsidRDefault="00E80CFE">
          <w:pPr>
            <w:pStyle w:val="TOC1"/>
            <w:rPr>
              <w:rFonts w:eastAsiaTheme="minorEastAsia"/>
              <w:noProof/>
              <w:color w:val="002F5D"/>
              <w:lang w:eastAsia="en-GB"/>
            </w:rPr>
          </w:pPr>
          <w:hyperlink w:anchor="_Toc4407871" w:history="1">
            <w:r w:rsidR="000D21F6" w:rsidRPr="000D21F6">
              <w:rPr>
                <w:rStyle w:val="Hyperlink"/>
                <w:noProof/>
                <w:color w:val="002F5D"/>
              </w:rPr>
              <w:t>6.</w:t>
            </w:r>
            <w:r w:rsidR="000D21F6" w:rsidRPr="000D21F6">
              <w:rPr>
                <w:rFonts w:eastAsiaTheme="minorEastAsia"/>
                <w:noProof/>
                <w:color w:val="002F5D"/>
                <w:lang w:eastAsia="en-GB"/>
              </w:rPr>
              <w:tab/>
            </w:r>
            <w:r w:rsidR="000D21F6" w:rsidRPr="000D21F6">
              <w:rPr>
                <w:rStyle w:val="Hyperlink"/>
                <w:noProof/>
                <w:color w:val="002F5D"/>
              </w:rPr>
              <w:t>LEVELS OF ILLNESS AND HEALTH AND SOCIAL CARE SERVICES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_Toc4407871 \h </w:instrText>
            </w:r>
            <w:r w:rsidR="000D21F6" w:rsidRPr="000D21F6">
              <w:rPr>
                <w:noProof/>
                <w:webHidden/>
                <w:color w:val="002F5D"/>
              </w:rPr>
            </w:r>
            <w:r w:rsidR="000D21F6" w:rsidRPr="000D21F6">
              <w:rPr>
                <w:noProof/>
                <w:webHidden/>
                <w:color w:val="002F5D"/>
              </w:rPr>
              <w:fldChar w:fldCharType="separate"/>
            </w:r>
            <w:r>
              <w:rPr>
                <w:noProof/>
                <w:webHidden/>
                <w:color w:val="002F5D"/>
              </w:rPr>
              <w:t>112</w:t>
            </w:r>
            <w:r w:rsidR="000D21F6" w:rsidRPr="000D21F6">
              <w:rPr>
                <w:noProof/>
                <w:webHidden/>
                <w:color w:val="002F5D"/>
              </w:rPr>
              <w:fldChar w:fldCharType="end"/>
            </w:r>
          </w:hyperlink>
        </w:p>
        <w:p w14:paraId="119ACD4F" w14:textId="238B9AEA" w:rsidR="000D21F6" w:rsidRPr="000D21F6" w:rsidRDefault="00E80CFE">
          <w:pPr>
            <w:pStyle w:val="TOC2"/>
            <w:rPr>
              <w:rFonts w:eastAsiaTheme="minorEastAsia"/>
              <w:noProof/>
              <w:color w:val="002F5D"/>
              <w:lang w:eastAsia="en-GB"/>
            </w:rPr>
          </w:pPr>
          <w:hyperlink w:anchor="_Toc4407872" w:history="1">
            <w:r w:rsidR="000D21F6" w:rsidRPr="000D21F6">
              <w:rPr>
                <w:rStyle w:val="Hyperlink"/>
                <w:noProof/>
                <w:color w:val="002F5D"/>
              </w:rPr>
              <w:t>6.1</w:t>
            </w:r>
            <w:r w:rsidR="000D21F6" w:rsidRPr="000D21F6">
              <w:rPr>
                <w:rFonts w:eastAsiaTheme="minorEastAsia"/>
                <w:noProof/>
                <w:color w:val="002F5D"/>
                <w:lang w:eastAsia="en-GB"/>
              </w:rPr>
              <w:tab/>
            </w:r>
            <w:r w:rsidR="000D21F6" w:rsidRPr="000D21F6">
              <w:rPr>
                <w:rStyle w:val="Hyperlink"/>
                <w:noProof/>
                <w:color w:val="002F5D"/>
              </w:rPr>
              <w:t>Cardiovascular conditions (coronary heart disease, high blood pressure and stroke)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_Toc4407872 \h </w:instrText>
            </w:r>
            <w:r w:rsidR="000D21F6" w:rsidRPr="000D21F6">
              <w:rPr>
                <w:noProof/>
                <w:webHidden/>
                <w:color w:val="002F5D"/>
              </w:rPr>
            </w:r>
            <w:r w:rsidR="000D21F6" w:rsidRPr="000D21F6">
              <w:rPr>
                <w:noProof/>
                <w:webHidden/>
                <w:color w:val="002F5D"/>
              </w:rPr>
              <w:fldChar w:fldCharType="separate"/>
            </w:r>
            <w:r>
              <w:rPr>
                <w:noProof/>
                <w:webHidden/>
                <w:color w:val="002F5D"/>
              </w:rPr>
              <w:t>112</w:t>
            </w:r>
            <w:r w:rsidR="000D21F6" w:rsidRPr="000D21F6">
              <w:rPr>
                <w:noProof/>
                <w:webHidden/>
                <w:color w:val="002F5D"/>
              </w:rPr>
              <w:fldChar w:fldCharType="end"/>
            </w:r>
          </w:hyperlink>
        </w:p>
        <w:p w14:paraId="7AC300A0" w14:textId="71DCA4D8" w:rsidR="000D21F6" w:rsidRPr="000D21F6" w:rsidRDefault="00E80CFE">
          <w:pPr>
            <w:pStyle w:val="TOC3"/>
            <w:tabs>
              <w:tab w:val="right" w:leader="dot" w:pos="9628"/>
            </w:tabs>
            <w:rPr>
              <w:rFonts w:eastAsiaTheme="minorEastAsia"/>
              <w:noProof/>
              <w:color w:val="002F5D"/>
              <w:lang w:eastAsia="en-GB"/>
            </w:rPr>
          </w:pPr>
          <w:hyperlink w:anchor="_Toc4407873" w:history="1">
            <w:r w:rsidR="000D21F6" w:rsidRPr="000D21F6">
              <w:rPr>
                <w:rStyle w:val="Hyperlink"/>
                <w:noProof/>
                <w:color w:val="002F5D"/>
              </w:rPr>
              <w:t>Prevalence and modelled estimates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_Toc4407873 \h </w:instrText>
            </w:r>
            <w:r w:rsidR="000D21F6" w:rsidRPr="000D21F6">
              <w:rPr>
                <w:noProof/>
                <w:webHidden/>
                <w:color w:val="002F5D"/>
              </w:rPr>
            </w:r>
            <w:r w:rsidR="000D21F6" w:rsidRPr="000D21F6">
              <w:rPr>
                <w:noProof/>
                <w:webHidden/>
                <w:color w:val="002F5D"/>
              </w:rPr>
              <w:fldChar w:fldCharType="separate"/>
            </w:r>
            <w:r>
              <w:rPr>
                <w:noProof/>
                <w:webHidden/>
                <w:color w:val="002F5D"/>
              </w:rPr>
              <w:t>112</w:t>
            </w:r>
            <w:r w:rsidR="000D21F6" w:rsidRPr="000D21F6">
              <w:rPr>
                <w:noProof/>
                <w:webHidden/>
                <w:color w:val="002F5D"/>
              </w:rPr>
              <w:fldChar w:fldCharType="end"/>
            </w:r>
          </w:hyperlink>
        </w:p>
        <w:p w14:paraId="25FBEB6B" w14:textId="5E735BD1" w:rsidR="000D21F6" w:rsidRPr="000D21F6" w:rsidRDefault="00E80CFE">
          <w:pPr>
            <w:pStyle w:val="TOC2"/>
            <w:rPr>
              <w:rFonts w:eastAsiaTheme="minorEastAsia"/>
              <w:noProof/>
              <w:color w:val="002F5D"/>
              <w:lang w:eastAsia="en-GB"/>
            </w:rPr>
          </w:pPr>
          <w:hyperlink w:anchor="_Toc4407874" w:history="1">
            <w:r w:rsidR="000D21F6" w:rsidRPr="000D21F6">
              <w:rPr>
                <w:rStyle w:val="Hyperlink"/>
                <w:noProof/>
                <w:color w:val="002F5D"/>
              </w:rPr>
              <w:t>6.2</w:t>
            </w:r>
            <w:r w:rsidR="000D21F6" w:rsidRPr="000D21F6">
              <w:rPr>
                <w:rFonts w:eastAsiaTheme="minorEastAsia"/>
                <w:noProof/>
                <w:color w:val="002F5D"/>
                <w:lang w:eastAsia="en-GB"/>
              </w:rPr>
              <w:tab/>
            </w:r>
            <w:r w:rsidR="000D21F6" w:rsidRPr="000D21F6">
              <w:rPr>
                <w:rStyle w:val="Hyperlink"/>
                <w:noProof/>
                <w:color w:val="002F5D"/>
              </w:rPr>
              <w:t>Respiratory conditions (asthma and chronic obstructive pulmonary disease)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_Toc4407874 \h </w:instrText>
            </w:r>
            <w:r w:rsidR="000D21F6" w:rsidRPr="000D21F6">
              <w:rPr>
                <w:noProof/>
                <w:webHidden/>
                <w:color w:val="002F5D"/>
              </w:rPr>
            </w:r>
            <w:r w:rsidR="000D21F6" w:rsidRPr="000D21F6">
              <w:rPr>
                <w:noProof/>
                <w:webHidden/>
                <w:color w:val="002F5D"/>
              </w:rPr>
              <w:fldChar w:fldCharType="separate"/>
            </w:r>
            <w:r>
              <w:rPr>
                <w:noProof/>
                <w:webHidden/>
                <w:color w:val="002F5D"/>
              </w:rPr>
              <w:t>117</w:t>
            </w:r>
            <w:r w:rsidR="000D21F6" w:rsidRPr="000D21F6">
              <w:rPr>
                <w:noProof/>
                <w:webHidden/>
                <w:color w:val="002F5D"/>
              </w:rPr>
              <w:fldChar w:fldCharType="end"/>
            </w:r>
          </w:hyperlink>
        </w:p>
        <w:p w14:paraId="4C8333EC" w14:textId="4483B2E5" w:rsidR="000D21F6" w:rsidRPr="000D21F6" w:rsidRDefault="00E80CFE">
          <w:pPr>
            <w:pStyle w:val="TOC3"/>
            <w:tabs>
              <w:tab w:val="right" w:leader="dot" w:pos="9628"/>
            </w:tabs>
            <w:rPr>
              <w:rFonts w:eastAsiaTheme="minorEastAsia"/>
              <w:noProof/>
              <w:color w:val="002F5D"/>
              <w:lang w:eastAsia="en-GB"/>
            </w:rPr>
          </w:pPr>
          <w:hyperlink w:anchor="_Toc4407875" w:history="1">
            <w:r w:rsidR="000D21F6" w:rsidRPr="000D21F6">
              <w:rPr>
                <w:rStyle w:val="Hyperlink"/>
                <w:noProof/>
                <w:color w:val="002F5D"/>
              </w:rPr>
              <w:t>Prevalence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_Toc4407875 \h </w:instrText>
            </w:r>
            <w:r w:rsidR="000D21F6" w:rsidRPr="000D21F6">
              <w:rPr>
                <w:noProof/>
                <w:webHidden/>
                <w:color w:val="002F5D"/>
              </w:rPr>
            </w:r>
            <w:r w:rsidR="000D21F6" w:rsidRPr="000D21F6">
              <w:rPr>
                <w:noProof/>
                <w:webHidden/>
                <w:color w:val="002F5D"/>
              </w:rPr>
              <w:fldChar w:fldCharType="separate"/>
            </w:r>
            <w:r>
              <w:rPr>
                <w:noProof/>
                <w:webHidden/>
                <w:color w:val="002F5D"/>
              </w:rPr>
              <w:t>117</w:t>
            </w:r>
            <w:r w:rsidR="000D21F6" w:rsidRPr="000D21F6">
              <w:rPr>
                <w:noProof/>
                <w:webHidden/>
                <w:color w:val="002F5D"/>
              </w:rPr>
              <w:fldChar w:fldCharType="end"/>
            </w:r>
          </w:hyperlink>
        </w:p>
        <w:p w14:paraId="606BCC95" w14:textId="5029BCA7" w:rsidR="000D21F6" w:rsidRPr="000D21F6" w:rsidRDefault="00E80CFE">
          <w:pPr>
            <w:pStyle w:val="TOC2"/>
            <w:rPr>
              <w:rFonts w:eastAsiaTheme="minorEastAsia"/>
              <w:noProof/>
              <w:color w:val="002F5D"/>
              <w:lang w:eastAsia="en-GB"/>
            </w:rPr>
          </w:pPr>
          <w:hyperlink w:anchor="_Toc4407876" w:history="1">
            <w:r w:rsidR="000D21F6" w:rsidRPr="000D21F6">
              <w:rPr>
                <w:rStyle w:val="Hyperlink"/>
                <w:noProof/>
                <w:color w:val="002F5D"/>
              </w:rPr>
              <w:t>6.3</w:t>
            </w:r>
            <w:r w:rsidR="000D21F6" w:rsidRPr="000D21F6">
              <w:rPr>
                <w:rFonts w:eastAsiaTheme="minorEastAsia"/>
                <w:noProof/>
                <w:color w:val="002F5D"/>
                <w:lang w:eastAsia="en-GB"/>
              </w:rPr>
              <w:tab/>
            </w:r>
            <w:r w:rsidR="000D21F6" w:rsidRPr="000D21F6">
              <w:rPr>
                <w:rStyle w:val="Hyperlink"/>
                <w:noProof/>
                <w:color w:val="002F5D"/>
              </w:rPr>
              <w:t>Long term and high dependency conditions (cancer and diabetes)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_Toc4407876 \h </w:instrText>
            </w:r>
            <w:r w:rsidR="000D21F6" w:rsidRPr="000D21F6">
              <w:rPr>
                <w:noProof/>
                <w:webHidden/>
                <w:color w:val="002F5D"/>
              </w:rPr>
            </w:r>
            <w:r w:rsidR="000D21F6" w:rsidRPr="000D21F6">
              <w:rPr>
                <w:noProof/>
                <w:webHidden/>
                <w:color w:val="002F5D"/>
              </w:rPr>
              <w:fldChar w:fldCharType="separate"/>
            </w:r>
            <w:r>
              <w:rPr>
                <w:noProof/>
                <w:webHidden/>
                <w:color w:val="002F5D"/>
              </w:rPr>
              <w:t>120</w:t>
            </w:r>
            <w:r w:rsidR="000D21F6" w:rsidRPr="000D21F6">
              <w:rPr>
                <w:noProof/>
                <w:webHidden/>
                <w:color w:val="002F5D"/>
              </w:rPr>
              <w:fldChar w:fldCharType="end"/>
            </w:r>
          </w:hyperlink>
        </w:p>
        <w:p w14:paraId="229466E4" w14:textId="1F0342C0" w:rsidR="000D21F6" w:rsidRPr="000D21F6" w:rsidRDefault="00E80CFE">
          <w:pPr>
            <w:pStyle w:val="TOC3"/>
            <w:tabs>
              <w:tab w:val="right" w:leader="dot" w:pos="9628"/>
            </w:tabs>
            <w:rPr>
              <w:rFonts w:eastAsiaTheme="minorEastAsia"/>
              <w:noProof/>
              <w:color w:val="002F5D"/>
              <w:lang w:eastAsia="en-GB"/>
            </w:rPr>
          </w:pPr>
          <w:hyperlink w:anchor="_Toc4407877" w:history="1">
            <w:r w:rsidR="000D21F6" w:rsidRPr="000D21F6">
              <w:rPr>
                <w:rStyle w:val="Hyperlink"/>
                <w:noProof/>
                <w:color w:val="002F5D"/>
              </w:rPr>
              <w:t>Prevalence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_Toc4407877 \h </w:instrText>
            </w:r>
            <w:r w:rsidR="000D21F6" w:rsidRPr="000D21F6">
              <w:rPr>
                <w:noProof/>
                <w:webHidden/>
                <w:color w:val="002F5D"/>
              </w:rPr>
            </w:r>
            <w:r w:rsidR="000D21F6" w:rsidRPr="000D21F6">
              <w:rPr>
                <w:noProof/>
                <w:webHidden/>
                <w:color w:val="002F5D"/>
              </w:rPr>
              <w:fldChar w:fldCharType="separate"/>
            </w:r>
            <w:r>
              <w:rPr>
                <w:noProof/>
                <w:webHidden/>
                <w:color w:val="002F5D"/>
              </w:rPr>
              <w:t>120</w:t>
            </w:r>
            <w:r w:rsidR="000D21F6" w:rsidRPr="000D21F6">
              <w:rPr>
                <w:noProof/>
                <w:webHidden/>
                <w:color w:val="002F5D"/>
              </w:rPr>
              <w:fldChar w:fldCharType="end"/>
            </w:r>
          </w:hyperlink>
        </w:p>
        <w:p w14:paraId="323C0ED9" w14:textId="221FF5D4" w:rsidR="000D21F6" w:rsidRPr="000D21F6" w:rsidRDefault="00E80CFE">
          <w:pPr>
            <w:pStyle w:val="TOC2"/>
            <w:rPr>
              <w:rFonts w:eastAsiaTheme="minorEastAsia"/>
              <w:noProof/>
              <w:color w:val="002F5D"/>
              <w:lang w:eastAsia="en-GB"/>
            </w:rPr>
          </w:pPr>
          <w:hyperlink w:anchor="_Toc4407878" w:history="1">
            <w:r w:rsidR="000D21F6" w:rsidRPr="000D21F6">
              <w:rPr>
                <w:rStyle w:val="Hyperlink"/>
                <w:noProof/>
                <w:color w:val="002F5D"/>
              </w:rPr>
              <w:t>6.4</w:t>
            </w:r>
            <w:r w:rsidR="000D21F6" w:rsidRPr="000D21F6">
              <w:rPr>
                <w:rFonts w:eastAsiaTheme="minorEastAsia"/>
                <w:noProof/>
                <w:color w:val="002F5D"/>
                <w:lang w:eastAsia="en-GB"/>
              </w:rPr>
              <w:tab/>
            </w:r>
            <w:r w:rsidR="000D21F6" w:rsidRPr="000D21F6">
              <w:rPr>
                <w:rStyle w:val="Hyperlink"/>
                <w:noProof/>
                <w:color w:val="002F5D"/>
              </w:rPr>
              <w:t>Mental health (psychoses, depression, dementia and learning disability)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_Toc4407878 \h </w:instrText>
            </w:r>
            <w:r w:rsidR="000D21F6" w:rsidRPr="000D21F6">
              <w:rPr>
                <w:noProof/>
                <w:webHidden/>
                <w:color w:val="002F5D"/>
              </w:rPr>
            </w:r>
            <w:r w:rsidR="000D21F6" w:rsidRPr="000D21F6">
              <w:rPr>
                <w:noProof/>
                <w:webHidden/>
                <w:color w:val="002F5D"/>
              </w:rPr>
              <w:fldChar w:fldCharType="separate"/>
            </w:r>
            <w:r>
              <w:rPr>
                <w:noProof/>
                <w:webHidden/>
                <w:color w:val="002F5D"/>
              </w:rPr>
              <w:t>123</w:t>
            </w:r>
            <w:r w:rsidR="000D21F6" w:rsidRPr="000D21F6">
              <w:rPr>
                <w:noProof/>
                <w:webHidden/>
                <w:color w:val="002F5D"/>
              </w:rPr>
              <w:fldChar w:fldCharType="end"/>
            </w:r>
          </w:hyperlink>
        </w:p>
        <w:p w14:paraId="45126263" w14:textId="449F0AF6" w:rsidR="000D21F6" w:rsidRPr="000D21F6" w:rsidRDefault="00E80CFE">
          <w:pPr>
            <w:pStyle w:val="TOC3"/>
            <w:tabs>
              <w:tab w:val="right" w:leader="dot" w:pos="9628"/>
            </w:tabs>
            <w:rPr>
              <w:rFonts w:eastAsiaTheme="minorEastAsia"/>
              <w:noProof/>
              <w:color w:val="002F5D"/>
              <w:lang w:eastAsia="en-GB"/>
            </w:rPr>
          </w:pPr>
          <w:hyperlink w:anchor="_Toc4407879" w:history="1">
            <w:r w:rsidR="000D21F6" w:rsidRPr="000D21F6">
              <w:rPr>
                <w:rStyle w:val="Hyperlink"/>
                <w:noProof/>
                <w:color w:val="002F5D"/>
              </w:rPr>
              <w:t>Prevalence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_Toc4407879 \h </w:instrText>
            </w:r>
            <w:r w:rsidR="000D21F6" w:rsidRPr="000D21F6">
              <w:rPr>
                <w:noProof/>
                <w:webHidden/>
                <w:color w:val="002F5D"/>
              </w:rPr>
            </w:r>
            <w:r w:rsidR="000D21F6" w:rsidRPr="000D21F6">
              <w:rPr>
                <w:noProof/>
                <w:webHidden/>
                <w:color w:val="002F5D"/>
              </w:rPr>
              <w:fldChar w:fldCharType="separate"/>
            </w:r>
            <w:r>
              <w:rPr>
                <w:noProof/>
                <w:webHidden/>
                <w:color w:val="002F5D"/>
              </w:rPr>
              <w:t>123</w:t>
            </w:r>
            <w:r w:rsidR="000D21F6" w:rsidRPr="000D21F6">
              <w:rPr>
                <w:noProof/>
                <w:webHidden/>
                <w:color w:val="002F5D"/>
              </w:rPr>
              <w:fldChar w:fldCharType="end"/>
            </w:r>
          </w:hyperlink>
        </w:p>
        <w:p w14:paraId="6D555BB6" w14:textId="1BA9794B" w:rsidR="000D21F6" w:rsidRPr="000D21F6" w:rsidRDefault="00E80CFE">
          <w:pPr>
            <w:pStyle w:val="TOC3"/>
            <w:tabs>
              <w:tab w:val="right" w:leader="dot" w:pos="9628"/>
            </w:tabs>
            <w:rPr>
              <w:rFonts w:eastAsiaTheme="minorEastAsia"/>
              <w:noProof/>
              <w:color w:val="002F5D"/>
              <w:lang w:eastAsia="en-GB"/>
            </w:rPr>
          </w:pPr>
          <w:hyperlink w:anchor="_Toc4407880" w:history="1">
            <w:r w:rsidR="000D21F6" w:rsidRPr="000D21F6">
              <w:rPr>
                <w:rStyle w:val="Hyperlink"/>
                <w:noProof/>
                <w:color w:val="002F5D"/>
              </w:rPr>
              <w:t>Self-harm</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_Toc4407880 \h </w:instrText>
            </w:r>
            <w:r w:rsidR="000D21F6" w:rsidRPr="000D21F6">
              <w:rPr>
                <w:noProof/>
                <w:webHidden/>
                <w:color w:val="002F5D"/>
              </w:rPr>
            </w:r>
            <w:r w:rsidR="000D21F6" w:rsidRPr="000D21F6">
              <w:rPr>
                <w:noProof/>
                <w:webHidden/>
                <w:color w:val="002F5D"/>
              </w:rPr>
              <w:fldChar w:fldCharType="separate"/>
            </w:r>
            <w:r>
              <w:rPr>
                <w:noProof/>
                <w:webHidden/>
                <w:color w:val="002F5D"/>
              </w:rPr>
              <w:t>128</w:t>
            </w:r>
            <w:r w:rsidR="000D21F6" w:rsidRPr="000D21F6">
              <w:rPr>
                <w:noProof/>
                <w:webHidden/>
                <w:color w:val="002F5D"/>
              </w:rPr>
              <w:fldChar w:fldCharType="end"/>
            </w:r>
          </w:hyperlink>
        </w:p>
        <w:p w14:paraId="7EAC3698" w14:textId="21EA8D53" w:rsidR="000D21F6" w:rsidRPr="000D21F6" w:rsidRDefault="00E80CFE">
          <w:pPr>
            <w:pStyle w:val="TOC3"/>
            <w:tabs>
              <w:tab w:val="right" w:leader="dot" w:pos="9628"/>
            </w:tabs>
            <w:rPr>
              <w:rFonts w:eastAsiaTheme="minorEastAsia"/>
              <w:noProof/>
              <w:color w:val="002F5D"/>
              <w:lang w:eastAsia="en-GB"/>
            </w:rPr>
          </w:pPr>
          <w:hyperlink w:anchor="_Toc4407881" w:history="1">
            <w:r w:rsidR="000D21F6" w:rsidRPr="000D21F6">
              <w:rPr>
                <w:rStyle w:val="Hyperlink"/>
                <w:noProof/>
                <w:color w:val="002F5D"/>
              </w:rPr>
              <w:t>Suicide and injury of undetermined intent</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_Toc4407881 \h </w:instrText>
            </w:r>
            <w:r w:rsidR="000D21F6" w:rsidRPr="000D21F6">
              <w:rPr>
                <w:noProof/>
                <w:webHidden/>
                <w:color w:val="002F5D"/>
              </w:rPr>
            </w:r>
            <w:r w:rsidR="000D21F6" w:rsidRPr="000D21F6">
              <w:rPr>
                <w:noProof/>
                <w:webHidden/>
                <w:color w:val="002F5D"/>
              </w:rPr>
              <w:fldChar w:fldCharType="separate"/>
            </w:r>
            <w:r>
              <w:rPr>
                <w:noProof/>
                <w:webHidden/>
                <w:color w:val="002F5D"/>
              </w:rPr>
              <w:t>129</w:t>
            </w:r>
            <w:r w:rsidR="000D21F6" w:rsidRPr="000D21F6">
              <w:rPr>
                <w:noProof/>
                <w:webHidden/>
                <w:color w:val="002F5D"/>
              </w:rPr>
              <w:fldChar w:fldCharType="end"/>
            </w:r>
          </w:hyperlink>
        </w:p>
        <w:p w14:paraId="2FB77190" w14:textId="2E8C0936" w:rsidR="000D21F6" w:rsidRPr="000D21F6" w:rsidRDefault="00E80CFE">
          <w:pPr>
            <w:pStyle w:val="TOC3"/>
            <w:tabs>
              <w:tab w:val="right" w:leader="dot" w:pos="9628"/>
            </w:tabs>
            <w:rPr>
              <w:rFonts w:eastAsiaTheme="minorEastAsia"/>
              <w:noProof/>
              <w:color w:val="002F5D"/>
              <w:lang w:eastAsia="en-GB"/>
            </w:rPr>
          </w:pPr>
          <w:hyperlink w:anchor="_Toc4407882" w:history="1">
            <w:r w:rsidR="000D21F6" w:rsidRPr="000D21F6">
              <w:rPr>
                <w:rStyle w:val="Hyperlink"/>
                <w:noProof/>
                <w:color w:val="002F5D"/>
              </w:rPr>
              <w:t>Estimated behavioural and mental health related prevalence for selected disorders - Children and Young People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_Toc4407882 \h </w:instrText>
            </w:r>
            <w:r w:rsidR="000D21F6" w:rsidRPr="000D21F6">
              <w:rPr>
                <w:noProof/>
                <w:webHidden/>
                <w:color w:val="002F5D"/>
              </w:rPr>
            </w:r>
            <w:r w:rsidR="000D21F6" w:rsidRPr="000D21F6">
              <w:rPr>
                <w:noProof/>
                <w:webHidden/>
                <w:color w:val="002F5D"/>
              </w:rPr>
              <w:fldChar w:fldCharType="separate"/>
            </w:r>
            <w:r>
              <w:rPr>
                <w:noProof/>
                <w:webHidden/>
                <w:color w:val="002F5D"/>
              </w:rPr>
              <w:t>130</w:t>
            </w:r>
            <w:r w:rsidR="000D21F6" w:rsidRPr="000D21F6">
              <w:rPr>
                <w:noProof/>
                <w:webHidden/>
                <w:color w:val="002F5D"/>
              </w:rPr>
              <w:fldChar w:fldCharType="end"/>
            </w:r>
          </w:hyperlink>
        </w:p>
        <w:p w14:paraId="2B8C5D08" w14:textId="30B69398" w:rsidR="000D21F6" w:rsidRPr="000D21F6" w:rsidRDefault="00E80CFE">
          <w:pPr>
            <w:pStyle w:val="TOC2"/>
            <w:rPr>
              <w:rFonts w:eastAsiaTheme="minorEastAsia"/>
              <w:noProof/>
              <w:color w:val="002F5D"/>
              <w:lang w:eastAsia="en-GB"/>
            </w:rPr>
          </w:pPr>
          <w:hyperlink w:anchor="_Toc4407883" w:history="1">
            <w:r w:rsidR="000D21F6" w:rsidRPr="000D21F6">
              <w:rPr>
                <w:rStyle w:val="Hyperlink"/>
                <w:noProof/>
                <w:color w:val="002F5D"/>
              </w:rPr>
              <w:t>6.5</w:t>
            </w:r>
            <w:r w:rsidR="000D21F6" w:rsidRPr="000D21F6">
              <w:rPr>
                <w:rFonts w:eastAsiaTheme="minorEastAsia"/>
                <w:noProof/>
                <w:color w:val="002F5D"/>
                <w:lang w:eastAsia="en-GB"/>
              </w:rPr>
              <w:tab/>
            </w:r>
            <w:r w:rsidR="000D21F6" w:rsidRPr="000D21F6">
              <w:rPr>
                <w:rStyle w:val="Hyperlink"/>
                <w:noProof/>
                <w:color w:val="002F5D"/>
              </w:rPr>
              <w:t>NHS hospital services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_Toc4407883 \h </w:instrText>
            </w:r>
            <w:r w:rsidR="000D21F6" w:rsidRPr="000D21F6">
              <w:rPr>
                <w:noProof/>
                <w:webHidden/>
                <w:color w:val="002F5D"/>
              </w:rPr>
            </w:r>
            <w:r w:rsidR="000D21F6" w:rsidRPr="000D21F6">
              <w:rPr>
                <w:noProof/>
                <w:webHidden/>
                <w:color w:val="002F5D"/>
              </w:rPr>
              <w:fldChar w:fldCharType="separate"/>
            </w:r>
            <w:r>
              <w:rPr>
                <w:noProof/>
                <w:webHidden/>
                <w:color w:val="002F5D"/>
              </w:rPr>
              <w:t>135</w:t>
            </w:r>
            <w:r w:rsidR="000D21F6" w:rsidRPr="000D21F6">
              <w:rPr>
                <w:noProof/>
                <w:webHidden/>
                <w:color w:val="002F5D"/>
              </w:rPr>
              <w:fldChar w:fldCharType="end"/>
            </w:r>
          </w:hyperlink>
        </w:p>
        <w:p w14:paraId="42D9CCD4" w14:textId="766848E5" w:rsidR="000D21F6" w:rsidRPr="000D21F6" w:rsidRDefault="00E80CFE">
          <w:pPr>
            <w:pStyle w:val="TOC3"/>
            <w:tabs>
              <w:tab w:val="right" w:leader="dot" w:pos="9628"/>
            </w:tabs>
            <w:rPr>
              <w:rFonts w:eastAsiaTheme="minorEastAsia"/>
              <w:noProof/>
              <w:color w:val="002F5D"/>
              <w:lang w:eastAsia="en-GB"/>
            </w:rPr>
          </w:pPr>
          <w:hyperlink w:anchor="_Toc4407884" w:history="1">
            <w:r w:rsidR="000D21F6" w:rsidRPr="000D21F6">
              <w:rPr>
                <w:rStyle w:val="Hyperlink"/>
                <w:noProof/>
                <w:color w:val="002F5D"/>
              </w:rPr>
              <w:t>Inpatient hospital admissions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_Toc4407884 \h </w:instrText>
            </w:r>
            <w:r w:rsidR="000D21F6" w:rsidRPr="000D21F6">
              <w:rPr>
                <w:noProof/>
                <w:webHidden/>
                <w:color w:val="002F5D"/>
              </w:rPr>
            </w:r>
            <w:r w:rsidR="000D21F6" w:rsidRPr="000D21F6">
              <w:rPr>
                <w:noProof/>
                <w:webHidden/>
                <w:color w:val="002F5D"/>
              </w:rPr>
              <w:fldChar w:fldCharType="separate"/>
            </w:r>
            <w:r>
              <w:rPr>
                <w:noProof/>
                <w:webHidden/>
                <w:color w:val="002F5D"/>
              </w:rPr>
              <w:t>135</w:t>
            </w:r>
            <w:r w:rsidR="000D21F6" w:rsidRPr="000D21F6">
              <w:rPr>
                <w:noProof/>
                <w:webHidden/>
                <w:color w:val="002F5D"/>
              </w:rPr>
              <w:fldChar w:fldCharType="end"/>
            </w:r>
          </w:hyperlink>
        </w:p>
        <w:p w14:paraId="3893C173" w14:textId="2EE4E33B" w:rsidR="000D21F6" w:rsidRPr="000D21F6" w:rsidRDefault="00E80CFE">
          <w:pPr>
            <w:pStyle w:val="TOC3"/>
            <w:tabs>
              <w:tab w:val="right" w:leader="dot" w:pos="9628"/>
            </w:tabs>
            <w:rPr>
              <w:rFonts w:eastAsiaTheme="minorEastAsia"/>
              <w:noProof/>
              <w:color w:val="002F5D"/>
              <w:lang w:eastAsia="en-GB"/>
            </w:rPr>
          </w:pPr>
          <w:hyperlink w:anchor="_Toc4407885" w:history="1">
            <w:r w:rsidR="000D21F6" w:rsidRPr="000D21F6">
              <w:rPr>
                <w:rStyle w:val="Hyperlink"/>
                <w:noProof/>
                <w:color w:val="002F5D"/>
              </w:rPr>
              <w:t>Accident and emergency attendances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_Toc4407885 \h </w:instrText>
            </w:r>
            <w:r w:rsidR="000D21F6" w:rsidRPr="000D21F6">
              <w:rPr>
                <w:noProof/>
                <w:webHidden/>
                <w:color w:val="002F5D"/>
              </w:rPr>
            </w:r>
            <w:r w:rsidR="000D21F6" w:rsidRPr="000D21F6">
              <w:rPr>
                <w:noProof/>
                <w:webHidden/>
                <w:color w:val="002F5D"/>
              </w:rPr>
              <w:fldChar w:fldCharType="separate"/>
            </w:r>
            <w:r>
              <w:rPr>
                <w:noProof/>
                <w:webHidden/>
                <w:color w:val="002F5D"/>
              </w:rPr>
              <w:t>147</w:t>
            </w:r>
            <w:r w:rsidR="000D21F6" w:rsidRPr="000D21F6">
              <w:rPr>
                <w:noProof/>
                <w:webHidden/>
                <w:color w:val="002F5D"/>
              </w:rPr>
              <w:fldChar w:fldCharType="end"/>
            </w:r>
          </w:hyperlink>
        </w:p>
        <w:p w14:paraId="177129DA" w14:textId="549FF632" w:rsidR="000D21F6" w:rsidRPr="000D21F6" w:rsidRDefault="00E80CFE">
          <w:pPr>
            <w:pStyle w:val="TOC2"/>
            <w:rPr>
              <w:rFonts w:eastAsiaTheme="minorEastAsia"/>
              <w:noProof/>
              <w:color w:val="002F5D"/>
              <w:lang w:eastAsia="en-GB"/>
            </w:rPr>
          </w:pPr>
          <w:hyperlink w:anchor="_Toc4407886" w:history="1">
            <w:r w:rsidR="000D21F6" w:rsidRPr="000D21F6">
              <w:rPr>
                <w:rStyle w:val="Hyperlink"/>
                <w:noProof/>
                <w:color w:val="002F5D"/>
              </w:rPr>
              <w:t>6.6</w:t>
            </w:r>
            <w:r w:rsidR="000D21F6" w:rsidRPr="000D21F6">
              <w:rPr>
                <w:rFonts w:eastAsiaTheme="minorEastAsia"/>
                <w:noProof/>
                <w:color w:val="002F5D"/>
                <w:lang w:eastAsia="en-GB"/>
              </w:rPr>
              <w:tab/>
            </w:r>
            <w:r w:rsidR="000D21F6" w:rsidRPr="000D21F6">
              <w:rPr>
                <w:rStyle w:val="Hyperlink"/>
                <w:noProof/>
                <w:color w:val="002F5D"/>
              </w:rPr>
              <w:t>Social care services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_Toc4407886 \h </w:instrText>
            </w:r>
            <w:r w:rsidR="000D21F6" w:rsidRPr="000D21F6">
              <w:rPr>
                <w:noProof/>
                <w:webHidden/>
                <w:color w:val="002F5D"/>
              </w:rPr>
            </w:r>
            <w:r w:rsidR="000D21F6" w:rsidRPr="000D21F6">
              <w:rPr>
                <w:noProof/>
                <w:webHidden/>
                <w:color w:val="002F5D"/>
              </w:rPr>
              <w:fldChar w:fldCharType="separate"/>
            </w:r>
            <w:r>
              <w:rPr>
                <w:noProof/>
                <w:webHidden/>
                <w:color w:val="002F5D"/>
              </w:rPr>
              <w:t>152</w:t>
            </w:r>
            <w:r w:rsidR="000D21F6" w:rsidRPr="000D21F6">
              <w:rPr>
                <w:noProof/>
                <w:webHidden/>
                <w:color w:val="002F5D"/>
              </w:rPr>
              <w:fldChar w:fldCharType="end"/>
            </w:r>
          </w:hyperlink>
        </w:p>
        <w:p w14:paraId="6B5F5833" w14:textId="0C12E664" w:rsidR="000D21F6" w:rsidRPr="000D21F6" w:rsidRDefault="00E80CFE">
          <w:pPr>
            <w:pStyle w:val="TOC1"/>
            <w:rPr>
              <w:rFonts w:eastAsiaTheme="minorEastAsia"/>
              <w:noProof/>
              <w:color w:val="002F5D"/>
              <w:lang w:eastAsia="en-GB"/>
            </w:rPr>
          </w:pPr>
          <w:hyperlink w:anchor="_Toc4407887" w:history="1">
            <w:r w:rsidR="000D21F6" w:rsidRPr="000D21F6">
              <w:rPr>
                <w:rStyle w:val="Hyperlink"/>
                <w:noProof/>
                <w:color w:val="002F5D"/>
              </w:rPr>
              <w:t>7.</w:t>
            </w:r>
            <w:r w:rsidR="000D21F6" w:rsidRPr="000D21F6">
              <w:rPr>
                <w:rFonts w:eastAsiaTheme="minorEastAsia"/>
                <w:noProof/>
                <w:color w:val="002F5D"/>
                <w:lang w:eastAsia="en-GB"/>
              </w:rPr>
              <w:tab/>
            </w:r>
            <w:r w:rsidR="000D21F6" w:rsidRPr="000D21F6">
              <w:rPr>
                <w:rStyle w:val="Hyperlink"/>
                <w:noProof/>
                <w:color w:val="002F5D"/>
              </w:rPr>
              <w:t>LIFE EXPECTANCY AND MORTALITY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_Toc4407887 \h </w:instrText>
            </w:r>
            <w:r w:rsidR="000D21F6" w:rsidRPr="000D21F6">
              <w:rPr>
                <w:noProof/>
                <w:webHidden/>
                <w:color w:val="002F5D"/>
              </w:rPr>
            </w:r>
            <w:r w:rsidR="000D21F6" w:rsidRPr="000D21F6">
              <w:rPr>
                <w:noProof/>
                <w:webHidden/>
                <w:color w:val="002F5D"/>
              </w:rPr>
              <w:fldChar w:fldCharType="separate"/>
            </w:r>
            <w:r>
              <w:rPr>
                <w:noProof/>
                <w:webHidden/>
                <w:color w:val="002F5D"/>
              </w:rPr>
              <w:t>172</w:t>
            </w:r>
            <w:r w:rsidR="000D21F6" w:rsidRPr="000D21F6">
              <w:rPr>
                <w:noProof/>
                <w:webHidden/>
                <w:color w:val="002F5D"/>
              </w:rPr>
              <w:fldChar w:fldCharType="end"/>
            </w:r>
          </w:hyperlink>
        </w:p>
        <w:p w14:paraId="43C78BB9" w14:textId="18CA7A28" w:rsidR="000D21F6" w:rsidRPr="000D21F6" w:rsidRDefault="00E80CFE">
          <w:pPr>
            <w:pStyle w:val="TOC2"/>
            <w:rPr>
              <w:rFonts w:eastAsiaTheme="minorEastAsia"/>
              <w:noProof/>
              <w:color w:val="002F5D"/>
              <w:lang w:eastAsia="en-GB"/>
            </w:rPr>
          </w:pPr>
          <w:hyperlink w:anchor="_Toc4407888" w:history="1">
            <w:r w:rsidR="000D21F6" w:rsidRPr="000D21F6">
              <w:rPr>
                <w:rStyle w:val="Hyperlink"/>
                <w:noProof/>
                <w:color w:val="002F5D"/>
              </w:rPr>
              <w:t>7.1</w:t>
            </w:r>
            <w:r w:rsidR="000D21F6" w:rsidRPr="000D21F6">
              <w:rPr>
                <w:rFonts w:eastAsiaTheme="minorEastAsia"/>
                <w:noProof/>
                <w:color w:val="002F5D"/>
                <w:lang w:eastAsia="en-GB"/>
              </w:rPr>
              <w:tab/>
            </w:r>
            <w:r w:rsidR="000D21F6" w:rsidRPr="000D21F6">
              <w:rPr>
                <w:rStyle w:val="Hyperlink"/>
                <w:noProof/>
                <w:color w:val="002F5D"/>
              </w:rPr>
              <w:t>Life expectancy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_Toc4407888 \h </w:instrText>
            </w:r>
            <w:r w:rsidR="000D21F6" w:rsidRPr="000D21F6">
              <w:rPr>
                <w:noProof/>
                <w:webHidden/>
                <w:color w:val="002F5D"/>
              </w:rPr>
            </w:r>
            <w:r w:rsidR="000D21F6" w:rsidRPr="000D21F6">
              <w:rPr>
                <w:noProof/>
                <w:webHidden/>
                <w:color w:val="002F5D"/>
              </w:rPr>
              <w:fldChar w:fldCharType="separate"/>
            </w:r>
            <w:r>
              <w:rPr>
                <w:noProof/>
                <w:webHidden/>
                <w:color w:val="002F5D"/>
              </w:rPr>
              <w:t>172</w:t>
            </w:r>
            <w:r w:rsidR="000D21F6" w:rsidRPr="000D21F6">
              <w:rPr>
                <w:noProof/>
                <w:webHidden/>
                <w:color w:val="002F5D"/>
              </w:rPr>
              <w:fldChar w:fldCharType="end"/>
            </w:r>
          </w:hyperlink>
        </w:p>
        <w:p w14:paraId="594800F6" w14:textId="3354CF9C" w:rsidR="000D21F6" w:rsidRPr="000D21F6" w:rsidRDefault="00E80CFE">
          <w:pPr>
            <w:pStyle w:val="TOC2"/>
            <w:rPr>
              <w:rFonts w:eastAsiaTheme="minorEastAsia"/>
              <w:noProof/>
              <w:color w:val="002F5D"/>
              <w:lang w:eastAsia="en-GB"/>
            </w:rPr>
          </w:pPr>
          <w:hyperlink w:anchor="_Toc4407889" w:history="1">
            <w:r w:rsidR="000D21F6" w:rsidRPr="000D21F6">
              <w:rPr>
                <w:rStyle w:val="Hyperlink"/>
                <w:noProof/>
                <w:color w:val="002F5D"/>
              </w:rPr>
              <w:t>7.2</w:t>
            </w:r>
            <w:r w:rsidR="000D21F6" w:rsidRPr="000D21F6">
              <w:rPr>
                <w:rFonts w:eastAsiaTheme="minorEastAsia"/>
                <w:noProof/>
                <w:color w:val="002F5D"/>
                <w:lang w:eastAsia="en-GB"/>
              </w:rPr>
              <w:tab/>
            </w:r>
            <w:r w:rsidR="000D21F6" w:rsidRPr="000D21F6">
              <w:rPr>
                <w:rStyle w:val="Hyperlink"/>
                <w:noProof/>
                <w:color w:val="002F5D"/>
              </w:rPr>
              <w:t>All-cause mortality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_Toc4407889 \h </w:instrText>
            </w:r>
            <w:r w:rsidR="000D21F6" w:rsidRPr="000D21F6">
              <w:rPr>
                <w:noProof/>
                <w:webHidden/>
                <w:color w:val="002F5D"/>
              </w:rPr>
            </w:r>
            <w:r w:rsidR="000D21F6" w:rsidRPr="000D21F6">
              <w:rPr>
                <w:noProof/>
                <w:webHidden/>
                <w:color w:val="002F5D"/>
              </w:rPr>
              <w:fldChar w:fldCharType="separate"/>
            </w:r>
            <w:r>
              <w:rPr>
                <w:noProof/>
                <w:webHidden/>
                <w:color w:val="002F5D"/>
              </w:rPr>
              <w:t>176</w:t>
            </w:r>
            <w:r w:rsidR="000D21F6" w:rsidRPr="000D21F6">
              <w:rPr>
                <w:noProof/>
                <w:webHidden/>
                <w:color w:val="002F5D"/>
              </w:rPr>
              <w:fldChar w:fldCharType="end"/>
            </w:r>
          </w:hyperlink>
        </w:p>
        <w:p w14:paraId="3A59C585" w14:textId="33D6262F" w:rsidR="000D21F6" w:rsidRPr="000D21F6" w:rsidRDefault="00E80CFE">
          <w:pPr>
            <w:pStyle w:val="TOC2"/>
            <w:rPr>
              <w:rFonts w:eastAsiaTheme="minorEastAsia"/>
              <w:noProof/>
              <w:color w:val="002F5D"/>
              <w:lang w:eastAsia="en-GB"/>
            </w:rPr>
          </w:pPr>
          <w:hyperlink w:anchor="_Toc4407890" w:history="1">
            <w:r w:rsidR="000D21F6" w:rsidRPr="000D21F6">
              <w:rPr>
                <w:rStyle w:val="Hyperlink"/>
                <w:noProof/>
                <w:color w:val="002F5D"/>
              </w:rPr>
              <w:t>7.3</w:t>
            </w:r>
            <w:r w:rsidR="000D21F6" w:rsidRPr="000D21F6">
              <w:rPr>
                <w:rFonts w:eastAsiaTheme="minorEastAsia"/>
                <w:noProof/>
                <w:color w:val="002F5D"/>
                <w:lang w:eastAsia="en-GB"/>
              </w:rPr>
              <w:tab/>
            </w:r>
            <w:r w:rsidR="000D21F6" w:rsidRPr="000D21F6">
              <w:rPr>
                <w:rStyle w:val="Hyperlink"/>
                <w:noProof/>
                <w:color w:val="002F5D"/>
              </w:rPr>
              <w:t>Overall health status and levels of disability</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_Toc4407890 \h </w:instrText>
            </w:r>
            <w:r w:rsidR="000D21F6" w:rsidRPr="000D21F6">
              <w:rPr>
                <w:noProof/>
                <w:webHidden/>
                <w:color w:val="002F5D"/>
              </w:rPr>
            </w:r>
            <w:r w:rsidR="000D21F6" w:rsidRPr="000D21F6">
              <w:rPr>
                <w:noProof/>
                <w:webHidden/>
                <w:color w:val="002F5D"/>
              </w:rPr>
              <w:fldChar w:fldCharType="separate"/>
            </w:r>
            <w:r>
              <w:rPr>
                <w:noProof/>
                <w:webHidden/>
                <w:color w:val="002F5D"/>
              </w:rPr>
              <w:t>178</w:t>
            </w:r>
            <w:r w:rsidR="000D21F6" w:rsidRPr="000D21F6">
              <w:rPr>
                <w:noProof/>
                <w:webHidden/>
                <w:color w:val="002F5D"/>
              </w:rPr>
              <w:fldChar w:fldCharType="end"/>
            </w:r>
          </w:hyperlink>
        </w:p>
        <w:p w14:paraId="20FB453A" w14:textId="0C1A70B1" w:rsidR="000D21F6" w:rsidRPr="000D21F6" w:rsidRDefault="00E80CFE">
          <w:pPr>
            <w:pStyle w:val="TOC3"/>
            <w:tabs>
              <w:tab w:val="right" w:leader="dot" w:pos="9628"/>
            </w:tabs>
            <w:rPr>
              <w:rFonts w:eastAsiaTheme="minorEastAsia"/>
              <w:noProof/>
              <w:color w:val="002F5D"/>
              <w:lang w:eastAsia="en-GB"/>
            </w:rPr>
          </w:pPr>
          <w:hyperlink w:anchor="_Toc4407891" w:history="1">
            <w:r w:rsidR="000D21F6" w:rsidRPr="000D21F6">
              <w:rPr>
                <w:rStyle w:val="Hyperlink"/>
                <w:noProof/>
                <w:color w:val="002F5D"/>
              </w:rPr>
              <w:t>Percentage in good or very good health</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_Toc4407891 \h </w:instrText>
            </w:r>
            <w:r w:rsidR="000D21F6" w:rsidRPr="000D21F6">
              <w:rPr>
                <w:noProof/>
                <w:webHidden/>
                <w:color w:val="002F5D"/>
              </w:rPr>
            </w:r>
            <w:r w:rsidR="000D21F6" w:rsidRPr="000D21F6">
              <w:rPr>
                <w:noProof/>
                <w:webHidden/>
                <w:color w:val="002F5D"/>
              </w:rPr>
              <w:fldChar w:fldCharType="separate"/>
            </w:r>
            <w:r>
              <w:rPr>
                <w:noProof/>
                <w:webHidden/>
                <w:color w:val="002F5D"/>
              </w:rPr>
              <w:t>178</w:t>
            </w:r>
            <w:r w:rsidR="000D21F6" w:rsidRPr="000D21F6">
              <w:rPr>
                <w:noProof/>
                <w:webHidden/>
                <w:color w:val="002F5D"/>
              </w:rPr>
              <w:fldChar w:fldCharType="end"/>
            </w:r>
          </w:hyperlink>
        </w:p>
        <w:p w14:paraId="629B879A" w14:textId="6226D3E2" w:rsidR="000D21F6" w:rsidRPr="000D21F6" w:rsidRDefault="00E80CFE">
          <w:pPr>
            <w:pStyle w:val="TOC3"/>
            <w:tabs>
              <w:tab w:val="right" w:leader="dot" w:pos="9628"/>
            </w:tabs>
            <w:rPr>
              <w:rFonts w:eastAsiaTheme="minorEastAsia"/>
              <w:noProof/>
              <w:color w:val="002F5D"/>
              <w:lang w:eastAsia="en-GB"/>
            </w:rPr>
          </w:pPr>
          <w:hyperlink w:anchor="_Toc4407892" w:history="1">
            <w:r w:rsidR="000D21F6" w:rsidRPr="000D21F6">
              <w:rPr>
                <w:rStyle w:val="Hyperlink"/>
                <w:noProof/>
                <w:color w:val="002F5D"/>
              </w:rPr>
              <w:t>Percentage with a long-term activity-limiting illness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_Toc4407892 \h </w:instrText>
            </w:r>
            <w:r w:rsidR="000D21F6" w:rsidRPr="000D21F6">
              <w:rPr>
                <w:noProof/>
                <w:webHidden/>
                <w:color w:val="002F5D"/>
              </w:rPr>
            </w:r>
            <w:r w:rsidR="000D21F6" w:rsidRPr="000D21F6">
              <w:rPr>
                <w:noProof/>
                <w:webHidden/>
                <w:color w:val="002F5D"/>
              </w:rPr>
              <w:fldChar w:fldCharType="separate"/>
            </w:r>
            <w:r>
              <w:rPr>
                <w:noProof/>
                <w:webHidden/>
                <w:color w:val="002F5D"/>
              </w:rPr>
              <w:t>181</w:t>
            </w:r>
            <w:r w:rsidR="000D21F6" w:rsidRPr="000D21F6">
              <w:rPr>
                <w:noProof/>
                <w:webHidden/>
                <w:color w:val="002F5D"/>
              </w:rPr>
              <w:fldChar w:fldCharType="end"/>
            </w:r>
          </w:hyperlink>
        </w:p>
        <w:p w14:paraId="03AE0E5E" w14:textId="14593569" w:rsidR="000D21F6" w:rsidRPr="000D21F6" w:rsidRDefault="00E80CFE">
          <w:pPr>
            <w:pStyle w:val="TOC3"/>
            <w:tabs>
              <w:tab w:val="right" w:leader="dot" w:pos="9628"/>
            </w:tabs>
            <w:rPr>
              <w:rFonts w:eastAsiaTheme="minorEastAsia"/>
              <w:noProof/>
              <w:color w:val="002F5D"/>
              <w:lang w:eastAsia="en-GB"/>
            </w:rPr>
          </w:pPr>
          <w:hyperlink w:anchor="_Toc4407893" w:history="1">
            <w:r w:rsidR="000D21F6" w:rsidRPr="000D21F6">
              <w:rPr>
                <w:rStyle w:val="Hyperlink"/>
                <w:noProof/>
                <w:color w:val="002F5D"/>
              </w:rPr>
              <w:t>Predicted Future Disability/Disease Prevalence – 2017-2035</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_Toc4407893 \h </w:instrText>
            </w:r>
            <w:r w:rsidR="000D21F6" w:rsidRPr="000D21F6">
              <w:rPr>
                <w:noProof/>
                <w:webHidden/>
                <w:color w:val="002F5D"/>
              </w:rPr>
            </w:r>
            <w:r w:rsidR="000D21F6" w:rsidRPr="000D21F6">
              <w:rPr>
                <w:noProof/>
                <w:webHidden/>
                <w:color w:val="002F5D"/>
              </w:rPr>
              <w:fldChar w:fldCharType="separate"/>
            </w:r>
            <w:r>
              <w:rPr>
                <w:noProof/>
                <w:webHidden/>
                <w:color w:val="002F5D"/>
              </w:rPr>
              <w:t>184</w:t>
            </w:r>
            <w:r w:rsidR="000D21F6" w:rsidRPr="000D21F6">
              <w:rPr>
                <w:noProof/>
                <w:webHidden/>
                <w:color w:val="002F5D"/>
              </w:rPr>
              <w:fldChar w:fldCharType="end"/>
            </w:r>
          </w:hyperlink>
        </w:p>
        <w:p w14:paraId="4769E372" w14:textId="115A7031" w:rsidR="000D21F6" w:rsidRPr="000D21F6" w:rsidRDefault="00E80CFE">
          <w:pPr>
            <w:pStyle w:val="TOC2"/>
            <w:rPr>
              <w:rFonts w:eastAsiaTheme="minorEastAsia"/>
              <w:noProof/>
              <w:color w:val="002F5D"/>
              <w:lang w:eastAsia="en-GB"/>
            </w:rPr>
          </w:pPr>
          <w:hyperlink w:anchor="_Toc4407894" w:history="1">
            <w:r w:rsidR="000D21F6" w:rsidRPr="000D21F6">
              <w:rPr>
                <w:rStyle w:val="Hyperlink"/>
                <w:noProof/>
                <w:color w:val="002F5D"/>
              </w:rPr>
              <w:t>7.4</w:t>
            </w:r>
            <w:r w:rsidR="000D21F6" w:rsidRPr="000D21F6">
              <w:rPr>
                <w:rFonts w:eastAsiaTheme="minorEastAsia"/>
                <w:noProof/>
                <w:color w:val="002F5D"/>
                <w:lang w:eastAsia="en-GB"/>
              </w:rPr>
              <w:tab/>
            </w:r>
            <w:r w:rsidR="000D21F6" w:rsidRPr="000D21F6">
              <w:rPr>
                <w:rStyle w:val="Hyperlink"/>
                <w:noProof/>
                <w:color w:val="002F5D"/>
              </w:rPr>
              <w:t>Main causes of death</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_Toc4407894 \h </w:instrText>
            </w:r>
            <w:r w:rsidR="000D21F6" w:rsidRPr="000D21F6">
              <w:rPr>
                <w:noProof/>
                <w:webHidden/>
                <w:color w:val="002F5D"/>
              </w:rPr>
            </w:r>
            <w:r w:rsidR="000D21F6" w:rsidRPr="000D21F6">
              <w:rPr>
                <w:noProof/>
                <w:webHidden/>
                <w:color w:val="002F5D"/>
              </w:rPr>
              <w:fldChar w:fldCharType="separate"/>
            </w:r>
            <w:r>
              <w:rPr>
                <w:noProof/>
                <w:webHidden/>
                <w:color w:val="002F5D"/>
              </w:rPr>
              <w:t>191</w:t>
            </w:r>
            <w:r w:rsidR="000D21F6" w:rsidRPr="000D21F6">
              <w:rPr>
                <w:noProof/>
                <w:webHidden/>
                <w:color w:val="002F5D"/>
              </w:rPr>
              <w:fldChar w:fldCharType="end"/>
            </w:r>
          </w:hyperlink>
        </w:p>
        <w:p w14:paraId="44476834" w14:textId="5FFE211A" w:rsidR="000D21F6" w:rsidRPr="000D21F6" w:rsidRDefault="00E80CFE">
          <w:pPr>
            <w:pStyle w:val="TOC3"/>
            <w:tabs>
              <w:tab w:val="right" w:leader="dot" w:pos="9628"/>
            </w:tabs>
            <w:rPr>
              <w:rFonts w:eastAsiaTheme="minorEastAsia"/>
              <w:noProof/>
              <w:color w:val="002F5D"/>
              <w:lang w:eastAsia="en-GB"/>
            </w:rPr>
          </w:pPr>
          <w:hyperlink w:anchor="_Toc4407895" w:history="1">
            <w:r w:rsidR="000D21F6" w:rsidRPr="000D21F6">
              <w:rPr>
                <w:rStyle w:val="Hyperlink"/>
                <w:noProof/>
                <w:color w:val="002F5D"/>
              </w:rPr>
              <w:t>Cardiovascular disease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_Toc4407895 \h </w:instrText>
            </w:r>
            <w:r w:rsidR="000D21F6" w:rsidRPr="000D21F6">
              <w:rPr>
                <w:noProof/>
                <w:webHidden/>
                <w:color w:val="002F5D"/>
              </w:rPr>
            </w:r>
            <w:r w:rsidR="000D21F6" w:rsidRPr="000D21F6">
              <w:rPr>
                <w:noProof/>
                <w:webHidden/>
                <w:color w:val="002F5D"/>
              </w:rPr>
              <w:fldChar w:fldCharType="separate"/>
            </w:r>
            <w:r>
              <w:rPr>
                <w:noProof/>
                <w:webHidden/>
                <w:color w:val="002F5D"/>
              </w:rPr>
              <w:t>192</w:t>
            </w:r>
            <w:r w:rsidR="000D21F6" w:rsidRPr="000D21F6">
              <w:rPr>
                <w:noProof/>
                <w:webHidden/>
                <w:color w:val="002F5D"/>
              </w:rPr>
              <w:fldChar w:fldCharType="end"/>
            </w:r>
          </w:hyperlink>
        </w:p>
        <w:p w14:paraId="027559ED" w14:textId="098B8143" w:rsidR="000D21F6" w:rsidRPr="000D21F6" w:rsidRDefault="00E80CFE">
          <w:pPr>
            <w:pStyle w:val="TOC3"/>
            <w:tabs>
              <w:tab w:val="right" w:leader="dot" w:pos="9628"/>
            </w:tabs>
            <w:rPr>
              <w:rFonts w:eastAsiaTheme="minorEastAsia"/>
              <w:noProof/>
              <w:color w:val="002F5D"/>
              <w:lang w:eastAsia="en-GB"/>
            </w:rPr>
          </w:pPr>
          <w:hyperlink w:anchor="_Toc4407896" w:history="1">
            <w:r w:rsidR="000D21F6" w:rsidRPr="000D21F6">
              <w:rPr>
                <w:rStyle w:val="Hyperlink"/>
                <w:noProof/>
                <w:color w:val="002F5D"/>
              </w:rPr>
              <w:t>Cancer</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_Toc4407896 \h </w:instrText>
            </w:r>
            <w:r w:rsidR="000D21F6" w:rsidRPr="000D21F6">
              <w:rPr>
                <w:noProof/>
                <w:webHidden/>
                <w:color w:val="002F5D"/>
              </w:rPr>
            </w:r>
            <w:r w:rsidR="000D21F6" w:rsidRPr="000D21F6">
              <w:rPr>
                <w:noProof/>
                <w:webHidden/>
                <w:color w:val="002F5D"/>
              </w:rPr>
              <w:fldChar w:fldCharType="separate"/>
            </w:r>
            <w:r>
              <w:rPr>
                <w:noProof/>
                <w:webHidden/>
                <w:color w:val="002F5D"/>
              </w:rPr>
              <w:t>194</w:t>
            </w:r>
            <w:r w:rsidR="000D21F6" w:rsidRPr="000D21F6">
              <w:rPr>
                <w:noProof/>
                <w:webHidden/>
                <w:color w:val="002F5D"/>
              </w:rPr>
              <w:fldChar w:fldCharType="end"/>
            </w:r>
          </w:hyperlink>
        </w:p>
        <w:p w14:paraId="6B079410" w14:textId="0FAC454E" w:rsidR="000D21F6" w:rsidRPr="000D21F6" w:rsidRDefault="00E80CFE">
          <w:pPr>
            <w:pStyle w:val="TOC3"/>
            <w:tabs>
              <w:tab w:val="right" w:leader="dot" w:pos="9628"/>
            </w:tabs>
            <w:rPr>
              <w:rFonts w:eastAsiaTheme="minorEastAsia"/>
              <w:noProof/>
              <w:color w:val="002F5D"/>
              <w:lang w:eastAsia="en-GB"/>
            </w:rPr>
          </w:pPr>
          <w:hyperlink w:anchor="_Toc4407897" w:history="1">
            <w:r w:rsidR="000D21F6" w:rsidRPr="000D21F6">
              <w:rPr>
                <w:rStyle w:val="Hyperlink"/>
                <w:noProof/>
                <w:color w:val="002F5D"/>
              </w:rPr>
              <w:t>Respiratory disease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_Toc4407897 \h </w:instrText>
            </w:r>
            <w:r w:rsidR="000D21F6" w:rsidRPr="000D21F6">
              <w:rPr>
                <w:noProof/>
                <w:webHidden/>
                <w:color w:val="002F5D"/>
              </w:rPr>
            </w:r>
            <w:r w:rsidR="000D21F6" w:rsidRPr="000D21F6">
              <w:rPr>
                <w:noProof/>
                <w:webHidden/>
                <w:color w:val="002F5D"/>
              </w:rPr>
              <w:fldChar w:fldCharType="separate"/>
            </w:r>
            <w:r>
              <w:rPr>
                <w:noProof/>
                <w:webHidden/>
                <w:color w:val="002F5D"/>
              </w:rPr>
              <w:t>196</w:t>
            </w:r>
            <w:r w:rsidR="000D21F6" w:rsidRPr="000D21F6">
              <w:rPr>
                <w:noProof/>
                <w:webHidden/>
                <w:color w:val="002F5D"/>
              </w:rPr>
              <w:fldChar w:fldCharType="end"/>
            </w:r>
          </w:hyperlink>
        </w:p>
        <w:p w14:paraId="1CC82825" w14:textId="0C88033C" w:rsidR="000D21F6" w:rsidRPr="000D21F6" w:rsidRDefault="00E80CFE">
          <w:pPr>
            <w:pStyle w:val="TOC3"/>
            <w:tabs>
              <w:tab w:val="right" w:leader="dot" w:pos="9628"/>
            </w:tabs>
            <w:rPr>
              <w:rFonts w:eastAsiaTheme="minorEastAsia"/>
              <w:noProof/>
              <w:color w:val="002F5D"/>
              <w:lang w:eastAsia="en-GB"/>
            </w:rPr>
          </w:pPr>
          <w:hyperlink w:anchor="_Toc4407898" w:history="1">
            <w:r w:rsidR="000D21F6" w:rsidRPr="000D21F6">
              <w:rPr>
                <w:rStyle w:val="Hyperlink"/>
                <w:noProof/>
                <w:color w:val="002F5D"/>
              </w:rPr>
              <w:t>Dementia and Alzheimer’s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_Toc4407898 \h </w:instrText>
            </w:r>
            <w:r w:rsidR="000D21F6" w:rsidRPr="000D21F6">
              <w:rPr>
                <w:noProof/>
                <w:webHidden/>
                <w:color w:val="002F5D"/>
              </w:rPr>
            </w:r>
            <w:r w:rsidR="000D21F6" w:rsidRPr="000D21F6">
              <w:rPr>
                <w:noProof/>
                <w:webHidden/>
                <w:color w:val="002F5D"/>
              </w:rPr>
              <w:fldChar w:fldCharType="separate"/>
            </w:r>
            <w:r>
              <w:rPr>
                <w:noProof/>
                <w:webHidden/>
                <w:color w:val="002F5D"/>
              </w:rPr>
              <w:t>198</w:t>
            </w:r>
            <w:r w:rsidR="000D21F6" w:rsidRPr="000D21F6">
              <w:rPr>
                <w:noProof/>
                <w:webHidden/>
                <w:color w:val="002F5D"/>
              </w:rPr>
              <w:fldChar w:fldCharType="end"/>
            </w:r>
          </w:hyperlink>
        </w:p>
        <w:p w14:paraId="45B8E770" w14:textId="28A1B2B5" w:rsidR="000D21F6" w:rsidRPr="000D21F6" w:rsidRDefault="00E80CFE">
          <w:pPr>
            <w:pStyle w:val="TOC1"/>
            <w:rPr>
              <w:rFonts w:eastAsiaTheme="minorEastAsia"/>
              <w:noProof/>
              <w:color w:val="002F5D"/>
              <w:lang w:eastAsia="en-GB"/>
            </w:rPr>
          </w:pPr>
          <w:hyperlink w:anchor="_Toc4407899" w:history="1">
            <w:r w:rsidR="000D21F6" w:rsidRPr="000D21F6">
              <w:rPr>
                <w:rStyle w:val="Hyperlink"/>
                <w:noProof/>
                <w:color w:val="002F5D"/>
              </w:rPr>
              <w:t>8.</w:t>
            </w:r>
            <w:r w:rsidR="000D21F6" w:rsidRPr="000D21F6">
              <w:rPr>
                <w:rFonts w:eastAsiaTheme="minorEastAsia"/>
                <w:noProof/>
                <w:color w:val="002F5D"/>
                <w:lang w:eastAsia="en-GB"/>
              </w:rPr>
              <w:tab/>
            </w:r>
            <w:r w:rsidR="000D21F6" w:rsidRPr="000D21F6">
              <w:rPr>
                <w:rStyle w:val="Hyperlink"/>
                <w:noProof/>
                <w:color w:val="002F5D"/>
              </w:rPr>
              <w:t>CAMBRIDGESHIRE’S AND PETERBOROUGH’S JOINT STRATEGIC NEEDS ASSESSMENT PROGRAMME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_Toc4407899 \h </w:instrText>
            </w:r>
            <w:r w:rsidR="000D21F6" w:rsidRPr="000D21F6">
              <w:rPr>
                <w:noProof/>
                <w:webHidden/>
                <w:color w:val="002F5D"/>
              </w:rPr>
            </w:r>
            <w:r w:rsidR="000D21F6" w:rsidRPr="000D21F6">
              <w:rPr>
                <w:noProof/>
                <w:webHidden/>
                <w:color w:val="002F5D"/>
              </w:rPr>
              <w:fldChar w:fldCharType="separate"/>
            </w:r>
            <w:r>
              <w:rPr>
                <w:noProof/>
                <w:webHidden/>
                <w:color w:val="002F5D"/>
              </w:rPr>
              <w:t>201</w:t>
            </w:r>
            <w:r w:rsidR="000D21F6" w:rsidRPr="000D21F6">
              <w:rPr>
                <w:noProof/>
                <w:webHidden/>
                <w:color w:val="002F5D"/>
              </w:rPr>
              <w:fldChar w:fldCharType="end"/>
            </w:r>
          </w:hyperlink>
        </w:p>
        <w:p w14:paraId="61937EEA" w14:textId="792C7BDC" w:rsidR="000D21F6" w:rsidRPr="000D21F6" w:rsidRDefault="00E80CFE">
          <w:pPr>
            <w:pStyle w:val="TOC2"/>
            <w:rPr>
              <w:rFonts w:eastAsiaTheme="minorEastAsia"/>
              <w:noProof/>
              <w:color w:val="002F5D"/>
              <w:lang w:eastAsia="en-GB"/>
            </w:rPr>
          </w:pPr>
          <w:hyperlink w:anchor="_Toc4407900" w:history="1">
            <w:r w:rsidR="000D21F6" w:rsidRPr="000D21F6">
              <w:rPr>
                <w:rStyle w:val="Hyperlink"/>
                <w:noProof/>
                <w:color w:val="002F5D"/>
              </w:rPr>
              <w:t>8.1</w:t>
            </w:r>
            <w:r w:rsidR="000D21F6" w:rsidRPr="000D21F6">
              <w:rPr>
                <w:rFonts w:eastAsiaTheme="minorEastAsia"/>
                <w:noProof/>
                <w:color w:val="002F5D"/>
                <w:lang w:eastAsia="en-GB"/>
              </w:rPr>
              <w:tab/>
            </w:r>
            <w:r w:rsidR="000D21F6" w:rsidRPr="000D21F6">
              <w:rPr>
                <w:rStyle w:val="Hyperlink"/>
                <w:noProof/>
                <w:color w:val="002F5D"/>
              </w:rPr>
              <w:t>What is Joint Strategic Needs Assessment (JSNA)?</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_Toc4407900 \h </w:instrText>
            </w:r>
            <w:r w:rsidR="000D21F6" w:rsidRPr="000D21F6">
              <w:rPr>
                <w:noProof/>
                <w:webHidden/>
                <w:color w:val="002F5D"/>
              </w:rPr>
            </w:r>
            <w:r w:rsidR="000D21F6" w:rsidRPr="000D21F6">
              <w:rPr>
                <w:noProof/>
                <w:webHidden/>
                <w:color w:val="002F5D"/>
              </w:rPr>
              <w:fldChar w:fldCharType="separate"/>
            </w:r>
            <w:r>
              <w:rPr>
                <w:noProof/>
                <w:webHidden/>
                <w:color w:val="002F5D"/>
              </w:rPr>
              <w:t>201</w:t>
            </w:r>
            <w:r w:rsidR="000D21F6" w:rsidRPr="000D21F6">
              <w:rPr>
                <w:noProof/>
                <w:webHidden/>
                <w:color w:val="002F5D"/>
              </w:rPr>
              <w:fldChar w:fldCharType="end"/>
            </w:r>
          </w:hyperlink>
        </w:p>
        <w:p w14:paraId="7278BEEE" w14:textId="0A81A8B5" w:rsidR="000D21F6" w:rsidRPr="000D21F6" w:rsidRDefault="00E80CFE">
          <w:pPr>
            <w:pStyle w:val="TOC2"/>
            <w:rPr>
              <w:rFonts w:eastAsiaTheme="minorEastAsia"/>
              <w:noProof/>
              <w:color w:val="002F5D"/>
              <w:lang w:eastAsia="en-GB"/>
            </w:rPr>
          </w:pPr>
          <w:hyperlink w:anchor="_Toc4407901" w:history="1">
            <w:r w:rsidR="000D21F6" w:rsidRPr="000D21F6">
              <w:rPr>
                <w:rStyle w:val="Hyperlink"/>
                <w:noProof/>
                <w:color w:val="002F5D"/>
              </w:rPr>
              <w:t>8.2</w:t>
            </w:r>
            <w:r w:rsidR="000D21F6" w:rsidRPr="000D21F6">
              <w:rPr>
                <w:rFonts w:eastAsiaTheme="minorEastAsia"/>
                <w:noProof/>
                <w:color w:val="002F5D"/>
                <w:lang w:eastAsia="en-GB"/>
              </w:rPr>
              <w:tab/>
            </w:r>
            <w:r w:rsidR="000D21F6" w:rsidRPr="000D21F6">
              <w:rPr>
                <w:rStyle w:val="Hyperlink"/>
                <w:noProof/>
                <w:color w:val="002F5D"/>
              </w:rPr>
              <w:t>Overview of Cambridgeshire’s and Peterborough’s JSNA programme</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_Toc4407901 \h </w:instrText>
            </w:r>
            <w:r w:rsidR="000D21F6" w:rsidRPr="000D21F6">
              <w:rPr>
                <w:noProof/>
                <w:webHidden/>
                <w:color w:val="002F5D"/>
              </w:rPr>
            </w:r>
            <w:r w:rsidR="000D21F6" w:rsidRPr="000D21F6">
              <w:rPr>
                <w:noProof/>
                <w:webHidden/>
                <w:color w:val="002F5D"/>
              </w:rPr>
              <w:fldChar w:fldCharType="separate"/>
            </w:r>
            <w:r>
              <w:rPr>
                <w:noProof/>
                <w:webHidden/>
                <w:color w:val="002F5D"/>
              </w:rPr>
              <w:t>202</w:t>
            </w:r>
            <w:r w:rsidR="000D21F6" w:rsidRPr="000D21F6">
              <w:rPr>
                <w:noProof/>
                <w:webHidden/>
                <w:color w:val="002F5D"/>
              </w:rPr>
              <w:fldChar w:fldCharType="end"/>
            </w:r>
          </w:hyperlink>
        </w:p>
        <w:p w14:paraId="1D41AE31" w14:textId="32D9966D" w:rsidR="000D21F6" w:rsidRPr="000D21F6" w:rsidRDefault="00E80CFE">
          <w:pPr>
            <w:pStyle w:val="TOC1"/>
            <w:rPr>
              <w:rFonts w:eastAsiaTheme="minorEastAsia"/>
              <w:noProof/>
              <w:color w:val="002F5D"/>
              <w:lang w:eastAsia="en-GB"/>
            </w:rPr>
          </w:pPr>
          <w:hyperlink w:anchor="_Toc4407902" w:history="1">
            <w:r w:rsidR="000D21F6" w:rsidRPr="000D21F6">
              <w:rPr>
                <w:rStyle w:val="Hyperlink"/>
                <w:noProof/>
                <w:color w:val="002F5D"/>
              </w:rPr>
              <w:t>9.</w:t>
            </w:r>
            <w:r w:rsidR="000D21F6" w:rsidRPr="000D21F6">
              <w:rPr>
                <w:rFonts w:eastAsiaTheme="minorEastAsia"/>
                <w:noProof/>
                <w:color w:val="002F5D"/>
                <w:lang w:eastAsia="en-GB"/>
              </w:rPr>
              <w:tab/>
            </w:r>
            <w:r w:rsidR="000D21F6" w:rsidRPr="000D21F6">
              <w:rPr>
                <w:rStyle w:val="Hyperlink"/>
                <w:noProof/>
                <w:color w:val="002F5D"/>
              </w:rPr>
              <w:t>SOURCES OF FURTHER INFORMATION</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_Toc4407902 \h </w:instrText>
            </w:r>
            <w:r w:rsidR="000D21F6" w:rsidRPr="000D21F6">
              <w:rPr>
                <w:noProof/>
                <w:webHidden/>
                <w:color w:val="002F5D"/>
              </w:rPr>
            </w:r>
            <w:r w:rsidR="000D21F6" w:rsidRPr="000D21F6">
              <w:rPr>
                <w:noProof/>
                <w:webHidden/>
                <w:color w:val="002F5D"/>
              </w:rPr>
              <w:fldChar w:fldCharType="separate"/>
            </w:r>
            <w:r>
              <w:rPr>
                <w:noProof/>
                <w:webHidden/>
                <w:color w:val="002F5D"/>
              </w:rPr>
              <w:t>204</w:t>
            </w:r>
            <w:r w:rsidR="000D21F6" w:rsidRPr="000D21F6">
              <w:rPr>
                <w:noProof/>
                <w:webHidden/>
                <w:color w:val="002F5D"/>
              </w:rPr>
              <w:fldChar w:fldCharType="end"/>
            </w:r>
          </w:hyperlink>
        </w:p>
        <w:p w14:paraId="7BC45FD8" w14:textId="41EDAE63" w:rsidR="000D21F6" w:rsidRPr="000D21F6" w:rsidRDefault="00E80CFE">
          <w:pPr>
            <w:pStyle w:val="TOC1"/>
            <w:rPr>
              <w:rFonts w:eastAsiaTheme="minorEastAsia"/>
              <w:noProof/>
              <w:color w:val="002F5D"/>
              <w:lang w:eastAsia="en-GB"/>
            </w:rPr>
          </w:pPr>
          <w:hyperlink w:anchor="_Toc4407903" w:history="1">
            <w:r w:rsidR="000D21F6" w:rsidRPr="000D21F6">
              <w:rPr>
                <w:rStyle w:val="Hyperlink"/>
                <w:noProof/>
                <w:color w:val="002F5D"/>
              </w:rPr>
              <w:t>10.</w:t>
            </w:r>
            <w:r w:rsidR="000D21F6" w:rsidRPr="000D21F6">
              <w:rPr>
                <w:rFonts w:eastAsiaTheme="minorEastAsia"/>
                <w:noProof/>
                <w:color w:val="002F5D"/>
                <w:lang w:eastAsia="en-GB"/>
              </w:rPr>
              <w:tab/>
            </w:r>
            <w:r w:rsidR="000D21F6" w:rsidRPr="000D21F6">
              <w:rPr>
                <w:rStyle w:val="Hyperlink"/>
                <w:noProof/>
                <w:color w:val="002F5D"/>
              </w:rPr>
              <w:t>AUTHORS &amp; CONTACT DETAILS</w:t>
            </w:r>
            <w:r w:rsidR="000D21F6" w:rsidRPr="000D21F6">
              <w:rPr>
                <w:noProof/>
                <w:webHidden/>
                <w:color w:val="002F5D"/>
              </w:rPr>
              <w:tab/>
            </w:r>
            <w:r w:rsidR="000D21F6" w:rsidRPr="000D21F6">
              <w:rPr>
                <w:noProof/>
                <w:webHidden/>
                <w:color w:val="002F5D"/>
              </w:rPr>
              <w:fldChar w:fldCharType="begin"/>
            </w:r>
            <w:r w:rsidR="000D21F6" w:rsidRPr="000D21F6">
              <w:rPr>
                <w:noProof/>
                <w:webHidden/>
                <w:color w:val="002F5D"/>
              </w:rPr>
              <w:instrText xml:space="preserve"> PAGEREF _Toc4407903 \h </w:instrText>
            </w:r>
            <w:r w:rsidR="000D21F6" w:rsidRPr="000D21F6">
              <w:rPr>
                <w:noProof/>
                <w:webHidden/>
                <w:color w:val="002F5D"/>
              </w:rPr>
            </w:r>
            <w:r w:rsidR="000D21F6" w:rsidRPr="000D21F6">
              <w:rPr>
                <w:noProof/>
                <w:webHidden/>
                <w:color w:val="002F5D"/>
              </w:rPr>
              <w:fldChar w:fldCharType="separate"/>
            </w:r>
            <w:r>
              <w:rPr>
                <w:noProof/>
                <w:webHidden/>
                <w:color w:val="002F5D"/>
              </w:rPr>
              <w:t>205</w:t>
            </w:r>
            <w:r w:rsidR="000D21F6" w:rsidRPr="000D21F6">
              <w:rPr>
                <w:noProof/>
                <w:webHidden/>
                <w:color w:val="002F5D"/>
              </w:rPr>
              <w:fldChar w:fldCharType="end"/>
            </w:r>
          </w:hyperlink>
        </w:p>
        <w:p w14:paraId="64183238" w14:textId="67D0B349" w:rsidR="00D03219" w:rsidRPr="00E57C48" w:rsidRDefault="00D03219" w:rsidP="0074409F">
          <w:pPr>
            <w:rPr>
              <w:color w:val="002F5D"/>
            </w:rPr>
          </w:pPr>
          <w:r w:rsidRPr="000D21F6">
            <w:rPr>
              <w:b/>
              <w:bCs/>
              <w:noProof/>
              <w:color w:val="002F5D"/>
            </w:rPr>
            <w:fldChar w:fldCharType="end"/>
          </w:r>
        </w:p>
      </w:sdtContent>
    </w:sdt>
    <w:p w14:paraId="0F4B87E1" w14:textId="4ACE5751" w:rsidR="002B242E" w:rsidRPr="00E57C48" w:rsidRDefault="002B242E" w:rsidP="002B242E">
      <w:pPr>
        <w:spacing w:line="240" w:lineRule="auto"/>
        <w:rPr>
          <w:rFonts w:cs="Arial"/>
          <w:color w:val="002F5D"/>
        </w:rPr>
      </w:pPr>
      <w:r w:rsidRPr="00E57C48">
        <w:rPr>
          <w:rFonts w:cs="Arial"/>
          <w:color w:val="002F5D"/>
        </w:rPr>
        <w:t xml:space="preserve">This </w:t>
      </w:r>
      <w:r w:rsidR="005E1A47" w:rsidRPr="00E57C48">
        <w:rPr>
          <w:rFonts w:cs="Arial"/>
          <w:color w:val="002F5D"/>
        </w:rPr>
        <w:t>r</w:t>
      </w:r>
      <w:r w:rsidRPr="00E57C48">
        <w:rPr>
          <w:rFonts w:cs="Arial"/>
          <w:color w:val="002F5D"/>
        </w:rPr>
        <w:t xml:space="preserve">eport can be found on </w:t>
      </w:r>
      <w:r w:rsidRPr="00E57C48">
        <w:rPr>
          <w:rFonts w:cs="Arial"/>
          <w:b/>
          <w:color w:val="002F5D"/>
        </w:rPr>
        <w:t>Cambridgeshire</w:t>
      </w:r>
      <w:r w:rsidR="000268D6">
        <w:rPr>
          <w:rFonts w:cs="Arial"/>
          <w:b/>
          <w:color w:val="002F5D"/>
        </w:rPr>
        <w:t xml:space="preserve"> County Council</w:t>
      </w:r>
      <w:r w:rsidRPr="00E57C48">
        <w:rPr>
          <w:rFonts w:cs="Arial"/>
          <w:b/>
          <w:color w:val="002F5D"/>
        </w:rPr>
        <w:t>’s Joint Strategic Needs Assessment (JSNA) website</w:t>
      </w:r>
      <w:r w:rsidRPr="00E57C48">
        <w:rPr>
          <w:rFonts w:cs="Arial"/>
          <w:color w:val="002F5D"/>
        </w:rPr>
        <w:t xml:space="preserve"> at </w:t>
      </w:r>
      <w:hyperlink r:id="rId9" w:history="1">
        <w:r w:rsidRPr="00E57C48">
          <w:rPr>
            <w:rStyle w:val="Hyperlink"/>
            <w:rFonts w:cs="Arial"/>
            <w:color w:val="002F5D"/>
          </w:rPr>
          <w:t>http://cambridgeshireinsight.org.uk/jsna</w:t>
        </w:r>
      </w:hyperlink>
      <w:r w:rsidR="007811ED" w:rsidRPr="00E57C48">
        <w:rPr>
          <w:rFonts w:cs="Arial"/>
          <w:color w:val="002F5D"/>
        </w:rPr>
        <w:t xml:space="preserve"> and </w:t>
      </w:r>
      <w:r w:rsidR="000268D6">
        <w:rPr>
          <w:rFonts w:cs="Arial"/>
          <w:color w:val="002F5D"/>
        </w:rPr>
        <w:t xml:space="preserve">the </w:t>
      </w:r>
      <w:r w:rsidR="005E4BAD" w:rsidRPr="00E57C48">
        <w:rPr>
          <w:rFonts w:cs="Arial"/>
          <w:b/>
          <w:color w:val="002F5D"/>
        </w:rPr>
        <w:t>Peterborough City Council website</w:t>
      </w:r>
      <w:r w:rsidR="005E4BAD" w:rsidRPr="00E57C48">
        <w:rPr>
          <w:rFonts w:cs="Arial"/>
          <w:color w:val="002F5D"/>
        </w:rPr>
        <w:t xml:space="preserve"> at </w:t>
      </w:r>
    </w:p>
    <w:p w14:paraId="5FA88E0A" w14:textId="77777777" w:rsidR="007811ED" w:rsidRPr="00E57C48" w:rsidRDefault="00E80CFE" w:rsidP="002B242E">
      <w:pPr>
        <w:spacing w:line="240" w:lineRule="auto"/>
        <w:rPr>
          <w:rFonts w:cs="Arial"/>
          <w:color w:val="002F5D"/>
        </w:rPr>
      </w:pPr>
      <w:hyperlink r:id="rId10" w:history="1">
        <w:r w:rsidR="007811ED" w:rsidRPr="00E57C48">
          <w:rPr>
            <w:rStyle w:val="Hyperlink"/>
            <w:rFonts w:cs="Arial"/>
            <w:color w:val="002F5D"/>
          </w:rPr>
          <w:t>https://www.peterborough.gov.uk/healthcare/public-health/JSNA/</w:t>
        </w:r>
      </w:hyperlink>
      <w:r w:rsidR="005E4BAD" w:rsidRPr="00E57C48">
        <w:rPr>
          <w:rFonts w:cs="Arial"/>
          <w:color w:val="002F5D"/>
        </w:rPr>
        <w:t>.</w:t>
      </w:r>
    </w:p>
    <w:p w14:paraId="605E0486" w14:textId="77777777" w:rsidR="00227A19" w:rsidRPr="00E57C48" w:rsidRDefault="00227A19">
      <w:pPr>
        <w:rPr>
          <w:rFonts w:eastAsiaTheme="majorEastAsia" w:cstheme="majorBidi"/>
          <w:b/>
          <w:color w:val="002F5D"/>
          <w:highlight w:val="black"/>
        </w:rPr>
      </w:pPr>
      <w:r w:rsidRPr="00E57C48">
        <w:rPr>
          <w:color w:val="002F5D"/>
          <w:highlight w:val="black"/>
        </w:rPr>
        <w:br w:type="page"/>
      </w:r>
    </w:p>
    <w:p w14:paraId="11E0824B" w14:textId="77777777" w:rsidR="00AF3983" w:rsidRPr="0037351D" w:rsidRDefault="00AF3983" w:rsidP="00A3568F">
      <w:pPr>
        <w:pStyle w:val="JSNA3"/>
      </w:pPr>
      <w:bookmarkStart w:id="2" w:name="_Toc4407822"/>
      <w:r w:rsidRPr="0037351D">
        <w:lastRenderedPageBreak/>
        <w:t>Using this document</w:t>
      </w:r>
      <w:bookmarkEnd w:id="2"/>
    </w:p>
    <w:p w14:paraId="6CF32327" w14:textId="77777777" w:rsidR="00AF3983" w:rsidRPr="00E57C48" w:rsidRDefault="00AF3983">
      <w:pPr>
        <w:rPr>
          <w:rFonts w:cs="Arial"/>
          <w:b/>
          <w:color w:val="002F5D"/>
        </w:rPr>
      </w:pPr>
    </w:p>
    <w:p w14:paraId="469879F1" w14:textId="77777777" w:rsidR="00AF3983" w:rsidRPr="00E57C48" w:rsidRDefault="00AF3983">
      <w:pPr>
        <w:rPr>
          <w:rFonts w:cs="Arial"/>
          <w:color w:val="002F5D"/>
        </w:rPr>
      </w:pPr>
      <w:r w:rsidRPr="00E57C48">
        <w:rPr>
          <w:rFonts w:cs="Arial"/>
          <w:color w:val="002F5D"/>
        </w:rPr>
        <w:t>Each heading in the contents table leads to the content described – press Ctrl and click to follow the link.</w:t>
      </w:r>
    </w:p>
    <w:p w14:paraId="628AE63E" w14:textId="77777777" w:rsidR="00AF3983" w:rsidRPr="0037351D" w:rsidRDefault="00CD265A">
      <w:pPr>
        <w:rPr>
          <w:rFonts w:cs="Arial"/>
          <w:color w:val="FF0000"/>
        </w:rPr>
      </w:pPr>
      <w:r w:rsidRPr="0037351D">
        <w:rPr>
          <w:rFonts w:cs="Arial"/>
          <w:noProof/>
          <w:color w:val="FF0000"/>
          <w:lang w:eastAsia="en-GB"/>
        </w:rPr>
        <w:drawing>
          <wp:anchor distT="0" distB="0" distL="114300" distR="114300" simplePos="0" relativeHeight="251679744" behindDoc="0" locked="0" layoutInCell="1" allowOverlap="1" wp14:anchorId="32D34BB1" wp14:editId="6F0B8D4E">
            <wp:simplePos x="0" y="0"/>
            <wp:positionH relativeFrom="margin">
              <wp:posOffset>785003</wp:posOffset>
            </wp:positionH>
            <wp:positionV relativeFrom="paragraph">
              <wp:posOffset>1529104</wp:posOffset>
            </wp:positionV>
            <wp:extent cx="267419" cy="194502"/>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original-file---svg-file-nominally-550--400-pixels-file-size-3--2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419" cy="194502"/>
                    </a:xfrm>
                    <a:prstGeom prst="rect">
                      <a:avLst/>
                    </a:prstGeom>
                  </pic:spPr>
                </pic:pic>
              </a:graphicData>
            </a:graphic>
            <wp14:sizeRelH relativeFrom="margin">
              <wp14:pctWidth>0</wp14:pctWidth>
            </wp14:sizeRelH>
            <wp14:sizeRelV relativeFrom="margin">
              <wp14:pctHeight>0</wp14:pctHeight>
            </wp14:sizeRelV>
          </wp:anchor>
        </w:drawing>
      </w:r>
      <w:r w:rsidRPr="0037351D">
        <w:rPr>
          <w:noProof/>
          <w:color w:val="FF0000"/>
          <w:lang w:eastAsia="en-GB"/>
        </w:rPr>
        <w:drawing>
          <wp:inline distT="0" distB="0" distL="0" distR="0" wp14:anchorId="2938D888" wp14:editId="04D7A22A">
            <wp:extent cx="4104000" cy="1807898"/>
            <wp:effectExtent l="19050" t="19050" r="11430" b="2095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6112" t="15939" r="6970" b="56699"/>
                    <a:stretch/>
                  </pic:blipFill>
                  <pic:spPr bwMode="auto">
                    <a:xfrm>
                      <a:off x="0" y="0"/>
                      <a:ext cx="4104000" cy="1807898"/>
                    </a:xfrm>
                    <a:prstGeom prst="rect">
                      <a:avLst/>
                    </a:prstGeom>
                    <a:ln w="19050">
                      <a:solidFill>
                        <a:srgbClr val="002F49"/>
                      </a:solidFill>
                    </a:ln>
                    <a:extLst>
                      <a:ext uri="{53640926-AAD7-44D8-BBD7-CCE9431645EC}">
                        <a14:shadowObscured xmlns:a14="http://schemas.microsoft.com/office/drawing/2010/main"/>
                      </a:ext>
                    </a:extLst>
                  </pic:spPr>
                </pic:pic>
              </a:graphicData>
            </a:graphic>
          </wp:inline>
        </w:drawing>
      </w:r>
    </w:p>
    <w:p w14:paraId="05AFD49C" w14:textId="77777777" w:rsidR="00DC7DEE" w:rsidRPr="00E57C48" w:rsidRDefault="00DC7DEE">
      <w:pPr>
        <w:rPr>
          <w:rFonts w:cs="Arial"/>
          <w:color w:val="002F5D"/>
        </w:rPr>
      </w:pPr>
    </w:p>
    <w:p w14:paraId="457C105B" w14:textId="77777777" w:rsidR="008374F9" w:rsidRPr="00E57C48" w:rsidRDefault="008374F9">
      <w:pPr>
        <w:rPr>
          <w:rFonts w:cs="Arial"/>
          <w:color w:val="002F5D"/>
          <w:sz w:val="6"/>
        </w:rPr>
      </w:pPr>
    </w:p>
    <w:p w14:paraId="438C48ED" w14:textId="77777777" w:rsidR="007E4BEF" w:rsidRPr="00E57C48" w:rsidRDefault="00AF3983" w:rsidP="00AA3A9A">
      <w:pPr>
        <w:spacing w:line="240" w:lineRule="auto"/>
        <w:rPr>
          <w:rFonts w:cs="Arial"/>
          <w:color w:val="002F5D"/>
        </w:rPr>
      </w:pPr>
      <w:r w:rsidRPr="00E57C48">
        <w:rPr>
          <w:rFonts w:cs="Arial"/>
          <w:color w:val="002F5D"/>
        </w:rPr>
        <w:t xml:space="preserve">The </w:t>
      </w:r>
      <w:r w:rsidRPr="00E57C48">
        <w:rPr>
          <w:rFonts w:cs="Arial"/>
          <w:b/>
          <w:color w:val="002F5D"/>
        </w:rPr>
        <w:t>navigation pane</w:t>
      </w:r>
      <w:r w:rsidR="00B217E3" w:rsidRPr="00E57C48">
        <w:rPr>
          <w:rFonts w:cs="Arial"/>
          <w:color w:val="002F5D"/>
        </w:rPr>
        <w:t xml:space="preserve"> provides an easy way to jump between sections.  If it is not displayed by default, click VIEW and tick the Navigation Pane box.</w:t>
      </w:r>
    </w:p>
    <w:p w14:paraId="77D68C14" w14:textId="77777777" w:rsidR="00681526" w:rsidRPr="0037351D" w:rsidRDefault="00620A79">
      <w:pPr>
        <w:rPr>
          <w:rFonts w:cs="Arial"/>
          <w:color w:val="FF0000"/>
        </w:rPr>
      </w:pPr>
      <w:r w:rsidRPr="0037351D">
        <w:rPr>
          <w:noProof/>
          <w:color w:val="FF0000"/>
          <w:lang w:eastAsia="en-GB"/>
        </w:rPr>
        <mc:AlternateContent>
          <mc:Choice Requires="wps">
            <w:drawing>
              <wp:anchor distT="0" distB="0" distL="114300" distR="114300" simplePos="0" relativeHeight="251674624" behindDoc="0" locked="0" layoutInCell="1" allowOverlap="1" wp14:anchorId="5F74E70B" wp14:editId="22D07D45">
                <wp:simplePos x="0" y="0"/>
                <wp:positionH relativeFrom="column">
                  <wp:posOffset>45085</wp:posOffset>
                </wp:positionH>
                <wp:positionV relativeFrom="paragraph">
                  <wp:posOffset>514350</wp:posOffset>
                </wp:positionV>
                <wp:extent cx="1073150" cy="2114550"/>
                <wp:effectExtent l="0" t="0" r="12700" b="19050"/>
                <wp:wrapNone/>
                <wp:docPr id="350" name="Rectangle 350"/>
                <wp:cNvGraphicFramePr/>
                <a:graphic xmlns:a="http://schemas.openxmlformats.org/drawingml/2006/main">
                  <a:graphicData uri="http://schemas.microsoft.com/office/word/2010/wordprocessingShape">
                    <wps:wsp>
                      <wps:cNvSpPr/>
                      <wps:spPr>
                        <a:xfrm>
                          <a:off x="0" y="0"/>
                          <a:ext cx="1073150" cy="2114550"/>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2784F50" id="Rectangle 350" o:spid="_x0000_s1026" style="position:absolute;margin-left:3.55pt;margin-top:40.5pt;width:84.5pt;height:1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" filled="f" strokecolor="#ed8000" strokeweight="2pt"/>
            </w:pict>
          </mc:Fallback>
        </mc:AlternateContent>
      </w:r>
      <w:r w:rsidR="008374F9" w:rsidRPr="0037351D">
        <w:rPr>
          <w:noProof/>
          <w:color w:val="FF0000"/>
          <w:lang w:eastAsia="en-GB"/>
        </w:rPr>
        <mc:AlternateContent>
          <mc:Choice Requires="wps">
            <w:drawing>
              <wp:anchor distT="0" distB="0" distL="114300" distR="114300" simplePos="0" relativeHeight="251676672" behindDoc="0" locked="0" layoutInCell="1" allowOverlap="1" wp14:anchorId="3362859A" wp14:editId="65AC2E00">
                <wp:simplePos x="0" y="0"/>
                <wp:positionH relativeFrom="column">
                  <wp:posOffset>2319965</wp:posOffset>
                </wp:positionH>
                <wp:positionV relativeFrom="paragraph">
                  <wp:posOffset>35235</wp:posOffset>
                </wp:positionV>
                <wp:extent cx="293298" cy="103505"/>
                <wp:effectExtent l="0" t="0" r="12065" b="10795"/>
                <wp:wrapNone/>
                <wp:docPr id="351" name="Rectangle 351"/>
                <wp:cNvGraphicFramePr/>
                <a:graphic xmlns:a="http://schemas.openxmlformats.org/drawingml/2006/main">
                  <a:graphicData uri="http://schemas.microsoft.com/office/word/2010/wordprocessingShape">
                    <wps:wsp>
                      <wps:cNvSpPr/>
                      <wps:spPr>
                        <a:xfrm>
                          <a:off x="0" y="0"/>
                          <a:ext cx="293298" cy="103505"/>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EB75AA9" id="Rectangle 351" o:spid="_x0000_s1026" style="position:absolute;margin-left:182.65pt;margin-top:2.75pt;width:23.1pt;height: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" filled="f" strokecolor="#ed8000" strokeweight="2pt"/>
            </w:pict>
          </mc:Fallback>
        </mc:AlternateContent>
      </w:r>
      <w:r w:rsidR="007E4BEF" w:rsidRPr="0037351D">
        <w:rPr>
          <w:noProof/>
          <w:color w:val="FF0000"/>
          <w:lang w:eastAsia="en-GB"/>
        </w:rPr>
        <mc:AlternateContent>
          <mc:Choice Requires="wps">
            <w:drawing>
              <wp:anchor distT="0" distB="0" distL="114300" distR="114300" simplePos="0" relativeHeight="251678720" behindDoc="0" locked="0" layoutInCell="1" allowOverlap="1" wp14:anchorId="196D93AA" wp14:editId="1BC6962F">
                <wp:simplePos x="0" y="0"/>
                <wp:positionH relativeFrom="column">
                  <wp:posOffset>755043</wp:posOffset>
                </wp:positionH>
                <wp:positionV relativeFrom="paragraph">
                  <wp:posOffset>293757</wp:posOffset>
                </wp:positionV>
                <wp:extent cx="517585" cy="129396"/>
                <wp:effectExtent l="0" t="0" r="15875" b="23495"/>
                <wp:wrapNone/>
                <wp:docPr id="352" name="Rectangle 352"/>
                <wp:cNvGraphicFramePr/>
                <a:graphic xmlns:a="http://schemas.openxmlformats.org/drawingml/2006/main">
                  <a:graphicData uri="http://schemas.microsoft.com/office/word/2010/wordprocessingShape">
                    <wps:wsp>
                      <wps:cNvSpPr/>
                      <wps:spPr>
                        <a:xfrm>
                          <a:off x="0" y="0"/>
                          <a:ext cx="517585" cy="129396"/>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95A9943" id="Rectangle 352" o:spid="_x0000_s1026" style="position:absolute;margin-left:59.45pt;margin-top:23.15pt;width:40.75pt;height: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" filled="f" strokecolor="#ed8000" strokeweight="2pt"/>
            </w:pict>
          </mc:Fallback>
        </mc:AlternateContent>
      </w:r>
      <w:r w:rsidR="008374F9" w:rsidRPr="0037351D">
        <w:rPr>
          <w:noProof/>
          <w:color w:val="FF0000"/>
          <w:lang w:eastAsia="en-GB"/>
        </w:rPr>
        <w:drawing>
          <wp:inline distT="0" distB="0" distL="0" distR="0" wp14:anchorId="2C7C501C" wp14:editId="3819FD24">
            <wp:extent cx="4212000" cy="2631740"/>
            <wp:effectExtent l="19050" t="19050" r="17145" b="1651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12000" cy="2631740"/>
                    </a:xfrm>
                    <a:prstGeom prst="rect">
                      <a:avLst/>
                    </a:prstGeom>
                    <a:ln w="19050">
                      <a:solidFill>
                        <a:srgbClr val="002F49"/>
                      </a:solidFill>
                    </a:ln>
                  </pic:spPr>
                </pic:pic>
              </a:graphicData>
            </a:graphic>
          </wp:inline>
        </w:drawing>
      </w:r>
      <w:r w:rsidR="007E4BEF" w:rsidRPr="0037351D">
        <w:rPr>
          <w:noProof/>
          <w:color w:val="FF0000"/>
          <w:lang w:eastAsia="en-GB"/>
        </w:rPr>
        <w:t xml:space="preserve"> </w:t>
      </w:r>
      <w:r w:rsidR="00681526" w:rsidRPr="0037351D">
        <w:rPr>
          <w:rFonts w:cs="Arial"/>
          <w:color w:val="FF0000"/>
        </w:rPr>
        <w:br w:type="page"/>
      </w:r>
    </w:p>
    <w:p w14:paraId="7CC8CF40" w14:textId="77777777" w:rsidR="00DA6624" w:rsidRPr="00E57C48" w:rsidRDefault="0038179C" w:rsidP="0038179C">
      <w:pPr>
        <w:pStyle w:val="JSNA1"/>
      </w:pPr>
      <w:bookmarkStart w:id="3" w:name="_Toc4407823"/>
      <w:r w:rsidRPr="00E57C48">
        <w:lastRenderedPageBreak/>
        <w:t>EXECUTIVE SUMMARY</w:t>
      </w:r>
      <w:bookmarkEnd w:id="3"/>
    </w:p>
    <w:p w14:paraId="3EC3D159" w14:textId="3E5BB153" w:rsidR="00DF364C" w:rsidRDefault="00DF364C" w:rsidP="00624F2E">
      <w:pPr>
        <w:spacing w:line="240" w:lineRule="auto"/>
        <w:rPr>
          <w:rFonts w:cs="Arial"/>
          <w:b/>
          <w:color w:val="FF0000"/>
        </w:rPr>
      </w:pPr>
    </w:p>
    <w:p w14:paraId="0566E4D5" w14:textId="77777777" w:rsidR="009810FA" w:rsidRPr="00DA777F" w:rsidRDefault="009810FA" w:rsidP="009810FA">
      <w:pPr>
        <w:spacing w:line="240" w:lineRule="auto"/>
        <w:rPr>
          <w:rFonts w:ascii="Calibri" w:eastAsia="Calibri" w:hAnsi="Calibri" w:cs="Arial"/>
          <w:b/>
          <w:color w:val="002F5D"/>
        </w:rPr>
      </w:pPr>
      <w:r w:rsidRPr="00DA777F">
        <w:rPr>
          <w:rFonts w:ascii="Calibri" w:eastAsia="Calibri" w:hAnsi="Calibri" w:cs="Arial"/>
          <w:b/>
          <w:color w:val="002F5D"/>
        </w:rPr>
        <w:t>PURPOSE</w:t>
      </w:r>
    </w:p>
    <w:p w14:paraId="57657181" w14:textId="77777777" w:rsidR="009810FA" w:rsidRPr="00DA777F" w:rsidRDefault="009810FA" w:rsidP="009810FA">
      <w:pPr>
        <w:spacing w:line="276" w:lineRule="auto"/>
        <w:rPr>
          <w:rFonts w:ascii="Arial" w:eastAsia="Calibri" w:hAnsi="Arial" w:cs="Arial"/>
          <w:b/>
          <w:color w:val="002F5D"/>
          <w:sz w:val="12"/>
          <w:szCs w:val="24"/>
        </w:rPr>
      </w:pPr>
    </w:p>
    <w:p w14:paraId="69C04F8E" w14:textId="77777777" w:rsidR="009810FA" w:rsidRPr="00DA777F" w:rsidRDefault="009810FA" w:rsidP="009810FA">
      <w:pPr>
        <w:spacing w:line="240" w:lineRule="auto"/>
        <w:jc w:val="both"/>
        <w:rPr>
          <w:rFonts w:ascii="Calibri" w:eastAsia="Times New Roman" w:hAnsi="Calibri" w:cs="Times New Roman"/>
          <w:color w:val="002F5D"/>
          <w:lang w:eastAsia="en-GB"/>
        </w:rPr>
      </w:pPr>
      <w:r w:rsidRPr="00DA777F">
        <w:rPr>
          <w:rFonts w:ascii="Calibri" w:eastAsia="Times New Roman" w:hAnsi="Calibri" w:cs="Times New Roman"/>
          <w:color w:val="002F5D"/>
          <w:lang w:eastAsia="en-GB"/>
        </w:rPr>
        <w:t>The purpose of Cambridgeshire and Peterborough Joint Strategic Needs Assessments (JSNA) is to identify local needs and views to support local strategy development and service planning. In order to understand whether we are achieving good health and care outcomes locally, it is useful to benchmark outcomes in the area against local and national averages and look at trends over time. It should be noted that not all data are available at the combined Cambridgeshire and Peterborough level or are benchmarked when combined.</w:t>
      </w:r>
    </w:p>
    <w:p w14:paraId="24EE0BDA" w14:textId="30318F9D" w:rsidR="009810FA" w:rsidRPr="0022024E" w:rsidRDefault="009810FA" w:rsidP="009810FA">
      <w:pPr>
        <w:spacing w:line="240" w:lineRule="auto"/>
        <w:rPr>
          <w:rFonts w:ascii="Calibri" w:eastAsia="Calibri" w:hAnsi="Calibri" w:cs="Arial"/>
          <w:color w:val="FF0000"/>
        </w:rPr>
      </w:pPr>
    </w:p>
    <w:p w14:paraId="5B49696F" w14:textId="77777777" w:rsidR="009810FA" w:rsidRPr="00DA777F" w:rsidRDefault="009810FA" w:rsidP="009810FA">
      <w:pPr>
        <w:spacing w:line="240" w:lineRule="auto"/>
        <w:rPr>
          <w:rFonts w:ascii="Calibri" w:eastAsia="Calibri" w:hAnsi="Calibri" w:cs="Arial"/>
          <w:color w:val="002F5D"/>
        </w:rPr>
      </w:pPr>
      <w:r w:rsidRPr="00DA777F">
        <w:rPr>
          <w:rFonts w:ascii="Calibri" w:eastAsia="Calibri" w:hAnsi="Calibri" w:cs="Arial"/>
          <w:color w:val="002F5D"/>
        </w:rPr>
        <w:t>The primary purpose of this Executive Summary is to identify key points from this Cambridgeshire and Peterborough Joint Strategic Needs Assessment Core Dataset, with particular emphasis on those areas and issues that are of greater overall concern within each part of the report. There is an overall summary and a summary by report chapter.</w:t>
      </w:r>
    </w:p>
    <w:p w14:paraId="2A5EBA7E" w14:textId="77777777" w:rsidR="009810FA" w:rsidRPr="00DA777F" w:rsidRDefault="009810FA" w:rsidP="009810FA">
      <w:pPr>
        <w:spacing w:line="240" w:lineRule="auto"/>
        <w:rPr>
          <w:rFonts w:ascii="Calibri" w:eastAsia="Calibri" w:hAnsi="Calibri" w:cs="Arial"/>
          <w:color w:val="002F5D"/>
        </w:rPr>
      </w:pPr>
    </w:p>
    <w:p w14:paraId="0F252E39" w14:textId="77777777" w:rsidR="009810FA" w:rsidRPr="0022024E" w:rsidRDefault="009810FA" w:rsidP="009810FA">
      <w:pPr>
        <w:spacing w:line="240" w:lineRule="auto"/>
        <w:rPr>
          <w:rFonts w:ascii="Calibri" w:eastAsia="Calibri" w:hAnsi="Calibri" w:cs="Arial"/>
          <w:color w:val="FF0000"/>
        </w:rPr>
      </w:pPr>
      <w:r w:rsidRPr="00DA777F">
        <w:rPr>
          <w:rFonts w:ascii="Calibri" w:eastAsia="Calibri" w:hAnsi="Calibri" w:cs="Arial"/>
          <w:color w:val="002F5D"/>
        </w:rPr>
        <w:t>Public Health England’s national health profiles are also are a good place to start in looking at the overall local picture of health and wellbeing across Cambridgeshi</w:t>
      </w:r>
      <w:r w:rsidRPr="004434DA">
        <w:rPr>
          <w:rFonts w:ascii="Calibri" w:eastAsia="Calibri" w:hAnsi="Calibri" w:cs="Arial"/>
          <w:color w:val="002F5D"/>
        </w:rPr>
        <w:t>re and Peterborough. Local summaries of these are provided in Table 1 in Section 1.1 below.</w:t>
      </w:r>
    </w:p>
    <w:p w14:paraId="206AE7E6" w14:textId="77777777" w:rsidR="009810FA" w:rsidRPr="0022024E" w:rsidRDefault="009810FA" w:rsidP="009810FA">
      <w:pPr>
        <w:spacing w:line="240" w:lineRule="auto"/>
        <w:rPr>
          <w:rFonts w:ascii="Calibri" w:eastAsia="Calibri" w:hAnsi="Calibri" w:cs="Arial"/>
          <w:color w:val="FF0000"/>
        </w:rPr>
      </w:pPr>
    </w:p>
    <w:p w14:paraId="404F15F5" w14:textId="77777777" w:rsidR="009810FA" w:rsidRPr="00DA777F" w:rsidRDefault="009810FA" w:rsidP="009810FA">
      <w:pPr>
        <w:spacing w:line="240" w:lineRule="auto"/>
        <w:rPr>
          <w:rFonts w:ascii="Calibri" w:eastAsia="Calibri" w:hAnsi="Calibri" w:cs="Arial"/>
          <w:color w:val="002F5D"/>
        </w:rPr>
      </w:pPr>
      <w:r w:rsidRPr="00DA777F">
        <w:rPr>
          <w:rFonts w:ascii="Calibri" w:eastAsia="Calibri" w:hAnsi="Calibri" w:cs="Arial"/>
          <w:color w:val="002F5D"/>
        </w:rPr>
        <w:t xml:space="preserve">This </w:t>
      </w:r>
      <w:r w:rsidRPr="00DA777F">
        <w:rPr>
          <w:rFonts w:ascii="Calibri" w:eastAsia="Calibri" w:hAnsi="Calibri" w:cs="Arial"/>
          <w:b/>
          <w:color w:val="002F5D"/>
        </w:rPr>
        <w:t>Cambridgeshire and Peterborough JSNA Core Dataset</w:t>
      </w:r>
      <w:r w:rsidRPr="00DA777F">
        <w:rPr>
          <w:rFonts w:ascii="Calibri" w:eastAsia="Calibri" w:hAnsi="Calibri" w:cs="Arial"/>
          <w:color w:val="002F5D"/>
        </w:rPr>
        <w:t xml:space="preserve"> was first produced in 2018, following an initial Cambridgeshire JSNA Core Dataset and Peterborough JSNA Core Dataset produced by PHI in 2017. All of the JSNA Core Datasets are available at </w:t>
      </w:r>
      <w:hyperlink r:id="rId14" w:history="1">
        <w:r w:rsidRPr="00DA777F">
          <w:rPr>
            <w:rFonts w:ascii="Calibri" w:eastAsia="Calibri" w:hAnsi="Calibri" w:cs="Arial"/>
            <w:color w:val="002F5D"/>
            <w:u w:val="single"/>
          </w:rPr>
          <w:t>http://cambridgeshireinsight.org.uk/jsna</w:t>
        </w:r>
      </w:hyperlink>
      <w:r w:rsidRPr="00DA777F">
        <w:rPr>
          <w:rFonts w:ascii="Calibri" w:eastAsia="Calibri" w:hAnsi="Calibri" w:cs="Arial"/>
          <w:color w:val="002F5D"/>
        </w:rPr>
        <w:t xml:space="preserve"> and </w:t>
      </w:r>
      <w:hyperlink r:id="rId15" w:history="1">
        <w:r w:rsidRPr="00DA777F">
          <w:rPr>
            <w:rFonts w:ascii="Calibri" w:eastAsia="Calibri" w:hAnsi="Calibri" w:cs="Arial"/>
            <w:color w:val="002F5D"/>
            <w:u w:val="single"/>
          </w:rPr>
          <w:t>www.peterborough.gov.uk/healthcare/public-health/JSNA</w:t>
        </w:r>
      </w:hyperlink>
      <w:r w:rsidRPr="00DA777F">
        <w:rPr>
          <w:rFonts w:ascii="Calibri" w:eastAsia="Calibri" w:hAnsi="Calibri" w:cs="Arial"/>
          <w:color w:val="002F5D"/>
        </w:rPr>
        <w:t>.</w:t>
      </w:r>
    </w:p>
    <w:p w14:paraId="350A22B5" w14:textId="77777777" w:rsidR="009810FA" w:rsidRPr="0022024E" w:rsidRDefault="009810FA" w:rsidP="009810FA">
      <w:pPr>
        <w:spacing w:line="240" w:lineRule="auto"/>
        <w:rPr>
          <w:rFonts w:ascii="Calibri" w:eastAsia="Calibri" w:hAnsi="Calibri" w:cs="Arial"/>
          <w:color w:val="002F5D"/>
        </w:rPr>
      </w:pPr>
    </w:p>
    <w:p w14:paraId="60E25743" w14:textId="77777777" w:rsidR="009810FA" w:rsidRPr="00DA777F" w:rsidRDefault="009810FA" w:rsidP="009810FA">
      <w:pPr>
        <w:spacing w:line="240" w:lineRule="auto"/>
        <w:rPr>
          <w:rFonts w:ascii="Calibri" w:eastAsia="Calibri" w:hAnsi="Calibri" w:cs="Arial"/>
          <w:b/>
          <w:color w:val="002F5D"/>
        </w:rPr>
      </w:pPr>
      <w:r w:rsidRPr="00DA777F">
        <w:rPr>
          <w:rFonts w:ascii="Calibri" w:eastAsia="Calibri" w:hAnsi="Calibri" w:cs="Arial"/>
          <w:b/>
          <w:color w:val="002F5D"/>
        </w:rPr>
        <w:t>OVERALL EXECUTIVE SUMMARY</w:t>
      </w:r>
    </w:p>
    <w:p w14:paraId="663A998D" w14:textId="77777777" w:rsidR="009810FA" w:rsidRPr="00DA777F" w:rsidRDefault="009810FA" w:rsidP="009810FA">
      <w:pPr>
        <w:spacing w:line="240" w:lineRule="auto"/>
        <w:rPr>
          <w:rFonts w:ascii="Calibri" w:eastAsia="Calibri" w:hAnsi="Calibri" w:cs="Arial"/>
          <w:color w:val="002F5D"/>
        </w:rPr>
      </w:pPr>
    </w:p>
    <w:p w14:paraId="7121ABDB" w14:textId="77777777" w:rsidR="009810FA" w:rsidRPr="00DA777F" w:rsidRDefault="009810FA" w:rsidP="009810FA">
      <w:pPr>
        <w:spacing w:line="240" w:lineRule="auto"/>
        <w:rPr>
          <w:rFonts w:ascii="Calibri" w:eastAsia="Calibri" w:hAnsi="Calibri" w:cs="Arial"/>
          <w:color w:val="002F5D"/>
        </w:rPr>
      </w:pPr>
      <w:r w:rsidRPr="00DA777F">
        <w:rPr>
          <w:rFonts w:ascii="Calibri" w:eastAsia="Calibri" w:hAnsi="Calibri" w:cs="Arial"/>
          <w:color w:val="002F5D"/>
        </w:rPr>
        <w:t>It should be noted that any summary is by necessity high-level, relatively crude, and cannot include the detailed differences and nuances of health and wellbeing across a large area like Cambridgeshire and Peterborough.</w:t>
      </w:r>
    </w:p>
    <w:p w14:paraId="33CAF781" w14:textId="77777777" w:rsidR="009810FA" w:rsidRPr="00DA777F" w:rsidRDefault="009810FA" w:rsidP="009810FA">
      <w:pPr>
        <w:spacing w:line="240" w:lineRule="auto"/>
        <w:rPr>
          <w:rFonts w:ascii="Calibri" w:eastAsia="Calibri" w:hAnsi="Calibri" w:cs="Arial"/>
          <w:color w:val="002F5D"/>
        </w:rPr>
      </w:pPr>
    </w:p>
    <w:p w14:paraId="0C85EEF3" w14:textId="77777777" w:rsidR="009810FA" w:rsidRPr="00DA777F" w:rsidRDefault="009810FA" w:rsidP="009810FA">
      <w:pPr>
        <w:numPr>
          <w:ilvl w:val="0"/>
          <w:numId w:val="60"/>
        </w:numPr>
        <w:spacing w:line="240" w:lineRule="auto"/>
        <w:ind w:left="714" w:hanging="357"/>
        <w:contextualSpacing/>
        <w:rPr>
          <w:rFonts w:ascii="Calibri" w:eastAsia="Calibri" w:hAnsi="Calibri" w:cs="Arial"/>
          <w:color w:val="002F5D"/>
        </w:rPr>
      </w:pPr>
      <w:r w:rsidRPr="00DA777F">
        <w:rPr>
          <w:rFonts w:ascii="Calibri" w:eastAsia="Calibri" w:hAnsi="Calibri" w:cs="Arial"/>
          <w:color w:val="002F5D"/>
        </w:rPr>
        <w:t xml:space="preserve">Overall, </w:t>
      </w:r>
      <w:r w:rsidRPr="00DA777F">
        <w:rPr>
          <w:rFonts w:ascii="Calibri" w:eastAsia="Calibri" w:hAnsi="Calibri" w:cs="Arial"/>
          <w:b/>
          <w:color w:val="002F5D"/>
        </w:rPr>
        <w:t xml:space="preserve">Cambridgeshire and Peterborough combined </w:t>
      </w:r>
      <w:r w:rsidRPr="00DA777F">
        <w:rPr>
          <w:rFonts w:ascii="Calibri" w:eastAsia="Calibri" w:hAnsi="Calibri" w:cs="Arial"/>
          <w:color w:val="002F5D"/>
        </w:rPr>
        <w:t xml:space="preserve">tends to present a picture of a </w:t>
      </w:r>
      <w:r w:rsidRPr="00DA777F">
        <w:rPr>
          <w:rFonts w:ascii="Calibri" w:eastAsia="Calibri" w:hAnsi="Calibri" w:cs="Arial"/>
          <w:b/>
          <w:color w:val="002F5D"/>
        </w:rPr>
        <w:t>relatively healthy place</w:t>
      </w:r>
      <w:r w:rsidRPr="00DA777F">
        <w:rPr>
          <w:rFonts w:ascii="Calibri" w:eastAsia="Calibri" w:hAnsi="Calibri" w:cs="Arial"/>
          <w:color w:val="002F5D"/>
        </w:rPr>
        <w:t xml:space="preserve"> when compared nationally. The area </w:t>
      </w:r>
      <w:r w:rsidRPr="00DA777F">
        <w:rPr>
          <w:rFonts w:ascii="Calibri" w:eastAsia="Calibri" w:hAnsi="Calibri" w:cs="Arial"/>
          <w:b/>
          <w:color w:val="002F5D"/>
        </w:rPr>
        <w:t>compares generally well</w:t>
      </w:r>
      <w:r w:rsidRPr="00DA777F">
        <w:rPr>
          <w:rFonts w:ascii="Calibri" w:eastAsia="Calibri" w:hAnsi="Calibri" w:cs="Arial"/>
          <w:color w:val="002F5D"/>
        </w:rPr>
        <w:t xml:space="preserve"> with national health and wellbeing determinants and outcomes.</w:t>
      </w:r>
    </w:p>
    <w:p w14:paraId="092CA703" w14:textId="77777777" w:rsidR="009810FA" w:rsidRPr="00DA777F" w:rsidRDefault="009810FA" w:rsidP="009810FA">
      <w:pPr>
        <w:numPr>
          <w:ilvl w:val="0"/>
          <w:numId w:val="60"/>
        </w:numPr>
        <w:spacing w:line="240" w:lineRule="auto"/>
        <w:ind w:left="714" w:hanging="357"/>
        <w:contextualSpacing/>
        <w:rPr>
          <w:rFonts w:ascii="Calibri" w:eastAsia="Calibri" w:hAnsi="Calibri" w:cs="Arial"/>
          <w:color w:val="002F5D"/>
        </w:rPr>
      </w:pPr>
      <w:r w:rsidRPr="00DA777F">
        <w:rPr>
          <w:rFonts w:ascii="Calibri" w:eastAsia="Calibri" w:hAnsi="Calibri" w:cs="Arial"/>
          <w:color w:val="002F5D"/>
        </w:rPr>
        <w:t xml:space="preserve">However, independently, the residents of Cambridgeshire and Peterborough present differing health experiences overall; </w:t>
      </w:r>
      <w:r w:rsidRPr="00DA777F">
        <w:rPr>
          <w:rFonts w:ascii="Calibri" w:eastAsia="Calibri" w:hAnsi="Calibri" w:cs="Arial"/>
          <w:b/>
          <w:color w:val="002F5D"/>
        </w:rPr>
        <w:t>Cambridgeshire tends to compare generally well</w:t>
      </w:r>
      <w:r w:rsidRPr="00DA777F">
        <w:rPr>
          <w:rFonts w:ascii="Calibri" w:eastAsia="Calibri" w:hAnsi="Calibri" w:cs="Arial"/>
          <w:color w:val="002F5D"/>
        </w:rPr>
        <w:t xml:space="preserve"> with national health and wellbeing determinants and outcomes, whilst </w:t>
      </w:r>
      <w:r w:rsidRPr="00DA777F">
        <w:rPr>
          <w:rFonts w:ascii="Calibri" w:eastAsia="Calibri" w:hAnsi="Calibri" w:cs="Arial"/>
          <w:b/>
          <w:color w:val="002F5D"/>
        </w:rPr>
        <w:t>Peterborough</w:t>
      </w:r>
      <w:r w:rsidRPr="00DA777F">
        <w:rPr>
          <w:rFonts w:ascii="Calibri" w:eastAsia="Calibri" w:hAnsi="Calibri" w:cs="Arial"/>
          <w:color w:val="002F5D"/>
        </w:rPr>
        <w:t xml:space="preserve"> appears to have </w:t>
      </w:r>
      <w:r w:rsidRPr="00DA777F">
        <w:rPr>
          <w:rFonts w:ascii="Calibri" w:eastAsia="Calibri" w:hAnsi="Calibri" w:cs="Arial"/>
          <w:b/>
          <w:color w:val="002F5D"/>
        </w:rPr>
        <w:t>more widespread health and wellbeing issues</w:t>
      </w:r>
      <w:r w:rsidRPr="00DA777F">
        <w:rPr>
          <w:rFonts w:ascii="Calibri" w:eastAsia="Calibri" w:hAnsi="Calibri" w:cs="Arial"/>
          <w:color w:val="002F5D"/>
        </w:rPr>
        <w:t>, where health determinants and outcomes are often more adverse than the Cambridgeshire, Cambridgeshire and Peterborough and national averages.</w:t>
      </w:r>
    </w:p>
    <w:p w14:paraId="110FE38D" w14:textId="77777777" w:rsidR="009810FA" w:rsidRPr="00DA777F" w:rsidRDefault="009810FA" w:rsidP="009810FA">
      <w:pPr>
        <w:numPr>
          <w:ilvl w:val="0"/>
          <w:numId w:val="60"/>
        </w:numPr>
        <w:spacing w:line="240" w:lineRule="auto"/>
        <w:ind w:left="714" w:hanging="357"/>
        <w:contextualSpacing/>
        <w:rPr>
          <w:rFonts w:ascii="Calibri" w:eastAsia="Calibri" w:hAnsi="Calibri" w:cs="Arial"/>
          <w:color w:val="002F5D"/>
        </w:rPr>
      </w:pPr>
      <w:r w:rsidRPr="00DA777F">
        <w:rPr>
          <w:rFonts w:ascii="Calibri" w:eastAsia="Calibri" w:hAnsi="Calibri" w:cs="Arial"/>
          <w:color w:val="002F5D"/>
        </w:rPr>
        <w:t xml:space="preserve">Data also highlights </w:t>
      </w:r>
      <w:r w:rsidRPr="00DA777F">
        <w:rPr>
          <w:rFonts w:ascii="Calibri" w:eastAsia="Calibri" w:hAnsi="Calibri" w:cs="Arial"/>
          <w:b/>
          <w:color w:val="002F5D"/>
        </w:rPr>
        <w:t>variance in health outcomes at a district level</w:t>
      </w:r>
      <w:r w:rsidRPr="00DA777F">
        <w:rPr>
          <w:rFonts w:ascii="Calibri" w:eastAsia="Calibri" w:hAnsi="Calibri" w:cs="Arial"/>
          <w:color w:val="002F5D"/>
        </w:rPr>
        <w:t xml:space="preserve"> </w:t>
      </w:r>
      <w:r w:rsidRPr="00DA777F">
        <w:rPr>
          <w:rFonts w:ascii="Calibri" w:eastAsia="Calibri" w:hAnsi="Calibri" w:cs="Arial"/>
          <w:b/>
          <w:color w:val="002F5D"/>
        </w:rPr>
        <w:t>within Cambridgeshire.</w:t>
      </w:r>
      <w:r w:rsidRPr="00DA777F">
        <w:rPr>
          <w:rFonts w:ascii="Calibri" w:eastAsia="Calibri" w:hAnsi="Calibri" w:cs="Arial"/>
          <w:color w:val="002F5D"/>
        </w:rPr>
        <w:t xml:space="preserve"> In </w:t>
      </w:r>
      <w:r w:rsidRPr="00DA777F">
        <w:rPr>
          <w:rFonts w:ascii="Calibri" w:eastAsia="Calibri" w:hAnsi="Calibri" w:cs="Arial"/>
          <w:b/>
          <w:color w:val="002F5D"/>
        </w:rPr>
        <w:t>Fenland</w:t>
      </w:r>
      <w:r w:rsidRPr="00DA777F">
        <w:rPr>
          <w:rFonts w:ascii="Calibri" w:eastAsia="Calibri" w:hAnsi="Calibri" w:cs="Arial"/>
          <w:color w:val="002F5D"/>
        </w:rPr>
        <w:t xml:space="preserve"> it is a priority to broadly improve health determinants and outcomes and to reduce health inequalities.</w:t>
      </w:r>
    </w:p>
    <w:p w14:paraId="29995A50" w14:textId="77777777" w:rsidR="009810FA" w:rsidRDefault="009810FA" w:rsidP="009810FA">
      <w:pPr>
        <w:spacing w:line="240" w:lineRule="auto"/>
        <w:rPr>
          <w:rFonts w:ascii="Calibri" w:eastAsia="Calibri" w:hAnsi="Calibri" w:cs="Arial"/>
          <w:color w:val="FF0000"/>
        </w:rPr>
      </w:pPr>
    </w:p>
    <w:p w14:paraId="7B2A6A7A" w14:textId="12B2E5B4" w:rsidR="009810FA" w:rsidRDefault="009810FA" w:rsidP="009810FA">
      <w:pPr>
        <w:spacing w:line="240" w:lineRule="auto"/>
        <w:rPr>
          <w:rFonts w:ascii="Calibri" w:eastAsia="Calibri" w:hAnsi="Calibri" w:cs="Arial"/>
          <w:color w:val="FF0000"/>
        </w:rPr>
      </w:pPr>
    </w:p>
    <w:p w14:paraId="7422DB8A" w14:textId="23F7F63D" w:rsidR="00996925" w:rsidRDefault="00996925" w:rsidP="009810FA">
      <w:pPr>
        <w:spacing w:line="240" w:lineRule="auto"/>
        <w:rPr>
          <w:rFonts w:ascii="Calibri" w:eastAsia="Calibri" w:hAnsi="Calibri" w:cs="Arial"/>
          <w:color w:val="FF0000"/>
        </w:rPr>
      </w:pPr>
    </w:p>
    <w:p w14:paraId="7AAE5913" w14:textId="68780E4E" w:rsidR="00996925" w:rsidRDefault="00996925" w:rsidP="009810FA">
      <w:pPr>
        <w:spacing w:line="240" w:lineRule="auto"/>
        <w:rPr>
          <w:rFonts w:ascii="Calibri" w:eastAsia="Calibri" w:hAnsi="Calibri" w:cs="Arial"/>
          <w:color w:val="FF0000"/>
        </w:rPr>
      </w:pPr>
    </w:p>
    <w:p w14:paraId="60C9A378" w14:textId="66E7B426" w:rsidR="00996925" w:rsidRDefault="00996925" w:rsidP="009810FA">
      <w:pPr>
        <w:spacing w:line="240" w:lineRule="auto"/>
        <w:rPr>
          <w:rFonts w:ascii="Calibri" w:eastAsia="Calibri" w:hAnsi="Calibri" w:cs="Arial"/>
          <w:color w:val="FF0000"/>
        </w:rPr>
      </w:pPr>
    </w:p>
    <w:p w14:paraId="61F70931" w14:textId="7C565DCF" w:rsidR="00996925" w:rsidRDefault="00996925" w:rsidP="009810FA">
      <w:pPr>
        <w:spacing w:line="240" w:lineRule="auto"/>
        <w:rPr>
          <w:rFonts w:ascii="Calibri" w:eastAsia="Calibri" w:hAnsi="Calibri" w:cs="Arial"/>
          <w:color w:val="FF0000"/>
        </w:rPr>
      </w:pPr>
    </w:p>
    <w:p w14:paraId="1859B83A" w14:textId="3D524CAF" w:rsidR="00996925" w:rsidRDefault="00996925" w:rsidP="009810FA">
      <w:pPr>
        <w:spacing w:line="240" w:lineRule="auto"/>
        <w:rPr>
          <w:rFonts w:ascii="Calibri" w:eastAsia="Calibri" w:hAnsi="Calibri" w:cs="Arial"/>
          <w:color w:val="FF0000"/>
        </w:rPr>
      </w:pPr>
    </w:p>
    <w:p w14:paraId="1954BCE7" w14:textId="29436EE1" w:rsidR="00996925" w:rsidRDefault="00996925" w:rsidP="009810FA">
      <w:pPr>
        <w:spacing w:line="240" w:lineRule="auto"/>
        <w:rPr>
          <w:rFonts w:ascii="Calibri" w:eastAsia="Calibri" w:hAnsi="Calibri" w:cs="Arial"/>
          <w:color w:val="FF0000"/>
        </w:rPr>
      </w:pPr>
    </w:p>
    <w:p w14:paraId="1B017765" w14:textId="6EB07D37" w:rsidR="00996925" w:rsidRDefault="00996925" w:rsidP="009810FA">
      <w:pPr>
        <w:spacing w:line="240" w:lineRule="auto"/>
        <w:rPr>
          <w:rFonts w:ascii="Calibri" w:eastAsia="Calibri" w:hAnsi="Calibri" w:cs="Arial"/>
          <w:color w:val="FF0000"/>
        </w:rPr>
      </w:pPr>
    </w:p>
    <w:p w14:paraId="03C08DC9" w14:textId="77777777" w:rsidR="00996925" w:rsidRDefault="00996925" w:rsidP="009810FA">
      <w:pPr>
        <w:spacing w:line="240" w:lineRule="auto"/>
        <w:rPr>
          <w:rFonts w:ascii="Calibri" w:eastAsia="Calibri" w:hAnsi="Calibri" w:cs="Arial"/>
          <w:color w:val="FF0000"/>
        </w:rPr>
      </w:pPr>
    </w:p>
    <w:p w14:paraId="2543CC19" w14:textId="77777777" w:rsidR="009810FA" w:rsidRPr="0022024E" w:rsidRDefault="009810FA" w:rsidP="009810FA">
      <w:pPr>
        <w:spacing w:line="240" w:lineRule="auto"/>
        <w:rPr>
          <w:rFonts w:ascii="Calibri" w:eastAsia="Calibri" w:hAnsi="Calibri" w:cs="Arial"/>
          <w:color w:val="FF0000"/>
        </w:rPr>
      </w:pPr>
    </w:p>
    <w:p w14:paraId="34F9A5A3" w14:textId="77777777" w:rsidR="009810FA" w:rsidRPr="00DA777F" w:rsidRDefault="009810FA" w:rsidP="009810FA">
      <w:pPr>
        <w:spacing w:line="240" w:lineRule="auto"/>
        <w:rPr>
          <w:rFonts w:ascii="Calibri" w:eastAsia="Calibri" w:hAnsi="Calibri" w:cs="Arial"/>
          <w:color w:val="002F5D"/>
        </w:rPr>
      </w:pPr>
      <w:r w:rsidRPr="00DA777F">
        <w:rPr>
          <w:rFonts w:ascii="Calibri" w:eastAsia="Calibri" w:hAnsi="Calibri" w:cs="Arial"/>
          <w:color w:val="002F5D"/>
        </w:rPr>
        <w:lastRenderedPageBreak/>
        <w:t xml:space="preserve">The </w:t>
      </w:r>
      <w:r w:rsidRPr="00DA777F">
        <w:rPr>
          <w:rFonts w:ascii="Calibri" w:eastAsia="Calibri" w:hAnsi="Calibri" w:cs="Arial"/>
          <w:b/>
          <w:color w:val="002F5D"/>
        </w:rPr>
        <w:t>principal points</w:t>
      </w:r>
      <w:r w:rsidRPr="00DA777F">
        <w:rPr>
          <w:rFonts w:ascii="Calibri" w:eastAsia="Calibri" w:hAnsi="Calibri" w:cs="Arial"/>
          <w:color w:val="002F5D"/>
        </w:rPr>
        <w:t xml:space="preserve"> in this report can be summarised as follows. </w:t>
      </w:r>
    </w:p>
    <w:p w14:paraId="68542DC9" w14:textId="77777777" w:rsidR="009810FA" w:rsidRPr="0022024E" w:rsidRDefault="009810FA" w:rsidP="009810FA">
      <w:pPr>
        <w:spacing w:line="240" w:lineRule="auto"/>
        <w:rPr>
          <w:rFonts w:ascii="Calibri" w:eastAsia="Calibri" w:hAnsi="Calibri" w:cs="Arial"/>
          <w:color w:val="FF0000"/>
        </w:rPr>
      </w:pPr>
    </w:p>
    <w:p w14:paraId="006D747B" w14:textId="098A4CB1" w:rsidR="009810FA" w:rsidRPr="00DA777F" w:rsidRDefault="009810FA" w:rsidP="009810FA">
      <w:pPr>
        <w:numPr>
          <w:ilvl w:val="0"/>
          <w:numId w:val="59"/>
        </w:numPr>
        <w:spacing w:line="240" w:lineRule="auto"/>
        <w:contextualSpacing/>
        <w:rPr>
          <w:rFonts w:ascii="Calibri" w:eastAsia="Calibri" w:hAnsi="Calibri" w:cs="Arial"/>
          <w:color w:val="002F5D"/>
        </w:rPr>
      </w:pPr>
      <w:r w:rsidRPr="00DA777F">
        <w:rPr>
          <w:rFonts w:ascii="Calibri" w:eastAsia="Calibri" w:hAnsi="Calibri" w:cs="Arial"/>
          <w:b/>
          <w:color w:val="002F5D"/>
        </w:rPr>
        <w:t>Life expectancy</w:t>
      </w:r>
      <w:r w:rsidRPr="00DA777F">
        <w:rPr>
          <w:rFonts w:ascii="Calibri" w:eastAsia="Calibri" w:hAnsi="Calibri" w:cs="Arial"/>
          <w:color w:val="002F5D"/>
        </w:rPr>
        <w:t xml:space="preserve"> in </w:t>
      </w:r>
      <w:r w:rsidRPr="00DA777F">
        <w:rPr>
          <w:rFonts w:ascii="Calibri" w:eastAsia="Calibri" w:hAnsi="Calibri" w:cs="Arial"/>
          <w:b/>
          <w:color w:val="002F5D"/>
        </w:rPr>
        <w:t>Cambridgeshire</w:t>
      </w:r>
      <w:r w:rsidRPr="00DA777F">
        <w:rPr>
          <w:rFonts w:ascii="Calibri" w:eastAsia="Calibri" w:hAnsi="Calibri" w:cs="Arial"/>
          <w:color w:val="002F5D"/>
        </w:rPr>
        <w:t xml:space="preserve"> in men and women is </w:t>
      </w:r>
      <w:r w:rsidRPr="00DA777F">
        <w:rPr>
          <w:rFonts w:ascii="Calibri" w:eastAsia="Calibri" w:hAnsi="Calibri" w:cs="Arial"/>
          <w:b/>
          <w:color w:val="002F5D"/>
        </w:rPr>
        <w:t>above national average</w:t>
      </w:r>
      <w:r w:rsidR="00DB257F">
        <w:rPr>
          <w:rFonts w:ascii="Calibri" w:eastAsia="Calibri" w:hAnsi="Calibri" w:cs="Arial"/>
          <w:b/>
          <w:color w:val="002F5D"/>
        </w:rPr>
        <w:t>s</w:t>
      </w:r>
      <w:r w:rsidRPr="00DA777F">
        <w:rPr>
          <w:rFonts w:ascii="Calibri" w:eastAsia="Calibri" w:hAnsi="Calibri" w:cs="Arial"/>
          <w:color w:val="002F5D"/>
        </w:rPr>
        <w:t xml:space="preserve"> and premature and overall </w:t>
      </w:r>
      <w:r w:rsidRPr="00DA777F">
        <w:rPr>
          <w:rFonts w:ascii="Calibri" w:eastAsia="Calibri" w:hAnsi="Calibri" w:cs="Arial"/>
          <w:b/>
          <w:color w:val="002F5D"/>
        </w:rPr>
        <w:t>death rates</w:t>
      </w:r>
      <w:r w:rsidRPr="00DA777F">
        <w:rPr>
          <w:rFonts w:ascii="Calibri" w:eastAsia="Calibri" w:hAnsi="Calibri" w:cs="Arial"/>
          <w:color w:val="002F5D"/>
        </w:rPr>
        <w:t xml:space="preserve"> are </w:t>
      </w:r>
      <w:r w:rsidRPr="00DA777F">
        <w:rPr>
          <w:rFonts w:ascii="Calibri" w:eastAsia="Calibri" w:hAnsi="Calibri" w:cs="Arial"/>
          <w:b/>
          <w:color w:val="002F5D"/>
        </w:rPr>
        <w:t>low</w:t>
      </w:r>
      <w:r w:rsidRPr="00DA777F">
        <w:rPr>
          <w:rFonts w:ascii="Calibri" w:eastAsia="Calibri" w:hAnsi="Calibri" w:cs="Arial"/>
          <w:color w:val="002F5D"/>
        </w:rPr>
        <w:t xml:space="preserve">. However, life expectancy for </w:t>
      </w:r>
      <w:r w:rsidRPr="00DA777F">
        <w:rPr>
          <w:rFonts w:ascii="Calibri" w:eastAsia="Calibri" w:hAnsi="Calibri" w:cs="Arial"/>
          <w:b/>
          <w:color w:val="002F5D"/>
        </w:rPr>
        <w:t>Peterborough</w:t>
      </w:r>
      <w:r w:rsidRPr="00DA777F">
        <w:rPr>
          <w:rFonts w:ascii="Calibri" w:eastAsia="Calibri" w:hAnsi="Calibri" w:cs="Arial"/>
          <w:color w:val="002F5D"/>
        </w:rPr>
        <w:t xml:space="preserve"> is below the rate for England, and overall </w:t>
      </w:r>
      <w:r w:rsidRPr="00DA777F">
        <w:rPr>
          <w:rFonts w:ascii="Calibri" w:eastAsia="Calibri" w:hAnsi="Calibri" w:cs="Arial"/>
          <w:b/>
          <w:color w:val="002F5D"/>
        </w:rPr>
        <w:t>death rates</w:t>
      </w:r>
      <w:r w:rsidRPr="00DA777F">
        <w:rPr>
          <w:rFonts w:ascii="Calibri" w:eastAsia="Calibri" w:hAnsi="Calibri" w:cs="Arial"/>
          <w:color w:val="002F5D"/>
        </w:rPr>
        <w:t xml:space="preserve"> are </w:t>
      </w:r>
      <w:r w:rsidRPr="00DA777F">
        <w:rPr>
          <w:rFonts w:ascii="Calibri" w:eastAsia="Calibri" w:hAnsi="Calibri" w:cs="Arial"/>
          <w:b/>
          <w:color w:val="002F5D"/>
        </w:rPr>
        <w:t>higher</w:t>
      </w:r>
      <w:r w:rsidRPr="00DA777F">
        <w:rPr>
          <w:rFonts w:ascii="Calibri" w:eastAsia="Calibri" w:hAnsi="Calibri" w:cs="Arial"/>
          <w:color w:val="002F5D"/>
        </w:rPr>
        <w:t xml:space="preserve">. There are also </w:t>
      </w:r>
      <w:r w:rsidRPr="00DA777F">
        <w:rPr>
          <w:rFonts w:ascii="Calibri" w:eastAsia="Calibri" w:hAnsi="Calibri" w:cs="Arial"/>
          <w:b/>
          <w:color w:val="002F5D"/>
        </w:rPr>
        <w:t xml:space="preserve">important </w:t>
      </w:r>
      <w:r w:rsidR="008321C7">
        <w:rPr>
          <w:rFonts w:ascii="Calibri" w:eastAsia="Calibri" w:hAnsi="Calibri" w:cs="Arial"/>
          <w:b/>
          <w:color w:val="002F5D"/>
        </w:rPr>
        <w:t>difference</w:t>
      </w:r>
      <w:r w:rsidRPr="00DA777F">
        <w:rPr>
          <w:rFonts w:ascii="Calibri" w:eastAsia="Calibri" w:hAnsi="Calibri" w:cs="Arial"/>
          <w:b/>
          <w:color w:val="002F5D"/>
        </w:rPr>
        <w:t>s</w:t>
      </w:r>
      <w:r w:rsidRPr="00DA777F">
        <w:rPr>
          <w:rFonts w:ascii="Calibri" w:eastAsia="Calibri" w:hAnsi="Calibri" w:cs="Arial"/>
          <w:color w:val="002F5D"/>
        </w:rPr>
        <w:t xml:space="preserve"> in life expectancy and mortality in </w:t>
      </w:r>
      <w:r w:rsidRPr="00DA777F">
        <w:rPr>
          <w:rFonts w:ascii="Calibri" w:eastAsia="Calibri" w:hAnsi="Calibri" w:cs="Arial"/>
          <w:b/>
          <w:color w:val="002F5D"/>
        </w:rPr>
        <w:t>deprived areas of Cambridgeshire</w:t>
      </w:r>
      <w:r w:rsidRPr="00DA777F">
        <w:rPr>
          <w:rFonts w:ascii="Calibri" w:eastAsia="Calibri" w:hAnsi="Calibri" w:cs="Arial"/>
          <w:color w:val="002F5D"/>
        </w:rPr>
        <w:t xml:space="preserve"> compared with more affluent ones. This pattern is generally maintained for the principal causes of death.</w:t>
      </w:r>
    </w:p>
    <w:p w14:paraId="021A3AD9" w14:textId="77777777" w:rsidR="009810FA" w:rsidRPr="00DA777F" w:rsidRDefault="009810FA" w:rsidP="009810FA">
      <w:pPr>
        <w:numPr>
          <w:ilvl w:val="0"/>
          <w:numId w:val="59"/>
        </w:numPr>
        <w:spacing w:line="240" w:lineRule="auto"/>
        <w:contextualSpacing/>
        <w:rPr>
          <w:rFonts w:ascii="Calibri" w:eastAsia="Calibri" w:hAnsi="Calibri" w:cs="Arial"/>
          <w:color w:val="002F5D"/>
        </w:rPr>
      </w:pPr>
      <w:r w:rsidRPr="00DA777F">
        <w:rPr>
          <w:rFonts w:ascii="Calibri" w:eastAsia="Calibri" w:hAnsi="Calibri" w:cs="Arial"/>
          <w:color w:val="002F5D"/>
        </w:rPr>
        <w:t xml:space="preserve">Levels of </w:t>
      </w:r>
      <w:r w:rsidRPr="00DA777F">
        <w:rPr>
          <w:rFonts w:ascii="Calibri" w:eastAsia="Calibri" w:hAnsi="Calibri" w:cs="Arial"/>
          <w:b/>
          <w:color w:val="002F5D"/>
        </w:rPr>
        <w:t xml:space="preserve">disability </w:t>
      </w:r>
      <w:r w:rsidRPr="00DA777F">
        <w:rPr>
          <w:rFonts w:ascii="Calibri" w:eastAsia="Calibri" w:hAnsi="Calibri" w:cs="Arial"/>
          <w:color w:val="002F5D"/>
        </w:rPr>
        <w:t>and</w:t>
      </w:r>
      <w:r w:rsidRPr="00DA777F">
        <w:rPr>
          <w:rFonts w:ascii="Calibri" w:eastAsia="Calibri" w:hAnsi="Calibri" w:cs="Arial"/>
          <w:b/>
          <w:color w:val="002F5D"/>
        </w:rPr>
        <w:t xml:space="preserve"> general ill-health</w:t>
      </w:r>
      <w:r w:rsidRPr="00DA777F">
        <w:rPr>
          <w:rFonts w:ascii="Calibri" w:eastAsia="Calibri" w:hAnsi="Calibri" w:cs="Arial"/>
          <w:color w:val="002F5D"/>
        </w:rPr>
        <w:t xml:space="preserve"> are generally </w:t>
      </w:r>
      <w:r w:rsidRPr="00DA777F">
        <w:rPr>
          <w:rFonts w:ascii="Calibri" w:eastAsia="Calibri" w:hAnsi="Calibri" w:cs="Arial"/>
          <w:b/>
          <w:color w:val="002F5D"/>
        </w:rPr>
        <w:t>low in Cambridgeshire</w:t>
      </w:r>
      <w:r w:rsidRPr="00DA777F">
        <w:rPr>
          <w:rFonts w:ascii="Calibri" w:eastAsia="Calibri" w:hAnsi="Calibri" w:cs="Arial"/>
          <w:color w:val="002F5D"/>
        </w:rPr>
        <w:t xml:space="preserve">, but are </w:t>
      </w:r>
      <w:r w:rsidRPr="00DA777F">
        <w:rPr>
          <w:rFonts w:ascii="Calibri" w:eastAsia="Calibri" w:hAnsi="Calibri" w:cs="Arial"/>
          <w:b/>
          <w:color w:val="002F5D"/>
        </w:rPr>
        <w:t xml:space="preserve">higher in Peterborough </w:t>
      </w:r>
      <w:r w:rsidRPr="00DA777F">
        <w:rPr>
          <w:rFonts w:ascii="Calibri" w:eastAsia="Calibri" w:hAnsi="Calibri" w:cs="Arial"/>
          <w:color w:val="002F5D"/>
        </w:rPr>
        <w:t xml:space="preserve">and also the Cambridgeshire district of </w:t>
      </w:r>
      <w:r w:rsidRPr="00DA777F">
        <w:rPr>
          <w:rFonts w:ascii="Calibri" w:eastAsia="Calibri" w:hAnsi="Calibri" w:cs="Arial"/>
          <w:b/>
          <w:color w:val="002F5D"/>
        </w:rPr>
        <w:t>Fenland</w:t>
      </w:r>
      <w:r w:rsidRPr="00DA777F">
        <w:rPr>
          <w:rFonts w:ascii="Calibri" w:eastAsia="Calibri" w:hAnsi="Calibri" w:cs="Arial"/>
          <w:color w:val="002F5D"/>
        </w:rPr>
        <w:t>.</w:t>
      </w:r>
    </w:p>
    <w:p w14:paraId="43505819" w14:textId="77777777" w:rsidR="009810FA" w:rsidRPr="00DA777F" w:rsidRDefault="009810FA" w:rsidP="009810FA">
      <w:pPr>
        <w:numPr>
          <w:ilvl w:val="0"/>
          <w:numId w:val="59"/>
        </w:numPr>
        <w:spacing w:line="240" w:lineRule="auto"/>
        <w:contextualSpacing/>
        <w:rPr>
          <w:rFonts w:ascii="Calibri" w:eastAsia="Calibri" w:hAnsi="Calibri" w:cs="Arial"/>
          <w:color w:val="002F5D"/>
        </w:rPr>
      </w:pPr>
      <w:r w:rsidRPr="00DA777F">
        <w:rPr>
          <w:rFonts w:ascii="Calibri" w:eastAsia="Calibri" w:hAnsi="Calibri" w:cs="Arial"/>
          <w:color w:val="002F5D"/>
        </w:rPr>
        <w:t xml:space="preserve">The general practice (GP) recorded </w:t>
      </w:r>
      <w:r w:rsidRPr="00DA777F">
        <w:rPr>
          <w:rFonts w:ascii="Calibri" w:eastAsia="Calibri" w:hAnsi="Calibri" w:cs="Arial"/>
          <w:b/>
          <w:color w:val="002F5D"/>
        </w:rPr>
        <w:t>prevalence</w:t>
      </w:r>
      <w:r w:rsidRPr="00DA777F">
        <w:rPr>
          <w:rFonts w:ascii="Calibri" w:eastAsia="Calibri" w:hAnsi="Calibri" w:cs="Arial"/>
          <w:color w:val="002F5D"/>
        </w:rPr>
        <w:t xml:space="preserve"> of several specific long-term conditions including coronary heart disease, high blood pressure, stroke, diabetes, and mental health are generally </w:t>
      </w:r>
      <w:r w:rsidRPr="00DA777F">
        <w:rPr>
          <w:rFonts w:ascii="Calibri" w:eastAsia="Calibri" w:hAnsi="Calibri" w:cs="Arial"/>
          <w:b/>
          <w:color w:val="002F5D"/>
        </w:rPr>
        <w:t>lower than the national average in Cambridgeshire and Peterborough</w:t>
      </w:r>
      <w:r w:rsidRPr="00DA777F">
        <w:rPr>
          <w:rFonts w:ascii="Calibri" w:eastAsia="Calibri" w:hAnsi="Calibri" w:cs="Arial"/>
          <w:color w:val="002F5D"/>
        </w:rPr>
        <w:t xml:space="preserve">, combined and independently. GP recorded prevalence of asthma and cancer is recorded as above the national rate in Cambridgeshire and below the national rate in Peterborough. Please </w:t>
      </w:r>
      <w:r w:rsidRPr="00DA777F">
        <w:rPr>
          <w:rFonts w:ascii="Calibri" w:eastAsia="Calibri" w:hAnsi="Calibri" w:cs="Arial"/>
          <w:b/>
          <w:color w:val="002F5D"/>
        </w:rPr>
        <w:t>note</w:t>
      </w:r>
      <w:r w:rsidRPr="00DA777F">
        <w:rPr>
          <w:rFonts w:ascii="Calibri" w:eastAsia="Calibri" w:hAnsi="Calibri" w:cs="Arial"/>
          <w:color w:val="002F5D"/>
        </w:rPr>
        <w:t xml:space="preserve"> that GP recorded prevalence may be influenced by GP clinical recording quality, varying age structures and deprivation, as well as the amount of disease in the population. In particular, prevalence of most long term conditions would be expected to be lower in Cambridge City and in Peterborough because they have a lower proportion of older people.   </w:t>
      </w:r>
    </w:p>
    <w:p w14:paraId="7C507E12" w14:textId="77777777" w:rsidR="009810FA" w:rsidRPr="0022024E" w:rsidRDefault="009810FA" w:rsidP="009810FA">
      <w:pPr>
        <w:spacing w:line="240" w:lineRule="auto"/>
        <w:ind w:left="720"/>
        <w:contextualSpacing/>
        <w:rPr>
          <w:rFonts w:ascii="Calibri" w:eastAsia="Calibri" w:hAnsi="Calibri" w:cs="Arial"/>
          <w:color w:val="FF0000"/>
        </w:rPr>
      </w:pPr>
    </w:p>
    <w:p w14:paraId="370178F8" w14:textId="02A04DE3" w:rsidR="009810FA" w:rsidRDefault="009810FA" w:rsidP="009810FA">
      <w:pPr>
        <w:numPr>
          <w:ilvl w:val="0"/>
          <w:numId w:val="59"/>
        </w:numPr>
        <w:spacing w:line="240" w:lineRule="auto"/>
        <w:contextualSpacing/>
        <w:rPr>
          <w:rFonts w:ascii="Calibri" w:eastAsia="Calibri" w:hAnsi="Calibri" w:cs="Arial"/>
          <w:color w:val="002F5D"/>
        </w:rPr>
      </w:pPr>
      <w:r w:rsidRPr="009A1E7C">
        <w:rPr>
          <w:rFonts w:ascii="Calibri" w:eastAsia="Calibri" w:hAnsi="Calibri" w:cs="Arial"/>
          <w:b/>
          <w:color w:val="002F5D"/>
        </w:rPr>
        <w:t>Self-harm</w:t>
      </w:r>
      <w:r w:rsidRPr="009A1E7C">
        <w:rPr>
          <w:rFonts w:ascii="Calibri" w:eastAsia="Calibri" w:hAnsi="Calibri" w:cs="Arial"/>
          <w:color w:val="002F5D"/>
        </w:rPr>
        <w:t xml:space="preserve"> appears to be a particular </w:t>
      </w:r>
      <w:r w:rsidRPr="009A1E7C">
        <w:rPr>
          <w:rFonts w:ascii="Calibri" w:eastAsia="Calibri" w:hAnsi="Calibri" w:cs="Arial"/>
          <w:b/>
          <w:color w:val="002F5D"/>
        </w:rPr>
        <w:t xml:space="preserve">issue across Cambridgeshire and Peterborough combined, independently, and across most of the Cambridgeshire districts. </w:t>
      </w:r>
      <w:r w:rsidRPr="009A1E7C">
        <w:rPr>
          <w:rFonts w:ascii="Calibri" w:eastAsia="Calibri" w:hAnsi="Calibri" w:cs="Arial"/>
          <w:color w:val="002F5D"/>
        </w:rPr>
        <w:t>There are</w:t>
      </w:r>
      <w:r w:rsidRPr="009A1E7C">
        <w:rPr>
          <w:rFonts w:ascii="Calibri" w:eastAsia="Calibri" w:hAnsi="Calibri" w:cs="Arial"/>
          <w:b/>
          <w:color w:val="002F5D"/>
        </w:rPr>
        <w:t xml:space="preserve"> sustained high rates</w:t>
      </w:r>
      <w:r w:rsidRPr="009A1E7C">
        <w:rPr>
          <w:rFonts w:ascii="Calibri" w:eastAsia="Calibri" w:hAnsi="Calibri" w:cs="Arial"/>
          <w:color w:val="002F5D"/>
        </w:rPr>
        <w:t xml:space="preserve"> of </w:t>
      </w:r>
      <w:r w:rsidRPr="009A1E7C">
        <w:rPr>
          <w:rFonts w:ascii="Calibri" w:eastAsia="Calibri" w:hAnsi="Calibri" w:cs="Arial"/>
          <w:b/>
          <w:color w:val="002F5D"/>
        </w:rPr>
        <w:t>emergency hospital admissions</w:t>
      </w:r>
      <w:r w:rsidRPr="009A1E7C">
        <w:rPr>
          <w:rFonts w:ascii="Calibri" w:eastAsia="Calibri" w:hAnsi="Calibri" w:cs="Arial"/>
          <w:color w:val="002F5D"/>
        </w:rPr>
        <w:t xml:space="preserve"> and levels above the national average in all districts other than Huntingdonshire</w:t>
      </w:r>
      <w:r>
        <w:rPr>
          <w:rFonts w:ascii="Calibri" w:eastAsia="Calibri" w:hAnsi="Calibri" w:cs="Arial"/>
          <w:color w:val="002F5D"/>
        </w:rPr>
        <w:t>. Rates are higher in females than males.</w:t>
      </w:r>
    </w:p>
    <w:p w14:paraId="4E8A8275" w14:textId="77777777" w:rsidR="009810FA" w:rsidRPr="00665257" w:rsidRDefault="009810FA" w:rsidP="009810FA">
      <w:pPr>
        <w:pStyle w:val="ListParagraph"/>
        <w:numPr>
          <w:ilvl w:val="0"/>
          <w:numId w:val="59"/>
        </w:numPr>
        <w:spacing w:line="240" w:lineRule="auto"/>
        <w:rPr>
          <w:rFonts w:ascii="Calibri" w:eastAsia="Calibri" w:hAnsi="Calibri" w:cs="Arial"/>
          <w:color w:val="002F5D"/>
        </w:rPr>
      </w:pPr>
      <w:r w:rsidRPr="00665257">
        <w:rPr>
          <w:rFonts w:ascii="Calibri" w:eastAsia="Calibri" w:hAnsi="Calibri" w:cs="Arial"/>
          <w:color w:val="002F5D"/>
        </w:rPr>
        <w:t xml:space="preserve">The </w:t>
      </w:r>
      <w:r w:rsidRPr="00665257">
        <w:rPr>
          <w:rFonts w:ascii="Calibri" w:eastAsia="Calibri" w:hAnsi="Calibri" w:cs="Arial"/>
          <w:b/>
          <w:color w:val="002F5D"/>
        </w:rPr>
        <w:t xml:space="preserve">suicide </w:t>
      </w:r>
      <w:r w:rsidRPr="00665257">
        <w:rPr>
          <w:rFonts w:ascii="Calibri" w:eastAsia="Calibri" w:hAnsi="Calibri" w:cs="Arial"/>
          <w:color w:val="002F5D"/>
        </w:rPr>
        <w:t xml:space="preserve">rate for Peterborough does not differ significantly from England levels and for Cambridgeshire is significantly better than England. </w:t>
      </w:r>
      <w:r w:rsidRPr="00665257">
        <w:rPr>
          <w:rFonts w:ascii="Calibri" w:eastAsia="Calibri" w:hAnsi="Calibri" w:cs="Arial"/>
          <w:b/>
          <w:color w:val="002F5D"/>
        </w:rPr>
        <w:t>Male</w:t>
      </w:r>
      <w:r w:rsidRPr="00665257">
        <w:rPr>
          <w:rFonts w:ascii="Calibri" w:eastAsia="Calibri" w:hAnsi="Calibri" w:cs="Arial"/>
          <w:color w:val="002F5D"/>
        </w:rPr>
        <w:t xml:space="preserve"> rates are </w:t>
      </w:r>
      <w:r w:rsidRPr="00665257">
        <w:rPr>
          <w:rFonts w:ascii="Calibri" w:eastAsia="Calibri" w:hAnsi="Calibri" w:cs="Arial"/>
          <w:b/>
          <w:color w:val="002F5D"/>
        </w:rPr>
        <w:t>higher</w:t>
      </w:r>
      <w:r w:rsidRPr="00665257">
        <w:rPr>
          <w:rFonts w:ascii="Calibri" w:eastAsia="Calibri" w:hAnsi="Calibri" w:cs="Arial"/>
          <w:color w:val="002F5D"/>
        </w:rPr>
        <w:t xml:space="preserve"> than </w:t>
      </w:r>
      <w:r w:rsidRPr="00665257">
        <w:rPr>
          <w:rFonts w:ascii="Calibri" w:eastAsia="Calibri" w:hAnsi="Calibri" w:cs="Arial"/>
          <w:b/>
          <w:color w:val="002F5D"/>
        </w:rPr>
        <w:t>female</w:t>
      </w:r>
      <w:r w:rsidRPr="00665257">
        <w:rPr>
          <w:rFonts w:ascii="Calibri" w:eastAsia="Calibri" w:hAnsi="Calibri" w:cs="Arial"/>
          <w:color w:val="002F5D"/>
        </w:rPr>
        <w:t xml:space="preserve"> rates. </w:t>
      </w:r>
    </w:p>
    <w:p w14:paraId="32BB9D78" w14:textId="77777777" w:rsidR="009810FA" w:rsidRDefault="009810FA" w:rsidP="009810FA">
      <w:pPr>
        <w:numPr>
          <w:ilvl w:val="0"/>
          <w:numId w:val="59"/>
        </w:numPr>
        <w:spacing w:line="240" w:lineRule="auto"/>
        <w:contextualSpacing/>
        <w:rPr>
          <w:rFonts w:ascii="Calibri" w:eastAsia="Calibri" w:hAnsi="Calibri" w:cs="Arial"/>
          <w:color w:val="002F5D"/>
        </w:rPr>
      </w:pPr>
      <w:r w:rsidRPr="00DA777F">
        <w:rPr>
          <w:rFonts w:ascii="Calibri" w:eastAsia="Calibri" w:hAnsi="Calibri" w:cs="Arial"/>
          <w:color w:val="002F5D"/>
        </w:rPr>
        <w:t xml:space="preserve">As the </w:t>
      </w:r>
      <w:r w:rsidRPr="00DA777F">
        <w:rPr>
          <w:rFonts w:ascii="Calibri" w:eastAsia="Calibri" w:hAnsi="Calibri" w:cs="Arial"/>
          <w:b/>
          <w:color w:val="002F5D"/>
        </w:rPr>
        <w:t>population ages</w:t>
      </w:r>
      <w:r w:rsidRPr="00DA777F">
        <w:rPr>
          <w:rFonts w:ascii="Calibri" w:eastAsia="Calibri" w:hAnsi="Calibri" w:cs="Arial"/>
          <w:color w:val="002F5D"/>
        </w:rPr>
        <w:t xml:space="preserve"> a continuing </w:t>
      </w:r>
      <w:r w:rsidRPr="00DA777F">
        <w:rPr>
          <w:rFonts w:ascii="Calibri" w:eastAsia="Calibri" w:hAnsi="Calibri" w:cs="Arial"/>
          <w:b/>
          <w:color w:val="002F5D"/>
        </w:rPr>
        <w:t>focus on dementia</w:t>
      </w:r>
      <w:r w:rsidRPr="00DA777F">
        <w:rPr>
          <w:rFonts w:ascii="Calibri" w:eastAsia="Calibri" w:hAnsi="Calibri" w:cs="Arial"/>
          <w:color w:val="002F5D"/>
        </w:rPr>
        <w:t xml:space="preserve"> will be necessary, along with the surveillance of </w:t>
      </w:r>
      <w:r w:rsidRPr="00DA777F">
        <w:rPr>
          <w:rFonts w:ascii="Calibri" w:eastAsia="Calibri" w:hAnsi="Calibri" w:cs="Arial"/>
          <w:b/>
          <w:color w:val="002F5D"/>
        </w:rPr>
        <w:t>dementia</w:t>
      </w:r>
      <w:r w:rsidRPr="00DA777F">
        <w:rPr>
          <w:rFonts w:ascii="Calibri" w:eastAsia="Calibri" w:hAnsi="Calibri" w:cs="Arial"/>
          <w:color w:val="002F5D"/>
        </w:rPr>
        <w:t xml:space="preserve"> and </w:t>
      </w:r>
      <w:r w:rsidRPr="00DA777F">
        <w:rPr>
          <w:rFonts w:ascii="Calibri" w:eastAsia="Calibri" w:hAnsi="Calibri" w:cs="Arial"/>
          <w:b/>
          <w:color w:val="002F5D"/>
        </w:rPr>
        <w:t>Alzheimer’s disease</w:t>
      </w:r>
      <w:r w:rsidRPr="00DA777F">
        <w:rPr>
          <w:rFonts w:ascii="Calibri" w:eastAsia="Calibri" w:hAnsi="Calibri" w:cs="Arial"/>
          <w:color w:val="002F5D"/>
        </w:rPr>
        <w:t xml:space="preserve"> as an increasingly important cause of death.</w:t>
      </w:r>
    </w:p>
    <w:p w14:paraId="6294CBB3" w14:textId="77777777" w:rsidR="009810FA" w:rsidRPr="00DA777F" w:rsidRDefault="009810FA" w:rsidP="009810FA">
      <w:pPr>
        <w:numPr>
          <w:ilvl w:val="0"/>
          <w:numId w:val="59"/>
        </w:numPr>
        <w:spacing w:line="240" w:lineRule="auto"/>
        <w:contextualSpacing/>
        <w:rPr>
          <w:rFonts w:ascii="Calibri" w:eastAsia="Calibri" w:hAnsi="Calibri" w:cs="Arial"/>
          <w:color w:val="002F5D"/>
        </w:rPr>
      </w:pPr>
      <w:r>
        <w:rPr>
          <w:rFonts w:ascii="Calibri" w:eastAsia="Calibri" w:hAnsi="Calibri" w:cs="Arial"/>
          <w:color w:val="002F5D"/>
          <w:shd w:val="clear" w:color="auto" w:fill="FFFFFF"/>
        </w:rPr>
        <w:t>An estimated</w:t>
      </w:r>
      <w:r>
        <w:rPr>
          <w:rFonts w:ascii="Calibri" w:eastAsia="Calibri" w:hAnsi="Calibri" w:cs="Arial"/>
          <w:b/>
          <w:color w:val="002F5D"/>
          <w:shd w:val="clear" w:color="auto" w:fill="FFFFFF"/>
        </w:rPr>
        <w:t xml:space="preserve"> one in eight (12.8%)</w:t>
      </w:r>
      <w:r>
        <w:rPr>
          <w:rFonts w:ascii="Calibri" w:eastAsia="Calibri" w:hAnsi="Calibri" w:cs="Arial"/>
          <w:color w:val="002F5D"/>
          <w:shd w:val="clear" w:color="auto" w:fill="FFFFFF"/>
        </w:rPr>
        <w:t xml:space="preserve"> 5 to 19 year olds had a least </w:t>
      </w:r>
      <w:r>
        <w:rPr>
          <w:rFonts w:ascii="Calibri" w:eastAsia="Calibri" w:hAnsi="Calibri" w:cs="Arial"/>
          <w:b/>
          <w:color w:val="002F5D"/>
          <w:shd w:val="clear" w:color="auto" w:fill="FFFFFF"/>
        </w:rPr>
        <w:t xml:space="preserve">one mental disorder. </w:t>
      </w:r>
      <w:r>
        <w:rPr>
          <w:rFonts w:ascii="Calibri" w:eastAsia="Calibri" w:hAnsi="Calibri" w:cs="Arial"/>
          <w:color w:val="002F5D"/>
          <w:shd w:val="clear" w:color="auto" w:fill="FFFFFF"/>
        </w:rPr>
        <w:t xml:space="preserve">This is estimated to be around </w:t>
      </w:r>
      <w:r>
        <w:rPr>
          <w:rFonts w:ascii="Calibri" w:eastAsia="Calibri" w:hAnsi="Calibri" w:cs="Arial"/>
          <w:b/>
          <w:color w:val="002F5D"/>
          <w:shd w:val="clear" w:color="auto" w:fill="FFFFFF"/>
        </w:rPr>
        <w:t>19,340 children and young people</w:t>
      </w:r>
      <w:r>
        <w:rPr>
          <w:rFonts w:ascii="Calibri" w:eastAsia="Calibri" w:hAnsi="Calibri" w:cs="Arial"/>
          <w:color w:val="002F5D"/>
          <w:shd w:val="clear" w:color="auto" w:fill="FFFFFF"/>
        </w:rPr>
        <w:t xml:space="preserve"> in Cambridgeshire and Peterborough combined.</w:t>
      </w:r>
    </w:p>
    <w:p w14:paraId="01577A55" w14:textId="77777777" w:rsidR="009810FA" w:rsidRPr="0022024E" w:rsidRDefault="009810FA" w:rsidP="009810FA">
      <w:pPr>
        <w:spacing w:line="240" w:lineRule="auto"/>
        <w:ind w:left="720"/>
        <w:contextualSpacing/>
        <w:rPr>
          <w:rFonts w:ascii="Calibri" w:eastAsia="Calibri" w:hAnsi="Calibri" w:cs="Arial"/>
          <w:color w:val="FF0000"/>
        </w:rPr>
      </w:pPr>
    </w:p>
    <w:p w14:paraId="13FCBC5D" w14:textId="77777777" w:rsidR="009810FA" w:rsidRPr="00BA360B" w:rsidRDefault="009810FA" w:rsidP="009810FA">
      <w:pPr>
        <w:numPr>
          <w:ilvl w:val="0"/>
          <w:numId w:val="59"/>
        </w:numPr>
        <w:spacing w:line="240" w:lineRule="auto"/>
        <w:ind w:left="714" w:hanging="357"/>
        <w:contextualSpacing/>
        <w:rPr>
          <w:rFonts w:ascii="Calibri" w:eastAsia="Calibri" w:hAnsi="Calibri" w:cs="Arial"/>
          <w:color w:val="002F5D"/>
        </w:rPr>
      </w:pPr>
      <w:r w:rsidRPr="00665257">
        <w:rPr>
          <w:rFonts w:ascii="Calibri" w:eastAsia="Calibri" w:hAnsi="Calibri" w:cs="Arial"/>
          <w:color w:val="002F5D"/>
        </w:rPr>
        <w:t xml:space="preserve">In terms of </w:t>
      </w:r>
      <w:r w:rsidRPr="00665257">
        <w:rPr>
          <w:rFonts w:ascii="Calibri" w:eastAsia="Calibri" w:hAnsi="Calibri" w:cs="Arial"/>
          <w:b/>
          <w:color w:val="002F5D"/>
        </w:rPr>
        <w:t>NHS</w:t>
      </w:r>
      <w:r w:rsidRPr="00665257">
        <w:rPr>
          <w:rFonts w:ascii="Calibri" w:eastAsia="Calibri" w:hAnsi="Calibri" w:cs="Arial"/>
          <w:color w:val="002F5D"/>
        </w:rPr>
        <w:t xml:space="preserve"> </w:t>
      </w:r>
      <w:r w:rsidRPr="00665257">
        <w:rPr>
          <w:rFonts w:ascii="Calibri" w:eastAsia="Calibri" w:hAnsi="Calibri" w:cs="Arial"/>
          <w:b/>
          <w:color w:val="002F5D"/>
        </w:rPr>
        <w:t>healthcare services</w:t>
      </w:r>
      <w:r w:rsidRPr="00665257">
        <w:rPr>
          <w:rFonts w:ascii="Calibri" w:eastAsia="Calibri" w:hAnsi="Calibri" w:cs="Arial"/>
          <w:color w:val="002F5D"/>
        </w:rPr>
        <w:t xml:space="preserve">, the </w:t>
      </w:r>
      <w:r w:rsidRPr="00665257">
        <w:rPr>
          <w:rFonts w:ascii="Calibri" w:eastAsia="Calibri" w:hAnsi="Calibri" w:cs="Arial"/>
          <w:b/>
          <w:color w:val="002F5D"/>
        </w:rPr>
        <w:t>numbers</w:t>
      </w:r>
      <w:r w:rsidRPr="00665257">
        <w:rPr>
          <w:rFonts w:ascii="Calibri" w:eastAsia="Calibri" w:hAnsi="Calibri" w:cs="Arial"/>
          <w:color w:val="002F5D"/>
        </w:rPr>
        <w:t xml:space="preserve"> of </w:t>
      </w:r>
      <w:r>
        <w:rPr>
          <w:rFonts w:ascii="Calibri" w:eastAsia="Calibri" w:hAnsi="Calibri" w:cs="Arial"/>
          <w:b/>
          <w:color w:val="002F5D"/>
        </w:rPr>
        <w:t xml:space="preserve">total </w:t>
      </w:r>
      <w:r w:rsidRPr="00665257">
        <w:rPr>
          <w:rFonts w:ascii="Calibri" w:eastAsia="Calibri" w:hAnsi="Calibri" w:cs="Arial"/>
          <w:b/>
          <w:color w:val="002F5D"/>
        </w:rPr>
        <w:t>and</w:t>
      </w:r>
      <w:r w:rsidRPr="00665257">
        <w:rPr>
          <w:rFonts w:ascii="Calibri" w:eastAsia="Calibri" w:hAnsi="Calibri" w:cs="Arial"/>
          <w:color w:val="002F5D"/>
        </w:rPr>
        <w:t xml:space="preserve"> </w:t>
      </w:r>
      <w:r w:rsidRPr="00665257">
        <w:rPr>
          <w:rFonts w:ascii="Calibri" w:eastAsia="Calibri" w:hAnsi="Calibri" w:cs="Arial"/>
          <w:b/>
          <w:color w:val="002F5D"/>
        </w:rPr>
        <w:t>elective</w:t>
      </w:r>
      <w:r w:rsidRPr="00665257">
        <w:rPr>
          <w:rFonts w:ascii="Calibri" w:eastAsia="Calibri" w:hAnsi="Calibri" w:cs="Arial"/>
          <w:color w:val="002F5D"/>
        </w:rPr>
        <w:t xml:space="preserve"> inpatient </w:t>
      </w:r>
      <w:r w:rsidRPr="00665257">
        <w:rPr>
          <w:rFonts w:ascii="Calibri" w:eastAsia="Calibri" w:hAnsi="Calibri" w:cs="Arial"/>
          <w:b/>
          <w:color w:val="002F5D"/>
        </w:rPr>
        <w:t>hospital admissions</w:t>
      </w:r>
      <w:r w:rsidRPr="00665257">
        <w:rPr>
          <w:rFonts w:ascii="Calibri" w:eastAsia="Calibri" w:hAnsi="Calibri" w:cs="Arial"/>
          <w:color w:val="002F5D"/>
        </w:rPr>
        <w:t xml:space="preserve"> </w:t>
      </w:r>
      <w:r w:rsidRPr="00665257">
        <w:rPr>
          <w:rFonts w:ascii="Calibri" w:eastAsia="Calibri" w:hAnsi="Calibri" w:cs="Arial"/>
          <w:b/>
          <w:color w:val="002F5D"/>
        </w:rPr>
        <w:t>increased</w:t>
      </w:r>
      <w:r w:rsidRPr="00665257">
        <w:rPr>
          <w:rFonts w:ascii="Calibri" w:eastAsia="Calibri" w:hAnsi="Calibri" w:cs="Arial"/>
          <w:color w:val="002F5D"/>
        </w:rPr>
        <w:t xml:space="preserve"> over time for Cambridgeshire and Peterborough from 2012/13 to 2016/17, but 2017/18 has shown a slight decrease. Numbers of </w:t>
      </w:r>
      <w:r w:rsidRPr="00665257">
        <w:rPr>
          <w:rFonts w:ascii="Calibri" w:eastAsia="Calibri" w:hAnsi="Calibri" w:cs="Arial"/>
          <w:b/>
          <w:color w:val="002F5D"/>
        </w:rPr>
        <w:t>emergency admissions</w:t>
      </w:r>
      <w:r w:rsidRPr="00665257">
        <w:rPr>
          <w:rFonts w:ascii="Calibri" w:eastAsia="Calibri" w:hAnsi="Calibri" w:cs="Arial"/>
          <w:color w:val="002F5D"/>
        </w:rPr>
        <w:t xml:space="preserve"> have </w:t>
      </w:r>
      <w:r w:rsidRPr="00BA360B">
        <w:rPr>
          <w:rFonts w:ascii="Calibri" w:eastAsia="Calibri" w:hAnsi="Calibri" w:cs="Arial"/>
          <w:b/>
          <w:color w:val="002F5D"/>
        </w:rPr>
        <w:t>increased</w:t>
      </w:r>
      <w:r w:rsidRPr="00BA360B">
        <w:rPr>
          <w:rFonts w:ascii="Calibri" w:eastAsia="Calibri" w:hAnsi="Calibri" w:cs="Arial"/>
          <w:color w:val="002F5D"/>
        </w:rPr>
        <w:t xml:space="preserve"> over this period. Increases apply especially to people aged </w:t>
      </w:r>
      <w:r w:rsidRPr="00BA360B">
        <w:rPr>
          <w:rFonts w:ascii="Calibri" w:eastAsia="Calibri" w:hAnsi="Calibri" w:cs="Arial"/>
          <w:b/>
          <w:color w:val="002F5D"/>
        </w:rPr>
        <w:t>75 years and over</w:t>
      </w:r>
      <w:r w:rsidRPr="00BA360B">
        <w:rPr>
          <w:rFonts w:ascii="Calibri" w:eastAsia="Calibri" w:hAnsi="Calibri" w:cs="Arial"/>
          <w:color w:val="002F5D"/>
        </w:rPr>
        <w:t>.</w:t>
      </w:r>
    </w:p>
    <w:p w14:paraId="61D2F913" w14:textId="77777777" w:rsidR="009810FA" w:rsidRPr="00BA360B" w:rsidRDefault="009810FA" w:rsidP="009810FA">
      <w:pPr>
        <w:numPr>
          <w:ilvl w:val="0"/>
          <w:numId w:val="59"/>
        </w:numPr>
        <w:spacing w:line="240" w:lineRule="auto"/>
        <w:ind w:left="714" w:hanging="357"/>
        <w:contextualSpacing/>
        <w:rPr>
          <w:rFonts w:ascii="Calibri" w:eastAsia="Calibri" w:hAnsi="Calibri" w:cs="Arial"/>
          <w:color w:val="002F5D"/>
        </w:rPr>
      </w:pPr>
      <w:r w:rsidRPr="00BA360B">
        <w:rPr>
          <w:rFonts w:ascii="Calibri" w:eastAsia="Calibri" w:hAnsi="Calibri" w:cs="Arial"/>
          <w:color w:val="002F5D"/>
        </w:rPr>
        <w:t xml:space="preserve">Comparatively, </w:t>
      </w:r>
      <w:r w:rsidRPr="00BA360B">
        <w:rPr>
          <w:rFonts w:ascii="Calibri" w:eastAsia="Calibri" w:hAnsi="Calibri" w:cs="Arial"/>
          <w:b/>
          <w:color w:val="002F5D"/>
        </w:rPr>
        <w:t>Cambridgeshire and Peterborough</w:t>
      </w:r>
      <w:r w:rsidRPr="00BA360B">
        <w:rPr>
          <w:rFonts w:ascii="Calibri" w:eastAsia="Calibri" w:hAnsi="Calibri" w:cs="Arial"/>
          <w:color w:val="002F5D"/>
        </w:rPr>
        <w:t xml:space="preserve"> have </w:t>
      </w:r>
      <w:r w:rsidRPr="00BA360B">
        <w:rPr>
          <w:rFonts w:ascii="Calibri" w:eastAsia="Calibri" w:hAnsi="Calibri" w:cs="Arial"/>
          <w:b/>
          <w:color w:val="002F5D"/>
        </w:rPr>
        <w:t>similar rates of overall admissions</w:t>
      </w:r>
      <w:r w:rsidRPr="00BA360B">
        <w:rPr>
          <w:rFonts w:ascii="Calibri" w:eastAsia="Calibri" w:hAnsi="Calibri" w:cs="Arial"/>
          <w:color w:val="002F5D"/>
        </w:rPr>
        <w:t xml:space="preserve">, whether in all ages, in those aged under 75 years or those aged 75 years and over. </w:t>
      </w:r>
      <w:r w:rsidRPr="00BA360B">
        <w:rPr>
          <w:rFonts w:ascii="Calibri" w:eastAsia="Calibri" w:hAnsi="Calibri" w:cs="Arial"/>
          <w:b/>
          <w:color w:val="002F5D"/>
        </w:rPr>
        <w:t>Peterborough</w:t>
      </w:r>
      <w:r w:rsidRPr="00BA360B">
        <w:rPr>
          <w:rFonts w:ascii="Calibri" w:eastAsia="Calibri" w:hAnsi="Calibri" w:cs="Arial"/>
          <w:color w:val="002F5D"/>
        </w:rPr>
        <w:t xml:space="preserve"> tends to have </w:t>
      </w:r>
      <w:r w:rsidRPr="00BA360B">
        <w:rPr>
          <w:rFonts w:ascii="Calibri" w:eastAsia="Calibri" w:hAnsi="Calibri" w:cs="Arial"/>
          <w:b/>
          <w:color w:val="002F5D"/>
        </w:rPr>
        <w:t>lower rates of elective admissions</w:t>
      </w:r>
      <w:r w:rsidRPr="00BA360B">
        <w:rPr>
          <w:rFonts w:ascii="Calibri" w:eastAsia="Calibri" w:hAnsi="Calibri" w:cs="Arial"/>
          <w:color w:val="002F5D"/>
        </w:rPr>
        <w:t xml:space="preserve"> and </w:t>
      </w:r>
      <w:r w:rsidRPr="00BA360B">
        <w:rPr>
          <w:rFonts w:ascii="Calibri" w:eastAsia="Calibri" w:hAnsi="Calibri" w:cs="Arial"/>
          <w:b/>
          <w:color w:val="002F5D"/>
        </w:rPr>
        <w:t>higher rates of emergency admissions</w:t>
      </w:r>
      <w:r w:rsidRPr="00BA360B">
        <w:rPr>
          <w:rFonts w:ascii="Calibri" w:eastAsia="Calibri" w:hAnsi="Calibri" w:cs="Arial"/>
          <w:color w:val="002F5D"/>
        </w:rPr>
        <w:t xml:space="preserve">, whereas the </w:t>
      </w:r>
      <w:r w:rsidRPr="00BA360B">
        <w:rPr>
          <w:rFonts w:ascii="Calibri" w:eastAsia="Calibri" w:hAnsi="Calibri" w:cs="Arial"/>
          <w:b/>
          <w:color w:val="002F5D"/>
        </w:rPr>
        <w:t>opposite is true</w:t>
      </w:r>
      <w:r w:rsidRPr="00BA360B">
        <w:rPr>
          <w:rFonts w:ascii="Calibri" w:eastAsia="Calibri" w:hAnsi="Calibri" w:cs="Arial"/>
          <w:color w:val="002F5D"/>
        </w:rPr>
        <w:t xml:space="preserve"> in </w:t>
      </w:r>
      <w:r w:rsidRPr="00BA360B">
        <w:rPr>
          <w:rFonts w:ascii="Calibri" w:eastAsia="Calibri" w:hAnsi="Calibri" w:cs="Arial"/>
          <w:b/>
          <w:color w:val="002F5D"/>
        </w:rPr>
        <w:t>Cambridgeshire</w:t>
      </w:r>
      <w:r w:rsidRPr="00BA360B">
        <w:rPr>
          <w:rFonts w:ascii="Calibri" w:eastAsia="Calibri" w:hAnsi="Calibri" w:cs="Arial"/>
          <w:color w:val="002F5D"/>
        </w:rPr>
        <w:t>.</w:t>
      </w:r>
    </w:p>
    <w:p w14:paraId="75AA4992" w14:textId="77777777" w:rsidR="009810FA" w:rsidRPr="00BA360B" w:rsidRDefault="009810FA" w:rsidP="009810FA">
      <w:pPr>
        <w:numPr>
          <w:ilvl w:val="0"/>
          <w:numId w:val="59"/>
        </w:numPr>
        <w:spacing w:line="240" w:lineRule="auto"/>
        <w:ind w:left="714" w:hanging="357"/>
        <w:contextualSpacing/>
        <w:rPr>
          <w:rFonts w:ascii="Calibri" w:eastAsia="Calibri" w:hAnsi="Calibri" w:cs="Arial"/>
          <w:color w:val="002F5D"/>
        </w:rPr>
      </w:pPr>
      <w:r w:rsidRPr="00BA360B">
        <w:rPr>
          <w:rFonts w:ascii="Calibri" w:eastAsia="Calibri" w:hAnsi="Calibri" w:cs="Arial"/>
          <w:color w:val="002F5D"/>
        </w:rPr>
        <w:t xml:space="preserve">Numbers and rates of </w:t>
      </w:r>
      <w:r w:rsidRPr="00BA360B">
        <w:rPr>
          <w:rFonts w:ascii="Calibri" w:eastAsia="Calibri" w:hAnsi="Calibri" w:cs="Arial"/>
          <w:b/>
          <w:color w:val="002F5D"/>
        </w:rPr>
        <w:t>accident and emergency (A&amp;E) attendance</w:t>
      </w:r>
      <w:r w:rsidRPr="00BA360B">
        <w:rPr>
          <w:rFonts w:ascii="Calibri" w:eastAsia="Calibri" w:hAnsi="Calibri" w:cs="Arial"/>
          <w:color w:val="002F5D"/>
        </w:rPr>
        <w:t xml:space="preserve"> and </w:t>
      </w:r>
      <w:r w:rsidRPr="00BA360B">
        <w:rPr>
          <w:rFonts w:ascii="Calibri" w:eastAsia="Calibri" w:hAnsi="Calibri" w:cs="Arial"/>
          <w:b/>
          <w:color w:val="002F5D"/>
        </w:rPr>
        <w:t>attendance at minor injuries units</w:t>
      </w:r>
      <w:r w:rsidRPr="00BA360B">
        <w:rPr>
          <w:rFonts w:ascii="Calibri" w:eastAsia="Calibri" w:hAnsi="Calibri" w:cs="Arial"/>
          <w:color w:val="002F5D"/>
        </w:rPr>
        <w:t xml:space="preserve"> have </w:t>
      </w:r>
      <w:r w:rsidRPr="00BA360B">
        <w:rPr>
          <w:rFonts w:ascii="Calibri" w:eastAsia="Calibri" w:hAnsi="Calibri" w:cs="Arial"/>
          <w:b/>
          <w:color w:val="002F5D"/>
        </w:rPr>
        <w:t>increased</w:t>
      </w:r>
      <w:r w:rsidRPr="00BA360B">
        <w:rPr>
          <w:rFonts w:ascii="Calibri" w:eastAsia="Calibri" w:hAnsi="Calibri" w:cs="Arial"/>
          <w:color w:val="002F5D"/>
        </w:rPr>
        <w:t xml:space="preserve"> across Cambridgeshire and Peterborough over recent years. The patterns of attendance tend to reflect the configuration of services in each locality. </w:t>
      </w:r>
      <w:r w:rsidRPr="00BA360B">
        <w:rPr>
          <w:rFonts w:ascii="Calibri" w:eastAsia="Calibri" w:hAnsi="Calibri" w:cs="Arial"/>
          <w:b/>
          <w:color w:val="002F5D"/>
        </w:rPr>
        <w:t>Peterborough</w:t>
      </w:r>
      <w:r w:rsidRPr="00BA360B">
        <w:rPr>
          <w:rFonts w:ascii="Calibri" w:eastAsia="Calibri" w:hAnsi="Calibri" w:cs="Arial"/>
          <w:color w:val="002F5D"/>
        </w:rPr>
        <w:t xml:space="preserve"> is the </w:t>
      </w:r>
      <w:r w:rsidRPr="00BA360B">
        <w:rPr>
          <w:rFonts w:ascii="Calibri" w:eastAsia="Calibri" w:hAnsi="Calibri" w:cs="Arial"/>
          <w:b/>
          <w:color w:val="002F5D"/>
        </w:rPr>
        <w:t>only locality</w:t>
      </w:r>
      <w:r w:rsidRPr="00BA360B">
        <w:rPr>
          <w:rFonts w:ascii="Calibri" w:eastAsia="Calibri" w:hAnsi="Calibri" w:cs="Arial"/>
          <w:color w:val="002F5D"/>
        </w:rPr>
        <w:t xml:space="preserve"> in Cambridgeshire and Peterborough to have </w:t>
      </w:r>
      <w:r w:rsidRPr="00BA360B">
        <w:rPr>
          <w:rFonts w:ascii="Calibri" w:eastAsia="Calibri" w:hAnsi="Calibri" w:cs="Arial"/>
          <w:b/>
          <w:color w:val="002F5D"/>
        </w:rPr>
        <w:t>sustained statistically significantly high rates</w:t>
      </w:r>
      <w:r w:rsidRPr="00BA360B">
        <w:rPr>
          <w:rFonts w:ascii="Calibri" w:eastAsia="Calibri" w:hAnsi="Calibri" w:cs="Arial"/>
          <w:color w:val="002F5D"/>
        </w:rPr>
        <w:t xml:space="preserve"> of attendance </w:t>
      </w:r>
      <w:r w:rsidRPr="00BA360B">
        <w:rPr>
          <w:rFonts w:ascii="Calibri" w:eastAsia="Calibri" w:hAnsi="Calibri" w:cs="Arial"/>
          <w:b/>
          <w:color w:val="002F5D"/>
        </w:rPr>
        <w:t>across all service delivery settings</w:t>
      </w:r>
      <w:r w:rsidRPr="00BA360B">
        <w:rPr>
          <w:rFonts w:ascii="Calibri" w:eastAsia="Calibri" w:hAnsi="Calibri" w:cs="Arial"/>
          <w:color w:val="002F5D"/>
        </w:rPr>
        <w:t>.</w:t>
      </w:r>
    </w:p>
    <w:p w14:paraId="20D54B58" w14:textId="1C4232A8" w:rsidR="009810FA" w:rsidRPr="00E57C48" w:rsidRDefault="009810FA" w:rsidP="009810FA">
      <w:pPr>
        <w:numPr>
          <w:ilvl w:val="0"/>
          <w:numId w:val="59"/>
        </w:numPr>
        <w:spacing w:line="240" w:lineRule="auto"/>
        <w:ind w:left="714" w:hanging="357"/>
        <w:contextualSpacing/>
        <w:rPr>
          <w:rFonts w:ascii="Calibri" w:eastAsia="Calibri" w:hAnsi="Calibri" w:cs="Arial"/>
          <w:color w:val="002F5D"/>
        </w:rPr>
      </w:pPr>
      <w:r w:rsidRPr="00E57C48">
        <w:rPr>
          <w:rFonts w:ascii="Calibri" w:eastAsia="Calibri" w:hAnsi="Calibri" w:cs="Arial"/>
          <w:color w:val="002F5D"/>
        </w:rPr>
        <w:t xml:space="preserve">The </w:t>
      </w:r>
      <w:r w:rsidRPr="00E57C48">
        <w:rPr>
          <w:rFonts w:ascii="Calibri" w:eastAsia="Calibri" w:hAnsi="Calibri" w:cs="Arial"/>
          <w:b/>
          <w:color w:val="002F5D"/>
        </w:rPr>
        <w:t>Adult Social Care Outcomes Framework</w:t>
      </w:r>
      <w:r w:rsidRPr="00E57C48">
        <w:rPr>
          <w:rFonts w:ascii="Calibri" w:eastAsia="Calibri" w:hAnsi="Calibri" w:cs="Arial"/>
          <w:color w:val="002F5D"/>
        </w:rPr>
        <w:t xml:space="preserve"> indicates that Cambridgeshire</w:t>
      </w:r>
      <w:r w:rsidR="00CB0CAF" w:rsidRPr="00E57C48">
        <w:rPr>
          <w:rFonts w:ascii="Calibri" w:eastAsia="Calibri" w:hAnsi="Calibri" w:cs="Arial"/>
          <w:color w:val="002F5D"/>
        </w:rPr>
        <w:t xml:space="preserve"> and Peterborough both have a </w:t>
      </w:r>
      <w:r w:rsidR="00CB0CAF" w:rsidRPr="00E57C48">
        <w:rPr>
          <w:rFonts w:ascii="Calibri" w:eastAsia="Calibri" w:hAnsi="Calibri" w:cs="Arial"/>
          <w:b/>
          <w:color w:val="002F5D"/>
        </w:rPr>
        <w:t>quality of life</w:t>
      </w:r>
      <w:r w:rsidR="00CB0CAF" w:rsidRPr="00E57C48">
        <w:rPr>
          <w:rFonts w:ascii="Calibri" w:eastAsia="Calibri" w:hAnsi="Calibri" w:cs="Arial"/>
          <w:color w:val="002F5D"/>
        </w:rPr>
        <w:t xml:space="preserve"> score </w:t>
      </w:r>
      <w:r w:rsidRPr="00E57C48">
        <w:rPr>
          <w:rFonts w:ascii="Calibri" w:eastAsia="Calibri" w:hAnsi="Calibri" w:cs="Arial"/>
          <w:color w:val="002F5D"/>
        </w:rPr>
        <w:t>that is s</w:t>
      </w:r>
      <w:r w:rsidR="00CB0CAF" w:rsidRPr="00E57C48">
        <w:rPr>
          <w:rFonts w:ascii="Calibri" w:eastAsia="Calibri" w:hAnsi="Calibri" w:cs="Arial"/>
          <w:color w:val="002F5D"/>
        </w:rPr>
        <w:t>tatistically significantly better</w:t>
      </w:r>
      <w:r w:rsidRPr="00E57C48">
        <w:rPr>
          <w:rFonts w:ascii="Calibri" w:eastAsia="Calibri" w:hAnsi="Calibri" w:cs="Arial"/>
          <w:color w:val="002F5D"/>
        </w:rPr>
        <w:t xml:space="preserve"> than England. </w:t>
      </w:r>
      <w:r w:rsidR="00CB0CAF" w:rsidRPr="00E57C48">
        <w:rPr>
          <w:rFonts w:ascii="Calibri" w:eastAsia="Calibri" w:hAnsi="Calibri" w:cs="Arial"/>
          <w:color w:val="002F5D"/>
        </w:rPr>
        <w:t xml:space="preserve">  Peterborough also has a statistically significantly higher proportion of people who use services who have control of their daily life. </w:t>
      </w:r>
      <w:r w:rsidRPr="00E57C48">
        <w:rPr>
          <w:rFonts w:ascii="Calibri" w:eastAsia="Calibri" w:hAnsi="Calibri" w:cs="Arial"/>
          <w:color w:val="002F5D"/>
        </w:rPr>
        <w:t>Other indicators, where local values differ from national averages but where the differences are not formally statistically significant, may warrant some attention.</w:t>
      </w:r>
    </w:p>
    <w:p w14:paraId="31B838A0" w14:textId="77777777" w:rsidR="009810FA" w:rsidRPr="0022024E" w:rsidRDefault="009810FA" w:rsidP="009810FA">
      <w:pPr>
        <w:spacing w:line="240" w:lineRule="auto"/>
        <w:ind w:left="720"/>
        <w:contextualSpacing/>
        <w:rPr>
          <w:rFonts w:ascii="Calibri" w:eastAsia="Calibri" w:hAnsi="Calibri" w:cs="Arial"/>
          <w:color w:val="FF0000"/>
        </w:rPr>
      </w:pPr>
    </w:p>
    <w:p w14:paraId="03611ACF" w14:textId="77777777" w:rsidR="009810FA" w:rsidRPr="000960C1" w:rsidRDefault="009810FA" w:rsidP="009810FA">
      <w:pPr>
        <w:numPr>
          <w:ilvl w:val="0"/>
          <w:numId w:val="59"/>
        </w:numPr>
        <w:spacing w:line="240" w:lineRule="auto"/>
        <w:contextualSpacing/>
        <w:rPr>
          <w:rFonts w:ascii="Calibri" w:eastAsia="Calibri" w:hAnsi="Calibri" w:cs="Arial"/>
          <w:color w:val="002F5D"/>
        </w:rPr>
      </w:pPr>
      <w:r w:rsidRPr="000960C1">
        <w:rPr>
          <w:rFonts w:ascii="Calibri" w:eastAsia="Calibri" w:hAnsi="Calibri" w:cs="Arial"/>
          <w:b/>
          <w:color w:val="002F5D"/>
        </w:rPr>
        <w:t>Cambridgeshire</w:t>
      </w:r>
      <w:r w:rsidRPr="000960C1">
        <w:rPr>
          <w:rFonts w:ascii="Calibri" w:eastAsia="Calibri" w:hAnsi="Calibri" w:cs="Arial"/>
          <w:color w:val="002F5D"/>
        </w:rPr>
        <w:t xml:space="preserve"> and </w:t>
      </w:r>
      <w:r w:rsidRPr="000960C1">
        <w:rPr>
          <w:rFonts w:ascii="Calibri" w:eastAsia="Calibri" w:hAnsi="Calibri" w:cs="Arial"/>
          <w:b/>
          <w:color w:val="002F5D"/>
        </w:rPr>
        <w:t>Peterborough</w:t>
      </w:r>
      <w:r w:rsidRPr="000960C1">
        <w:rPr>
          <w:rFonts w:ascii="Calibri" w:eastAsia="Calibri" w:hAnsi="Calibri" w:cs="Arial"/>
          <w:color w:val="002F5D"/>
        </w:rPr>
        <w:t xml:space="preserve"> have experienced recent overall </w:t>
      </w:r>
      <w:r w:rsidRPr="000960C1">
        <w:rPr>
          <w:rFonts w:ascii="Calibri" w:eastAsia="Calibri" w:hAnsi="Calibri" w:cs="Arial"/>
          <w:b/>
          <w:color w:val="002F5D"/>
        </w:rPr>
        <w:t>population increases</w:t>
      </w:r>
      <w:r w:rsidRPr="000960C1">
        <w:rPr>
          <w:rFonts w:ascii="Calibri" w:eastAsia="Calibri" w:hAnsi="Calibri" w:cs="Arial"/>
          <w:color w:val="002F5D"/>
        </w:rPr>
        <w:t xml:space="preserve"> and are expected to </w:t>
      </w:r>
      <w:r w:rsidRPr="000960C1">
        <w:rPr>
          <w:rFonts w:ascii="Calibri" w:eastAsia="Calibri" w:hAnsi="Calibri" w:cs="Arial"/>
          <w:b/>
          <w:color w:val="002F5D"/>
        </w:rPr>
        <w:t>continue to experience growth</w:t>
      </w:r>
      <w:r w:rsidRPr="000960C1">
        <w:rPr>
          <w:rFonts w:ascii="Calibri" w:eastAsia="Calibri" w:hAnsi="Calibri" w:cs="Arial"/>
          <w:color w:val="002F5D"/>
        </w:rPr>
        <w:t xml:space="preserve"> in the short, medium and longer term to 2036 whether </w:t>
      </w:r>
      <w:r w:rsidRPr="000960C1">
        <w:rPr>
          <w:rFonts w:ascii="Calibri" w:eastAsia="Calibri" w:hAnsi="Calibri" w:cs="Arial"/>
          <w:color w:val="002F5D"/>
        </w:rPr>
        <w:lastRenderedPageBreak/>
        <w:t xml:space="preserve">based on </w:t>
      </w:r>
      <w:r w:rsidRPr="000960C1">
        <w:rPr>
          <w:rFonts w:ascii="Calibri" w:eastAsia="Calibri" w:hAnsi="Calibri" w:cs="Arial"/>
          <w:b/>
          <w:color w:val="002F5D"/>
        </w:rPr>
        <w:t>Cambridgeshire County</w:t>
      </w:r>
      <w:r w:rsidRPr="000960C1">
        <w:rPr>
          <w:rFonts w:ascii="Calibri" w:eastAsia="Calibri" w:hAnsi="Calibri" w:cs="Arial"/>
          <w:color w:val="002F5D"/>
        </w:rPr>
        <w:t xml:space="preserve"> </w:t>
      </w:r>
      <w:r w:rsidRPr="000960C1">
        <w:rPr>
          <w:rFonts w:ascii="Calibri" w:eastAsia="Calibri" w:hAnsi="Calibri" w:cs="Arial"/>
          <w:b/>
          <w:color w:val="002F5D"/>
        </w:rPr>
        <w:t xml:space="preserve">Research Group (CCCRG) </w:t>
      </w:r>
      <w:r w:rsidRPr="000960C1">
        <w:rPr>
          <w:rFonts w:ascii="Calibri" w:eastAsia="Calibri" w:hAnsi="Calibri" w:cs="Arial"/>
          <w:color w:val="002F5D"/>
        </w:rPr>
        <w:t xml:space="preserve">forecasts or </w:t>
      </w:r>
      <w:r w:rsidRPr="000960C1">
        <w:rPr>
          <w:rFonts w:ascii="Calibri" w:eastAsia="Calibri" w:hAnsi="Calibri" w:cs="Arial"/>
          <w:b/>
          <w:color w:val="002F5D"/>
        </w:rPr>
        <w:t>Office for National Statistics (ONS)</w:t>
      </w:r>
      <w:r w:rsidRPr="000960C1">
        <w:rPr>
          <w:rFonts w:ascii="Calibri" w:eastAsia="Calibri" w:hAnsi="Calibri" w:cs="Arial"/>
          <w:color w:val="002F5D"/>
        </w:rPr>
        <w:t xml:space="preserve"> population projections</w:t>
      </w:r>
      <w:r>
        <w:rPr>
          <w:rFonts w:ascii="Calibri" w:eastAsia="Calibri" w:hAnsi="Calibri" w:cs="Arial"/>
          <w:color w:val="002F5D"/>
        </w:rPr>
        <w:t>.</w:t>
      </w:r>
    </w:p>
    <w:p w14:paraId="3F4E3205" w14:textId="77777777" w:rsidR="009810FA" w:rsidRPr="000960C1" w:rsidRDefault="009810FA" w:rsidP="009810FA">
      <w:pPr>
        <w:numPr>
          <w:ilvl w:val="0"/>
          <w:numId w:val="59"/>
        </w:numPr>
        <w:spacing w:line="240" w:lineRule="auto"/>
        <w:contextualSpacing/>
        <w:rPr>
          <w:rFonts w:ascii="Calibri" w:eastAsia="Calibri" w:hAnsi="Calibri" w:cs="Arial"/>
          <w:color w:val="002F5D"/>
        </w:rPr>
      </w:pPr>
      <w:r w:rsidRPr="000960C1">
        <w:rPr>
          <w:rFonts w:ascii="Calibri" w:eastAsia="Calibri" w:hAnsi="Calibri" w:cs="Arial"/>
          <w:color w:val="002F5D"/>
        </w:rPr>
        <w:t xml:space="preserve">Although starting at a similar level in 2016, there are differences between </w:t>
      </w:r>
      <w:r w:rsidRPr="000960C1">
        <w:rPr>
          <w:rFonts w:ascii="Calibri" w:eastAsia="Calibri" w:hAnsi="Calibri" w:cs="Arial"/>
          <w:b/>
          <w:color w:val="002F5D"/>
        </w:rPr>
        <w:t>Cambridgeshire County</w:t>
      </w:r>
      <w:r w:rsidRPr="000960C1">
        <w:rPr>
          <w:rFonts w:ascii="Calibri" w:eastAsia="Calibri" w:hAnsi="Calibri" w:cs="Arial"/>
          <w:color w:val="002F5D"/>
        </w:rPr>
        <w:t xml:space="preserve"> </w:t>
      </w:r>
      <w:r w:rsidRPr="000960C1">
        <w:rPr>
          <w:rFonts w:ascii="Calibri" w:eastAsia="Calibri" w:hAnsi="Calibri" w:cs="Arial"/>
          <w:b/>
          <w:color w:val="002F5D"/>
        </w:rPr>
        <w:t>Research Group (CCCRG)</w:t>
      </w:r>
      <w:r w:rsidRPr="000960C1">
        <w:rPr>
          <w:rFonts w:ascii="Calibri" w:eastAsia="Calibri" w:hAnsi="Calibri" w:cs="Arial"/>
          <w:color w:val="002F5D"/>
        </w:rPr>
        <w:t xml:space="preserve"> population forecasts, which are house building policy led, and </w:t>
      </w:r>
      <w:r w:rsidRPr="000960C1">
        <w:rPr>
          <w:rFonts w:ascii="Calibri" w:eastAsia="Calibri" w:hAnsi="Calibri" w:cs="Arial"/>
          <w:b/>
          <w:color w:val="002F5D"/>
        </w:rPr>
        <w:t>Office for National Statistics (ONS)</w:t>
      </w:r>
      <w:r w:rsidRPr="000960C1">
        <w:rPr>
          <w:rFonts w:ascii="Calibri" w:eastAsia="Calibri" w:hAnsi="Calibri" w:cs="Arial"/>
          <w:color w:val="002F5D"/>
        </w:rPr>
        <w:t xml:space="preserve"> population projections which are based only on current population trends. </w:t>
      </w:r>
      <w:r w:rsidRPr="000960C1">
        <w:rPr>
          <w:rFonts w:ascii="Calibri" w:eastAsia="Calibri" w:hAnsi="Calibri" w:cs="Arial"/>
          <w:b/>
          <w:color w:val="002F5D"/>
        </w:rPr>
        <w:t>CCCRG</w:t>
      </w:r>
      <w:r w:rsidRPr="000960C1">
        <w:rPr>
          <w:rFonts w:ascii="Calibri" w:eastAsia="Calibri" w:hAnsi="Calibri" w:cs="Arial"/>
          <w:color w:val="002F5D"/>
        </w:rPr>
        <w:t xml:space="preserve"> forecasts predict approximately 194,000 more people residing in Cambridgeshire and Peterborough by 2036 (a proportional rise of</w:t>
      </w:r>
      <w:r w:rsidRPr="000960C1">
        <w:rPr>
          <w:rFonts w:ascii="Calibri" w:eastAsia="Calibri" w:hAnsi="Calibri" w:cs="Arial"/>
          <w:b/>
          <w:color w:val="002F5D"/>
        </w:rPr>
        <w:t xml:space="preserve"> 23%</w:t>
      </w:r>
      <w:r w:rsidRPr="000960C1">
        <w:rPr>
          <w:rFonts w:ascii="Calibri" w:eastAsia="Calibri" w:hAnsi="Calibri" w:cs="Arial"/>
          <w:color w:val="002F5D"/>
        </w:rPr>
        <w:t xml:space="preserve">) and </w:t>
      </w:r>
      <w:r w:rsidRPr="000960C1">
        <w:rPr>
          <w:rFonts w:ascii="Calibri" w:eastAsia="Calibri" w:hAnsi="Calibri" w:cs="Arial"/>
          <w:b/>
          <w:color w:val="002F5D"/>
        </w:rPr>
        <w:t>ONS</w:t>
      </w:r>
      <w:r w:rsidRPr="000960C1">
        <w:rPr>
          <w:rFonts w:ascii="Calibri" w:eastAsia="Calibri" w:hAnsi="Calibri" w:cs="Arial"/>
          <w:color w:val="002F5D"/>
        </w:rPr>
        <w:t xml:space="preserve"> projections predict approximately 80,400 more (a proportional rise of </w:t>
      </w:r>
      <w:r w:rsidRPr="000960C1">
        <w:rPr>
          <w:rFonts w:ascii="Calibri" w:eastAsia="Calibri" w:hAnsi="Calibri" w:cs="Arial"/>
          <w:b/>
          <w:color w:val="002F5D"/>
        </w:rPr>
        <w:t>10%</w:t>
      </w:r>
      <w:r w:rsidRPr="000960C1">
        <w:rPr>
          <w:rFonts w:ascii="Calibri" w:eastAsia="Calibri" w:hAnsi="Calibri" w:cs="Arial"/>
          <w:color w:val="002F5D"/>
        </w:rPr>
        <w:t xml:space="preserve">). </w:t>
      </w:r>
    </w:p>
    <w:p w14:paraId="35E1B3D9" w14:textId="77777777" w:rsidR="009810FA" w:rsidRPr="00D651DC"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color w:val="002F5D"/>
        </w:rPr>
        <w:t>Both CCCRG and ONS estimates show growth for Cambridgeshire and Peterborough across all age groups. The 16-64 year old age group is predicted to have most growth in total numbers, but the older age groups will grow largest proportionately.</w:t>
      </w:r>
    </w:p>
    <w:p w14:paraId="2EBD50FE" w14:textId="77777777" w:rsidR="009810FA" w:rsidRPr="00D651DC" w:rsidRDefault="009810FA" w:rsidP="009810FA">
      <w:pPr>
        <w:numPr>
          <w:ilvl w:val="0"/>
          <w:numId w:val="59"/>
        </w:numPr>
        <w:spacing w:line="240" w:lineRule="auto"/>
        <w:contextualSpacing/>
        <w:rPr>
          <w:rFonts w:ascii="Calibri" w:eastAsia="Calibri" w:hAnsi="Calibri" w:cs="Arial"/>
          <w:color w:val="002F5D"/>
        </w:rPr>
      </w:pPr>
      <w:r w:rsidRPr="00D651DC">
        <w:rPr>
          <w:rFonts w:ascii="Calibri" w:eastAsia="Calibri" w:hAnsi="Calibri" w:cs="Arial"/>
          <w:color w:val="002F5D"/>
        </w:rPr>
        <w:t xml:space="preserve">To </w:t>
      </w:r>
      <w:r w:rsidRPr="00D651DC">
        <w:rPr>
          <w:rFonts w:ascii="Calibri" w:eastAsia="Calibri" w:hAnsi="Calibri" w:cs="Arial"/>
          <w:b/>
          <w:color w:val="002F5D"/>
        </w:rPr>
        <w:t>2026</w:t>
      </w:r>
      <w:r w:rsidRPr="00D651DC">
        <w:rPr>
          <w:rFonts w:ascii="Calibri" w:eastAsia="Calibri" w:hAnsi="Calibri" w:cs="Arial"/>
          <w:color w:val="002F5D"/>
        </w:rPr>
        <w:t xml:space="preserve">, </w:t>
      </w:r>
      <w:r w:rsidRPr="00D651DC">
        <w:rPr>
          <w:rFonts w:ascii="Calibri" w:eastAsia="Calibri" w:hAnsi="Calibri" w:cs="Arial"/>
          <w:b/>
          <w:color w:val="002F5D"/>
        </w:rPr>
        <w:t>CCCRG</w:t>
      </w:r>
      <w:r w:rsidRPr="00D651DC">
        <w:rPr>
          <w:rFonts w:ascii="Calibri" w:eastAsia="Calibri" w:hAnsi="Calibri" w:cs="Arial"/>
          <w:color w:val="002F5D"/>
        </w:rPr>
        <w:t xml:space="preserve"> house building policy led forecasts indicate a proportional change for Cambridgeshire and Peterborough’s population of </w:t>
      </w:r>
      <w:r w:rsidRPr="00D651DC">
        <w:rPr>
          <w:rFonts w:ascii="Calibri" w:eastAsia="Calibri" w:hAnsi="Calibri" w:cs="Arial"/>
          <w:b/>
          <w:color w:val="002F5D"/>
        </w:rPr>
        <w:t>17%</w:t>
      </w:r>
      <w:r w:rsidRPr="00D651DC">
        <w:rPr>
          <w:rFonts w:ascii="Calibri" w:eastAsia="Calibri" w:hAnsi="Calibri" w:cs="Arial"/>
          <w:color w:val="002F5D"/>
        </w:rPr>
        <w:t xml:space="preserve"> and </w:t>
      </w:r>
      <w:r w:rsidRPr="00D651DC">
        <w:rPr>
          <w:rFonts w:ascii="Calibri" w:eastAsia="Calibri" w:hAnsi="Calibri" w:cs="Arial"/>
          <w:b/>
          <w:color w:val="002F5D"/>
        </w:rPr>
        <w:t xml:space="preserve">ONS </w:t>
      </w:r>
      <w:r w:rsidRPr="00D651DC">
        <w:rPr>
          <w:rFonts w:ascii="Calibri" w:eastAsia="Calibri" w:hAnsi="Calibri" w:cs="Arial"/>
          <w:color w:val="002F5D"/>
        </w:rPr>
        <w:t>forecasts predict</w:t>
      </w:r>
      <w:r w:rsidRPr="00D651DC">
        <w:rPr>
          <w:rFonts w:ascii="Calibri" w:eastAsia="Calibri" w:hAnsi="Calibri" w:cs="Arial"/>
          <w:b/>
          <w:color w:val="002F5D"/>
        </w:rPr>
        <w:t xml:space="preserve"> 6%.</w:t>
      </w:r>
    </w:p>
    <w:p w14:paraId="2FD8ECDA" w14:textId="77777777" w:rsidR="009810FA" w:rsidRPr="00D651DC"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color w:val="002F5D"/>
        </w:rPr>
        <w:t xml:space="preserve">The </w:t>
      </w:r>
      <w:r w:rsidRPr="00D651DC">
        <w:rPr>
          <w:rFonts w:ascii="Calibri" w:eastAsia="Calibri" w:hAnsi="Calibri" w:cs="Arial"/>
          <w:b/>
          <w:color w:val="002F5D"/>
        </w:rPr>
        <w:t>drivers of population change</w:t>
      </w:r>
      <w:r w:rsidRPr="00D651DC">
        <w:rPr>
          <w:rFonts w:ascii="Calibri" w:eastAsia="Calibri" w:hAnsi="Calibri" w:cs="Arial"/>
          <w:color w:val="002F5D"/>
        </w:rPr>
        <w:t xml:space="preserve"> for Cambridgeshire and Peterborough combined and Peterborough are almost </w:t>
      </w:r>
      <w:r w:rsidRPr="00D651DC">
        <w:rPr>
          <w:rFonts w:ascii="Calibri" w:eastAsia="Calibri" w:hAnsi="Calibri" w:cs="Arial"/>
          <w:b/>
          <w:color w:val="002F5D"/>
        </w:rPr>
        <w:t>equally</w:t>
      </w:r>
      <w:r w:rsidRPr="00D651DC">
        <w:rPr>
          <w:rFonts w:ascii="Calibri" w:eastAsia="Calibri" w:hAnsi="Calibri" w:cs="Arial"/>
          <w:color w:val="002F5D"/>
        </w:rPr>
        <w:t xml:space="preserve"> natural change (births and deaths) and migration/other. In Cambridgeshire, just over 61% is accounted for by natural change. Nationally, net migration accounts for a slightly higher proportion of population growth (55%).</w:t>
      </w:r>
    </w:p>
    <w:p w14:paraId="30033319" w14:textId="77777777" w:rsidR="009810FA" w:rsidRPr="00D651DC" w:rsidRDefault="009810FA" w:rsidP="009810FA">
      <w:pPr>
        <w:numPr>
          <w:ilvl w:val="0"/>
          <w:numId w:val="59"/>
        </w:numPr>
        <w:spacing w:line="240" w:lineRule="auto"/>
        <w:ind w:left="714" w:hanging="357"/>
        <w:contextualSpacing/>
        <w:rPr>
          <w:rFonts w:ascii="Calibri" w:eastAsia="Calibri" w:hAnsi="Calibri" w:cs="Arial"/>
          <w:b/>
          <w:color w:val="002F5D"/>
        </w:rPr>
      </w:pPr>
      <w:r w:rsidRPr="00D651DC">
        <w:rPr>
          <w:rFonts w:ascii="Calibri" w:eastAsia="Calibri" w:hAnsi="Calibri" w:cs="Arial"/>
          <w:color w:val="002F5D"/>
        </w:rPr>
        <w:t xml:space="preserve">Overall Cambridgeshire and Peterborough combined follows a relatively similar ethnic profile to England, though is less ethnically diverse overall. However, there is variation at a more local level. </w:t>
      </w:r>
      <w:r w:rsidRPr="00D651DC">
        <w:rPr>
          <w:rFonts w:ascii="Calibri" w:eastAsia="Calibri" w:hAnsi="Calibri" w:cs="Arial"/>
          <w:b/>
          <w:color w:val="002F5D"/>
        </w:rPr>
        <w:t>Peterborough is much more ethnically diverse than Cambridgeshire.</w:t>
      </w:r>
    </w:p>
    <w:p w14:paraId="05CC2000" w14:textId="77777777" w:rsidR="009810FA"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color w:val="002F5D"/>
        </w:rPr>
        <w:t xml:space="preserve">Cambridgeshire and Peterborough combined have </w:t>
      </w:r>
      <w:r w:rsidRPr="00D651DC">
        <w:rPr>
          <w:rFonts w:ascii="Calibri" w:eastAsia="Calibri" w:hAnsi="Calibri" w:cs="Arial"/>
          <w:b/>
          <w:color w:val="002F5D"/>
        </w:rPr>
        <w:t>low levels of population density</w:t>
      </w:r>
      <w:r w:rsidRPr="00D651DC">
        <w:rPr>
          <w:rFonts w:ascii="Calibri" w:eastAsia="Calibri" w:hAnsi="Calibri" w:cs="Arial"/>
          <w:color w:val="002F5D"/>
        </w:rPr>
        <w:t xml:space="preserve"> compared to England. However, </w:t>
      </w:r>
      <w:r w:rsidRPr="00D651DC">
        <w:rPr>
          <w:rFonts w:ascii="Calibri" w:eastAsia="Calibri" w:hAnsi="Calibri" w:cs="Arial"/>
          <w:b/>
          <w:color w:val="002F5D"/>
        </w:rPr>
        <w:t>Peterborough</w:t>
      </w:r>
      <w:r w:rsidRPr="00D651DC">
        <w:rPr>
          <w:rFonts w:ascii="Calibri" w:eastAsia="Calibri" w:hAnsi="Calibri" w:cs="Arial"/>
          <w:color w:val="002F5D"/>
        </w:rPr>
        <w:t xml:space="preserve"> is more urban, and </w:t>
      </w:r>
      <w:r w:rsidRPr="00D651DC">
        <w:rPr>
          <w:rFonts w:ascii="Calibri" w:eastAsia="Calibri" w:hAnsi="Calibri" w:cs="Arial"/>
          <w:b/>
          <w:color w:val="002F5D"/>
        </w:rPr>
        <w:t>population dense</w:t>
      </w:r>
      <w:r w:rsidRPr="00D651DC">
        <w:rPr>
          <w:rFonts w:ascii="Calibri" w:eastAsia="Calibri" w:hAnsi="Calibri" w:cs="Arial"/>
          <w:color w:val="002F5D"/>
        </w:rPr>
        <w:t xml:space="preserve">, than Cambridgeshire and England overall. </w:t>
      </w:r>
    </w:p>
    <w:p w14:paraId="02F45248" w14:textId="77777777" w:rsidR="009810FA" w:rsidRPr="00D651DC" w:rsidRDefault="009810FA" w:rsidP="009810FA">
      <w:pPr>
        <w:numPr>
          <w:ilvl w:val="0"/>
          <w:numId w:val="59"/>
        </w:numPr>
        <w:spacing w:line="240" w:lineRule="auto"/>
        <w:ind w:left="714" w:hanging="357"/>
        <w:contextualSpacing/>
        <w:rPr>
          <w:rFonts w:ascii="Calibri" w:eastAsia="Calibri" w:hAnsi="Calibri" w:cs="Arial"/>
          <w:color w:val="002F5D"/>
        </w:rPr>
      </w:pPr>
      <w:r w:rsidRPr="00EF6A01">
        <w:rPr>
          <w:rFonts w:ascii="Calibri" w:eastAsia="Calibri" w:hAnsi="Calibri" w:cs="Arial"/>
          <w:b/>
          <w:color w:val="002F5D"/>
        </w:rPr>
        <w:t>Other populations</w:t>
      </w:r>
      <w:r>
        <w:rPr>
          <w:rFonts w:ascii="Calibri" w:eastAsia="Calibri" w:hAnsi="Calibri" w:cs="Arial"/>
          <w:color w:val="002F5D"/>
        </w:rPr>
        <w:t xml:space="preserve"> in Cambridgeshire and Peterborough, such as the prison population, homeless population, and armed forces population have additional health needs and in some aspects may experience adverse health. </w:t>
      </w:r>
    </w:p>
    <w:p w14:paraId="7205430F" w14:textId="77777777" w:rsidR="009810FA" w:rsidRPr="0022024E" w:rsidRDefault="009810FA" w:rsidP="009810FA">
      <w:pPr>
        <w:spacing w:line="240" w:lineRule="auto"/>
        <w:ind w:left="714"/>
        <w:contextualSpacing/>
        <w:rPr>
          <w:rFonts w:ascii="Calibri" w:eastAsia="Calibri" w:hAnsi="Calibri" w:cs="Arial"/>
          <w:color w:val="FF0000"/>
        </w:rPr>
      </w:pPr>
    </w:p>
    <w:p w14:paraId="4EEA8B6A" w14:textId="77777777" w:rsidR="009810FA" w:rsidRPr="00D651DC"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color w:val="002F5D"/>
        </w:rPr>
        <w:t xml:space="preserve">Cambridgeshire overall has low levels of socio-economic disadvantage and relative to England is a prosperous place with low levels of deprivation. </w:t>
      </w:r>
      <w:r w:rsidRPr="00D651DC">
        <w:rPr>
          <w:rFonts w:ascii="Calibri" w:eastAsia="Calibri" w:hAnsi="Calibri" w:cs="Arial"/>
          <w:b/>
          <w:color w:val="002F5D"/>
        </w:rPr>
        <w:t>Peterborough has much higher levels of socio-economic disadvantage;</w:t>
      </w:r>
      <w:r w:rsidRPr="00D651DC">
        <w:rPr>
          <w:rFonts w:ascii="Calibri" w:eastAsia="Calibri" w:hAnsi="Calibri" w:cs="Arial"/>
          <w:color w:val="002F5D"/>
        </w:rPr>
        <w:t xml:space="preserve"> 37% of its residents live in the 20% most deprived areas nationally (compared with just 4% in Cambridgeshire). It should be noted that 21% of </w:t>
      </w:r>
      <w:r w:rsidRPr="00D651DC">
        <w:rPr>
          <w:rFonts w:ascii="Calibri" w:eastAsia="Calibri" w:hAnsi="Calibri" w:cs="Arial"/>
          <w:b/>
          <w:color w:val="002F5D"/>
        </w:rPr>
        <w:t>Fenland</w:t>
      </w:r>
      <w:r w:rsidRPr="00D651DC">
        <w:rPr>
          <w:rFonts w:ascii="Calibri" w:eastAsia="Calibri" w:hAnsi="Calibri" w:cs="Arial"/>
          <w:color w:val="002F5D"/>
        </w:rPr>
        <w:t xml:space="preserve"> residents live within the 20% most deprived areas nationally too.</w:t>
      </w:r>
    </w:p>
    <w:p w14:paraId="16F340BF" w14:textId="742C63FD" w:rsidR="009810FA" w:rsidRPr="00D651DC" w:rsidRDefault="009810FA" w:rsidP="009810FA">
      <w:pPr>
        <w:numPr>
          <w:ilvl w:val="0"/>
          <w:numId w:val="59"/>
        </w:numPr>
        <w:spacing w:line="240" w:lineRule="auto"/>
        <w:contextualSpacing/>
        <w:rPr>
          <w:rFonts w:ascii="Calibri" w:eastAsia="Calibri" w:hAnsi="Calibri" w:cs="Arial"/>
          <w:color w:val="002F5D"/>
        </w:rPr>
      </w:pPr>
      <w:r w:rsidRPr="00D651DC">
        <w:rPr>
          <w:rFonts w:ascii="Calibri" w:eastAsia="Calibri" w:hAnsi="Calibri" w:cs="Arial"/>
          <w:color w:val="002F5D"/>
        </w:rPr>
        <w:t>In Cambridgeshire and most districts</w:t>
      </w:r>
      <w:r w:rsidR="00EA1346">
        <w:rPr>
          <w:rFonts w:ascii="Calibri" w:eastAsia="Calibri" w:hAnsi="Calibri" w:cs="Arial"/>
          <w:color w:val="002F5D"/>
        </w:rPr>
        <w:t>,</w:t>
      </w:r>
      <w:r>
        <w:rPr>
          <w:rFonts w:ascii="Calibri" w:eastAsia="Calibri" w:hAnsi="Calibri" w:cs="Arial"/>
          <w:color w:val="002F5D"/>
        </w:rPr>
        <w:t xml:space="preserve"> </w:t>
      </w:r>
      <w:r w:rsidRPr="00D651DC">
        <w:rPr>
          <w:rFonts w:ascii="Calibri" w:eastAsia="Calibri" w:hAnsi="Calibri" w:cs="Arial"/>
          <w:b/>
          <w:color w:val="002F5D"/>
        </w:rPr>
        <w:t xml:space="preserve">child poverty </w:t>
      </w:r>
      <w:r w:rsidRPr="00D651DC">
        <w:rPr>
          <w:rFonts w:ascii="Calibri" w:eastAsia="Calibri" w:hAnsi="Calibri" w:cs="Arial"/>
          <w:color w:val="002F5D"/>
        </w:rPr>
        <w:t xml:space="preserve">is </w:t>
      </w:r>
      <w:r>
        <w:rPr>
          <w:rFonts w:ascii="Calibri" w:eastAsia="Calibri" w:hAnsi="Calibri" w:cs="Arial"/>
          <w:color w:val="002F5D"/>
        </w:rPr>
        <w:t xml:space="preserve">significantly </w:t>
      </w:r>
      <w:r w:rsidRPr="00D651DC">
        <w:rPr>
          <w:rFonts w:ascii="Calibri" w:eastAsia="Calibri" w:hAnsi="Calibri" w:cs="Arial"/>
          <w:color w:val="002F5D"/>
        </w:rPr>
        <w:t xml:space="preserve">lower than in England. However, in </w:t>
      </w:r>
      <w:r w:rsidRPr="00D651DC">
        <w:rPr>
          <w:rFonts w:ascii="Calibri" w:eastAsia="Calibri" w:hAnsi="Calibri" w:cs="Arial"/>
          <w:b/>
          <w:color w:val="002F5D"/>
        </w:rPr>
        <w:t>Peterborough</w:t>
      </w:r>
      <w:r w:rsidRPr="00D651DC">
        <w:rPr>
          <w:rFonts w:ascii="Calibri" w:eastAsia="Calibri" w:hAnsi="Calibri" w:cs="Arial"/>
          <w:color w:val="002F5D"/>
        </w:rPr>
        <w:t xml:space="preserve"> and </w:t>
      </w:r>
      <w:r w:rsidRPr="00D651DC">
        <w:rPr>
          <w:rFonts w:ascii="Calibri" w:eastAsia="Calibri" w:hAnsi="Calibri" w:cs="Arial"/>
          <w:b/>
          <w:color w:val="002F5D"/>
        </w:rPr>
        <w:t>Fenland</w:t>
      </w:r>
      <w:r w:rsidRPr="00D651DC">
        <w:rPr>
          <w:rFonts w:ascii="Calibri" w:eastAsia="Calibri" w:hAnsi="Calibri" w:cs="Arial"/>
          <w:color w:val="002F5D"/>
        </w:rPr>
        <w:t xml:space="preserve"> it is significantly above national levels.</w:t>
      </w:r>
    </w:p>
    <w:p w14:paraId="0D078DB2" w14:textId="77777777" w:rsidR="009810FA"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b/>
          <w:color w:val="002F5D"/>
        </w:rPr>
        <w:t xml:space="preserve">Child development </w:t>
      </w:r>
      <w:r w:rsidRPr="00D651DC">
        <w:rPr>
          <w:rFonts w:ascii="Calibri" w:eastAsia="Calibri" w:hAnsi="Calibri" w:cs="Arial"/>
          <w:color w:val="002F5D"/>
        </w:rPr>
        <w:t>and</w:t>
      </w:r>
      <w:r w:rsidRPr="00D651DC">
        <w:rPr>
          <w:rFonts w:ascii="Calibri" w:eastAsia="Calibri" w:hAnsi="Calibri" w:cs="Arial"/>
          <w:b/>
          <w:color w:val="002F5D"/>
        </w:rPr>
        <w:t xml:space="preserve"> educational</w:t>
      </w:r>
      <w:r w:rsidRPr="00D651DC">
        <w:rPr>
          <w:rFonts w:ascii="Calibri" w:eastAsia="Calibri" w:hAnsi="Calibri" w:cs="Arial"/>
          <w:color w:val="002F5D"/>
        </w:rPr>
        <w:t xml:space="preserve"> </w:t>
      </w:r>
      <w:r w:rsidRPr="00D651DC">
        <w:rPr>
          <w:rFonts w:ascii="Calibri" w:eastAsia="Calibri" w:hAnsi="Calibri" w:cs="Arial"/>
          <w:b/>
          <w:color w:val="002F5D"/>
        </w:rPr>
        <w:t>performance</w:t>
      </w:r>
      <w:r w:rsidRPr="00D651DC">
        <w:rPr>
          <w:rFonts w:ascii="Calibri" w:eastAsia="Calibri" w:hAnsi="Calibri" w:cs="Arial"/>
          <w:color w:val="002F5D"/>
        </w:rPr>
        <w:t xml:space="preserve"> warrant further attention across Cambridgeshire and Peterborough, particularly in </w:t>
      </w:r>
      <w:r w:rsidRPr="00D651DC">
        <w:rPr>
          <w:rFonts w:ascii="Calibri" w:eastAsia="Calibri" w:hAnsi="Calibri" w:cs="Arial"/>
          <w:b/>
          <w:color w:val="002F5D"/>
        </w:rPr>
        <w:t>Peterborough</w:t>
      </w:r>
      <w:r w:rsidRPr="00D651DC">
        <w:rPr>
          <w:rFonts w:ascii="Calibri" w:eastAsia="Calibri" w:hAnsi="Calibri" w:cs="Arial"/>
          <w:color w:val="002F5D"/>
        </w:rPr>
        <w:t xml:space="preserve">, </w:t>
      </w:r>
      <w:r w:rsidRPr="00D651DC">
        <w:rPr>
          <w:rFonts w:ascii="Calibri" w:eastAsia="Calibri" w:hAnsi="Calibri" w:cs="Arial"/>
          <w:b/>
          <w:color w:val="002F5D"/>
        </w:rPr>
        <w:t>Fenland</w:t>
      </w:r>
      <w:r w:rsidRPr="00D651DC">
        <w:rPr>
          <w:rFonts w:ascii="Calibri" w:eastAsia="Calibri" w:hAnsi="Calibri" w:cs="Arial"/>
          <w:color w:val="002F5D"/>
        </w:rPr>
        <w:t xml:space="preserve"> and other relatively </w:t>
      </w:r>
      <w:r w:rsidRPr="00A4027E">
        <w:rPr>
          <w:rFonts w:ascii="Calibri" w:eastAsia="Calibri" w:hAnsi="Calibri" w:cs="Arial"/>
          <w:b/>
          <w:color w:val="002F5D"/>
        </w:rPr>
        <w:t>deprived</w:t>
      </w:r>
      <w:r w:rsidRPr="00A4027E">
        <w:rPr>
          <w:rFonts w:ascii="Calibri" w:eastAsia="Calibri" w:hAnsi="Calibri" w:cs="Arial"/>
          <w:color w:val="002F5D"/>
        </w:rPr>
        <w:t xml:space="preserve"> smaller areas. Educational attainment is around national levels in Cambridgeshire and Peterborough taken together as a whole.</w:t>
      </w:r>
    </w:p>
    <w:p w14:paraId="75D3A2E1" w14:textId="1B02A4C3" w:rsidR="009810FA" w:rsidRDefault="009810FA" w:rsidP="009810FA">
      <w:pPr>
        <w:numPr>
          <w:ilvl w:val="0"/>
          <w:numId w:val="59"/>
        </w:numPr>
        <w:spacing w:line="240" w:lineRule="auto"/>
        <w:ind w:left="714" w:hanging="357"/>
        <w:contextualSpacing/>
        <w:rPr>
          <w:rFonts w:ascii="Calibri" w:eastAsia="Calibri" w:hAnsi="Calibri" w:cs="Arial"/>
          <w:color w:val="002F5D"/>
        </w:rPr>
      </w:pPr>
      <w:r w:rsidRPr="00A4027E">
        <w:rPr>
          <w:rFonts w:ascii="Calibri" w:eastAsia="Calibri" w:hAnsi="Calibri" w:cs="Arial"/>
          <w:b/>
          <w:color w:val="002F5D"/>
        </w:rPr>
        <w:t>Employment</w:t>
      </w:r>
      <w:r w:rsidRPr="00A4027E">
        <w:rPr>
          <w:rFonts w:ascii="Calibri" w:eastAsia="Calibri" w:hAnsi="Calibri" w:cs="Arial"/>
          <w:color w:val="002F5D"/>
        </w:rPr>
        <w:t xml:space="preserve"> related measures tend to be around national levels in the Cambridgeshire and Peterborough area as a whole. In general, </w:t>
      </w:r>
      <w:r w:rsidRPr="00A4027E">
        <w:rPr>
          <w:rFonts w:ascii="Calibri" w:eastAsia="Calibri" w:hAnsi="Calibri" w:cs="Arial"/>
          <w:b/>
          <w:color w:val="002F5D"/>
        </w:rPr>
        <w:t>Peterborough</w:t>
      </w:r>
      <w:r w:rsidRPr="00A4027E">
        <w:rPr>
          <w:rFonts w:ascii="Calibri" w:eastAsia="Calibri" w:hAnsi="Calibri" w:cs="Arial"/>
          <w:color w:val="002F5D"/>
        </w:rPr>
        <w:t xml:space="preserve"> has more </w:t>
      </w:r>
      <w:r w:rsidRPr="00A4027E">
        <w:rPr>
          <w:rFonts w:ascii="Calibri" w:eastAsia="Calibri" w:hAnsi="Calibri" w:cs="Arial"/>
          <w:b/>
          <w:color w:val="002F5D"/>
        </w:rPr>
        <w:t>employment and income related disadvantage</w:t>
      </w:r>
      <w:r w:rsidRPr="00A4027E">
        <w:rPr>
          <w:rFonts w:ascii="Calibri" w:eastAsia="Calibri" w:hAnsi="Calibri" w:cs="Arial"/>
          <w:color w:val="002F5D"/>
        </w:rPr>
        <w:t xml:space="preserve"> than Cambridgeshire. </w:t>
      </w:r>
      <w:r w:rsidRPr="00A4027E">
        <w:rPr>
          <w:rFonts w:ascii="Calibri" w:eastAsia="Calibri" w:hAnsi="Calibri" w:cs="Arial"/>
          <w:b/>
          <w:color w:val="002F5D"/>
        </w:rPr>
        <w:t>Levels of employment</w:t>
      </w:r>
      <w:r w:rsidRPr="00A4027E">
        <w:rPr>
          <w:rFonts w:ascii="Calibri" w:eastAsia="Calibri" w:hAnsi="Calibri" w:cs="Arial"/>
          <w:color w:val="002F5D"/>
        </w:rPr>
        <w:t xml:space="preserve"> of 16-64</w:t>
      </w:r>
      <w:r w:rsidR="00EA1346">
        <w:rPr>
          <w:rFonts w:ascii="Calibri" w:eastAsia="Calibri" w:hAnsi="Calibri" w:cs="Arial"/>
          <w:color w:val="002F5D"/>
        </w:rPr>
        <w:t xml:space="preserve"> </w:t>
      </w:r>
      <w:r w:rsidRPr="00A4027E">
        <w:rPr>
          <w:rFonts w:ascii="Calibri" w:eastAsia="Calibri" w:hAnsi="Calibri" w:cs="Arial"/>
          <w:color w:val="002F5D"/>
        </w:rPr>
        <w:t>y</w:t>
      </w:r>
      <w:r w:rsidR="00EA1346">
        <w:rPr>
          <w:rFonts w:ascii="Calibri" w:eastAsia="Calibri" w:hAnsi="Calibri" w:cs="Arial"/>
          <w:color w:val="002F5D"/>
        </w:rPr>
        <w:t>ea</w:t>
      </w:r>
      <w:r w:rsidRPr="00A4027E">
        <w:rPr>
          <w:rFonts w:ascii="Calibri" w:eastAsia="Calibri" w:hAnsi="Calibri" w:cs="Arial"/>
          <w:color w:val="002F5D"/>
        </w:rPr>
        <w:t xml:space="preserve">r olds are </w:t>
      </w:r>
      <w:r w:rsidRPr="00A4027E">
        <w:rPr>
          <w:rFonts w:ascii="Calibri" w:eastAsia="Calibri" w:hAnsi="Calibri" w:cs="Arial"/>
          <w:b/>
          <w:color w:val="002F5D"/>
        </w:rPr>
        <w:t>lower than</w:t>
      </w:r>
      <w:r w:rsidRPr="00A4027E">
        <w:rPr>
          <w:rFonts w:ascii="Calibri" w:eastAsia="Calibri" w:hAnsi="Calibri" w:cs="Arial"/>
          <w:color w:val="002F5D"/>
        </w:rPr>
        <w:t xml:space="preserve"> national levels for </w:t>
      </w:r>
      <w:r w:rsidRPr="00A4027E">
        <w:rPr>
          <w:rFonts w:ascii="Calibri" w:eastAsia="Calibri" w:hAnsi="Calibri" w:cs="Arial"/>
          <w:b/>
          <w:color w:val="002F5D"/>
        </w:rPr>
        <w:t>Peterborough</w:t>
      </w:r>
      <w:r w:rsidRPr="00A4027E">
        <w:rPr>
          <w:rFonts w:ascii="Calibri" w:eastAsia="Calibri" w:hAnsi="Calibri" w:cs="Arial"/>
          <w:color w:val="002F5D"/>
        </w:rPr>
        <w:t xml:space="preserve">, and significantly </w:t>
      </w:r>
      <w:r w:rsidRPr="00A4027E">
        <w:rPr>
          <w:rFonts w:ascii="Calibri" w:eastAsia="Calibri" w:hAnsi="Calibri" w:cs="Arial"/>
          <w:b/>
          <w:color w:val="002F5D"/>
        </w:rPr>
        <w:t>better</w:t>
      </w:r>
      <w:r w:rsidRPr="00A4027E">
        <w:rPr>
          <w:rFonts w:ascii="Calibri" w:eastAsia="Calibri" w:hAnsi="Calibri" w:cs="Arial"/>
          <w:color w:val="002F5D"/>
        </w:rPr>
        <w:t xml:space="preserve"> than national rates for </w:t>
      </w:r>
      <w:r w:rsidRPr="00A4027E">
        <w:rPr>
          <w:rFonts w:ascii="Calibri" w:eastAsia="Calibri" w:hAnsi="Calibri" w:cs="Arial"/>
          <w:b/>
          <w:color w:val="002F5D"/>
        </w:rPr>
        <w:t>Cambridgeshire</w:t>
      </w:r>
      <w:r w:rsidRPr="00A4027E">
        <w:rPr>
          <w:rFonts w:ascii="Calibri" w:eastAsia="Calibri" w:hAnsi="Calibri" w:cs="Arial"/>
          <w:color w:val="002F5D"/>
        </w:rPr>
        <w:t xml:space="preserve">.  </w:t>
      </w:r>
      <w:r w:rsidRPr="00A4027E">
        <w:rPr>
          <w:rFonts w:ascii="Calibri" w:eastAsia="Calibri" w:hAnsi="Calibri" w:cs="Arial"/>
          <w:b/>
          <w:color w:val="002F5D"/>
        </w:rPr>
        <w:t>Cambridgeshire and</w:t>
      </w:r>
      <w:r w:rsidRPr="00A4027E">
        <w:rPr>
          <w:rFonts w:ascii="Calibri" w:eastAsia="Calibri" w:hAnsi="Calibri" w:cs="Arial"/>
          <w:color w:val="002F5D"/>
        </w:rPr>
        <w:t xml:space="preserve"> </w:t>
      </w:r>
      <w:r w:rsidRPr="00A4027E">
        <w:rPr>
          <w:rFonts w:ascii="Calibri" w:eastAsia="Calibri" w:hAnsi="Calibri" w:cs="Arial"/>
          <w:b/>
          <w:color w:val="002F5D"/>
        </w:rPr>
        <w:t xml:space="preserve">Peterborough, </w:t>
      </w:r>
      <w:r w:rsidRPr="00A4027E">
        <w:rPr>
          <w:rFonts w:ascii="Calibri" w:eastAsia="Calibri" w:hAnsi="Calibri" w:cs="Arial"/>
          <w:color w:val="002F5D"/>
        </w:rPr>
        <w:t>combined and independently, have</w:t>
      </w:r>
      <w:r w:rsidRPr="00A4027E">
        <w:rPr>
          <w:rFonts w:ascii="Calibri" w:eastAsia="Calibri" w:hAnsi="Calibri" w:cs="Arial"/>
          <w:b/>
          <w:color w:val="002F5D"/>
        </w:rPr>
        <w:t xml:space="preserve"> similar </w:t>
      </w:r>
      <w:r w:rsidRPr="00A4027E">
        <w:rPr>
          <w:rFonts w:ascii="Calibri" w:eastAsia="Calibri" w:hAnsi="Calibri" w:cs="Arial"/>
          <w:color w:val="002F5D"/>
        </w:rPr>
        <w:t xml:space="preserve">to national rates for </w:t>
      </w:r>
      <w:r w:rsidRPr="00A4027E">
        <w:rPr>
          <w:rFonts w:ascii="Calibri" w:eastAsia="Calibri" w:hAnsi="Calibri" w:cs="Arial"/>
          <w:b/>
          <w:color w:val="002F5D"/>
        </w:rPr>
        <w:t>employment for people with</w:t>
      </w:r>
      <w:r w:rsidRPr="00A4027E">
        <w:rPr>
          <w:rFonts w:ascii="Calibri" w:eastAsia="Calibri" w:hAnsi="Calibri" w:cs="Arial"/>
          <w:color w:val="002F5D"/>
        </w:rPr>
        <w:t xml:space="preserve"> </w:t>
      </w:r>
      <w:r w:rsidRPr="00A4027E">
        <w:rPr>
          <w:rFonts w:ascii="Calibri" w:eastAsia="Calibri" w:hAnsi="Calibri" w:cs="Arial"/>
          <w:b/>
          <w:color w:val="002F5D"/>
        </w:rPr>
        <w:t xml:space="preserve">long-term health conditions. </w:t>
      </w:r>
      <w:r w:rsidRPr="00A4027E">
        <w:rPr>
          <w:rFonts w:ascii="Calibri" w:eastAsia="Calibri" w:hAnsi="Calibri" w:cs="Arial"/>
          <w:color w:val="002F5D"/>
        </w:rPr>
        <w:t xml:space="preserve">Rates in </w:t>
      </w:r>
      <w:r w:rsidRPr="00A4027E">
        <w:rPr>
          <w:rFonts w:ascii="Calibri" w:eastAsia="Calibri" w:hAnsi="Calibri" w:cs="Arial"/>
          <w:b/>
          <w:color w:val="002F5D"/>
        </w:rPr>
        <w:t xml:space="preserve">Cambridge City </w:t>
      </w:r>
      <w:r w:rsidRPr="00A4027E">
        <w:rPr>
          <w:rFonts w:ascii="Calibri" w:eastAsia="Calibri" w:hAnsi="Calibri" w:cs="Arial"/>
          <w:color w:val="002F5D"/>
        </w:rPr>
        <w:t xml:space="preserve">are </w:t>
      </w:r>
      <w:r w:rsidRPr="00A4027E">
        <w:rPr>
          <w:rFonts w:ascii="Calibri" w:eastAsia="Calibri" w:hAnsi="Calibri" w:cs="Arial"/>
          <w:b/>
          <w:color w:val="002F5D"/>
        </w:rPr>
        <w:t>significantly worse</w:t>
      </w:r>
      <w:r w:rsidRPr="00A4027E">
        <w:rPr>
          <w:rFonts w:ascii="Calibri" w:eastAsia="Calibri" w:hAnsi="Calibri" w:cs="Arial"/>
          <w:color w:val="002F5D"/>
        </w:rPr>
        <w:t xml:space="preserve"> than England. Rates of claimants for </w:t>
      </w:r>
      <w:r w:rsidRPr="00A4027E">
        <w:rPr>
          <w:rFonts w:ascii="Calibri" w:eastAsia="Calibri" w:hAnsi="Calibri" w:cs="Arial"/>
          <w:b/>
          <w:color w:val="002F5D"/>
        </w:rPr>
        <w:t>Employment Support Allowance</w:t>
      </w:r>
      <w:r w:rsidRPr="00A4027E">
        <w:rPr>
          <w:rFonts w:ascii="Calibri" w:eastAsia="Calibri" w:hAnsi="Calibri" w:cs="Arial"/>
          <w:color w:val="002F5D"/>
        </w:rPr>
        <w:t xml:space="preserve"> (ESA) for </w:t>
      </w:r>
      <w:r w:rsidRPr="00A4027E">
        <w:rPr>
          <w:rFonts w:ascii="Calibri" w:eastAsia="Calibri" w:hAnsi="Calibri" w:cs="Arial"/>
          <w:b/>
          <w:color w:val="002F5D"/>
        </w:rPr>
        <w:t>mental and behavioural disorders</w:t>
      </w:r>
      <w:r w:rsidRPr="00A4027E">
        <w:rPr>
          <w:rFonts w:ascii="Calibri" w:eastAsia="Calibri" w:hAnsi="Calibri" w:cs="Arial"/>
          <w:color w:val="002F5D"/>
        </w:rPr>
        <w:t xml:space="preserve"> are </w:t>
      </w:r>
      <w:r w:rsidRPr="00A4027E">
        <w:rPr>
          <w:rFonts w:ascii="Calibri" w:eastAsia="Calibri" w:hAnsi="Calibri" w:cs="Arial"/>
          <w:b/>
          <w:color w:val="002F5D"/>
        </w:rPr>
        <w:t>increasing</w:t>
      </w:r>
      <w:r w:rsidRPr="00A4027E">
        <w:rPr>
          <w:rFonts w:ascii="Calibri" w:eastAsia="Calibri" w:hAnsi="Calibri" w:cs="Arial"/>
          <w:color w:val="002F5D"/>
        </w:rPr>
        <w:t xml:space="preserve"> across Cambridgeshire and Peterborough, as well as nationally. They are numerically </w:t>
      </w:r>
      <w:r w:rsidRPr="00A4027E">
        <w:rPr>
          <w:rFonts w:ascii="Calibri" w:eastAsia="Calibri" w:hAnsi="Calibri" w:cs="Arial"/>
          <w:b/>
          <w:color w:val="002F5D"/>
        </w:rPr>
        <w:t>lower</w:t>
      </w:r>
      <w:r w:rsidRPr="00A4027E">
        <w:rPr>
          <w:rFonts w:ascii="Calibri" w:eastAsia="Calibri" w:hAnsi="Calibri" w:cs="Arial"/>
          <w:color w:val="002F5D"/>
        </w:rPr>
        <w:t xml:space="preserve"> than England in </w:t>
      </w:r>
      <w:r w:rsidRPr="00A4027E">
        <w:rPr>
          <w:rFonts w:ascii="Calibri" w:eastAsia="Calibri" w:hAnsi="Calibri" w:cs="Arial"/>
          <w:b/>
          <w:color w:val="002F5D"/>
        </w:rPr>
        <w:t>Cambridgeshire and Peterborough combined</w:t>
      </w:r>
      <w:r w:rsidRPr="00A4027E">
        <w:rPr>
          <w:rFonts w:ascii="Calibri" w:eastAsia="Calibri" w:hAnsi="Calibri" w:cs="Arial"/>
          <w:color w:val="002F5D"/>
        </w:rPr>
        <w:t xml:space="preserve">, significantly </w:t>
      </w:r>
      <w:r w:rsidRPr="00A4027E">
        <w:rPr>
          <w:rFonts w:ascii="Calibri" w:eastAsia="Calibri" w:hAnsi="Calibri" w:cs="Arial"/>
          <w:b/>
          <w:color w:val="002F5D"/>
        </w:rPr>
        <w:t>better</w:t>
      </w:r>
      <w:r w:rsidRPr="00A4027E">
        <w:rPr>
          <w:rFonts w:ascii="Calibri" w:eastAsia="Calibri" w:hAnsi="Calibri" w:cs="Arial"/>
          <w:color w:val="002F5D"/>
        </w:rPr>
        <w:t xml:space="preserve"> than the national level in </w:t>
      </w:r>
      <w:r w:rsidRPr="00A4027E">
        <w:rPr>
          <w:rFonts w:ascii="Calibri" w:eastAsia="Calibri" w:hAnsi="Calibri" w:cs="Arial"/>
          <w:b/>
          <w:color w:val="002F5D"/>
        </w:rPr>
        <w:t>Cambridgeshire</w:t>
      </w:r>
      <w:r w:rsidRPr="00A4027E">
        <w:rPr>
          <w:rFonts w:ascii="Calibri" w:eastAsia="Calibri" w:hAnsi="Calibri" w:cs="Arial"/>
          <w:color w:val="002F5D"/>
        </w:rPr>
        <w:t xml:space="preserve"> and </w:t>
      </w:r>
      <w:r w:rsidRPr="00A4027E">
        <w:rPr>
          <w:rFonts w:ascii="Calibri" w:eastAsia="Calibri" w:hAnsi="Calibri" w:cs="Arial"/>
          <w:b/>
          <w:color w:val="002F5D"/>
        </w:rPr>
        <w:t>most districts</w:t>
      </w:r>
      <w:r w:rsidRPr="00A4027E">
        <w:rPr>
          <w:rFonts w:ascii="Calibri" w:eastAsia="Calibri" w:hAnsi="Calibri" w:cs="Arial"/>
          <w:color w:val="002F5D"/>
        </w:rPr>
        <w:t xml:space="preserve">, but are significantly worse than national levels in </w:t>
      </w:r>
      <w:r w:rsidRPr="00A4027E">
        <w:rPr>
          <w:rFonts w:ascii="Calibri" w:eastAsia="Calibri" w:hAnsi="Calibri" w:cs="Arial"/>
          <w:b/>
          <w:color w:val="002F5D"/>
        </w:rPr>
        <w:t>Peterborough</w:t>
      </w:r>
      <w:r w:rsidRPr="00A4027E">
        <w:rPr>
          <w:rFonts w:ascii="Calibri" w:eastAsia="Calibri" w:hAnsi="Calibri" w:cs="Arial"/>
          <w:color w:val="002F5D"/>
        </w:rPr>
        <w:t>.</w:t>
      </w:r>
    </w:p>
    <w:p w14:paraId="531C7AF0" w14:textId="77777777" w:rsidR="009810FA" w:rsidRDefault="009810FA" w:rsidP="009810FA">
      <w:pPr>
        <w:numPr>
          <w:ilvl w:val="0"/>
          <w:numId w:val="59"/>
        </w:numPr>
        <w:spacing w:line="240" w:lineRule="auto"/>
        <w:ind w:left="714" w:hanging="357"/>
        <w:contextualSpacing/>
        <w:rPr>
          <w:rFonts w:ascii="Calibri" w:eastAsia="Calibri" w:hAnsi="Calibri" w:cs="Arial"/>
          <w:color w:val="002F5D"/>
        </w:rPr>
      </w:pPr>
      <w:r>
        <w:rPr>
          <w:rFonts w:ascii="Calibri" w:eastAsia="Calibri" w:hAnsi="Calibri" w:cs="Arial"/>
          <w:b/>
          <w:color w:val="002F5D"/>
        </w:rPr>
        <w:t xml:space="preserve">Modelled estimates </w:t>
      </w:r>
      <w:r w:rsidRPr="00EF6A01">
        <w:rPr>
          <w:rFonts w:ascii="Calibri" w:eastAsia="Calibri" w:hAnsi="Calibri" w:cs="Arial"/>
          <w:color w:val="002F5D"/>
        </w:rPr>
        <w:t>anticipate that</w:t>
      </w:r>
      <w:r>
        <w:rPr>
          <w:rFonts w:ascii="Calibri" w:eastAsia="Calibri" w:hAnsi="Calibri" w:cs="Arial"/>
          <w:b/>
          <w:color w:val="002F5D"/>
        </w:rPr>
        <w:t xml:space="preserve"> </w:t>
      </w:r>
      <w:r>
        <w:rPr>
          <w:color w:val="002F5D"/>
        </w:rPr>
        <w:t xml:space="preserve">the number of people predicted to have additional needs, including a physical disability, personal care disability, common mental disorder, a fall and dementia are expected to </w:t>
      </w:r>
      <w:r w:rsidRPr="00EF6A01">
        <w:rPr>
          <w:b/>
          <w:color w:val="002F5D"/>
        </w:rPr>
        <w:t>increase in Cambridgeshire and Peterborough</w:t>
      </w:r>
      <w:r>
        <w:rPr>
          <w:color w:val="002F5D"/>
        </w:rPr>
        <w:t xml:space="preserve"> over coming years. </w:t>
      </w:r>
      <w:r>
        <w:rPr>
          <w:rFonts w:ascii="Calibri" w:eastAsia="Calibri" w:hAnsi="Calibri" w:cs="Arial"/>
          <w:b/>
          <w:color w:val="002F5D"/>
        </w:rPr>
        <w:t xml:space="preserve"> </w:t>
      </w:r>
    </w:p>
    <w:p w14:paraId="086013AB" w14:textId="2C9BE33D" w:rsidR="009810FA" w:rsidRPr="001539EC" w:rsidRDefault="009810FA" w:rsidP="00B66141">
      <w:pPr>
        <w:numPr>
          <w:ilvl w:val="0"/>
          <w:numId w:val="59"/>
        </w:numPr>
        <w:spacing w:line="240" w:lineRule="auto"/>
        <w:ind w:left="714" w:hanging="357"/>
        <w:contextualSpacing/>
        <w:rPr>
          <w:rFonts w:ascii="Calibri" w:eastAsia="Calibri" w:hAnsi="Calibri" w:cs="Arial"/>
          <w:color w:val="002F5D"/>
        </w:rPr>
      </w:pPr>
      <w:r w:rsidRPr="000A412C">
        <w:rPr>
          <w:rFonts w:ascii="Calibri" w:eastAsia="Calibri" w:hAnsi="Calibri" w:cs="Arial"/>
          <w:color w:val="002F5D"/>
        </w:rPr>
        <w:lastRenderedPageBreak/>
        <w:t>There are, se</w:t>
      </w:r>
      <w:r w:rsidR="00A728B1">
        <w:rPr>
          <w:rFonts w:ascii="Calibri" w:eastAsia="Calibri" w:hAnsi="Calibri" w:cs="Arial"/>
          <w:color w:val="002F5D"/>
        </w:rPr>
        <w:t>veral</w:t>
      </w:r>
      <w:r w:rsidRPr="000A412C">
        <w:rPr>
          <w:rFonts w:ascii="Calibri" w:eastAsia="Calibri" w:hAnsi="Calibri" w:cs="Arial"/>
          <w:color w:val="002F5D"/>
        </w:rPr>
        <w:t xml:space="preserve"> wider determinants of health for which </w:t>
      </w:r>
      <w:r w:rsidRPr="000A412C">
        <w:rPr>
          <w:rFonts w:ascii="Calibri" w:eastAsia="Calibri" w:hAnsi="Calibri" w:cs="Arial"/>
          <w:b/>
          <w:color w:val="002F5D"/>
        </w:rPr>
        <w:t>Peterborough has rates poorer than England</w:t>
      </w:r>
      <w:r w:rsidRPr="000A412C">
        <w:rPr>
          <w:rFonts w:ascii="Calibri" w:eastAsia="Calibri" w:hAnsi="Calibri" w:cs="Arial"/>
          <w:color w:val="002F5D"/>
        </w:rPr>
        <w:t xml:space="preserve">, whilst Cambridgeshire’s rates are better than national rates. These include levels of </w:t>
      </w:r>
      <w:r w:rsidRPr="000A412C">
        <w:rPr>
          <w:rFonts w:ascii="Calibri" w:eastAsia="Calibri" w:hAnsi="Calibri" w:cs="Arial"/>
          <w:b/>
          <w:color w:val="002F5D"/>
        </w:rPr>
        <w:t>children living in low-income households</w:t>
      </w:r>
      <w:r w:rsidRPr="000A412C">
        <w:rPr>
          <w:rFonts w:ascii="Calibri" w:eastAsia="Calibri" w:hAnsi="Calibri" w:cs="Arial"/>
          <w:color w:val="002F5D"/>
        </w:rPr>
        <w:t xml:space="preserve">, </w:t>
      </w:r>
      <w:r w:rsidRPr="000A412C">
        <w:rPr>
          <w:rFonts w:ascii="Calibri" w:eastAsia="Calibri" w:hAnsi="Calibri" w:cs="Arial"/>
          <w:b/>
          <w:color w:val="002F5D"/>
        </w:rPr>
        <w:t>statutory homelessness</w:t>
      </w:r>
      <w:r w:rsidR="00ED1945">
        <w:rPr>
          <w:rFonts w:ascii="Calibri" w:eastAsia="Calibri" w:hAnsi="Calibri" w:cs="Arial"/>
          <w:color w:val="002F5D"/>
        </w:rPr>
        <w:t>,</w:t>
      </w:r>
      <w:r w:rsidR="00270378">
        <w:rPr>
          <w:rFonts w:ascii="Calibri" w:eastAsia="Calibri" w:hAnsi="Calibri" w:cs="Arial"/>
          <w:color w:val="002F5D"/>
        </w:rPr>
        <w:t xml:space="preserve"> </w:t>
      </w:r>
      <w:r w:rsidR="00ED1945">
        <w:rPr>
          <w:rFonts w:ascii="Calibri" w:eastAsia="Calibri" w:hAnsi="Calibri" w:cs="Arial"/>
          <w:color w:val="002F5D"/>
        </w:rPr>
        <w:t xml:space="preserve">and </w:t>
      </w:r>
      <w:r w:rsidRPr="000A412C">
        <w:rPr>
          <w:rFonts w:ascii="Calibri" w:eastAsia="Calibri" w:hAnsi="Calibri" w:cs="Arial"/>
          <w:b/>
          <w:color w:val="002F5D"/>
        </w:rPr>
        <w:t>education</w:t>
      </w:r>
      <w:r w:rsidR="00A728B1">
        <w:rPr>
          <w:rFonts w:ascii="Calibri" w:eastAsia="Calibri" w:hAnsi="Calibri" w:cs="Arial"/>
          <w:b/>
          <w:color w:val="002F5D"/>
        </w:rPr>
        <w:t>al attainment</w:t>
      </w:r>
      <w:r w:rsidRPr="000A412C">
        <w:rPr>
          <w:rFonts w:ascii="Calibri" w:eastAsia="Calibri" w:hAnsi="Calibri" w:cs="Arial"/>
          <w:color w:val="002F5D"/>
        </w:rPr>
        <w:t xml:space="preserve">. </w:t>
      </w:r>
      <w:r w:rsidRPr="000A412C">
        <w:rPr>
          <w:rFonts w:ascii="Calibri" w:eastAsia="Calibri" w:hAnsi="Calibri" w:cs="Arial"/>
          <w:b/>
          <w:color w:val="002F5D"/>
        </w:rPr>
        <w:t>Fenland</w:t>
      </w:r>
      <w:r w:rsidRPr="000A412C">
        <w:rPr>
          <w:rFonts w:ascii="Calibri" w:eastAsia="Calibri" w:hAnsi="Calibri" w:cs="Arial"/>
          <w:color w:val="002F5D"/>
        </w:rPr>
        <w:t xml:space="preserve"> also tends to have relatively more </w:t>
      </w:r>
      <w:r w:rsidRPr="000A412C">
        <w:rPr>
          <w:rFonts w:ascii="Calibri" w:eastAsia="Calibri" w:hAnsi="Calibri" w:cs="Arial"/>
          <w:b/>
          <w:color w:val="002F5D"/>
        </w:rPr>
        <w:t>adverse wider determinants</w:t>
      </w:r>
      <w:r w:rsidRPr="000A412C">
        <w:rPr>
          <w:rFonts w:ascii="Calibri" w:eastAsia="Calibri" w:hAnsi="Calibri" w:cs="Arial"/>
          <w:color w:val="002F5D"/>
        </w:rPr>
        <w:t xml:space="preserve"> than other areas of Cambridgeshire.</w:t>
      </w:r>
    </w:p>
    <w:p w14:paraId="68DF2F0E" w14:textId="77777777" w:rsidR="009810FA" w:rsidRPr="00B2663D" w:rsidRDefault="009810FA" w:rsidP="009810FA">
      <w:pPr>
        <w:numPr>
          <w:ilvl w:val="0"/>
          <w:numId w:val="59"/>
        </w:numPr>
        <w:spacing w:line="240" w:lineRule="auto"/>
        <w:ind w:left="714" w:hanging="357"/>
        <w:contextualSpacing/>
        <w:rPr>
          <w:rFonts w:ascii="Calibri" w:eastAsia="Calibri" w:hAnsi="Calibri" w:cs="Arial"/>
          <w:color w:val="002F5D"/>
        </w:rPr>
      </w:pPr>
      <w:r w:rsidRPr="00B2663D">
        <w:rPr>
          <w:rFonts w:ascii="Calibri" w:eastAsia="Calibri" w:hAnsi="Calibri" w:cs="Arial"/>
          <w:color w:val="002F5D"/>
        </w:rPr>
        <w:t xml:space="preserve">Prevalence of </w:t>
      </w:r>
      <w:r w:rsidRPr="00B2663D">
        <w:rPr>
          <w:rFonts w:ascii="Calibri" w:eastAsia="Calibri" w:hAnsi="Calibri" w:cs="Arial"/>
          <w:b/>
          <w:color w:val="002F5D"/>
        </w:rPr>
        <w:t>excess weight in</w:t>
      </w:r>
      <w:r w:rsidRPr="00B2663D">
        <w:rPr>
          <w:rFonts w:ascii="Calibri" w:eastAsia="Calibri" w:hAnsi="Calibri" w:cs="Arial"/>
          <w:color w:val="002F5D"/>
        </w:rPr>
        <w:t xml:space="preserve"> </w:t>
      </w:r>
      <w:r w:rsidRPr="00B2663D">
        <w:rPr>
          <w:rFonts w:ascii="Calibri" w:eastAsia="Calibri" w:hAnsi="Calibri" w:cs="Arial"/>
          <w:b/>
          <w:color w:val="002F5D"/>
        </w:rPr>
        <w:t>children is improving across Cambridgeshire and Peterborough</w:t>
      </w:r>
      <w:r w:rsidRPr="00B2663D">
        <w:rPr>
          <w:rFonts w:ascii="Calibri" w:eastAsia="Calibri" w:hAnsi="Calibri" w:cs="Arial"/>
          <w:color w:val="002F5D"/>
        </w:rPr>
        <w:t xml:space="preserve"> and in the area combined prevalence is significantly lower than levels found nationally, with the same true for Cambridgeshire and most districts. Levels in </w:t>
      </w:r>
      <w:r w:rsidRPr="00B2663D">
        <w:rPr>
          <w:rFonts w:ascii="Calibri" w:eastAsia="Calibri" w:hAnsi="Calibri" w:cs="Arial"/>
          <w:b/>
          <w:color w:val="002F5D"/>
        </w:rPr>
        <w:t>Peterborough</w:t>
      </w:r>
      <w:r w:rsidRPr="00B2663D">
        <w:rPr>
          <w:rFonts w:ascii="Calibri" w:eastAsia="Calibri" w:hAnsi="Calibri" w:cs="Arial"/>
          <w:color w:val="002F5D"/>
        </w:rPr>
        <w:t xml:space="preserve"> </w:t>
      </w:r>
      <w:r w:rsidRPr="00B2663D">
        <w:rPr>
          <w:rFonts w:ascii="Calibri" w:eastAsia="Calibri" w:hAnsi="Calibri" w:cs="Arial"/>
          <w:b/>
          <w:color w:val="002F5D"/>
        </w:rPr>
        <w:t>and</w:t>
      </w:r>
      <w:r w:rsidRPr="00B2663D">
        <w:rPr>
          <w:rFonts w:ascii="Calibri" w:eastAsia="Calibri" w:hAnsi="Calibri" w:cs="Arial"/>
          <w:color w:val="002F5D"/>
        </w:rPr>
        <w:t xml:space="preserve"> </w:t>
      </w:r>
      <w:r w:rsidRPr="00B2663D">
        <w:rPr>
          <w:rFonts w:ascii="Calibri" w:eastAsia="Calibri" w:hAnsi="Calibri" w:cs="Arial"/>
          <w:b/>
          <w:color w:val="002F5D"/>
        </w:rPr>
        <w:t>Fenland</w:t>
      </w:r>
      <w:r w:rsidRPr="00B2663D">
        <w:rPr>
          <w:rFonts w:ascii="Calibri" w:eastAsia="Calibri" w:hAnsi="Calibri" w:cs="Arial"/>
          <w:color w:val="002F5D"/>
        </w:rPr>
        <w:t xml:space="preserve"> are </w:t>
      </w:r>
      <w:r w:rsidRPr="00B2663D">
        <w:rPr>
          <w:rFonts w:ascii="Calibri" w:eastAsia="Calibri" w:hAnsi="Calibri" w:cs="Arial"/>
          <w:b/>
          <w:color w:val="002F5D"/>
        </w:rPr>
        <w:t xml:space="preserve">similar </w:t>
      </w:r>
      <w:r w:rsidRPr="00B2663D">
        <w:rPr>
          <w:rFonts w:ascii="Calibri" w:eastAsia="Calibri" w:hAnsi="Calibri" w:cs="Arial"/>
          <w:color w:val="002F5D"/>
        </w:rPr>
        <w:t xml:space="preserve">to national figures. Children’s </w:t>
      </w:r>
      <w:r w:rsidRPr="00B2663D">
        <w:rPr>
          <w:rFonts w:ascii="Calibri" w:eastAsia="Calibri" w:hAnsi="Calibri" w:cs="Arial"/>
          <w:b/>
          <w:color w:val="002F5D"/>
        </w:rPr>
        <w:t>activity levels tend to decrease</w:t>
      </w:r>
      <w:r w:rsidRPr="00B2663D">
        <w:rPr>
          <w:rFonts w:ascii="Calibri" w:eastAsia="Calibri" w:hAnsi="Calibri" w:cs="Arial"/>
          <w:color w:val="002F5D"/>
        </w:rPr>
        <w:t xml:space="preserve"> as they get older. However, although similar to England, around </w:t>
      </w:r>
      <w:r w:rsidRPr="00B2663D">
        <w:rPr>
          <w:rFonts w:ascii="Calibri" w:eastAsia="Calibri" w:hAnsi="Calibri" w:cs="Arial"/>
          <w:b/>
          <w:color w:val="002F5D"/>
        </w:rPr>
        <w:t>70% of 15 years olds</w:t>
      </w:r>
      <w:r w:rsidRPr="00B2663D">
        <w:rPr>
          <w:rFonts w:ascii="Calibri" w:eastAsia="Calibri" w:hAnsi="Calibri" w:cs="Arial"/>
          <w:color w:val="002F5D"/>
        </w:rPr>
        <w:t xml:space="preserve"> are </w:t>
      </w:r>
      <w:r w:rsidRPr="00B2663D">
        <w:rPr>
          <w:rFonts w:ascii="Calibri" w:eastAsia="Calibri" w:hAnsi="Calibri" w:cs="Arial"/>
          <w:b/>
          <w:color w:val="002F5D"/>
        </w:rPr>
        <w:t>sedentary</w:t>
      </w:r>
      <w:r w:rsidRPr="00B2663D">
        <w:rPr>
          <w:rFonts w:ascii="Calibri" w:eastAsia="Calibri" w:hAnsi="Calibri" w:cs="Arial"/>
          <w:color w:val="002F5D"/>
        </w:rPr>
        <w:t xml:space="preserve"> in </w:t>
      </w:r>
      <w:r w:rsidRPr="00B2663D">
        <w:rPr>
          <w:rFonts w:ascii="Calibri" w:eastAsia="Calibri" w:hAnsi="Calibri" w:cs="Arial"/>
          <w:b/>
          <w:color w:val="002F5D"/>
        </w:rPr>
        <w:t>Cambridgeshire and Peterborough</w:t>
      </w:r>
      <w:r w:rsidRPr="00B2663D">
        <w:rPr>
          <w:rFonts w:ascii="Calibri" w:eastAsia="Calibri" w:hAnsi="Calibri" w:cs="Arial"/>
          <w:color w:val="002F5D"/>
        </w:rPr>
        <w:t>.</w:t>
      </w:r>
    </w:p>
    <w:p w14:paraId="551D252B" w14:textId="77777777" w:rsidR="009810FA" w:rsidRPr="00B2663D" w:rsidRDefault="009810FA" w:rsidP="009810FA">
      <w:pPr>
        <w:numPr>
          <w:ilvl w:val="0"/>
          <w:numId w:val="59"/>
        </w:numPr>
        <w:spacing w:line="240" w:lineRule="auto"/>
        <w:ind w:left="714" w:hanging="357"/>
        <w:contextualSpacing/>
        <w:rPr>
          <w:rFonts w:ascii="Calibri" w:eastAsia="Calibri" w:hAnsi="Calibri" w:cs="Arial"/>
          <w:color w:val="002F5D"/>
        </w:rPr>
      </w:pPr>
      <w:r w:rsidRPr="00B2663D">
        <w:rPr>
          <w:rFonts w:ascii="Calibri" w:eastAsia="Calibri" w:hAnsi="Calibri" w:cs="Arial"/>
          <w:b/>
          <w:color w:val="002F5D"/>
        </w:rPr>
        <w:t xml:space="preserve">60% of Cambridgeshire and Peterborough adults </w:t>
      </w:r>
      <w:r w:rsidRPr="00B2663D">
        <w:rPr>
          <w:rFonts w:ascii="Calibri" w:eastAsia="Calibri" w:hAnsi="Calibri" w:cs="Arial"/>
          <w:color w:val="002F5D"/>
        </w:rPr>
        <w:t xml:space="preserve">carry </w:t>
      </w:r>
      <w:r w:rsidRPr="00B2663D">
        <w:rPr>
          <w:rFonts w:ascii="Calibri" w:eastAsia="Calibri" w:hAnsi="Calibri" w:cs="Arial"/>
          <w:b/>
          <w:color w:val="002F5D"/>
        </w:rPr>
        <w:t>excess weight</w:t>
      </w:r>
      <w:r w:rsidRPr="00B2663D">
        <w:rPr>
          <w:rFonts w:ascii="Calibri" w:eastAsia="Calibri" w:hAnsi="Calibri" w:cs="Arial"/>
          <w:color w:val="002F5D"/>
        </w:rPr>
        <w:t xml:space="preserve">, with higher levels than found nationally in </w:t>
      </w:r>
      <w:r w:rsidRPr="00B2663D">
        <w:rPr>
          <w:rFonts w:ascii="Calibri" w:eastAsia="Calibri" w:hAnsi="Calibri" w:cs="Arial"/>
          <w:b/>
          <w:color w:val="002F5D"/>
        </w:rPr>
        <w:t>Fenland</w:t>
      </w:r>
      <w:r>
        <w:rPr>
          <w:rFonts w:ascii="Calibri" w:eastAsia="Calibri" w:hAnsi="Calibri" w:cs="Arial"/>
          <w:b/>
          <w:color w:val="002F5D"/>
        </w:rPr>
        <w:t xml:space="preserve"> and Huntingdonshire</w:t>
      </w:r>
      <w:r w:rsidRPr="00B2663D">
        <w:rPr>
          <w:rFonts w:ascii="Calibri" w:eastAsia="Calibri" w:hAnsi="Calibri" w:cs="Arial"/>
          <w:b/>
          <w:color w:val="002F5D"/>
        </w:rPr>
        <w:t>.</w:t>
      </w:r>
    </w:p>
    <w:p w14:paraId="5A27D0D7" w14:textId="2148EBD9" w:rsidR="009810FA" w:rsidRDefault="009810FA" w:rsidP="009810FA">
      <w:pPr>
        <w:numPr>
          <w:ilvl w:val="0"/>
          <w:numId w:val="59"/>
        </w:numPr>
        <w:spacing w:line="240" w:lineRule="auto"/>
        <w:ind w:left="714" w:hanging="357"/>
        <w:contextualSpacing/>
        <w:rPr>
          <w:rFonts w:ascii="Calibri" w:eastAsia="Calibri" w:hAnsi="Calibri" w:cs="Arial"/>
          <w:color w:val="002F5D"/>
        </w:rPr>
      </w:pPr>
      <w:r w:rsidRPr="00B2663D">
        <w:rPr>
          <w:rFonts w:ascii="Calibri" w:eastAsia="Calibri" w:hAnsi="Calibri" w:cs="Arial"/>
          <w:color w:val="002F5D"/>
        </w:rPr>
        <w:t>Levels of GP rec</w:t>
      </w:r>
      <w:r w:rsidR="00A728B1">
        <w:rPr>
          <w:rFonts w:ascii="Calibri" w:eastAsia="Calibri" w:hAnsi="Calibri" w:cs="Arial"/>
          <w:color w:val="002F5D"/>
        </w:rPr>
        <w:t>orded prevalence of obesity are</w:t>
      </w:r>
      <w:r w:rsidRPr="00B2663D">
        <w:rPr>
          <w:rFonts w:ascii="Calibri" w:eastAsia="Calibri" w:hAnsi="Calibri" w:cs="Arial"/>
          <w:color w:val="002F5D"/>
        </w:rPr>
        <w:t xml:space="preserve"> lower in Cambridgeshire and Peterborough</w:t>
      </w:r>
      <w:r w:rsidR="00A728B1">
        <w:rPr>
          <w:rFonts w:ascii="Calibri" w:eastAsia="Calibri" w:hAnsi="Calibri" w:cs="Arial"/>
          <w:color w:val="002F5D"/>
        </w:rPr>
        <w:t xml:space="preserve"> taken as a whole,</w:t>
      </w:r>
      <w:r w:rsidRPr="00B2663D">
        <w:rPr>
          <w:rFonts w:ascii="Calibri" w:eastAsia="Calibri" w:hAnsi="Calibri" w:cs="Arial"/>
          <w:color w:val="002F5D"/>
        </w:rPr>
        <w:t xml:space="preserve"> than in England, but </w:t>
      </w:r>
      <w:r w:rsidRPr="00B2663D">
        <w:rPr>
          <w:rFonts w:ascii="Calibri" w:eastAsia="Calibri" w:hAnsi="Calibri" w:cs="Arial"/>
          <w:b/>
          <w:color w:val="002F5D"/>
        </w:rPr>
        <w:t>Peterborough</w:t>
      </w:r>
      <w:r w:rsidRPr="00B2663D">
        <w:rPr>
          <w:rFonts w:ascii="Calibri" w:eastAsia="Calibri" w:hAnsi="Calibri" w:cs="Arial"/>
          <w:color w:val="002F5D"/>
        </w:rPr>
        <w:t xml:space="preserve"> and </w:t>
      </w:r>
      <w:r w:rsidRPr="00B2663D">
        <w:rPr>
          <w:rFonts w:ascii="Calibri" w:eastAsia="Calibri" w:hAnsi="Calibri" w:cs="Arial"/>
          <w:b/>
          <w:color w:val="002F5D"/>
        </w:rPr>
        <w:t>Fenland</w:t>
      </w:r>
      <w:r w:rsidRPr="00B2663D">
        <w:rPr>
          <w:rFonts w:ascii="Calibri" w:eastAsia="Calibri" w:hAnsi="Calibri" w:cs="Arial"/>
          <w:color w:val="002F5D"/>
        </w:rPr>
        <w:t xml:space="preserve"> have significantly higher levels of obesity in those aged 18 and over than found nationally.</w:t>
      </w:r>
    </w:p>
    <w:p w14:paraId="4483A95D" w14:textId="2E7912C5" w:rsidR="009810FA" w:rsidRPr="004434DA" w:rsidRDefault="009810FA" w:rsidP="009810FA">
      <w:pPr>
        <w:numPr>
          <w:ilvl w:val="0"/>
          <w:numId w:val="59"/>
        </w:numPr>
        <w:spacing w:line="240" w:lineRule="auto"/>
        <w:ind w:left="714" w:hanging="357"/>
        <w:contextualSpacing/>
        <w:rPr>
          <w:rFonts w:ascii="Calibri" w:eastAsia="Calibri" w:hAnsi="Calibri" w:cs="Arial"/>
          <w:color w:val="002F5D"/>
        </w:rPr>
      </w:pPr>
      <w:r w:rsidRPr="004434DA">
        <w:rPr>
          <w:rFonts w:ascii="Calibri" w:eastAsia="Calibri" w:hAnsi="Calibri" w:cs="Arial"/>
          <w:b/>
          <w:color w:val="002F5D"/>
        </w:rPr>
        <w:t>Adult physical activity</w:t>
      </w:r>
      <w:r w:rsidRPr="004434DA">
        <w:rPr>
          <w:rFonts w:ascii="Calibri" w:eastAsia="Calibri" w:hAnsi="Calibri" w:cs="Arial"/>
          <w:color w:val="002F5D"/>
        </w:rPr>
        <w:t xml:space="preserve"> levels across </w:t>
      </w:r>
      <w:r w:rsidRPr="004434DA">
        <w:rPr>
          <w:rFonts w:ascii="Calibri" w:eastAsia="Calibri" w:hAnsi="Calibri" w:cs="Arial"/>
          <w:b/>
          <w:color w:val="002F5D"/>
        </w:rPr>
        <w:t>Cambridgeshire and Peterborough</w:t>
      </w:r>
      <w:r w:rsidRPr="004434DA">
        <w:rPr>
          <w:rFonts w:ascii="Calibri" w:eastAsia="Calibri" w:hAnsi="Calibri" w:cs="Arial"/>
          <w:color w:val="002F5D"/>
        </w:rPr>
        <w:t xml:space="preserve"> </w:t>
      </w:r>
      <w:r w:rsidR="00BA5479">
        <w:rPr>
          <w:rFonts w:ascii="Calibri" w:eastAsia="Calibri" w:hAnsi="Calibri" w:cs="Arial"/>
          <w:color w:val="002F5D"/>
        </w:rPr>
        <w:t xml:space="preserve">as a whole </w:t>
      </w:r>
      <w:r w:rsidRPr="004434DA">
        <w:rPr>
          <w:rFonts w:ascii="Calibri" w:eastAsia="Calibri" w:hAnsi="Calibri" w:cs="Arial"/>
          <w:color w:val="002F5D"/>
        </w:rPr>
        <w:t xml:space="preserve">are </w:t>
      </w:r>
      <w:r w:rsidRPr="004434DA">
        <w:rPr>
          <w:rFonts w:ascii="Calibri" w:eastAsia="Calibri" w:hAnsi="Calibri" w:cs="Arial"/>
          <w:b/>
          <w:color w:val="002F5D"/>
        </w:rPr>
        <w:t xml:space="preserve">significantly higher </w:t>
      </w:r>
      <w:r w:rsidRPr="004434DA">
        <w:rPr>
          <w:rFonts w:ascii="Calibri" w:eastAsia="Calibri" w:hAnsi="Calibri" w:cs="Arial"/>
          <w:color w:val="002F5D"/>
        </w:rPr>
        <w:t xml:space="preserve">when compared to England. However, </w:t>
      </w:r>
      <w:r w:rsidRPr="004434DA">
        <w:rPr>
          <w:rFonts w:ascii="Calibri" w:eastAsia="Calibri" w:hAnsi="Calibri" w:cs="Arial"/>
          <w:b/>
          <w:color w:val="002F5D"/>
        </w:rPr>
        <w:t>levels of activity in Peterborough and Fenland</w:t>
      </w:r>
      <w:r w:rsidRPr="004434DA">
        <w:rPr>
          <w:rFonts w:ascii="Calibri" w:eastAsia="Calibri" w:hAnsi="Calibri" w:cs="Arial"/>
          <w:color w:val="002F5D"/>
        </w:rPr>
        <w:t xml:space="preserve"> are significantly </w:t>
      </w:r>
      <w:r w:rsidRPr="004434DA">
        <w:rPr>
          <w:rFonts w:ascii="Calibri" w:eastAsia="Calibri" w:hAnsi="Calibri" w:cs="Arial"/>
          <w:b/>
          <w:color w:val="002F5D"/>
        </w:rPr>
        <w:t>worse</w:t>
      </w:r>
      <w:r w:rsidRPr="004434DA">
        <w:rPr>
          <w:rFonts w:ascii="Calibri" w:eastAsia="Calibri" w:hAnsi="Calibri" w:cs="Arial"/>
          <w:color w:val="002F5D"/>
        </w:rPr>
        <w:t xml:space="preserve"> than the national rate. </w:t>
      </w:r>
      <w:r w:rsidRPr="004434DA">
        <w:rPr>
          <w:rFonts w:ascii="Calibri" w:eastAsia="Calibri" w:hAnsi="Calibri" w:cs="Arial"/>
          <w:b/>
          <w:color w:val="002F5D"/>
        </w:rPr>
        <w:t>Cambridgeshire and Peterborough</w:t>
      </w:r>
      <w:r w:rsidRPr="004434DA">
        <w:rPr>
          <w:rFonts w:ascii="Calibri" w:eastAsia="Calibri" w:hAnsi="Calibri" w:cs="Arial"/>
          <w:color w:val="002F5D"/>
        </w:rPr>
        <w:t xml:space="preserve"> combined has a significantly </w:t>
      </w:r>
      <w:r w:rsidRPr="004434DA">
        <w:rPr>
          <w:rFonts w:ascii="Calibri" w:eastAsia="Calibri" w:hAnsi="Calibri" w:cs="Arial"/>
          <w:b/>
          <w:color w:val="002F5D"/>
        </w:rPr>
        <w:t>lower</w:t>
      </w:r>
      <w:r w:rsidRPr="004434DA">
        <w:rPr>
          <w:rFonts w:ascii="Calibri" w:eastAsia="Calibri" w:hAnsi="Calibri" w:cs="Arial"/>
          <w:color w:val="002F5D"/>
        </w:rPr>
        <w:t xml:space="preserve"> (better) rate of </w:t>
      </w:r>
      <w:r w:rsidRPr="004434DA">
        <w:rPr>
          <w:rFonts w:ascii="Calibri" w:eastAsia="Calibri" w:hAnsi="Calibri" w:cs="Arial"/>
          <w:b/>
          <w:color w:val="002F5D"/>
        </w:rPr>
        <w:t>physical inactivity</w:t>
      </w:r>
      <w:r w:rsidRPr="004434DA">
        <w:rPr>
          <w:rFonts w:ascii="Calibri" w:eastAsia="Calibri" w:hAnsi="Calibri" w:cs="Arial"/>
          <w:color w:val="002F5D"/>
        </w:rPr>
        <w:t xml:space="preserve"> than England, with Cambridgeshire’s rate significantly </w:t>
      </w:r>
      <w:r>
        <w:rPr>
          <w:rFonts w:ascii="Calibri" w:eastAsia="Calibri" w:hAnsi="Calibri" w:cs="Arial"/>
          <w:color w:val="002F5D"/>
        </w:rPr>
        <w:t>lower (</w:t>
      </w:r>
      <w:r w:rsidRPr="004434DA">
        <w:rPr>
          <w:rFonts w:ascii="Calibri" w:eastAsia="Calibri" w:hAnsi="Calibri" w:cs="Arial"/>
          <w:color w:val="002F5D"/>
        </w:rPr>
        <w:t>better</w:t>
      </w:r>
      <w:r>
        <w:rPr>
          <w:rFonts w:ascii="Calibri" w:eastAsia="Calibri" w:hAnsi="Calibri" w:cs="Arial"/>
          <w:color w:val="002F5D"/>
        </w:rPr>
        <w:t>)</w:t>
      </w:r>
      <w:r w:rsidRPr="004434DA">
        <w:rPr>
          <w:rFonts w:ascii="Calibri" w:eastAsia="Calibri" w:hAnsi="Calibri" w:cs="Arial"/>
          <w:color w:val="002F5D"/>
        </w:rPr>
        <w:t xml:space="preserve"> and Peterborough’s rate significantly</w:t>
      </w:r>
      <w:r w:rsidR="00BA5479">
        <w:rPr>
          <w:rFonts w:ascii="Calibri" w:eastAsia="Calibri" w:hAnsi="Calibri" w:cs="Arial"/>
          <w:color w:val="002F5D"/>
        </w:rPr>
        <w:t xml:space="preserve"> worse</w:t>
      </w:r>
      <w:r>
        <w:rPr>
          <w:rFonts w:ascii="Calibri" w:eastAsia="Calibri" w:hAnsi="Calibri" w:cs="Arial"/>
          <w:color w:val="002F5D"/>
        </w:rPr>
        <w:t xml:space="preserve"> </w:t>
      </w:r>
      <w:r w:rsidRPr="004434DA">
        <w:rPr>
          <w:rFonts w:ascii="Calibri" w:eastAsia="Calibri" w:hAnsi="Calibri" w:cs="Arial"/>
          <w:color w:val="002F5D"/>
        </w:rPr>
        <w:t xml:space="preserve">than the national level. </w:t>
      </w:r>
    </w:p>
    <w:p w14:paraId="7CBFD3F4" w14:textId="1A67BFB2" w:rsidR="00BA5479" w:rsidRPr="00152291" w:rsidRDefault="009810FA" w:rsidP="00152291">
      <w:pPr>
        <w:pStyle w:val="ListParagraph"/>
        <w:numPr>
          <w:ilvl w:val="0"/>
          <w:numId w:val="4"/>
        </w:numPr>
        <w:spacing w:line="240" w:lineRule="auto"/>
        <w:ind w:left="714" w:hanging="357"/>
        <w:rPr>
          <w:rFonts w:ascii="Calibri" w:eastAsia="Calibri" w:hAnsi="Calibri" w:cs="Times New Roman"/>
          <w:color w:val="FF0000"/>
        </w:rPr>
      </w:pPr>
      <w:r w:rsidRPr="003A0E31">
        <w:rPr>
          <w:rFonts w:ascii="Calibri" w:eastAsia="Calibri" w:hAnsi="Calibri" w:cs="Arial"/>
          <w:b/>
          <w:color w:val="002F5D"/>
        </w:rPr>
        <w:t>Adult smoking</w:t>
      </w:r>
      <w:r w:rsidRPr="003A0E31">
        <w:rPr>
          <w:rFonts w:ascii="Calibri" w:eastAsia="Calibri" w:hAnsi="Calibri" w:cs="Arial"/>
          <w:color w:val="002F5D"/>
        </w:rPr>
        <w:t xml:space="preserve"> is statistically similar to the national average in Cambridgeshire and Peterborough collectively, independently, and across each of the districts. 15% (101,000) of all Cambridgeshire and Peterborough adults are smokers</w:t>
      </w:r>
      <w:r w:rsidRPr="00152291">
        <w:rPr>
          <w:rFonts w:ascii="Calibri" w:eastAsia="Calibri" w:hAnsi="Calibri" w:cs="Arial"/>
          <w:color w:val="002F5D"/>
        </w:rPr>
        <w:t xml:space="preserve">, but both </w:t>
      </w:r>
      <w:r w:rsidRPr="00152291">
        <w:rPr>
          <w:rFonts w:ascii="Calibri" w:eastAsia="Calibri" w:hAnsi="Calibri" w:cs="Times New Roman"/>
          <w:color w:val="002F5D"/>
        </w:rPr>
        <w:t xml:space="preserve">Cambridgeshire and Peterborough </w:t>
      </w:r>
      <w:r w:rsidR="003A0E31" w:rsidRPr="00152291">
        <w:rPr>
          <w:rFonts w:ascii="Calibri" w:eastAsia="Calibri" w:hAnsi="Calibri" w:cs="Times New Roman"/>
          <w:color w:val="002F5D"/>
        </w:rPr>
        <w:t>have statistically significantly</w:t>
      </w:r>
      <w:r w:rsidR="003A0E31">
        <w:rPr>
          <w:rFonts w:ascii="Calibri" w:eastAsia="Calibri" w:hAnsi="Calibri" w:cs="Times New Roman"/>
          <w:color w:val="FF0000"/>
        </w:rPr>
        <w:t xml:space="preserve"> </w:t>
      </w:r>
      <w:r w:rsidR="003A0E31" w:rsidRPr="009B744C">
        <w:rPr>
          <w:color w:val="002F5D"/>
        </w:rPr>
        <w:t xml:space="preserve">higher rates of </w:t>
      </w:r>
      <w:r w:rsidR="003A0E31" w:rsidRPr="00E73657">
        <w:rPr>
          <w:color w:val="002F5D"/>
        </w:rPr>
        <w:t>smokers setting a quit date and</w:t>
      </w:r>
      <w:r w:rsidR="003A0E31">
        <w:rPr>
          <w:color w:val="002F5D"/>
        </w:rPr>
        <w:t xml:space="preserve"> successful</w:t>
      </w:r>
      <w:r w:rsidR="003A0E31" w:rsidRPr="00E73657">
        <w:rPr>
          <w:color w:val="002F5D"/>
        </w:rPr>
        <w:t xml:space="preserve"> </w:t>
      </w:r>
      <w:r w:rsidR="003A0E31" w:rsidRPr="009B744C">
        <w:rPr>
          <w:color w:val="002F5D"/>
        </w:rPr>
        <w:t xml:space="preserve">smoking quitters </w:t>
      </w:r>
      <w:r w:rsidR="003A0E31">
        <w:rPr>
          <w:color w:val="002F5D"/>
        </w:rPr>
        <w:t xml:space="preserve">at 4 weeks </w:t>
      </w:r>
      <w:r w:rsidR="003A0E31" w:rsidRPr="009B744C">
        <w:rPr>
          <w:color w:val="002F5D"/>
        </w:rPr>
        <w:t>compared with England</w:t>
      </w:r>
    </w:p>
    <w:p w14:paraId="1C3D7967" w14:textId="77777777" w:rsidR="009810FA" w:rsidRPr="004434DA" w:rsidRDefault="009810FA" w:rsidP="009810FA">
      <w:pPr>
        <w:numPr>
          <w:ilvl w:val="0"/>
          <w:numId w:val="4"/>
        </w:numPr>
        <w:spacing w:line="240" w:lineRule="auto"/>
        <w:ind w:left="714" w:hanging="357"/>
        <w:contextualSpacing/>
        <w:rPr>
          <w:rFonts w:ascii="Calibri" w:eastAsia="Calibri" w:hAnsi="Calibri" w:cs="Times New Roman"/>
          <w:color w:val="FF0000"/>
        </w:rPr>
      </w:pPr>
      <w:r w:rsidRPr="00AE28E1">
        <w:rPr>
          <w:rFonts w:ascii="Calibri" w:eastAsia="Calibri" w:hAnsi="Calibri" w:cs="Arial"/>
          <w:b/>
          <w:color w:val="002F5D"/>
        </w:rPr>
        <w:t>Alcohol misuse</w:t>
      </w:r>
      <w:r w:rsidRPr="00AE28E1">
        <w:rPr>
          <w:rFonts w:ascii="Calibri" w:eastAsia="Calibri" w:hAnsi="Calibri" w:cs="Arial"/>
          <w:color w:val="002F5D"/>
        </w:rPr>
        <w:t xml:space="preserve"> warrants some attention </w:t>
      </w:r>
      <w:r w:rsidRPr="00AE28E1">
        <w:rPr>
          <w:rFonts w:ascii="Calibri" w:eastAsia="Calibri" w:hAnsi="Calibri" w:cs="Arial"/>
          <w:b/>
          <w:color w:val="002F5D"/>
        </w:rPr>
        <w:t>across Cambridgeshire and Peterborough</w:t>
      </w:r>
      <w:r w:rsidRPr="00AE28E1">
        <w:rPr>
          <w:rFonts w:ascii="Calibri" w:eastAsia="Calibri" w:hAnsi="Calibri" w:cs="Arial"/>
          <w:color w:val="002F5D"/>
        </w:rPr>
        <w:t xml:space="preserve">, in both younger people and adult populations. Rates of </w:t>
      </w:r>
      <w:r w:rsidRPr="00AE28E1">
        <w:rPr>
          <w:rFonts w:ascii="Calibri" w:eastAsia="Calibri" w:hAnsi="Calibri" w:cs="Arial"/>
          <w:b/>
          <w:color w:val="002F5D"/>
        </w:rPr>
        <w:t>hospital admissions</w:t>
      </w:r>
      <w:r w:rsidRPr="00AE28E1">
        <w:rPr>
          <w:rFonts w:ascii="Calibri" w:eastAsia="Calibri" w:hAnsi="Calibri" w:cs="Arial"/>
          <w:color w:val="002F5D"/>
        </w:rPr>
        <w:t xml:space="preserve"> for </w:t>
      </w:r>
      <w:r w:rsidRPr="00AE28E1">
        <w:rPr>
          <w:rFonts w:ascii="Calibri" w:eastAsia="Calibri" w:hAnsi="Calibri" w:cs="Arial"/>
          <w:b/>
          <w:color w:val="002F5D"/>
        </w:rPr>
        <w:t xml:space="preserve">alcohol-related </w:t>
      </w:r>
      <w:r w:rsidRPr="004434DA">
        <w:rPr>
          <w:rFonts w:ascii="Calibri" w:eastAsia="Calibri" w:hAnsi="Calibri" w:cs="Arial"/>
          <w:b/>
          <w:color w:val="002F5D"/>
        </w:rPr>
        <w:t>conditions</w:t>
      </w:r>
      <w:r w:rsidRPr="004434DA">
        <w:rPr>
          <w:rFonts w:ascii="Calibri" w:eastAsia="Calibri" w:hAnsi="Calibri" w:cs="Arial"/>
          <w:color w:val="002F5D"/>
        </w:rPr>
        <w:t xml:space="preserve"> are statistically similar to England in Cambridgeshire and Peterborough independently, but significantly </w:t>
      </w:r>
      <w:r w:rsidRPr="004434DA">
        <w:rPr>
          <w:rFonts w:ascii="Calibri" w:eastAsia="Calibri" w:hAnsi="Calibri" w:cs="Arial"/>
          <w:b/>
          <w:color w:val="002F5D"/>
        </w:rPr>
        <w:t>higher</w:t>
      </w:r>
      <w:r w:rsidRPr="004434DA">
        <w:rPr>
          <w:rFonts w:ascii="Calibri" w:eastAsia="Calibri" w:hAnsi="Calibri" w:cs="Arial"/>
          <w:color w:val="002F5D"/>
        </w:rPr>
        <w:t xml:space="preserve"> than the England average in </w:t>
      </w:r>
      <w:r w:rsidRPr="004434DA">
        <w:rPr>
          <w:rFonts w:ascii="Calibri" w:eastAsia="Calibri" w:hAnsi="Calibri" w:cs="Arial"/>
          <w:b/>
          <w:color w:val="002F5D"/>
        </w:rPr>
        <w:t>Cambridge</w:t>
      </w:r>
      <w:r w:rsidRPr="004434DA">
        <w:rPr>
          <w:rFonts w:ascii="Calibri" w:eastAsia="Calibri" w:hAnsi="Calibri" w:cs="Arial"/>
          <w:color w:val="002F5D"/>
        </w:rPr>
        <w:t xml:space="preserve"> and </w:t>
      </w:r>
      <w:r w:rsidRPr="004434DA">
        <w:rPr>
          <w:rFonts w:ascii="Calibri" w:eastAsia="Calibri" w:hAnsi="Calibri" w:cs="Arial"/>
          <w:b/>
          <w:color w:val="002F5D"/>
        </w:rPr>
        <w:t>Fenland</w:t>
      </w:r>
      <w:r w:rsidRPr="004434DA">
        <w:rPr>
          <w:rFonts w:ascii="Calibri" w:eastAsia="Calibri" w:hAnsi="Calibri" w:cs="Arial"/>
          <w:color w:val="002F5D"/>
        </w:rPr>
        <w:t>.</w:t>
      </w:r>
    </w:p>
    <w:p w14:paraId="7A2E90C8" w14:textId="20C999F1" w:rsidR="009810FA" w:rsidRPr="001539EC" w:rsidRDefault="009810FA" w:rsidP="00152291">
      <w:pPr>
        <w:numPr>
          <w:ilvl w:val="0"/>
          <w:numId w:val="59"/>
        </w:numPr>
        <w:spacing w:line="240" w:lineRule="auto"/>
        <w:contextualSpacing/>
        <w:rPr>
          <w:rFonts w:ascii="Calibri" w:eastAsia="Calibri" w:hAnsi="Calibri" w:cs="Arial"/>
          <w:color w:val="002F5D"/>
        </w:rPr>
      </w:pPr>
      <w:r w:rsidRPr="00ED78F3">
        <w:rPr>
          <w:rFonts w:ascii="Calibri" w:eastAsia="Calibri" w:hAnsi="Calibri" w:cs="Arial"/>
          <w:color w:val="002F5D"/>
        </w:rPr>
        <w:t xml:space="preserve">Almost 44,000 working age adults in Cambridgeshire and Peterborough have used </w:t>
      </w:r>
      <w:r w:rsidR="00833E03">
        <w:rPr>
          <w:rFonts w:ascii="Calibri" w:eastAsia="Calibri" w:hAnsi="Calibri" w:cs="Arial"/>
          <w:color w:val="002F5D"/>
        </w:rPr>
        <w:t xml:space="preserve">illicit </w:t>
      </w:r>
      <w:r w:rsidRPr="00ED78F3">
        <w:rPr>
          <w:rFonts w:ascii="Calibri" w:eastAsia="Calibri" w:hAnsi="Calibri" w:cs="Arial"/>
          <w:color w:val="002F5D"/>
        </w:rPr>
        <w:t xml:space="preserve">drugs in the last year. Rates of </w:t>
      </w:r>
      <w:r w:rsidRPr="00ED78F3">
        <w:rPr>
          <w:rFonts w:ascii="Calibri" w:eastAsia="Calibri" w:hAnsi="Calibri" w:cs="Arial"/>
          <w:b/>
          <w:color w:val="002F5D"/>
        </w:rPr>
        <w:t xml:space="preserve">death due to drug misuse </w:t>
      </w:r>
      <w:r w:rsidRPr="00ED78F3">
        <w:rPr>
          <w:rFonts w:ascii="Calibri" w:eastAsia="Calibri" w:hAnsi="Calibri" w:cs="Arial"/>
          <w:color w:val="002F5D"/>
        </w:rPr>
        <w:t>are</w:t>
      </w:r>
      <w:r w:rsidRPr="00ED78F3">
        <w:rPr>
          <w:rFonts w:ascii="Calibri" w:eastAsia="Calibri" w:hAnsi="Calibri" w:cs="Arial"/>
          <w:b/>
          <w:color w:val="002F5D"/>
        </w:rPr>
        <w:t xml:space="preserve"> </w:t>
      </w:r>
      <w:r w:rsidRPr="00ED78F3">
        <w:rPr>
          <w:rFonts w:ascii="Calibri" w:eastAsia="Calibri" w:hAnsi="Calibri" w:cs="Arial"/>
          <w:color w:val="002F5D"/>
        </w:rPr>
        <w:t>numerically</w:t>
      </w:r>
      <w:r w:rsidRPr="00ED78F3">
        <w:rPr>
          <w:rFonts w:ascii="Calibri" w:eastAsia="Calibri" w:hAnsi="Calibri" w:cs="Arial"/>
          <w:b/>
          <w:color w:val="002F5D"/>
        </w:rPr>
        <w:t xml:space="preserve"> higher </w:t>
      </w:r>
      <w:r w:rsidRPr="00ED78F3">
        <w:rPr>
          <w:rFonts w:ascii="Calibri" w:eastAsia="Calibri" w:hAnsi="Calibri" w:cs="Arial"/>
          <w:color w:val="002F5D"/>
        </w:rPr>
        <w:t>in</w:t>
      </w:r>
      <w:r w:rsidRPr="00ED78F3">
        <w:rPr>
          <w:rFonts w:ascii="Calibri" w:eastAsia="Calibri" w:hAnsi="Calibri" w:cs="Arial"/>
          <w:b/>
          <w:color w:val="002F5D"/>
        </w:rPr>
        <w:t xml:space="preserve"> Peterborough </w:t>
      </w:r>
      <w:r w:rsidRPr="00ED78F3">
        <w:rPr>
          <w:rFonts w:ascii="Calibri" w:eastAsia="Calibri" w:hAnsi="Calibri" w:cs="Arial"/>
          <w:color w:val="002F5D"/>
        </w:rPr>
        <w:t xml:space="preserve">than in Cambridgeshire, and notably higher in </w:t>
      </w:r>
      <w:r w:rsidRPr="00ED78F3">
        <w:rPr>
          <w:rFonts w:ascii="Calibri" w:eastAsia="Calibri" w:hAnsi="Calibri" w:cs="Arial"/>
          <w:b/>
          <w:color w:val="002F5D"/>
        </w:rPr>
        <w:t>Cambridge</w:t>
      </w:r>
      <w:r w:rsidRPr="00ED78F3">
        <w:rPr>
          <w:rFonts w:ascii="Calibri" w:eastAsia="Calibri" w:hAnsi="Calibri" w:cs="Arial"/>
          <w:color w:val="002F5D"/>
        </w:rPr>
        <w:t xml:space="preserve"> and </w:t>
      </w:r>
      <w:r w:rsidRPr="00ED78F3">
        <w:rPr>
          <w:rFonts w:ascii="Calibri" w:eastAsia="Calibri" w:hAnsi="Calibri" w:cs="Arial"/>
          <w:b/>
          <w:color w:val="002F5D"/>
        </w:rPr>
        <w:t>Fenland</w:t>
      </w:r>
      <w:r w:rsidRPr="00ED78F3">
        <w:rPr>
          <w:rFonts w:ascii="Calibri" w:eastAsia="Calibri" w:hAnsi="Calibri" w:cs="Arial"/>
          <w:color w:val="002F5D"/>
        </w:rPr>
        <w:t>.</w:t>
      </w:r>
    </w:p>
    <w:p w14:paraId="18370028" w14:textId="1538275D" w:rsidR="009810FA" w:rsidRPr="004A6349" w:rsidRDefault="009810FA" w:rsidP="00152291">
      <w:pPr>
        <w:numPr>
          <w:ilvl w:val="0"/>
          <w:numId w:val="59"/>
        </w:numPr>
        <w:spacing w:line="240" w:lineRule="auto"/>
        <w:contextualSpacing/>
        <w:rPr>
          <w:rFonts w:ascii="Calibri" w:eastAsia="Calibri" w:hAnsi="Calibri" w:cs="Arial"/>
          <w:color w:val="002F5D"/>
        </w:rPr>
      </w:pPr>
      <w:r w:rsidRPr="00886F92">
        <w:rPr>
          <w:rFonts w:ascii="Calibri" w:eastAsia="Calibri" w:hAnsi="Calibri" w:cs="Arial"/>
          <w:color w:val="002F5D"/>
        </w:rPr>
        <w:t xml:space="preserve">Levels of a people being offered a key general lifestyle service, </w:t>
      </w:r>
      <w:r w:rsidRPr="00886F92">
        <w:rPr>
          <w:rFonts w:ascii="Calibri" w:eastAsia="Calibri" w:hAnsi="Calibri" w:cs="Arial"/>
          <w:b/>
          <w:color w:val="002F5D"/>
        </w:rPr>
        <w:t>NHS Health Checks</w:t>
      </w:r>
      <w:r w:rsidRPr="00886F92">
        <w:rPr>
          <w:rFonts w:ascii="Calibri" w:eastAsia="Calibri" w:hAnsi="Calibri" w:cs="Arial"/>
          <w:color w:val="002F5D"/>
        </w:rPr>
        <w:t xml:space="preserve">, in </w:t>
      </w:r>
      <w:r w:rsidRPr="00886F92">
        <w:rPr>
          <w:rFonts w:ascii="Calibri" w:eastAsia="Calibri" w:hAnsi="Calibri" w:cs="Arial"/>
          <w:b/>
          <w:color w:val="002F5D"/>
        </w:rPr>
        <w:t>Cambridgeshire and Peterborough</w:t>
      </w:r>
      <w:r w:rsidR="00833E03">
        <w:rPr>
          <w:rFonts w:ascii="Calibri" w:eastAsia="Calibri" w:hAnsi="Calibri" w:cs="Arial"/>
          <w:color w:val="002F5D"/>
        </w:rPr>
        <w:t xml:space="preserve"> wer</w:t>
      </w:r>
      <w:r w:rsidRPr="00886F92">
        <w:rPr>
          <w:rFonts w:ascii="Calibri" w:eastAsia="Calibri" w:hAnsi="Calibri" w:cs="Arial"/>
          <w:color w:val="002F5D"/>
        </w:rPr>
        <w:t>e significantly</w:t>
      </w:r>
      <w:r w:rsidR="00833E03">
        <w:rPr>
          <w:rFonts w:ascii="Calibri" w:eastAsia="Calibri" w:hAnsi="Calibri" w:cs="Arial"/>
          <w:b/>
          <w:color w:val="002F5D"/>
        </w:rPr>
        <w:t xml:space="preserve"> low</w:t>
      </w:r>
      <w:r w:rsidRPr="00886F92">
        <w:rPr>
          <w:rFonts w:ascii="Calibri" w:eastAsia="Calibri" w:hAnsi="Calibri" w:cs="Arial"/>
          <w:b/>
          <w:color w:val="002F5D"/>
        </w:rPr>
        <w:t>e</w:t>
      </w:r>
      <w:r w:rsidR="00833E03">
        <w:rPr>
          <w:rFonts w:ascii="Calibri" w:eastAsia="Calibri" w:hAnsi="Calibri" w:cs="Arial"/>
          <w:b/>
          <w:color w:val="002F5D"/>
        </w:rPr>
        <w:t>r</w:t>
      </w:r>
      <w:r w:rsidRPr="00886F92">
        <w:rPr>
          <w:rFonts w:ascii="Calibri" w:eastAsia="Calibri" w:hAnsi="Calibri" w:cs="Arial"/>
          <w:b/>
          <w:color w:val="002F5D"/>
        </w:rPr>
        <w:t xml:space="preserve"> </w:t>
      </w:r>
      <w:r w:rsidR="00833E03">
        <w:rPr>
          <w:rFonts w:ascii="Calibri" w:eastAsia="Calibri" w:hAnsi="Calibri" w:cs="Arial"/>
          <w:color w:val="002F5D"/>
        </w:rPr>
        <w:t xml:space="preserve">than the England average in 2017/18, </w:t>
      </w:r>
      <w:r w:rsidRPr="00886F92">
        <w:rPr>
          <w:rFonts w:ascii="Calibri" w:eastAsia="Calibri" w:hAnsi="Calibri" w:cs="Arial"/>
          <w:color w:val="002F5D"/>
        </w:rPr>
        <w:t xml:space="preserve">but </w:t>
      </w:r>
      <w:r w:rsidRPr="00886F92">
        <w:rPr>
          <w:rFonts w:ascii="Calibri" w:eastAsia="Calibri" w:hAnsi="Calibri" w:cs="Arial"/>
          <w:b/>
          <w:color w:val="002F5D"/>
        </w:rPr>
        <w:t>take-up</w:t>
      </w:r>
      <w:r w:rsidR="00833E03">
        <w:rPr>
          <w:rFonts w:ascii="Calibri" w:eastAsia="Calibri" w:hAnsi="Calibri" w:cs="Arial"/>
          <w:color w:val="002F5D"/>
        </w:rPr>
        <w:t xml:space="preserve"> by the population was </w:t>
      </w:r>
      <w:r w:rsidR="00833E03" w:rsidRPr="00152291">
        <w:rPr>
          <w:rFonts w:ascii="Calibri" w:eastAsia="Calibri" w:hAnsi="Calibri" w:cs="Arial"/>
          <w:b/>
          <w:color w:val="002F5D"/>
        </w:rPr>
        <w:t>higher</w:t>
      </w:r>
      <w:r w:rsidRPr="00886F92">
        <w:rPr>
          <w:rFonts w:ascii="Calibri" w:eastAsia="Calibri" w:hAnsi="Calibri" w:cs="Arial"/>
          <w:color w:val="002F5D"/>
        </w:rPr>
        <w:t>.</w:t>
      </w:r>
    </w:p>
    <w:p w14:paraId="110DB9BA" w14:textId="56D09BBB" w:rsidR="009810FA" w:rsidRPr="00C204D5" w:rsidRDefault="009810FA" w:rsidP="009810FA">
      <w:pPr>
        <w:numPr>
          <w:ilvl w:val="0"/>
          <w:numId w:val="59"/>
        </w:numPr>
        <w:spacing w:line="240" w:lineRule="auto"/>
        <w:contextualSpacing/>
        <w:rPr>
          <w:rFonts w:ascii="Calibri" w:eastAsia="Calibri" w:hAnsi="Calibri" w:cs="Arial"/>
          <w:color w:val="002F5D"/>
        </w:rPr>
      </w:pPr>
      <w:r w:rsidRPr="00C204D5">
        <w:rPr>
          <w:rFonts w:ascii="Calibri" w:eastAsia="Calibri" w:hAnsi="Calibri" w:cs="Arial"/>
          <w:color w:val="002F5D"/>
        </w:rPr>
        <w:t xml:space="preserve">The picture regarding </w:t>
      </w:r>
      <w:r w:rsidRPr="00C204D5">
        <w:rPr>
          <w:rFonts w:ascii="Calibri" w:eastAsia="Calibri" w:hAnsi="Calibri" w:cs="Arial"/>
          <w:b/>
          <w:color w:val="002F5D"/>
        </w:rPr>
        <w:t>sexual health</w:t>
      </w:r>
      <w:r w:rsidRPr="00C204D5">
        <w:rPr>
          <w:rFonts w:ascii="Calibri" w:eastAsia="Calibri" w:hAnsi="Calibri" w:cs="Arial"/>
          <w:color w:val="002F5D"/>
        </w:rPr>
        <w:t xml:space="preserve"> in Cambridgeshire and Peterborough is mixed, and sometimes unclear with</w:t>
      </w:r>
      <w:r w:rsidR="00833E03" w:rsidRPr="00C204D5">
        <w:rPr>
          <w:rFonts w:ascii="Calibri" w:eastAsia="Calibri" w:hAnsi="Calibri" w:cs="Arial"/>
          <w:color w:val="002F5D"/>
        </w:rPr>
        <w:t xml:space="preserve"> combined</w:t>
      </w:r>
      <w:r w:rsidRPr="00C204D5">
        <w:rPr>
          <w:rFonts w:ascii="Calibri" w:eastAsia="Calibri" w:hAnsi="Calibri" w:cs="Arial"/>
          <w:color w:val="002F5D"/>
        </w:rPr>
        <w:t xml:space="preserve"> infection</w:t>
      </w:r>
      <w:r w:rsidRPr="00C204D5">
        <w:rPr>
          <w:rFonts w:ascii="Calibri" w:eastAsia="Calibri" w:hAnsi="Calibri" w:cs="Arial"/>
          <w:b/>
          <w:color w:val="002F5D"/>
        </w:rPr>
        <w:t xml:space="preserve"> testing</w:t>
      </w:r>
      <w:r w:rsidRPr="00C204D5">
        <w:rPr>
          <w:rFonts w:ascii="Calibri" w:eastAsia="Calibri" w:hAnsi="Calibri" w:cs="Arial"/>
          <w:color w:val="002F5D"/>
        </w:rPr>
        <w:t xml:space="preserve"> rates </w:t>
      </w:r>
      <w:r w:rsidR="00833E03" w:rsidRPr="00C204D5">
        <w:rPr>
          <w:rFonts w:ascii="Calibri" w:eastAsia="Calibri" w:hAnsi="Calibri" w:cs="Arial"/>
          <w:color w:val="002F5D"/>
        </w:rPr>
        <w:t xml:space="preserve">across the area </w:t>
      </w:r>
      <w:r w:rsidRPr="00C204D5">
        <w:rPr>
          <w:rFonts w:ascii="Calibri" w:eastAsia="Calibri" w:hAnsi="Calibri" w:cs="Arial"/>
          <w:b/>
          <w:color w:val="002F5D"/>
        </w:rPr>
        <w:t>lower</w:t>
      </w:r>
      <w:r w:rsidRPr="00C204D5">
        <w:rPr>
          <w:rFonts w:ascii="Calibri" w:eastAsia="Calibri" w:hAnsi="Calibri" w:cs="Arial"/>
          <w:color w:val="002F5D"/>
        </w:rPr>
        <w:t xml:space="preserve"> than in England, which could be attributable to either low levels of disease or poor detection</w:t>
      </w:r>
      <w:r w:rsidRPr="004A6349">
        <w:rPr>
          <w:rFonts w:ascii="Calibri" w:eastAsia="Calibri" w:hAnsi="Calibri" w:cs="Arial"/>
          <w:color w:val="002F5D"/>
        </w:rPr>
        <w:t xml:space="preserve">. </w:t>
      </w:r>
      <w:r w:rsidRPr="00C204D5">
        <w:rPr>
          <w:rFonts w:ascii="Calibri" w:eastAsia="Calibri" w:hAnsi="Calibri" w:cs="Arial"/>
          <w:color w:val="002F5D"/>
        </w:rPr>
        <w:t xml:space="preserve">Testing rates in </w:t>
      </w:r>
      <w:r w:rsidRPr="00C204D5">
        <w:rPr>
          <w:rFonts w:ascii="Calibri" w:eastAsia="Calibri" w:hAnsi="Calibri" w:cs="Arial"/>
          <w:b/>
          <w:color w:val="002F5D"/>
        </w:rPr>
        <w:t>Peterborough</w:t>
      </w:r>
      <w:r w:rsidRPr="00C204D5">
        <w:rPr>
          <w:rFonts w:ascii="Calibri" w:eastAsia="Calibri" w:hAnsi="Calibri" w:cs="Arial"/>
          <w:color w:val="002F5D"/>
        </w:rPr>
        <w:t xml:space="preserve"> are significantly higher, as are levels of diagnosed </w:t>
      </w:r>
      <w:r w:rsidRPr="00C204D5">
        <w:rPr>
          <w:rFonts w:ascii="Calibri" w:eastAsia="Calibri" w:hAnsi="Calibri" w:cs="Arial"/>
          <w:b/>
          <w:color w:val="002F5D"/>
        </w:rPr>
        <w:t>sexually transmitted infections</w:t>
      </w:r>
      <w:r w:rsidRPr="00C204D5">
        <w:rPr>
          <w:rFonts w:ascii="Calibri" w:eastAsia="Calibri" w:hAnsi="Calibri" w:cs="Arial"/>
          <w:color w:val="002F5D"/>
        </w:rPr>
        <w:t xml:space="preserve">. </w:t>
      </w:r>
      <w:r w:rsidRPr="00C204D5">
        <w:rPr>
          <w:rFonts w:ascii="Calibri" w:eastAsia="Calibri" w:hAnsi="Calibri" w:cs="Arial"/>
          <w:b/>
          <w:color w:val="002F5D"/>
        </w:rPr>
        <w:t>HIV diagnosis</w:t>
      </w:r>
      <w:r w:rsidRPr="00C204D5">
        <w:rPr>
          <w:rFonts w:ascii="Calibri" w:eastAsia="Calibri" w:hAnsi="Calibri" w:cs="Arial"/>
          <w:color w:val="002F5D"/>
        </w:rPr>
        <w:t xml:space="preserve"> at a </w:t>
      </w:r>
      <w:r w:rsidRPr="00C204D5">
        <w:rPr>
          <w:rFonts w:ascii="Calibri" w:eastAsia="Calibri" w:hAnsi="Calibri" w:cs="Arial"/>
          <w:b/>
          <w:color w:val="002F5D"/>
        </w:rPr>
        <w:t>late</w:t>
      </w:r>
      <w:r w:rsidRPr="00C204D5">
        <w:rPr>
          <w:rFonts w:ascii="Calibri" w:eastAsia="Calibri" w:hAnsi="Calibri" w:cs="Arial"/>
          <w:color w:val="002F5D"/>
        </w:rPr>
        <w:t xml:space="preserve"> stage of infection is </w:t>
      </w:r>
      <w:r w:rsidRPr="00C204D5">
        <w:rPr>
          <w:rFonts w:ascii="Calibri" w:eastAsia="Calibri" w:hAnsi="Calibri" w:cs="Arial"/>
          <w:b/>
          <w:color w:val="002F5D"/>
        </w:rPr>
        <w:t>relatively high</w:t>
      </w:r>
      <w:r w:rsidRPr="00C204D5">
        <w:rPr>
          <w:rFonts w:ascii="Calibri" w:eastAsia="Calibri" w:hAnsi="Calibri" w:cs="Arial"/>
          <w:color w:val="002F5D"/>
        </w:rPr>
        <w:t xml:space="preserve"> in Cambridgeshire and Peterborough and is </w:t>
      </w:r>
      <w:r w:rsidRPr="00C204D5">
        <w:rPr>
          <w:rFonts w:ascii="Calibri" w:eastAsia="Calibri" w:hAnsi="Calibri" w:cs="Arial"/>
          <w:b/>
          <w:color w:val="002F5D"/>
        </w:rPr>
        <w:t>increasing</w:t>
      </w:r>
      <w:r w:rsidRPr="00C204D5">
        <w:rPr>
          <w:rFonts w:ascii="Calibri" w:eastAsia="Calibri" w:hAnsi="Calibri" w:cs="Arial"/>
          <w:color w:val="002F5D"/>
        </w:rPr>
        <w:t xml:space="preserve">. </w:t>
      </w:r>
    </w:p>
    <w:p w14:paraId="0DD36530" w14:textId="1B89DEDC" w:rsidR="009810FA" w:rsidRPr="004A6349" w:rsidRDefault="009810FA" w:rsidP="004A6349">
      <w:pPr>
        <w:numPr>
          <w:ilvl w:val="0"/>
          <w:numId w:val="59"/>
        </w:numPr>
        <w:spacing w:line="240" w:lineRule="auto"/>
        <w:contextualSpacing/>
        <w:rPr>
          <w:rFonts w:ascii="Calibri" w:eastAsia="Calibri" w:hAnsi="Calibri" w:cs="Arial"/>
          <w:color w:val="002F5D"/>
        </w:rPr>
      </w:pPr>
      <w:r w:rsidRPr="00C204D5">
        <w:rPr>
          <w:rFonts w:ascii="Calibri" w:eastAsia="Calibri" w:hAnsi="Calibri" w:cs="Arial"/>
          <w:b/>
          <w:color w:val="002F5D"/>
        </w:rPr>
        <w:t>Conceptions</w:t>
      </w:r>
      <w:r w:rsidRPr="00C204D5">
        <w:rPr>
          <w:rFonts w:ascii="Calibri" w:eastAsia="Calibri" w:hAnsi="Calibri" w:cs="Arial"/>
          <w:color w:val="002F5D"/>
        </w:rPr>
        <w:t xml:space="preserve"> in </w:t>
      </w:r>
      <w:r w:rsidRPr="00C204D5">
        <w:rPr>
          <w:rFonts w:ascii="Calibri" w:eastAsia="Calibri" w:hAnsi="Calibri" w:cs="Arial"/>
          <w:b/>
          <w:color w:val="002F5D"/>
        </w:rPr>
        <w:t>young women</w:t>
      </w:r>
      <w:r w:rsidRPr="00C204D5">
        <w:rPr>
          <w:rFonts w:ascii="Calibri" w:eastAsia="Calibri" w:hAnsi="Calibri" w:cs="Arial"/>
          <w:color w:val="002F5D"/>
        </w:rPr>
        <w:t xml:space="preserve"> are generally </w:t>
      </w:r>
      <w:r w:rsidRPr="00C204D5">
        <w:rPr>
          <w:rFonts w:ascii="Calibri" w:eastAsia="Calibri" w:hAnsi="Calibri" w:cs="Arial"/>
          <w:b/>
          <w:color w:val="002F5D"/>
        </w:rPr>
        <w:t>low in Cambridgeshire (except Fenland and Huntingdonshire)</w:t>
      </w:r>
      <w:r w:rsidRPr="00C204D5">
        <w:rPr>
          <w:rFonts w:ascii="Calibri" w:eastAsia="Calibri" w:hAnsi="Calibri" w:cs="Arial"/>
          <w:color w:val="002F5D"/>
        </w:rPr>
        <w:t xml:space="preserve">, but are </w:t>
      </w:r>
      <w:r w:rsidRPr="00C204D5">
        <w:rPr>
          <w:rFonts w:ascii="Calibri" w:eastAsia="Calibri" w:hAnsi="Calibri" w:cs="Arial"/>
          <w:b/>
          <w:color w:val="002F5D"/>
        </w:rPr>
        <w:t>higher</w:t>
      </w:r>
      <w:r w:rsidRPr="00C204D5">
        <w:rPr>
          <w:rFonts w:ascii="Calibri" w:eastAsia="Calibri" w:hAnsi="Calibri" w:cs="Arial"/>
          <w:color w:val="002F5D"/>
        </w:rPr>
        <w:t xml:space="preserve"> in </w:t>
      </w:r>
      <w:r w:rsidRPr="00C204D5">
        <w:rPr>
          <w:rFonts w:ascii="Calibri" w:eastAsia="Calibri" w:hAnsi="Calibri" w:cs="Arial"/>
          <w:b/>
          <w:color w:val="002F5D"/>
        </w:rPr>
        <w:t>Peterborough</w:t>
      </w:r>
      <w:r w:rsidRPr="00C204D5">
        <w:rPr>
          <w:rFonts w:ascii="Calibri" w:eastAsia="Calibri" w:hAnsi="Calibri" w:cs="Arial"/>
          <w:color w:val="002F5D"/>
        </w:rPr>
        <w:t xml:space="preserve"> than found nationally. </w:t>
      </w:r>
    </w:p>
    <w:p w14:paraId="2B181757" w14:textId="0F3EB769" w:rsidR="009810FA" w:rsidRPr="004A6349" w:rsidRDefault="009810FA" w:rsidP="004A6349">
      <w:pPr>
        <w:numPr>
          <w:ilvl w:val="0"/>
          <w:numId w:val="59"/>
        </w:numPr>
        <w:spacing w:line="240" w:lineRule="auto"/>
        <w:contextualSpacing/>
        <w:rPr>
          <w:rFonts w:ascii="Calibri" w:eastAsia="Calibri" w:hAnsi="Calibri" w:cs="Arial"/>
          <w:color w:val="002F5D"/>
        </w:rPr>
      </w:pPr>
      <w:r w:rsidRPr="00C204D5">
        <w:rPr>
          <w:rFonts w:ascii="Calibri" w:eastAsia="Calibri" w:hAnsi="Calibri" w:cs="Arial"/>
          <w:b/>
          <w:color w:val="002F5D"/>
        </w:rPr>
        <w:t>Falls</w:t>
      </w:r>
      <w:r w:rsidRPr="00C204D5">
        <w:rPr>
          <w:rFonts w:ascii="Calibri" w:eastAsia="Calibri" w:hAnsi="Calibri" w:cs="Arial"/>
          <w:color w:val="002F5D"/>
        </w:rPr>
        <w:t xml:space="preserve"> are an issue requiring </w:t>
      </w:r>
      <w:r w:rsidRPr="00C204D5">
        <w:rPr>
          <w:rFonts w:ascii="Calibri" w:eastAsia="Calibri" w:hAnsi="Calibri" w:cs="Arial"/>
          <w:b/>
          <w:color w:val="002F5D"/>
        </w:rPr>
        <w:t>continuing attention</w:t>
      </w:r>
      <w:r w:rsidRPr="00C204D5">
        <w:rPr>
          <w:rFonts w:ascii="Calibri" w:eastAsia="Calibri" w:hAnsi="Calibri" w:cs="Arial"/>
          <w:color w:val="002F5D"/>
        </w:rPr>
        <w:t xml:space="preserve"> in </w:t>
      </w:r>
      <w:r w:rsidRPr="00C204D5">
        <w:rPr>
          <w:rFonts w:ascii="Calibri" w:eastAsia="Calibri" w:hAnsi="Calibri" w:cs="Arial"/>
          <w:b/>
          <w:color w:val="002F5D"/>
        </w:rPr>
        <w:t>Cambridgeshire and Peterborough</w:t>
      </w:r>
      <w:r w:rsidRPr="00C204D5">
        <w:rPr>
          <w:rFonts w:ascii="Calibri" w:eastAsia="Calibri" w:hAnsi="Calibri" w:cs="Arial"/>
          <w:color w:val="002F5D"/>
        </w:rPr>
        <w:t>. Levels of e</w:t>
      </w:r>
      <w:r w:rsidRPr="00932171">
        <w:rPr>
          <w:rFonts w:ascii="Calibri" w:eastAsia="Calibri" w:hAnsi="Calibri" w:cs="Arial"/>
          <w:color w:val="002F5D"/>
        </w:rPr>
        <w:t xml:space="preserve">mergency </w:t>
      </w:r>
      <w:r w:rsidRPr="00932171">
        <w:rPr>
          <w:rFonts w:ascii="Calibri" w:eastAsia="Calibri" w:hAnsi="Calibri" w:cs="Arial"/>
          <w:b/>
          <w:color w:val="002F5D"/>
        </w:rPr>
        <w:t>hospital admissions</w:t>
      </w:r>
      <w:r w:rsidRPr="00932171">
        <w:rPr>
          <w:rFonts w:ascii="Calibri" w:eastAsia="Calibri" w:hAnsi="Calibri" w:cs="Arial"/>
          <w:color w:val="002F5D"/>
        </w:rPr>
        <w:t xml:space="preserve"> for falls are </w:t>
      </w:r>
      <w:r w:rsidRPr="00932171">
        <w:rPr>
          <w:rFonts w:ascii="Calibri" w:eastAsia="Calibri" w:hAnsi="Calibri" w:cs="Arial"/>
          <w:b/>
          <w:color w:val="002F5D"/>
        </w:rPr>
        <w:t>similar to the national average</w:t>
      </w:r>
      <w:r w:rsidRPr="00932171">
        <w:rPr>
          <w:rFonts w:ascii="Calibri" w:eastAsia="Calibri" w:hAnsi="Calibri" w:cs="Arial"/>
          <w:color w:val="002F5D"/>
        </w:rPr>
        <w:t xml:space="preserve"> for </w:t>
      </w:r>
      <w:r w:rsidRPr="00932171">
        <w:rPr>
          <w:rFonts w:ascii="Calibri" w:eastAsia="Calibri" w:hAnsi="Calibri" w:cs="Arial"/>
          <w:b/>
          <w:color w:val="002F5D"/>
        </w:rPr>
        <w:t>Cambridgeshire and Peterborough</w:t>
      </w:r>
      <w:r w:rsidRPr="00932171">
        <w:rPr>
          <w:rFonts w:ascii="Calibri" w:eastAsia="Calibri" w:hAnsi="Calibri" w:cs="Arial"/>
          <w:color w:val="002F5D"/>
        </w:rPr>
        <w:t xml:space="preserve"> combined, independently, and most of the districts. </w:t>
      </w:r>
      <w:r>
        <w:rPr>
          <w:rFonts w:ascii="Calibri" w:eastAsia="Calibri" w:hAnsi="Calibri" w:cs="Arial"/>
          <w:color w:val="002F5D"/>
        </w:rPr>
        <w:t xml:space="preserve">Emergency hospital admission rates for falls in </w:t>
      </w:r>
      <w:r w:rsidRPr="00932171">
        <w:rPr>
          <w:rFonts w:ascii="Calibri" w:eastAsia="Calibri" w:hAnsi="Calibri" w:cs="Arial"/>
          <w:b/>
          <w:color w:val="002F5D"/>
        </w:rPr>
        <w:t>Cambridge City</w:t>
      </w:r>
      <w:r w:rsidRPr="00932171">
        <w:rPr>
          <w:rFonts w:ascii="Calibri" w:eastAsia="Calibri" w:hAnsi="Calibri" w:cs="Arial"/>
          <w:color w:val="002F5D"/>
        </w:rPr>
        <w:t xml:space="preserve"> </w:t>
      </w:r>
      <w:r>
        <w:rPr>
          <w:rFonts w:ascii="Calibri" w:eastAsia="Calibri" w:hAnsi="Calibri" w:cs="Arial"/>
          <w:color w:val="002F5D"/>
        </w:rPr>
        <w:t>are</w:t>
      </w:r>
      <w:r w:rsidRPr="00932171">
        <w:rPr>
          <w:rFonts w:ascii="Calibri" w:eastAsia="Calibri" w:hAnsi="Calibri" w:cs="Arial"/>
          <w:color w:val="002F5D"/>
        </w:rPr>
        <w:t xml:space="preserve"> at a level significantly worse than the national average. </w:t>
      </w:r>
    </w:p>
    <w:p w14:paraId="56442439" w14:textId="77777777" w:rsidR="009810FA" w:rsidRPr="004C6585" w:rsidRDefault="009810FA" w:rsidP="009810FA">
      <w:pPr>
        <w:numPr>
          <w:ilvl w:val="0"/>
          <w:numId w:val="59"/>
        </w:numPr>
        <w:spacing w:line="240" w:lineRule="auto"/>
        <w:contextualSpacing/>
        <w:rPr>
          <w:rFonts w:ascii="Calibri" w:eastAsia="Calibri" w:hAnsi="Calibri" w:cs="Arial"/>
          <w:color w:val="002F5D"/>
        </w:rPr>
      </w:pPr>
      <w:r w:rsidRPr="004C6585">
        <w:rPr>
          <w:rFonts w:ascii="Calibri" w:eastAsia="Calibri" w:hAnsi="Calibri" w:cs="Arial"/>
          <w:color w:val="002F5D"/>
        </w:rPr>
        <w:t xml:space="preserve">Childhood screening rates are mostly around national levels in </w:t>
      </w:r>
      <w:r w:rsidRPr="004C6585">
        <w:rPr>
          <w:rFonts w:ascii="Calibri" w:eastAsia="Calibri" w:hAnsi="Calibri" w:cs="Arial"/>
          <w:b/>
          <w:color w:val="002F5D"/>
        </w:rPr>
        <w:t>Cambridgeshire and Peterborough</w:t>
      </w:r>
      <w:r w:rsidRPr="004C6585">
        <w:rPr>
          <w:rFonts w:ascii="Calibri" w:eastAsia="Calibri" w:hAnsi="Calibri" w:cs="Arial"/>
          <w:color w:val="002F5D"/>
        </w:rPr>
        <w:t xml:space="preserve"> as a whole. However, some </w:t>
      </w:r>
      <w:r w:rsidRPr="004C6585">
        <w:rPr>
          <w:rFonts w:ascii="Calibri" w:eastAsia="Calibri" w:hAnsi="Calibri" w:cs="Arial"/>
          <w:b/>
          <w:color w:val="002F5D"/>
        </w:rPr>
        <w:t>childhood vaccinations</w:t>
      </w:r>
      <w:r w:rsidRPr="004C6585">
        <w:rPr>
          <w:rFonts w:ascii="Calibri" w:eastAsia="Calibri" w:hAnsi="Calibri" w:cs="Arial"/>
          <w:color w:val="002F5D"/>
        </w:rPr>
        <w:t xml:space="preserve"> have relatively </w:t>
      </w:r>
      <w:r w:rsidRPr="004C6585">
        <w:rPr>
          <w:rFonts w:ascii="Calibri" w:eastAsia="Calibri" w:hAnsi="Calibri" w:cs="Arial"/>
          <w:b/>
          <w:color w:val="002F5D"/>
        </w:rPr>
        <w:t>low</w:t>
      </w:r>
      <w:r w:rsidRPr="004C6585">
        <w:rPr>
          <w:rFonts w:ascii="Calibri" w:eastAsia="Calibri" w:hAnsi="Calibri" w:cs="Arial"/>
          <w:color w:val="002F5D"/>
        </w:rPr>
        <w:t xml:space="preserve">, and </w:t>
      </w:r>
      <w:r w:rsidRPr="004C6585">
        <w:rPr>
          <w:rFonts w:ascii="Calibri" w:eastAsia="Calibri" w:hAnsi="Calibri" w:cs="Arial"/>
          <w:b/>
          <w:color w:val="002F5D"/>
        </w:rPr>
        <w:t>declining</w:t>
      </w:r>
      <w:r w:rsidRPr="004C6585">
        <w:rPr>
          <w:rFonts w:ascii="Calibri" w:eastAsia="Calibri" w:hAnsi="Calibri" w:cs="Arial"/>
          <w:color w:val="002F5D"/>
        </w:rPr>
        <w:t>, coverage rates.</w:t>
      </w:r>
    </w:p>
    <w:p w14:paraId="0F2E715B" w14:textId="0D5FD309" w:rsidR="009810FA" w:rsidRPr="004C6585" w:rsidRDefault="009810FA" w:rsidP="009810FA">
      <w:pPr>
        <w:numPr>
          <w:ilvl w:val="0"/>
          <w:numId w:val="59"/>
        </w:numPr>
        <w:spacing w:line="240" w:lineRule="auto"/>
        <w:contextualSpacing/>
        <w:rPr>
          <w:rFonts w:ascii="Calibri" w:eastAsia="Calibri" w:hAnsi="Calibri" w:cs="Arial"/>
          <w:color w:val="002F5D"/>
        </w:rPr>
      </w:pPr>
      <w:r w:rsidRPr="004C6585">
        <w:rPr>
          <w:rFonts w:ascii="Calibri" w:eastAsia="Calibri" w:hAnsi="Calibri" w:cs="Arial"/>
          <w:color w:val="002F5D"/>
        </w:rPr>
        <w:lastRenderedPageBreak/>
        <w:t xml:space="preserve">Generally </w:t>
      </w:r>
      <w:r w:rsidRPr="004C6585">
        <w:rPr>
          <w:rFonts w:ascii="Calibri" w:eastAsia="Calibri" w:hAnsi="Calibri" w:cs="Arial"/>
          <w:b/>
          <w:color w:val="002F5D"/>
        </w:rPr>
        <w:t>cancer screening rates</w:t>
      </w:r>
      <w:r w:rsidRPr="004C6585">
        <w:rPr>
          <w:rFonts w:ascii="Calibri" w:eastAsia="Calibri" w:hAnsi="Calibri" w:cs="Arial"/>
          <w:color w:val="002F5D"/>
        </w:rPr>
        <w:t xml:space="preserve"> are around the national average </w:t>
      </w:r>
      <w:r w:rsidR="00C204D5">
        <w:rPr>
          <w:rFonts w:ascii="Calibri" w:eastAsia="Calibri" w:hAnsi="Calibri" w:cs="Arial"/>
          <w:color w:val="002F5D"/>
        </w:rPr>
        <w:t xml:space="preserve">for </w:t>
      </w:r>
      <w:r w:rsidRPr="004C6585">
        <w:rPr>
          <w:rFonts w:ascii="Calibri" w:eastAsia="Calibri" w:hAnsi="Calibri" w:cs="Arial"/>
          <w:color w:val="002F5D"/>
        </w:rPr>
        <w:t>Cambridgeshire and Peterborough</w:t>
      </w:r>
      <w:r w:rsidR="00C204D5">
        <w:rPr>
          <w:rFonts w:ascii="Calibri" w:eastAsia="Calibri" w:hAnsi="Calibri" w:cs="Arial"/>
          <w:color w:val="002F5D"/>
        </w:rPr>
        <w:t xml:space="preserve"> combined</w:t>
      </w:r>
      <w:r w:rsidRPr="004C6585">
        <w:rPr>
          <w:rFonts w:ascii="Calibri" w:eastAsia="Calibri" w:hAnsi="Calibri" w:cs="Arial"/>
          <w:color w:val="002F5D"/>
        </w:rPr>
        <w:t>. However,</w:t>
      </w:r>
      <w:r>
        <w:rPr>
          <w:rFonts w:ascii="Calibri" w:eastAsia="Calibri" w:hAnsi="Calibri" w:cs="Arial"/>
          <w:color w:val="002F5D"/>
        </w:rPr>
        <w:t xml:space="preserve"> cervical</w:t>
      </w:r>
      <w:r w:rsidRPr="004C6585">
        <w:rPr>
          <w:rFonts w:ascii="Calibri" w:eastAsia="Calibri" w:hAnsi="Calibri" w:cs="Arial"/>
          <w:color w:val="002F5D"/>
        </w:rPr>
        <w:t xml:space="preserve"> </w:t>
      </w:r>
      <w:r w:rsidRPr="004C6585">
        <w:rPr>
          <w:rFonts w:ascii="Calibri" w:eastAsia="Calibri" w:hAnsi="Calibri" w:cs="Arial"/>
          <w:b/>
          <w:color w:val="002F5D"/>
        </w:rPr>
        <w:t>cancer screening rates</w:t>
      </w:r>
      <w:r w:rsidRPr="004C6585">
        <w:rPr>
          <w:rFonts w:ascii="Calibri" w:eastAsia="Calibri" w:hAnsi="Calibri" w:cs="Arial"/>
          <w:color w:val="002F5D"/>
        </w:rPr>
        <w:t xml:space="preserve"> in </w:t>
      </w:r>
      <w:r w:rsidRPr="004C6585">
        <w:rPr>
          <w:rFonts w:ascii="Calibri" w:eastAsia="Calibri" w:hAnsi="Calibri" w:cs="Arial"/>
          <w:b/>
          <w:color w:val="002F5D"/>
        </w:rPr>
        <w:t xml:space="preserve">Cambridgeshire and Peterborough have declining trends </w:t>
      </w:r>
      <w:r w:rsidRPr="004C6585">
        <w:rPr>
          <w:rFonts w:ascii="Calibri" w:eastAsia="Calibri" w:hAnsi="Calibri" w:cs="Arial"/>
          <w:color w:val="002F5D"/>
        </w:rPr>
        <w:t xml:space="preserve">over recent years. Screening rates are </w:t>
      </w:r>
      <w:r w:rsidRPr="004C6585">
        <w:rPr>
          <w:rFonts w:ascii="Calibri" w:eastAsia="Calibri" w:hAnsi="Calibri" w:cs="Arial"/>
          <w:b/>
          <w:color w:val="002F5D"/>
        </w:rPr>
        <w:t>significantly low</w:t>
      </w:r>
      <w:r w:rsidRPr="004C6585">
        <w:rPr>
          <w:rFonts w:ascii="Calibri" w:eastAsia="Calibri" w:hAnsi="Calibri" w:cs="Arial"/>
          <w:color w:val="002F5D"/>
        </w:rPr>
        <w:t xml:space="preserve"> in </w:t>
      </w:r>
      <w:r w:rsidRPr="004C6585">
        <w:rPr>
          <w:rFonts w:ascii="Calibri" w:eastAsia="Calibri" w:hAnsi="Calibri" w:cs="Arial"/>
          <w:b/>
          <w:color w:val="002F5D"/>
        </w:rPr>
        <w:t>Peterborough</w:t>
      </w:r>
      <w:r w:rsidRPr="004C6585">
        <w:rPr>
          <w:rFonts w:ascii="Calibri" w:eastAsia="Calibri" w:hAnsi="Calibri" w:cs="Arial"/>
          <w:color w:val="002F5D"/>
        </w:rPr>
        <w:t xml:space="preserve">, and </w:t>
      </w:r>
      <w:r w:rsidRPr="004C6585">
        <w:rPr>
          <w:rFonts w:ascii="Calibri" w:eastAsia="Calibri" w:hAnsi="Calibri" w:cs="Arial"/>
          <w:b/>
          <w:color w:val="002F5D"/>
        </w:rPr>
        <w:t>Cambridge</w:t>
      </w:r>
      <w:r w:rsidRPr="004C6585">
        <w:rPr>
          <w:rFonts w:ascii="Calibri" w:eastAsia="Calibri" w:hAnsi="Calibri" w:cs="Arial"/>
          <w:color w:val="002F5D"/>
        </w:rPr>
        <w:t xml:space="preserve"> and, relatively low, in </w:t>
      </w:r>
      <w:r w:rsidRPr="004C6585">
        <w:rPr>
          <w:rFonts w:ascii="Calibri" w:eastAsia="Calibri" w:hAnsi="Calibri" w:cs="Arial"/>
          <w:b/>
          <w:color w:val="002F5D"/>
        </w:rPr>
        <w:t>Fenland</w:t>
      </w:r>
      <w:r w:rsidRPr="004C6585">
        <w:rPr>
          <w:rFonts w:ascii="Calibri" w:eastAsia="Calibri" w:hAnsi="Calibri" w:cs="Arial"/>
          <w:color w:val="002F5D"/>
        </w:rPr>
        <w:t>.</w:t>
      </w:r>
    </w:p>
    <w:p w14:paraId="03BF70F3" w14:textId="77777777" w:rsidR="009810FA" w:rsidRPr="000E262A" w:rsidRDefault="009810FA" w:rsidP="009810FA">
      <w:pPr>
        <w:numPr>
          <w:ilvl w:val="0"/>
          <w:numId w:val="59"/>
        </w:numPr>
        <w:spacing w:line="240" w:lineRule="auto"/>
        <w:contextualSpacing/>
        <w:rPr>
          <w:rFonts w:ascii="Calibri" w:eastAsia="Calibri" w:hAnsi="Calibri" w:cs="Arial"/>
          <w:color w:val="002F5D"/>
        </w:rPr>
      </w:pPr>
      <w:r w:rsidRPr="000E262A">
        <w:rPr>
          <w:rFonts w:ascii="Calibri" w:eastAsia="Calibri" w:hAnsi="Calibri" w:cs="Arial"/>
          <w:b/>
          <w:color w:val="002F5D"/>
        </w:rPr>
        <w:t>Cambridgeshire and Peterborough’s flu vaccination rates</w:t>
      </w:r>
      <w:r w:rsidRPr="000E262A">
        <w:rPr>
          <w:rFonts w:ascii="Calibri" w:eastAsia="Calibri" w:hAnsi="Calibri" w:cs="Arial"/>
          <w:color w:val="002F5D"/>
        </w:rPr>
        <w:t xml:space="preserve"> for people aged 65+ and at risk individuals are </w:t>
      </w:r>
      <w:r w:rsidRPr="000E262A">
        <w:rPr>
          <w:rFonts w:ascii="Calibri" w:eastAsia="Calibri" w:hAnsi="Calibri" w:cs="Arial"/>
          <w:b/>
          <w:color w:val="002F5D"/>
        </w:rPr>
        <w:t>sustained</w:t>
      </w:r>
      <w:r w:rsidRPr="000E262A">
        <w:rPr>
          <w:rFonts w:ascii="Calibri" w:eastAsia="Calibri" w:hAnsi="Calibri" w:cs="Arial"/>
          <w:color w:val="002F5D"/>
        </w:rPr>
        <w:t xml:space="preserve"> at levels </w:t>
      </w:r>
      <w:r w:rsidRPr="000E262A">
        <w:rPr>
          <w:rFonts w:ascii="Calibri" w:eastAsia="Calibri" w:hAnsi="Calibri" w:cs="Arial"/>
          <w:b/>
          <w:color w:val="002F5D"/>
        </w:rPr>
        <w:t>below national targets</w:t>
      </w:r>
      <w:r w:rsidRPr="000E262A">
        <w:rPr>
          <w:rFonts w:ascii="Calibri" w:eastAsia="Calibri" w:hAnsi="Calibri" w:cs="Arial"/>
          <w:color w:val="002F5D"/>
        </w:rPr>
        <w:t>.</w:t>
      </w:r>
    </w:p>
    <w:p w14:paraId="625CD94A" w14:textId="77777777" w:rsidR="009810FA" w:rsidRDefault="009810FA" w:rsidP="009810FA">
      <w:pPr>
        <w:spacing w:line="240" w:lineRule="auto"/>
        <w:contextualSpacing/>
        <w:rPr>
          <w:rFonts w:ascii="Calibri" w:eastAsia="Calibri" w:hAnsi="Calibri" w:cs="Arial"/>
          <w:color w:val="FF0000"/>
        </w:rPr>
      </w:pPr>
    </w:p>
    <w:p w14:paraId="1F08E2DF" w14:textId="77777777" w:rsidR="009810FA" w:rsidRDefault="009810FA" w:rsidP="009810FA">
      <w:pPr>
        <w:spacing w:line="276" w:lineRule="auto"/>
        <w:rPr>
          <w:rFonts w:ascii="Calibri" w:eastAsia="Calibri" w:hAnsi="Calibri" w:cs="Arial"/>
          <w:b/>
          <w:color w:val="FF0000"/>
        </w:rPr>
      </w:pPr>
      <w:r w:rsidRPr="0022024E">
        <w:rPr>
          <w:rFonts w:ascii="Calibri" w:eastAsia="Calibri" w:hAnsi="Calibri" w:cs="Arial"/>
          <w:b/>
          <w:color w:val="FF0000"/>
        </w:rPr>
        <w:br w:type="page"/>
      </w:r>
    </w:p>
    <w:p w14:paraId="32F44992" w14:textId="77777777" w:rsidR="009810FA" w:rsidRPr="00276B9B" w:rsidRDefault="009810FA" w:rsidP="009810FA">
      <w:pPr>
        <w:spacing w:line="240" w:lineRule="auto"/>
        <w:rPr>
          <w:rFonts w:ascii="Calibri" w:eastAsia="Calibri" w:hAnsi="Calibri" w:cs="Arial"/>
          <w:b/>
          <w:color w:val="002F5D"/>
        </w:rPr>
      </w:pPr>
      <w:r w:rsidRPr="00276B9B">
        <w:rPr>
          <w:rFonts w:ascii="Calibri" w:eastAsia="Calibri" w:hAnsi="Calibri" w:cs="Arial"/>
          <w:b/>
          <w:color w:val="002F5D"/>
        </w:rPr>
        <w:lastRenderedPageBreak/>
        <w:t>EXECUTIVE SUMMARY BY JSNA CORE DATASET 201</w:t>
      </w:r>
      <w:r>
        <w:rPr>
          <w:rFonts w:ascii="Calibri" w:eastAsia="Calibri" w:hAnsi="Calibri" w:cs="Arial"/>
          <w:b/>
          <w:color w:val="002F5D"/>
        </w:rPr>
        <w:t>9</w:t>
      </w:r>
      <w:r w:rsidRPr="00276B9B">
        <w:rPr>
          <w:rFonts w:ascii="Calibri" w:eastAsia="Calibri" w:hAnsi="Calibri" w:cs="Arial"/>
          <w:b/>
          <w:color w:val="002F5D"/>
        </w:rPr>
        <w:t xml:space="preserve"> REPORT CHAPTER</w:t>
      </w:r>
    </w:p>
    <w:p w14:paraId="60B74798" w14:textId="77777777" w:rsidR="009810FA" w:rsidRPr="0022024E" w:rsidRDefault="009810FA" w:rsidP="009810FA">
      <w:pPr>
        <w:spacing w:line="240" w:lineRule="auto"/>
        <w:rPr>
          <w:rFonts w:ascii="Calibri" w:eastAsia="Calibri" w:hAnsi="Calibri" w:cs="Arial"/>
          <w:b/>
          <w:color w:val="FF0000"/>
        </w:rPr>
      </w:pPr>
    </w:p>
    <w:p w14:paraId="72427F16" w14:textId="77777777" w:rsidR="009810FA" w:rsidRPr="00F42F81" w:rsidRDefault="009810FA" w:rsidP="009810FA">
      <w:pPr>
        <w:spacing w:line="240" w:lineRule="auto"/>
        <w:rPr>
          <w:rFonts w:ascii="Calibri" w:eastAsia="Calibri" w:hAnsi="Calibri" w:cs="Arial"/>
          <w:b/>
          <w:color w:val="002F5D"/>
        </w:rPr>
      </w:pPr>
      <w:r w:rsidRPr="00F42F81">
        <w:rPr>
          <w:rFonts w:ascii="Calibri" w:eastAsia="Calibri" w:hAnsi="Calibri" w:cs="Arial"/>
          <w:b/>
          <w:color w:val="002F5D"/>
        </w:rPr>
        <w:t>GEOGRAPHY AND DEMOGRAPHY</w:t>
      </w:r>
    </w:p>
    <w:p w14:paraId="7C126C45" w14:textId="77777777" w:rsidR="009810FA" w:rsidRPr="00F42F81" w:rsidRDefault="009810FA" w:rsidP="009810FA">
      <w:pPr>
        <w:spacing w:before="120" w:line="240" w:lineRule="auto"/>
        <w:rPr>
          <w:rFonts w:ascii="Calibri" w:eastAsia="Calibri" w:hAnsi="Calibri" w:cs="Arial"/>
          <w:b/>
          <w:color w:val="002F5D"/>
        </w:rPr>
      </w:pPr>
      <w:r w:rsidRPr="00F42F81">
        <w:rPr>
          <w:rFonts w:ascii="Calibri" w:eastAsia="Calibri" w:hAnsi="Calibri" w:cs="Arial"/>
          <w:b/>
          <w:color w:val="002F5D"/>
        </w:rPr>
        <w:t>Population estimates and characteristics</w:t>
      </w:r>
    </w:p>
    <w:p w14:paraId="69D087E1" w14:textId="77777777" w:rsidR="009810FA" w:rsidRPr="00F42F81"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Cambridgeshire and Peterborough's </w:t>
      </w:r>
      <w:r w:rsidRPr="00F42F81">
        <w:rPr>
          <w:rFonts w:ascii="Calibri" w:eastAsia="Calibri" w:hAnsi="Calibri" w:cs="Arial"/>
          <w:b/>
          <w:color w:val="002F5D"/>
        </w:rPr>
        <w:t>population</w:t>
      </w:r>
      <w:r w:rsidRPr="00F42F81">
        <w:rPr>
          <w:rFonts w:ascii="Calibri" w:eastAsia="Calibri" w:hAnsi="Calibri" w:cs="Arial"/>
          <w:color w:val="002F5D"/>
        </w:rPr>
        <w:t xml:space="preserve"> increased by 4.3% (35,170) people between 2011 and 2015</w:t>
      </w:r>
      <w:r>
        <w:rPr>
          <w:rFonts w:ascii="Calibri" w:eastAsia="Calibri" w:hAnsi="Calibri" w:cs="Arial"/>
          <w:color w:val="002F5D"/>
        </w:rPr>
        <w:t xml:space="preserve"> (</w:t>
      </w:r>
      <w:r w:rsidRPr="00F42F81">
        <w:rPr>
          <w:rFonts w:ascii="Calibri" w:eastAsia="Calibri" w:hAnsi="Calibri" w:cs="Arial"/>
          <w:color w:val="002F5D"/>
        </w:rPr>
        <w:t>Cambridgeshire County Council’s Research Group</w:t>
      </w:r>
      <w:r>
        <w:rPr>
          <w:rFonts w:ascii="Calibri" w:eastAsia="Calibri" w:hAnsi="Calibri" w:cs="Arial"/>
          <w:b/>
          <w:color w:val="002F5D"/>
        </w:rPr>
        <w:t xml:space="preserve"> </w:t>
      </w:r>
      <w:r>
        <w:rPr>
          <w:rFonts w:ascii="Calibri" w:eastAsia="Calibri" w:hAnsi="Calibri" w:cs="Arial"/>
          <w:color w:val="002F5D"/>
        </w:rPr>
        <w:t>estimates)</w:t>
      </w:r>
      <w:r w:rsidRPr="00F42F81">
        <w:rPr>
          <w:rFonts w:ascii="Calibri" w:eastAsia="Calibri" w:hAnsi="Calibri" w:cs="Arial"/>
          <w:color w:val="002F5D"/>
        </w:rPr>
        <w:t>.</w:t>
      </w:r>
    </w:p>
    <w:p w14:paraId="7FF9A378" w14:textId="77777777" w:rsidR="009810FA" w:rsidRPr="00F42F81"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There were </w:t>
      </w:r>
      <w:r w:rsidRPr="00F42F81">
        <w:rPr>
          <w:rFonts w:ascii="Calibri" w:eastAsia="Calibri" w:hAnsi="Calibri" w:cs="Arial"/>
          <w:b/>
          <w:color w:val="002F5D"/>
        </w:rPr>
        <w:t>population increases in all areas</w:t>
      </w:r>
      <w:r w:rsidRPr="00F42F81">
        <w:rPr>
          <w:rFonts w:ascii="Calibri" w:eastAsia="Calibri" w:hAnsi="Calibri" w:cs="Arial"/>
          <w:color w:val="002F5D"/>
        </w:rPr>
        <w:t xml:space="preserve"> in the period 2011 to 2015. </w:t>
      </w:r>
      <w:r w:rsidRPr="00F42F81">
        <w:rPr>
          <w:rFonts w:ascii="Calibri" w:eastAsia="Calibri" w:hAnsi="Calibri" w:cs="Arial"/>
          <w:b/>
          <w:color w:val="002F5D"/>
        </w:rPr>
        <w:t xml:space="preserve">Cambridge </w:t>
      </w:r>
      <w:r w:rsidRPr="00F42F81">
        <w:rPr>
          <w:rFonts w:ascii="Calibri" w:eastAsia="Calibri" w:hAnsi="Calibri" w:cs="Arial"/>
          <w:color w:val="002F5D"/>
        </w:rPr>
        <w:t xml:space="preserve">and </w:t>
      </w:r>
      <w:r w:rsidRPr="00F42F81">
        <w:rPr>
          <w:rFonts w:ascii="Calibri" w:eastAsia="Calibri" w:hAnsi="Calibri" w:cs="Arial"/>
          <w:b/>
          <w:color w:val="002F5D"/>
        </w:rPr>
        <w:t>Peterborough</w:t>
      </w:r>
      <w:r w:rsidRPr="00F42F81">
        <w:rPr>
          <w:rFonts w:ascii="Calibri" w:eastAsia="Calibri" w:hAnsi="Calibri" w:cs="Arial"/>
          <w:color w:val="002F5D"/>
        </w:rPr>
        <w:t xml:space="preserve"> had the largest absolute and proportional increases.</w:t>
      </w:r>
    </w:p>
    <w:p w14:paraId="27011F8B" w14:textId="77777777" w:rsidR="009810FA" w:rsidRPr="00F42F81"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NHS Cambridgeshire and Peterborough Clinical Commissioning Group’s general practice </w:t>
      </w:r>
      <w:r w:rsidRPr="00F42F81">
        <w:rPr>
          <w:rFonts w:ascii="Calibri" w:eastAsia="Calibri" w:hAnsi="Calibri" w:cs="Arial"/>
          <w:b/>
          <w:color w:val="002F5D"/>
        </w:rPr>
        <w:t>registered population</w:t>
      </w:r>
      <w:r w:rsidRPr="00F42F81">
        <w:rPr>
          <w:rFonts w:ascii="Calibri" w:eastAsia="Calibri" w:hAnsi="Calibri" w:cs="Arial"/>
          <w:color w:val="002F5D"/>
        </w:rPr>
        <w:t xml:space="preserve"> shows </w:t>
      </w:r>
      <w:r w:rsidRPr="00F42F81">
        <w:rPr>
          <w:rFonts w:ascii="Calibri" w:eastAsia="Calibri" w:hAnsi="Calibri" w:cs="Arial"/>
          <w:b/>
          <w:color w:val="002F5D"/>
        </w:rPr>
        <w:t>consistent growth</w:t>
      </w:r>
      <w:r w:rsidRPr="00F42F81">
        <w:rPr>
          <w:rFonts w:ascii="Calibri" w:eastAsia="Calibri" w:hAnsi="Calibri" w:cs="Arial"/>
          <w:color w:val="002F5D"/>
        </w:rPr>
        <w:t xml:space="preserve"> over time.</w:t>
      </w:r>
    </w:p>
    <w:p w14:paraId="7123CF2A" w14:textId="1206EB1D" w:rsidR="009810FA" w:rsidRPr="00F42F81"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color w:val="002F5D"/>
        </w:rPr>
        <w:t>Overall</w:t>
      </w:r>
      <w:r w:rsidR="00B911F0">
        <w:rPr>
          <w:rFonts w:ascii="Calibri" w:eastAsia="Calibri" w:hAnsi="Calibri" w:cs="Arial"/>
          <w:color w:val="002F5D"/>
        </w:rPr>
        <w:t>,</w:t>
      </w:r>
      <w:r w:rsidRPr="00F42F81">
        <w:rPr>
          <w:rFonts w:ascii="Calibri" w:eastAsia="Calibri" w:hAnsi="Calibri" w:cs="Arial"/>
          <w:color w:val="002F5D"/>
        </w:rPr>
        <w:t xml:space="preserve"> </w:t>
      </w:r>
      <w:r w:rsidRPr="00F42F81">
        <w:rPr>
          <w:rFonts w:ascii="Calibri" w:eastAsia="Calibri" w:hAnsi="Calibri" w:cs="Arial"/>
          <w:b/>
          <w:color w:val="002F5D"/>
        </w:rPr>
        <w:t>Cambridgeshire’s</w:t>
      </w:r>
      <w:r w:rsidRPr="00F42F81">
        <w:rPr>
          <w:rFonts w:ascii="Calibri" w:eastAsia="Calibri" w:hAnsi="Calibri" w:cs="Arial"/>
          <w:color w:val="002F5D"/>
        </w:rPr>
        <w:t xml:space="preserve"> </w:t>
      </w:r>
      <w:r w:rsidRPr="00F42F81">
        <w:rPr>
          <w:rFonts w:ascii="Calibri" w:eastAsia="Calibri" w:hAnsi="Calibri" w:cs="Arial"/>
          <w:b/>
          <w:color w:val="002F5D"/>
        </w:rPr>
        <w:t>population profile</w:t>
      </w:r>
      <w:r w:rsidRPr="00F42F81">
        <w:rPr>
          <w:rFonts w:ascii="Calibri" w:eastAsia="Calibri" w:hAnsi="Calibri" w:cs="Arial"/>
          <w:color w:val="002F5D"/>
        </w:rPr>
        <w:t xml:space="preserve"> by sex and age is </w:t>
      </w:r>
      <w:r w:rsidRPr="00F42F81">
        <w:rPr>
          <w:rFonts w:ascii="Calibri" w:eastAsia="Calibri" w:hAnsi="Calibri" w:cs="Arial"/>
          <w:b/>
          <w:color w:val="002F5D"/>
        </w:rPr>
        <w:t>similar to England’s</w:t>
      </w:r>
      <w:r w:rsidRPr="00F42F81">
        <w:rPr>
          <w:rFonts w:ascii="Calibri" w:eastAsia="Calibri" w:hAnsi="Calibri" w:cs="Arial"/>
          <w:color w:val="002F5D"/>
        </w:rPr>
        <w:t xml:space="preserve"> but a </w:t>
      </w:r>
      <w:r w:rsidRPr="00F42F81">
        <w:rPr>
          <w:rFonts w:ascii="Calibri" w:eastAsia="Calibri" w:hAnsi="Calibri" w:cs="Arial"/>
          <w:b/>
          <w:color w:val="002F5D"/>
        </w:rPr>
        <w:t>lower</w:t>
      </w:r>
      <w:r w:rsidRPr="00F42F81">
        <w:rPr>
          <w:rFonts w:ascii="Calibri" w:eastAsia="Calibri" w:hAnsi="Calibri" w:cs="Arial"/>
          <w:color w:val="002F5D"/>
        </w:rPr>
        <w:t xml:space="preserve"> proportion of people are from </w:t>
      </w:r>
      <w:r w:rsidRPr="00F42F81">
        <w:rPr>
          <w:rFonts w:ascii="Calibri" w:eastAsia="Calibri" w:hAnsi="Calibri" w:cs="Arial"/>
          <w:b/>
          <w:color w:val="002F5D"/>
        </w:rPr>
        <w:t>minority ethnic groups</w:t>
      </w:r>
      <w:r w:rsidRPr="00F42F81">
        <w:rPr>
          <w:rFonts w:ascii="Calibri" w:eastAsia="Calibri" w:hAnsi="Calibri" w:cs="Arial"/>
          <w:color w:val="002F5D"/>
        </w:rPr>
        <w:t>.</w:t>
      </w:r>
    </w:p>
    <w:p w14:paraId="05CF7CE4" w14:textId="77777777" w:rsidR="009810FA" w:rsidRPr="00F42F81"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Overall </w:t>
      </w:r>
      <w:r w:rsidRPr="00F42F81">
        <w:rPr>
          <w:rFonts w:ascii="Calibri" w:eastAsia="Calibri" w:hAnsi="Calibri" w:cs="Arial"/>
          <w:b/>
          <w:color w:val="002F5D"/>
        </w:rPr>
        <w:t>Peterborough’s</w:t>
      </w:r>
      <w:r w:rsidRPr="00F42F81">
        <w:rPr>
          <w:rFonts w:ascii="Calibri" w:eastAsia="Calibri" w:hAnsi="Calibri" w:cs="Arial"/>
          <w:color w:val="002F5D"/>
        </w:rPr>
        <w:t xml:space="preserve"> </w:t>
      </w:r>
      <w:r w:rsidRPr="00F42F81">
        <w:rPr>
          <w:rFonts w:ascii="Calibri" w:eastAsia="Calibri" w:hAnsi="Calibri" w:cs="Arial"/>
          <w:b/>
          <w:color w:val="002F5D"/>
        </w:rPr>
        <w:t>population profile</w:t>
      </w:r>
      <w:r w:rsidRPr="00F42F81">
        <w:rPr>
          <w:rFonts w:ascii="Calibri" w:eastAsia="Calibri" w:hAnsi="Calibri" w:cs="Arial"/>
          <w:color w:val="002F5D"/>
        </w:rPr>
        <w:t xml:space="preserve"> by sex and age has </w:t>
      </w:r>
      <w:r w:rsidRPr="00F42F81">
        <w:rPr>
          <w:rFonts w:ascii="Calibri" w:eastAsia="Calibri" w:hAnsi="Calibri" w:cs="Arial"/>
          <w:b/>
          <w:color w:val="002F5D"/>
        </w:rPr>
        <w:t>larger proportions of children and younger adults</w:t>
      </w:r>
      <w:r w:rsidRPr="00F42F81">
        <w:rPr>
          <w:rFonts w:ascii="Calibri" w:eastAsia="Calibri" w:hAnsi="Calibri" w:cs="Arial"/>
          <w:color w:val="002F5D"/>
        </w:rPr>
        <w:t xml:space="preserve"> than </w:t>
      </w:r>
      <w:r w:rsidRPr="00F42F81">
        <w:rPr>
          <w:rFonts w:ascii="Calibri" w:eastAsia="Calibri" w:hAnsi="Calibri" w:cs="Arial"/>
          <w:b/>
          <w:color w:val="002F5D"/>
        </w:rPr>
        <w:t>England’s</w:t>
      </w:r>
      <w:r w:rsidRPr="00F42F81">
        <w:rPr>
          <w:rFonts w:ascii="Calibri" w:eastAsia="Calibri" w:hAnsi="Calibri" w:cs="Arial"/>
          <w:color w:val="002F5D"/>
        </w:rPr>
        <w:t xml:space="preserve">, but a </w:t>
      </w:r>
      <w:r w:rsidRPr="00F42F81">
        <w:rPr>
          <w:rFonts w:ascii="Calibri" w:eastAsia="Calibri" w:hAnsi="Calibri" w:cs="Arial"/>
          <w:b/>
          <w:color w:val="002F5D"/>
        </w:rPr>
        <w:t>lower</w:t>
      </w:r>
      <w:r w:rsidRPr="00F42F81">
        <w:rPr>
          <w:rFonts w:ascii="Calibri" w:eastAsia="Calibri" w:hAnsi="Calibri" w:cs="Arial"/>
          <w:color w:val="002F5D"/>
        </w:rPr>
        <w:t xml:space="preserve"> proportion of </w:t>
      </w:r>
      <w:r w:rsidRPr="00F42F81">
        <w:rPr>
          <w:rFonts w:ascii="Calibri" w:eastAsia="Calibri" w:hAnsi="Calibri" w:cs="Arial"/>
          <w:b/>
          <w:color w:val="002F5D"/>
        </w:rPr>
        <w:t>older people</w:t>
      </w:r>
      <w:r w:rsidRPr="00F42F81">
        <w:rPr>
          <w:rFonts w:ascii="Calibri" w:eastAsia="Calibri" w:hAnsi="Calibri" w:cs="Arial"/>
          <w:color w:val="002F5D"/>
        </w:rPr>
        <w:t xml:space="preserve">. </w:t>
      </w:r>
      <w:r w:rsidRPr="00F42F81">
        <w:rPr>
          <w:rFonts w:ascii="Calibri" w:eastAsia="Calibri" w:hAnsi="Calibri" w:cs="Arial"/>
          <w:b/>
          <w:color w:val="002F5D"/>
        </w:rPr>
        <w:t>Peterborough</w:t>
      </w:r>
      <w:r w:rsidRPr="00F42F81">
        <w:rPr>
          <w:rFonts w:ascii="Calibri" w:eastAsia="Calibri" w:hAnsi="Calibri" w:cs="Arial"/>
          <w:color w:val="002F5D"/>
        </w:rPr>
        <w:t xml:space="preserve"> </w:t>
      </w:r>
      <w:r>
        <w:rPr>
          <w:rFonts w:ascii="Calibri" w:eastAsia="Calibri" w:hAnsi="Calibri" w:cs="Arial"/>
          <w:color w:val="002F5D"/>
        </w:rPr>
        <w:t xml:space="preserve">is the </w:t>
      </w:r>
      <w:r w:rsidRPr="00933B0D">
        <w:rPr>
          <w:rFonts w:ascii="Calibri" w:eastAsia="Calibri" w:hAnsi="Calibri" w:cs="Arial"/>
          <w:b/>
          <w:color w:val="002F5D"/>
        </w:rPr>
        <w:t>most ethnically diverse</w:t>
      </w:r>
      <w:r>
        <w:rPr>
          <w:rFonts w:ascii="Calibri" w:eastAsia="Calibri" w:hAnsi="Calibri" w:cs="Arial"/>
          <w:color w:val="002F5D"/>
        </w:rPr>
        <w:t xml:space="preserve"> area in Cambridgeshire and Peterborough, with a similar level of </w:t>
      </w:r>
      <w:r>
        <w:rPr>
          <w:rFonts w:ascii="Calibri" w:eastAsia="Calibri" w:hAnsi="Calibri" w:cs="Arial"/>
          <w:b/>
          <w:color w:val="002F5D"/>
        </w:rPr>
        <w:t>ethnic</w:t>
      </w:r>
      <w:r w:rsidRPr="00F42F81">
        <w:rPr>
          <w:rFonts w:ascii="Calibri" w:eastAsia="Calibri" w:hAnsi="Calibri" w:cs="Arial"/>
          <w:b/>
          <w:color w:val="002F5D"/>
        </w:rPr>
        <w:t xml:space="preserve"> divers</w:t>
      </w:r>
      <w:r>
        <w:rPr>
          <w:rFonts w:ascii="Calibri" w:eastAsia="Calibri" w:hAnsi="Calibri" w:cs="Arial"/>
          <w:b/>
          <w:color w:val="002F5D"/>
        </w:rPr>
        <w:t xml:space="preserve">ity </w:t>
      </w:r>
      <w:r w:rsidRPr="00F42F81">
        <w:rPr>
          <w:rFonts w:ascii="Calibri" w:eastAsia="Calibri" w:hAnsi="Calibri" w:cs="Arial"/>
          <w:color w:val="002F5D"/>
        </w:rPr>
        <w:t>t</w:t>
      </w:r>
      <w:r>
        <w:rPr>
          <w:rFonts w:ascii="Calibri" w:eastAsia="Calibri" w:hAnsi="Calibri" w:cs="Arial"/>
          <w:color w:val="002F5D"/>
        </w:rPr>
        <w:t>o</w:t>
      </w:r>
      <w:r w:rsidRPr="00F42F81">
        <w:rPr>
          <w:rFonts w:ascii="Calibri" w:eastAsia="Calibri" w:hAnsi="Calibri" w:cs="Arial"/>
          <w:color w:val="002F5D"/>
        </w:rPr>
        <w:t xml:space="preserve"> England as a whole.</w:t>
      </w:r>
    </w:p>
    <w:p w14:paraId="03F6E969" w14:textId="77777777" w:rsidR="009810FA" w:rsidRPr="004434DA" w:rsidRDefault="009810FA" w:rsidP="009810FA">
      <w:pPr>
        <w:numPr>
          <w:ilvl w:val="0"/>
          <w:numId w:val="2"/>
        </w:numPr>
        <w:spacing w:line="240" w:lineRule="auto"/>
        <w:contextualSpacing/>
        <w:rPr>
          <w:rFonts w:ascii="Calibri" w:eastAsia="Calibri" w:hAnsi="Calibri" w:cs="Arial"/>
          <w:color w:val="002F5D"/>
        </w:rPr>
      </w:pPr>
      <w:r w:rsidRPr="00F42F81">
        <w:rPr>
          <w:rFonts w:ascii="Calibri" w:eastAsia="Calibri" w:hAnsi="Calibri" w:cs="Arial"/>
          <w:b/>
          <w:color w:val="002F5D"/>
        </w:rPr>
        <w:t>Cambridgeshire and Peterborough</w:t>
      </w:r>
      <w:r w:rsidRPr="00F42F81">
        <w:rPr>
          <w:rFonts w:ascii="Calibri" w:eastAsia="Calibri" w:hAnsi="Calibri" w:cs="Arial"/>
          <w:color w:val="002F5D"/>
        </w:rPr>
        <w:t xml:space="preserve">, taken together, is a relatively </w:t>
      </w:r>
      <w:r w:rsidRPr="00F42F81">
        <w:rPr>
          <w:rFonts w:ascii="Calibri" w:eastAsia="Calibri" w:hAnsi="Calibri" w:cs="Arial"/>
          <w:b/>
          <w:color w:val="002F5D"/>
        </w:rPr>
        <w:t>rural</w:t>
      </w:r>
      <w:r w:rsidRPr="00F42F81">
        <w:rPr>
          <w:rFonts w:ascii="Calibri" w:eastAsia="Calibri" w:hAnsi="Calibri" w:cs="Arial"/>
          <w:color w:val="002F5D"/>
        </w:rPr>
        <w:t xml:space="preserve"> area, with </w:t>
      </w:r>
      <w:r w:rsidRPr="00F42F81">
        <w:rPr>
          <w:rFonts w:ascii="Calibri" w:eastAsia="Calibri" w:hAnsi="Calibri" w:cs="Arial"/>
          <w:b/>
          <w:color w:val="002F5D"/>
        </w:rPr>
        <w:t>lower</w:t>
      </w:r>
      <w:r w:rsidRPr="00F42F81">
        <w:rPr>
          <w:rFonts w:ascii="Calibri" w:eastAsia="Calibri" w:hAnsi="Calibri" w:cs="Arial"/>
          <w:color w:val="002F5D"/>
        </w:rPr>
        <w:t xml:space="preserve"> </w:t>
      </w:r>
      <w:r w:rsidRPr="00F42F81">
        <w:rPr>
          <w:rFonts w:ascii="Calibri" w:eastAsia="Calibri" w:hAnsi="Calibri" w:cs="Arial"/>
          <w:b/>
          <w:color w:val="002F5D"/>
        </w:rPr>
        <w:t>population density</w:t>
      </w:r>
      <w:r>
        <w:rPr>
          <w:rFonts w:ascii="Calibri" w:eastAsia="Calibri" w:hAnsi="Calibri" w:cs="Arial"/>
          <w:color w:val="002F5D"/>
        </w:rPr>
        <w:t xml:space="preserve"> than in </w:t>
      </w:r>
      <w:r w:rsidRPr="00F42F81">
        <w:rPr>
          <w:rFonts w:ascii="Calibri" w:eastAsia="Calibri" w:hAnsi="Calibri" w:cs="Arial"/>
          <w:color w:val="002F5D"/>
        </w:rPr>
        <w:t xml:space="preserve">England and the East of England. </w:t>
      </w:r>
      <w:r w:rsidRPr="00F42F81">
        <w:rPr>
          <w:rFonts w:ascii="Calibri" w:eastAsia="Calibri" w:hAnsi="Calibri" w:cs="Arial"/>
          <w:b/>
          <w:color w:val="002F5D"/>
        </w:rPr>
        <w:t>Cambridgeshire</w:t>
      </w:r>
      <w:r w:rsidRPr="00F42F81">
        <w:rPr>
          <w:rFonts w:ascii="Calibri" w:eastAsia="Calibri" w:hAnsi="Calibri" w:cs="Arial"/>
          <w:color w:val="002F5D"/>
        </w:rPr>
        <w:t xml:space="preserve"> is a generally </w:t>
      </w:r>
      <w:r w:rsidRPr="00F42F81">
        <w:rPr>
          <w:rFonts w:ascii="Calibri" w:eastAsia="Calibri" w:hAnsi="Calibri" w:cs="Arial"/>
          <w:b/>
          <w:color w:val="002F5D"/>
        </w:rPr>
        <w:t>rural</w:t>
      </w:r>
      <w:r w:rsidRPr="00F42F81">
        <w:rPr>
          <w:rFonts w:ascii="Calibri" w:eastAsia="Calibri" w:hAnsi="Calibri" w:cs="Arial"/>
          <w:color w:val="002F5D"/>
        </w:rPr>
        <w:t xml:space="preserve"> county, with only </w:t>
      </w:r>
      <w:r w:rsidRPr="00F42F81">
        <w:rPr>
          <w:rFonts w:ascii="Calibri" w:eastAsia="Calibri" w:hAnsi="Calibri" w:cs="Arial"/>
          <w:b/>
          <w:color w:val="002F5D"/>
        </w:rPr>
        <w:t>Cambridge</w:t>
      </w:r>
      <w:r w:rsidRPr="00F42F81">
        <w:rPr>
          <w:rFonts w:ascii="Calibri" w:eastAsia="Calibri" w:hAnsi="Calibri" w:cs="Arial"/>
          <w:color w:val="002F5D"/>
        </w:rPr>
        <w:t xml:space="preserve"> having </w:t>
      </w:r>
      <w:r w:rsidRPr="00F42F81">
        <w:rPr>
          <w:rFonts w:ascii="Calibri" w:eastAsia="Calibri" w:hAnsi="Calibri" w:cs="Arial"/>
          <w:b/>
          <w:color w:val="002F5D"/>
        </w:rPr>
        <w:t>higher population density</w:t>
      </w:r>
      <w:r w:rsidRPr="00F42F81">
        <w:rPr>
          <w:rFonts w:ascii="Calibri" w:eastAsia="Calibri" w:hAnsi="Calibri" w:cs="Arial"/>
          <w:color w:val="002F5D"/>
        </w:rPr>
        <w:t xml:space="preserve"> than the national average. </w:t>
      </w:r>
      <w:r w:rsidRPr="00F42F81">
        <w:rPr>
          <w:rFonts w:ascii="Calibri" w:eastAsia="Calibri" w:hAnsi="Calibri" w:cs="Arial"/>
          <w:b/>
          <w:color w:val="002F5D"/>
        </w:rPr>
        <w:t>Peterborough</w:t>
      </w:r>
      <w:r w:rsidRPr="00F42F81">
        <w:rPr>
          <w:rFonts w:ascii="Calibri" w:eastAsia="Calibri" w:hAnsi="Calibri" w:cs="Arial"/>
          <w:color w:val="002F5D"/>
        </w:rPr>
        <w:t xml:space="preserve"> has </w:t>
      </w:r>
      <w:r w:rsidRPr="00F42F81">
        <w:rPr>
          <w:rFonts w:ascii="Calibri" w:eastAsia="Calibri" w:hAnsi="Calibri" w:cs="Arial"/>
          <w:b/>
          <w:color w:val="002F5D"/>
        </w:rPr>
        <w:t xml:space="preserve">higher population density </w:t>
      </w:r>
      <w:r w:rsidRPr="00F42F81">
        <w:rPr>
          <w:rFonts w:ascii="Calibri" w:eastAsia="Calibri" w:hAnsi="Calibri" w:cs="Arial"/>
          <w:color w:val="002F5D"/>
        </w:rPr>
        <w:t>than England</w:t>
      </w:r>
      <w:r w:rsidRPr="00F42F81">
        <w:rPr>
          <w:rFonts w:ascii="Calibri" w:eastAsia="Calibri" w:hAnsi="Calibri" w:cs="Arial"/>
          <w:b/>
          <w:color w:val="002F5D"/>
        </w:rPr>
        <w:t xml:space="preserve">, </w:t>
      </w:r>
      <w:r w:rsidRPr="00F42F81">
        <w:rPr>
          <w:rFonts w:ascii="Calibri" w:eastAsia="Calibri" w:hAnsi="Calibri" w:cs="Arial"/>
          <w:color w:val="002F5D"/>
        </w:rPr>
        <w:t>but also some</w:t>
      </w:r>
      <w:r w:rsidRPr="00F42F81">
        <w:rPr>
          <w:rFonts w:ascii="Calibri" w:eastAsia="Calibri" w:hAnsi="Calibri" w:cs="Arial"/>
          <w:b/>
          <w:color w:val="002F5D"/>
        </w:rPr>
        <w:t xml:space="preserve"> </w:t>
      </w:r>
      <w:r w:rsidRPr="00F42F81">
        <w:rPr>
          <w:rFonts w:ascii="Calibri" w:eastAsia="Calibri" w:hAnsi="Calibri" w:cs="Arial"/>
          <w:color w:val="002F5D"/>
        </w:rPr>
        <w:t>relatively rural areas</w:t>
      </w:r>
      <w:r w:rsidRPr="00F42F81">
        <w:rPr>
          <w:rFonts w:ascii="Calibri" w:eastAsia="Calibri" w:hAnsi="Calibri" w:cs="Arial"/>
          <w:b/>
          <w:color w:val="002F5D"/>
        </w:rPr>
        <w:t>.</w:t>
      </w:r>
    </w:p>
    <w:p w14:paraId="32650590" w14:textId="77777777" w:rsidR="009810FA" w:rsidRPr="004434DA" w:rsidRDefault="009810FA" w:rsidP="009810FA">
      <w:pPr>
        <w:spacing w:line="240" w:lineRule="auto"/>
        <w:ind w:left="720"/>
        <w:contextualSpacing/>
        <w:rPr>
          <w:rFonts w:ascii="Calibri" w:eastAsia="Calibri" w:hAnsi="Calibri" w:cs="Arial"/>
          <w:color w:val="002F5D"/>
        </w:rPr>
      </w:pPr>
    </w:p>
    <w:p w14:paraId="6893236D" w14:textId="77777777" w:rsidR="009810FA" w:rsidRPr="0022024E" w:rsidRDefault="009810FA" w:rsidP="009810FA">
      <w:pPr>
        <w:spacing w:before="120" w:line="240" w:lineRule="auto"/>
        <w:rPr>
          <w:rFonts w:ascii="Calibri" w:eastAsia="Calibri" w:hAnsi="Calibri" w:cs="Arial"/>
          <w:b/>
          <w:color w:val="002F5D"/>
        </w:rPr>
      </w:pPr>
      <w:r w:rsidRPr="0022024E">
        <w:rPr>
          <w:rFonts w:ascii="Calibri" w:eastAsia="Calibri" w:hAnsi="Calibri" w:cs="Arial"/>
          <w:b/>
          <w:color w:val="002F5D"/>
        </w:rPr>
        <w:t>Population forecasts</w:t>
      </w:r>
    </w:p>
    <w:p w14:paraId="6FC2FCB0" w14:textId="7210797D" w:rsidR="009810FA" w:rsidRPr="00F42F81" w:rsidRDefault="009810FA" w:rsidP="009810FA">
      <w:pPr>
        <w:numPr>
          <w:ilvl w:val="0"/>
          <w:numId w:val="74"/>
        </w:numPr>
        <w:spacing w:line="240" w:lineRule="auto"/>
        <w:ind w:left="714" w:hanging="357"/>
        <w:contextualSpacing/>
        <w:rPr>
          <w:rFonts w:ascii="Calibri" w:eastAsia="Calibri" w:hAnsi="Calibri" w:cs="Arial"/>
          <w:color w:val="002F5D"/>
        </w:rPr>
      </w:pPr>
      <w:r w:rsidRPr="0022024E">
        <w:rPr>
          <w:rFonts w:ascii="Calibri" w:eastAsia="Calibri" w:hAnsi="Calibri" w:cs="Arial"/>
          <w:color w:val="002F5D"/>
        </w:rPr>
        <w:t xml:space="preserve">Please ensure </w:t>
      </w:r>
      <w:r w:rsidRPr="003A0E31">
        <w:rPr>
          <w:rFonts w:ascii="Calibri" w:eastAsia="Calibri" w:hAnsi="Calibri" w:cs="Arial"/>
          <w:color w:val="002F5D"/>
        </w:rPr>
        <w:t xml:space="preserve">that the </w:t>
      </w:r>
      <w:r w:rsidRPr="003A0E31">
        <w:rPr>
          <w:rFonts w:ascii="Calibri" w:eastAsia="Calibri" w:hAnsi="Calibri" w:cs="Arial"/>
          <w:b/>
          <w:color w:val="002F5D"/>
        </w:rPr>
        <w:t xml:space="preserve">IMPORTANT NOTE REGARDING USE OF POPULATION FORECASTS AND PROJECTIONS </w:t>
      </w:r>
      <w:r w:rsidRPr="006A7439">
        <w:rPr>
          <w:rFonts w:ascii="Calibri" w:eastAsia="Calibri" w:hAnsi="Calibri" w:cs="Arial"/>
          <w:b/>
          <w:color w:val="002F5D"/>
        </w:rPr>
        <w:t xml:space="preserve">on </w:t>
      </w:r>
      <w:r w:rsidRPr="004A6349">
        <w:rPr>
          <w:rFonts w:ascii="Calibri" w:eastAsia="Calibri" w:hAnsi="Calibri" w:cs="Arial"/>
          <w:b/>
          <w:color w:val="002F5D"/>
        </w:rPr>
        <w:t>page</w:t>
      </w:r>
      <w:r w:rsidR="003A0E31" w:rsidRPr="004A6349">
        <w:rPr>
          <w:rFonts w:ascii="Calibri" w:eastAsia="Calibri" w:hAnsi="Calibri" w:cs="Arial"/>
          <w:b/>
          <w:color w:val="002F5D"/>
        </w:rPr>
        <w:t xml:space="preserve"> 33</w:t>
      </w:r>
      <w:r w:rsidRPr="004A6349">
        <w:rPr>
          <w:rFonts w:ascii="Calibri" w:eastAsia="Calibri" w:hAnsi="Calibri" w:cs="Arial"/>
          <w:b/>
          <w:color w:val="FF0000"/>
        </w:rPr>
        <w:t xml:space="preserve"> </w:t>
      </w:r>
      <w:r w:rsidRPr="006A7439">
        <w:rPr>
          <w:rFonts w:ascii="Calibri" w:eastAsia="Calibri" w:hAnsi="Calibri" w:cs="Arial"/>
          <w:color w:val="002F5D"/>
        </w:rPr>
        <w:t>is</w:t>
      </w:r>
      <w:r w:rsidRPr="0022024E">
        <w:rPr>
          <w:rFonts w:ascii="Calibri" w:eastAsia="Calibri" w:hAnsi="Calibri" w:cs="Arial"/>
          <w:color w:val="002F5D"/>
        </w:rPr>
        <w:t xml:space="preserve"> read and understood before using the data in this part of </w:t>
      </w:r>
      <w:r w:rsidRPr="00F42F81">
        <w:rPr>
          <w:rFonts w:ascii="Calibri" w:eastAsia="Calibri" w:hAnsi="Calibri" w:cs="Arial"/>
          <w:color w:val="002F5D"/>
        </w:rPr>
        <w:t>the Executive Summary.</w:t>
      </w:r>
    </w:p>
    <w:p w14:paraId="2664E1F4" w14:textId="77777777" w:rsidR="009810FA" w:rsidRPr="00F42F81" w:rsidRDefault="009810FA" w:rsidP="009810FA">
      <w:pPr>
        <w:numPr>
          <w:ilvl w:val="0"/>
          <w:numId w:val="74"/>
        </w:numPr>
        <w:spacing w:line="240" w:lineRule="auto"/>
        <w:ind w:left="714" w:hanging="357"/>
        <w:contextualSpacing/>
        <w:rPr>
          <w:rFonts w:ascii="Calibri" w:eastAsia="Calibri" w:hAnsi="Calibri" w:cs="Arial"/>
          <w:color w:val="002F5D"/>
        </w:rPr>
      </w:pPr>
      <w:r w:rsidRPr="00F42F81">
        <w:rPr>
          <w:rFonts w:ascii="Calibri" w:eastAsia="Calibri" w:hAnsi="Calibri" w:cs="Arial"/>
          <w:color w:val="002F5D"/>
        </w:rPr>
        <w:t xml:space="preserve">This </w:t>
      </w:r>
      <w:r w:rsidRPr="00F42F81">
        <w:rPr>
          <w:rFonts w:ascii="Calibri" w:eastAsia="Calibri" w:hAnsi="Calibri" w:cs="Arial"/>
          <w:b/>
          <w:color w:val="002F5D"/>
        </w:rPr>
        <w:t>section of the Executive Summary is largely based</w:t>
      </w:r>
      <w:r w:rsidRPr="00F42F81">
        <w:rPr>
          <w:rFonts w:ascii="Calibri" w:eastAsia="Calibri" w:hAnsi="Calibri" w:cs="Arial"/>
          <w:color w:val="002F5D"/>
        </w:rPr>
        <w:t xml:space="preserve"> on locally produced forecasts from </w:t>
      </w:r>
      <w:r w:rsidRPr="00F42F81">
        <w:rPr>
          <w:rFonts w:ascii="Calibri" w:eastAsia="Calibri" w:hAnsi="Calibri" w:cs="Arial"/>
          <w:b/>
          <w:color w:val="002F5D"/>
        </w:rPr>
        <w:t>Cambridgeshire County Council’s</w:t>
      </w:r>
      <w:r w:rsidRPr="00F42F81">
        <w:rPr>
          <w:rFonts w:ascii="Calibri" w:eastAsia="Calibri" w:hAnsi="Calibri" w:cs="Arial"/>
          <w:color w:val="002F5D"/>
        </w:rPr>
        <w:t xml:space="preserve"> </w:t>
      </w:r>
      <w:r w:rsidRPr="00F42F81">
        <w:rPr>
          <w:rFonts w:ascii="Calibri" w:eastAsia="Calibri" w:hAnsi="Calibri" w:cs="Arial"/>
          <w:b/>
          <w:color w:val="002F5D"/>
        </w:rPr>
        <w:t>Research Group</w:t>
      </w:r>
      <w:r>
        <w:rPr>
          <w:rFonts w:ascii="Calibri" w:eastAsia="Calibri" w:hAnsi="Calibri" w:cs="Arial"/>
          <w:b/>
          <w:color w:val="002F5D"/>
        </w:rPr>
        <w:t xml:space="preserve"> (CCCRG)</w:t>
      </w:r>
      <w:r w:rsidRPr="00F42F81">
        <w:rPr>
          <w:rFonts w:ascii="Calibri" w:eastAsia="Calibri" w:hAnsi="Calibri" w:cs="Arial"/>
          <w:color w:val="002F5D"/>
        </w:rPr>
        <w:t xml:space="preserve">, which include the </w:t>
      </w:r>
      <w:r w:rsidRPr="00F42F81">
        <w:rPr>
          <w:rFonts w:ascii="Calibri" w:eastAsia="Calibri" w:hAnsi="Calibri" w:cs="Arial"/>
          <w:b/>
          <w:color w:val="002F5D"/>
        </w:rPr>
        <w:t>impact of local planning policy</w:t>
      </w:r>
      <w:r w:rsidRPr="00F42F81">
        <w:rPr>
          <w:rFonts w:ascii="Calibri" w:eastAsia="Calibri" w:hAnsi="Calibri" w:cs="Arial"/>
          <w:color w:val="002F5D"/>
        </w:rPr>
        <w:t>, as well as natural change and migration. It should be noted that</w:t>
      </w:r>
      <w:r w:rsidRPr="00F42F81">
        <w:rPr>
          <w:rFonts w:ascii="Calibri" w:eastAsia="Calibri" w:hAnsi="Calibri" w:cs="Arial"/>
          <w:b/>
          <w:color w:val="002F5D"/>
        </w:rPr>
        <w:t xml:space="preserve"> national</w:t>
      </w:r>
      <w:r w:rsidRPr="00F42F81">
        <w:rPr>
          <w:rFonts w:ascii="Calibri" w:eastAsia="Calibri" w:hAnsi="Calibri" w:cs="Arial"/>
          <w:color w:val="002F5D"/>
        </w:rPr>
        <w:t xml:space="preserve"> </w:t>
      </w:r>
      <w:r w:rsidRPr="00F42F81">
        <w:rPr>
          <w:rFonts w:ascii="Calibri" w:eastAsia="Calibri" w:hAnsi="Calibri" w:cs="Arial"/>
          <w:b/>
          <w:color w:val="002F5D"/>
        </w:rPr>
        <w:t>public sector funding allocations</w:t>
      </w:r>
      <w:r w:rsidRPr="00F42F81">
        <w:rPr>
          <w:rFonts w:ascii="Calibri" w:eastAsia="Calibri" w:hAnsi="Calibri" w:cs="Arial"/>
          <w:color w:val="002F5D"/>
        </w:rPr>
        <w:t xml:space="preserve"> tend to be based on adjusted </w:t>
      </w:r>
      <w:r w:rsidRPr="00F42F81">
        <w:rPr>
          <w:rFonts w:ascii="Calibri" w:eastAsia="Calibri" w:hAnsi="Calibri" w:cs="Arial"/>
          <w:b/>
          <w:color w:val="002F5D"/>
        </w:rPr>
        <w:t>ONS population projections</w:t>
      </w:r>
      <w:r w:rsidRPr="00F42F81">
        <w:rPr>
          <w:rFonts w:ascii="Calibri" w:eastAsia="Calibri" w:hAnsi="Calibri" w:cs="Arial"/>
          <w:color w:val="002F5D"/>
        </w:rPr>
        <w:t xml:space="preserve"> and these are generally </w:t>
      </w:r>
      <w:r w:rsidRPr="00F42F81">
        <w:rPr>
          <w:rFonts w:ascii="Calibri" w:eastAsia="Calibri" w:hAnsi="Calibri" w:cs="Arial"/>
          <w:b/>
          <w:color w:val="002F5D"/>
        </w:rPr>
        <w:t>lower</w:t>
      </w:r>
      <w:r w:rsidRPr="00F42F81">
        <w:rPr>
          <w:rFonts w:ascii="Calibri" w:eastAsia="Calibri" w:hAnsi="Calibri" w:cs="Arial"/>
          <w:color w:val="002F5D"/>
        </w:rPr>
        <w:t xml:space="preserve"> than the CCC</w:t>
      </w:r>
      <w:r>
        <w:rPr>
          <w:rFonts w:ascii="Calibri" w:eastAsia="Calibri" w:hAnsi="Calibri" w:cs="Arial"/>
          <w:color w:val="002F5D"/>
        </w:rPr>
        <w:t>RG</w:t>
      </w:r>
      <w:r w:rsidRPr="00F42F81">
        <w:rPr>
          <w:rFonts w:ascii="Calibri" w:eastAsia="Calibri" w:hAnsi="Calibri" w:cs="Arial"/>
          <w:color w:val="002F5D"/>
        </w:rPr>
        <w:t xml:space="preserve"> forecasts, as the </w:t>
      </w:r>
      <w:r w:rsidRPr="00F42F81">
        <w:rPr>
          <w:rFonts w:ascii="Calibri" w:eastAsia="Calibri" w:hAnsi="Calibri" w:cs="Arial"/>
          <w:b/>
          <w:color w:val="002F5D"/>
        </w:rPr>
        <w:t>sensitive local data</w:t>
      </w:r>
      <w:r w:rsidRPr="00F42F81">
        <w:rPr>
          <w:rFonts w:ascii="Calibri" w:eastAsia="Calibri" w:hAnsi="Calibri" w:cs="Arial"/>
          <w:color w:val="002F5D"/>
        </w:rPr>
        <w:t xml:space="preserve"> on </w:t>
      </w:r>
      <w:r w:rsidRPr="00F42F81">
        <w:rPr>
          <w:rFonts w:ascii="Calibri" w:eastAsia="Calibri" w:hAnsi="Calibri" w:cs="Arial"/>
          <w:b/>
          <w:color w:val="002F5D"/>
        </w:rPr>
        <w:t>future housing development</w:t>
      </w:r>
      <w:r w:rsidRPr="00F42F81">
        <w:rPr>
          <w:rFonts w:ascii="Calibri" w:eastAsia="Calibri" w:hAnsi="Calibri" w:cs="Arial"/>
          <w:color w:val="002F5D"/>
        </w:rPr>
        <w:t xml:space="preserve"> are not included. The </w:t>
      </w:r>
      <w:r w:rsidRPr="00F42F81">
        <w:rPr>
          <w:rFonts w:ascii="Calibri" w:eastAsia="Calibri" w:hAnsi="Calibri" w:cs="Arial"/>
          <w:b/>
          <w:color w:val="002F5D"/>
        </w:rPr>
        <w:t>divergence</w:t>
      </w:r>
      <w:r w:rsidRPr="00F42F81">
        <w:rPr>
          <w:rFonts w:ascii="Calibri" w:eastAsia="Calibri" w:hAnsi="Calibri" w:cs="Arial"/>
          <w:color w:val="002F5D"/>
        </w:rPr>
        <w:t xml:space="preserve"> between the ONS projections and the Research Group forecasts tends to </w:t>
      </w:r>
      <w:r w:rsidRPr="00F42F81">
        <w:rPr>
          <w:rFonts w:ascii="Calibri" w:eastAsia="Calibri" w:hAnsi="Calibri" w:cs="Arial"/>
          <w:b/>
          <w:color w:val="002F5D"/>
        </w:rPr>
        <w:t>increase over time</w:t>
      </w:r>
      <w:r w:rsidRPr="00F42F81">
        <w:rPr>
          <w:rFonts w:ascii="Calibri" w:eastAsia="Calibri" w:hAnsi="Calibri" w:cs="Arial"/>
          <w:color w:val="002F5D"/>
        </w:rPr>
        <w:t xml:space="preserve">. The </w:t>
      </w:r>
      <w:r w:rsidRPr="00F42F81">
        <w:rPr>
          <w:rFonts w:ascii="Calibri" w:eastAsia="Calibri" w:hAnsi="Calibri" w:cs="Arial"/>
          <w:b/>
          <w:color w:val="002F5D"/>
        </w:rPr>
        <w:t>differences</w:t>
      </w:r>
      <w:r w:rsidRPr="00F42F81">
        <w:rPr>
          <w:rFonts w:ascii="Calibri" w:eastAsia="Calibri" w:hAnsi="Calibri" w:cs="Arial"/>
          <w:color w:val="002F5D"/>
        </w:rPr>
        <w:t xml:space="preserve"> between CCCRG forecasts and ONS projections are </w:t>
      </w:r>
      <w:r w:rsidRPr="00F42F81">
        <w:rPr>
          <w:rFonts w:ascii="Calibri" w:eastAsia="Calibri" w:hAnsi="Calibri" w:cs="Arial"/>
          <w:b/>
          <w:color w:val="002F5D"/>
        </w:rPr>
        <w:t>more marked</w:t>
      </w:r>
      <w:r w:rsidRPr="00F42F81">
        <w:rPr>
          <w:rFonts w:ascii="Calibri" w:eastAsia="Calibri" w:hAnsi="Calibri" w:cs="Arial"/>
          <w:color w:val="002F5D"/>
        </w:rPr>
        <w:t xml:space="preserve"> in the </w:t>
      </w:r>
      <w:r w:rsidRPr="00F42F81">
        <w:rPr>
          <w:rFonts w:ascii="Calibri" w:eastAsia="Calibri" w:hAnsi="Calibri" w:cs="Arial"/>
          <w:b/>
          <w:color w:val="002F5D"/>
        </w:rPr>
        <w:t>child and working age</w:t>
      </w:r>
      <w:r w:rsidRPr="00F42F81">
        <w:rPr>
          <w:rFonts w:ascii="Calibri" w:eastAsia="Calibri" w:hAnsi="Calibri" w:cs="Arial"/>
          <w:color w:val="002F5D"/>
        </w:rPr>
        <w:t xml:space="preserve"> population groups than in the </w:t>
      </w:r>
      <w:r w:rsidRPr="00F42F81">
        <w:rPr>
          <w:rFonts w:ascii="Calibri" w:eastAsia="Calibri" w:hAnsi="Calibri" w:cs="Arial"/>
          <w:b/>
          <w:color w:val="002F5D"/>
        </w:rPr>
        <w:t>older age</w:t>
      </w:r>
      <w:r w:rsidRPr="00F42F81">
        <w:rPr>
          <w:rFonts w:ascii="Calibri" w:eastAsia="Calibri" w:hAnsi="Calibri" w:cs="Arial"/>
          <w:color w:val="002F5D"/>
        </w:rPr>
        <w:t xml:space="preserve"> groups. The </w:t>
      </w:r>
      <w:r w:rsidRPr="00F42F81">
        <w:rPr>
          <w:rFonts w:ascii="Calibri" w:eastAsia="Calibri" w:hAnsi="Calibri" w:cs="Arial"/>
          <w:b/>
          <w:color w:val="002F5D"/>
        </w:rPr>
        <w:t>detailed differences</w:t>
      </w:r>
      <w:r w:rsidRPr="00F42F81">
        <w:rPr>
          <w:rFonts w:ascii="Calibri" w:eastAsia="Calibri" w:hAnsi="Calibri" w:cs="Arial"/>
          <w:color w:val="002F5D"/>
        </w:rPr>
        <w:t xml:space="preserve"> can be found in the </w:t>
      </w:r>
      <w:r w:rsidRPr="00F42F81">
        <w:rPr>
          <w:rFonts w:ascii="Calibri" w:eastAsia="Calibri" w:hAnsi="Calibri" w:cs="Arial"/>
          <w:b/>
          <w:color w:val="002F5D"/>
        </w:rPr>
        <w:t>relevant sections of the report</w:t>
      </w:r>
      <w:r w:rsidRPr="00F42F81">
        <w:rPr>
          <w:rFonts w:ascii="Calibri" w:eastAsia="Calibri" w:hAnsi="Calibri" w:cs="Arial"/>
          <w:color w:val="002F5D"/>
        </w:rPr>
        <w:t>.</w:t>
      </w:r>
    </w:p>
    <w:p w14:paraId="073D046B" w14:textId="2D55BE1B" w:rsidR="009810FA" w:rsidRPr="00F42F81" w:rsidRDefault="009810FA" w:rsidP="009810FA">
      <w:pPr>
        <w:numPr>
          <w:ilvl w:val="0"/>
          <w:numId w:val="74"/>
        </w:numPr>
        <w:spacing w:line="240" w:lineRule="auto"/>
        <w:ind w:left="714" w:hanging="357"/>
        <w:contextualSpacing/>
        <w:rPr>
          <w:rFonts w:ascii="Calibri" w:eastAsia="Calibri" w:hAnsi="Calibri" w:cs="Arial"/>
          <w:color w:val="002F5D"/>
        </w:rPr>
      </w:pPr>
      <w:r w:rsidRPr="00F42F81">
        <w:rPr>
          <w:rFonts w:ascii="Calibri" w:eastAsia="Calibri" w:hAnsi="Calibri" w:cs="Arial"/>
          <w:color w:val="002F5D"/>
        </w:rPr>
        <w:t xml:space="preserve">CCCRG predict that </w:t>
      </w:r>
      <w:r w:rsidRPr="00F42F81">
        <w:rPr>
          <w:rFonts w:ascii="Calibri" w:eastAsia="Calibri" w:hAnsi="Calibri" w:cs="Arial"/>
          <w:b/>
          <w:color w:val="002F5D"/>
        </w:rPr>
        <w:t>Cambridgeshire’s and Peterborough’s</w:t>
      </w:r>
      <w:r w:rsidRPr="00F42F81">
        <w:rPr>
          <w:rFonts w:ascii="Calibri" w:eastAsia="Calibri" w:hAnsi="Calibri" w:cs="Arial"/>
          <w:color w:val="002F5D"/>
        </w:rPr>
        <w:t xml:space="preserve"> combined </w:t>
      </w:r>
      <w:r w:rsidRPr="00F42F81">
        <w:rPr>
          <w:rFonts w:ascii="Calibri" w:eastAsia="Calibri" w:hAnsi="Calibri" w:cs="Arial"/>
          <w:b/>
          <w:color w:val="002F5D"/>
        </w:rPr>
        <w:t>population</w:t>
      </w:r>
      <w:r w:rsidRPr="00F42F81">
        <w:rPr>
          <w:rFonts w:ascii="Calibri" w:eastAsia="Calibri" w:hAnsi="Calibri" w:cs="Arial"/>
          <w:color w:val="002F5D"/>
        </w:rPr>
        <w:t xml:space="preserve"> is </w:t>
      </w:r>
      <w:r w:rsidRPr="00F42F81">
        <w:rPr>
          <w:rFonts w:ascii="Calibri" w:eastAsia="Calibri" w:hAnsi="Calibri" w:cs="Arial"/>
          <w:b/>
          <w:color w:val="002F5D"/>
        </w:rPr>
        <w:t>forecast</w:t>
      </w:r>
      <w:r w:rsidRPr="00F42F81">
        <w:rPr>
          <w:rFonts w:ascii="Calibri" w:eastAsia="Calibri" w:hAnsi="Calibri" w:cs="Arial"/>
          <w:color w:val="002F5D"/>
        </w:rPr>
        <w:t xml:space="preserve"> to </w:t>
      </w:r>
      <w:r w:rsidRPr="00F42F81">
        <w:rPr>
          <w:rFonts w:ascii="Calibri" w:eastAsia="Calibri" w:hAnsi="Calibri" w:cs="Arial"/>
          <w:b/>
          <w:color w:val="002F5D"/>
        </w:rPr>
        <w:t>grow</w:t>
      </w:r>
      <w:r w:rsidRPr="00F42F81">
        <w:rPr>
          <w:rFonts w:ascii="Calibri" w:eastAsia="Calibri" w:hAnsi="Calibri" w:cs="Arial"/>
          <w:color w:val="002F5D"/>
        </w:rPr>
        <w:t xml:space="preserve"> by 23% between 2016 and 2036, increasing by 194,000 people to just over </w:t>
      </w:r>
      <w:r w:rsidR="00B911F0" w:rsidRPr="004A6349">
        <w:rPr>
          <w:rFonts w:ascii="Calibri" w:eastAsia="Calibri" w:hAnsi="Calibri" w:cs="Arial"/>
          <w:b/>
          <w:color w:val="002060"/>
        </w:rPr>
        <w:t>1</w:t>
      </w:r>
      <w:r w:rsidRPr="004A6349">
        <w:rPr>
          <w:rFonts w:ascii="Calibri" w:eastAsia="Calibri" w:hAnsi="Calibri" w:cs="Arial"/>
          <w:b/>
          <w:color w:val="002F5D"/>
        </w:rPr>
        <w:t xml:space="preserve"> </w:t>
      </w:r>
      <w:r w:rsidRPr="00F42F81">
        <w:rPr>
          <w:rFonts w:ascii="Calibri" w:eastAsia="Calibri" w:hAnsi="Calibri" w:cs="Arial"/>
          <w:b/>
          <w:color w:val="002F5D"/>
        </w:rPr>
        <w:t>million</w:t>
      </w:r>
      <w:r w:rsidRPr="00F42F81">
        <w:rPr>
          <w:rFonts w:ascii="Calibri" w:eastAsia="Calibri" w:hAnsi="Calibri" w:cs="Arial"/>
          <w:color w:val="002F5D"/>
        </w:rPr>
        <w:t xml:space="preserve">. ONS predicts that Cambridgeshire’s population will grow by 10%, or 80,400 over this period. </w:t>
      </w:r>
    </w:p>
    <w:p w14:paraId="4ADF27E1" w14:textId="77777777" w:rsidR="009810FA" w:rsidRPr="00F42F81" w:rsidRDefault="009810FA" w:rsidP="009810FA">
      <w:pPr>
        <w:numPr>
          <w:ilvl w:val="0"/>
          <w:numId w:val="74"/>
        </w:numPr>
        <w:spacing w:line="240" w:lineRule="auto"/>
        <w:contextualSpacing/>
        <w:rPr>
          <w:rFonts w:ascii="Calibri" w:eastAsia="Calibri" w:hAnsi="Calibri" w:cs="Arial"/>
          <w:color w:val="002F5D"/>
        </w:rPr>
      </w:pPr>
      <w:r w:rsidRPr="00F42F81">
        <w:rPr>
          <w:rFonts w:ascii="Calibri" w:eastAsia="Calibri" w:hAnsi="Calibri" w:cs="Arial"/>
          <w:b/>
          <w:color w:val="002F5D"/>
        </w:rPr>
        <w:t>Cambridgeshire and Peterborough</w:t>
      </w:r>
      <w:r w:rsidRPr="00F42F81">
        <w:rPr>
          <w:rFonts w:ascii="Calibri" w:eastAsia="Calibri" w:hAnsi="Calibri" w:cs="Arial"/>
          <w:color w:val="002F5D"/>
        </w:rPr>
        <w:t xml:space="preserve"> are forecast to have </w:t>
      </w:r>
      <w:r w:rsidRPr="00F42F81">
        <w:rPr>
          <w:rFonts w:ascii="Calibri" w:eastAsia="Calibri" w:hAnsi="Calibri" w:cs="Arial"/>
          <w:b/>
          <w:color w:val="002F5D"/>
        </w:rPr>
        <w:t>similar levels</w:t>
      </w:r>
      <w:r w:rsidRPr="00F42F81">
        <w:rPr>
          <w:rFonts w:ascii="Calibri" w:eastAsia="Calibri" w:hAnsi="Calibri" w:cs="Arial"/>
          <w:color w:val="002F5D"/>
        </w:rPr>
        <w:t xml:space="preserve"> of proportional growth. This varies at a district level and between ONS and CCCRG estimations. Growth is </w:t>
      </w:r>
      <w:r w:rsidRPr="00F42F81">
        <w:rPr>
          <w:rFonts w:ascii="Calibri" w:eastAsia="Calibri" w:hAnsi="Calibri" w:cs="Arial"/>
          <w:b/>
          <w:color w:val="002F5D"/>
        </w:rPr>
        <w:t xml:space="preserve">forecast across all areas </w:t>
      </w:r>
      <w:r w:rsidRPr="00F42F81">
        <w:rPr>
          <w:rFonts w:ascii="Calibri" w:eastAsia="Calibri" w:hAnsi="Calibri" w:cs="Arial"/>
          <w:color w:val="002F5D"/>
        </w:rPr>
        <w:t>of</w:t>
      </w:r>
      <w:r w:rsidRPr="00F42F81">
        <w:rPr>
          <w:rFonts w:ascii="Calibri" w:eastAsia="Calibri" w:hAnsi="Calibri" w:cs="Arial"/>
          <w:b/>
          <w:color w:val="002F5D"/>
        </w:rPr>
        <w:t xml:space="preserve"> </w:t>
      </w:r>
      <w:r w:rsidRPr="00F42F81">
        <w:rPr>
          <w:rFonts w:ascii="Calibri" w:eastAsia="Calibri" w:hAnsi="Calibri" w:cs="Arial"/>
          <w:color w:val="002F5D"/>
        </w:rPr>
        <w:t>Cambridgeshire and Peterborough.</w:t>
      </w:r>
    </w:p>
    <w:p w14:paraId="6E09C69D" w14:textId="77777777" w:rsidR="009810FA" w:rsidRDefault="009810FA" w:rsidP="009810FA">
      <w:pPr>
        <w:numPr>
          <w:ilvl w:val="0"/>
          <w:numId w:val="76"/>
        </w:numPr>
        <w:spacing w:line="240" w:lineRule="auto"/>
        <w:ind w:left="714" w:hanging="357"/>
        <w:contextualSpacing/>
        <w:rPr>
          <w:rFonts w:ascii="Calibri" w:eastAsia="Calibri" w:hAnsi="Calibri" w:cs="Arial"/>
          <w:color w:val="002F5D"/>
        </w:rPr>
      </w:pPr>
      <w:r>
        <w:rPr>
          <w:rFonts w:ascii="Calibri" w:eastAsia="Calibri" w:hAnsi="Calibri" w:cs="Arial"/>
          <w:color w:val="002F5D"/>
        </w:rPr>
        <w:t xml:space="preserve">According to CCCRG, </w:t>
      </w:r>
      <w:r w:rsidRPr="00F42F81">
        <w:rPr>
          <w:rFonts w:ascii="Calibri" w:eastAsia="Calibri" w:hAnsi="Calibri" w:cs="Arial"/>
          <w:color w:val="002F5D"/>
        </w:rPr>
        <w:t xml:space="preserve">Cambridgeshire and Peterborough combined, Peterborough, Cambridgeshire and its districts are forecast to experience absolute and proportional </w:t>
      </w:r>
      <w:r w:rsidRPr="00F42F81">
        <w:rPr>
          <w:rFonts w:ascii="Calibri" w:eastAsia="Calibri" w:hAnsi="Calibri" w:cs="Arial"/>
          <w:b/>
          <w:color w:val="002F5D"/>
        </w:rPr>
        <w:t>increases</w:t>
      </w:r>
      <w:r w:rsidRPr="00F42F81">
        <w:rPr>
          <w:rFonts w:ascii="Calibri" w:eastAsia="Calibri" w:hAnsi="Calibri" w:cs="Arial"/>
          <w:color w:val="002F5D"/>
        </w:rPr>
        <w:t xml:space="preserve"> in </w:t>
      </w:r>
      <w:r w:rsidRPr="00F42F81">
        <w:rPr>
          <w:rFonts w:ascii="Calibri" w:eastAsia="Calibri" w:hAnsi="Calibri" w:cs="Arial"/>
          <w:b/>
          <w:color w:val="002F5D"/>
        </w:rPr>
        <w:t>child, working age and older people age groups</w:t>
      </w:r>
      <w:r w:rsidRPr="00F42F81">
        <w:rPr>
          <w:rFonts w:ascii="Calibri" w:eastAsia="Calibri" w:hAnsi="Calibri" w:cs="Arial"/>
          <w:color w:val="002F5D"/>
        </w:rPr>
        <w:t xml:space="preserve"> in the next 5 to 10 years.</w:t>
      </w:r>
    </w:p>
    <w:p w14:paraId="08157A1D" w14:textId="77777777" w:rsidR="009810FA" w:rsidRDefault="009810FA" w:rsidP="009810FA">
      <w:pPr>
        <w:numPr>
          <w:ilvl w:val="0"/>
          <w:numId w:val="76"/>
        </w:numPr>
        <w:spacing w:line="240" w:lineRule="auto"/>
        <w:ind w:left="714" w:hanging="357"/>
        <w:contextualSpacing/>
        <w:rPr>
          <w:rFonts w:ascii="Calibri" w:eastAsia="Calibri" w:hAnsi="Calibri" w:cs="Arial"/>
          <w:color w:val="002F5D"/>
        </w:rPr>
      </w:pPr>
      <w:r w:rsidRPr="00F42F81">
        <w:rPr>
          <w:rFonts w:ascii="Calibri" w:eastAsia="Calibri" w:hAnsi="Calibri" w:cs="Arial"/>
          <w:b/>
          <w:color w:val="002F5D"/>
        </w:rPr>
        <w:t>Cambridgeshire and Peterborough</w:t>
      </w:r>
      <w:r w:rsidRPr="00F42F81">
        <w:rPr>
          <w:rFonts w:ascii="Calibri" w:eastAsia="Calibri" w:hAnsi="Calibri" w:cs="Arial"/>
          <w:color w:val="002F5D"/>
        </w:rPr>
        <w:t xml:space="preserve">, whether considered as a whole or individually, are forecast to experience the </w:t>
      </w:r>
      <w:r w:rsidRPr="00F42F81">
        <w:rPr>
          <w:rFonts w:ascii="Calibri" w:eastAsia="Calibri" w:hAnsi="Calibri" w:cs="Arial"/>
          <w:b/>
          <w:color w:val="002F5D"/>
        </w:rPr>
        <w:t>largest</w:t>
      </w:r>
      <w:r w:rsidRPr="00F42F81">
        <w:rPr>
          <w:rFonts w:ascii="Calibri" w:eastAsia="Calibri" w:hAnsi="Calibri" w:cs="Arial"/>
          <w:color w:val="002F5D"/>
        </w:rPr>
        <w:t xml:space="preserve"> </w:t>
      </w:r>
      <w:r w:rsidRPr="00F42F81">
        <w:rPr>
          <w:rFonts w:ascii="Calibri" w:eastAsia="Calibri" w:hAnsi="Calibri" w:cs="Arial"/>
          <w:b/>
          <w:color w:val="002F5D"/>
        </w:rPr>
        <w:t>proportional</w:t>
      </w:r>
      <w:r w:rsidRPr="00F42F81">
        <w:rPr>
          <w:rFonts w:ascii="Calibri" w:eastAsia="Calibri" w:hAnsi="Calibri" w:cs="Arial"/>
          <w:color w:val="002F5D"/>
        </w:rPr>
        <w:t xml:space="preserve"> </w:t>
      </w:r>
      <w:r w:rsidRPr="00F42F81">
        <w:rPr>
          <w:rFonts w:ascii="Calibri" w:eastAsia="Calibri" w:hAnsi="Calibri" w:cs="Arial"/>
          <w:b/>
          <w:color w:val="002F5D"/>
        </w:rPr>
        <w:t>increases</w:t>
      </w:r>
      <w:r w:rsidRPr="00F42F81">
        <w:rPr>
          <w:rFonts w:ascii="Calibri" w:eastAsia="Calibri" w:hAnsi="Calibri" w:cs="Arial"/>
          <w:color w:val="002F5D"/>
        </w:rPr>
        <w:t xml:space="preserve"> in the </w:t>
      </w:r>
      <w:r w:rsidRPr="00F42F81">
        <w:rPr>
          <w:rFonts w:ascii="Calibri" w:eastAsia="Calibri" w:hAnsi="Calibri" w:cs="Arial"/>
          <w:b/>
          <w:color w:val="002F5D"/>
        </w:rPr>
        <w:t>older age groups</w:t>
      </w:r>
      <w:r w:rsidRPr="00F42F81">
        <w:rPr>
          <w:rFonts w:ascii="Calibri" w:eastAsia="Calibri" w:hAnsi="Calibri" w:cs="Arial"/>
          <w:color w:val="002F5D"/>
        </w:rPr>
        <w:t>.</w:t>
      </w:r>
    </w:p>
    <w:p w14:paraId="3AFA4E6D" w14:textId="77777777" w:rsidR="009810FA" w:rsidRDefault="009810FA" w:rsidP="009810FA">
      <w:pPr>
        <w:spacing w:line="240" w:lineRule="auto"/>
        <w:ind w:left="714"/>
        <w:contextualSpacing/>
        <w:rPr>
          <w:rFonts w:ascii="Calibri" w:eastAsia="Calibri" w:hAnsi="Calibri" w:cs="Arial"/>
          <w:color w:val="002F5D"/>
        </w:rPr>
      </w:pPr>
    </w:p>
    <w:p w14:paraId="2F9F85AA" w14:textId="77777777" w:rsidR="009810FA" w:rsidRDefault="009810FA" w:rsidP="009810FA">
      <w:pPr>
        <w:spacing w:line="240" w:lineRule="auto"/>
        <w:ind w:left="714"/>
        <w:contextualSpacing/>
        <w:rPr>
          <w:rFonts w:ascii="Calibri" w:eastAsia="Calibri" w:hAnsi="Calibri" w:cs="Arial"/>
          <w:color w:val="002F5D"/>
        </w:rPr>
      </w:pPr>
    </w:p>
    <w:p w14:paraId="15D78AF9" w14:textId="51CB98D5" w:rsidR="009810FA" w:rsidRDefault="009810FA" w:rsidP="009810FA">
      <w:pPr>
        <w:spacing w:line="240" w:lineRule="auto"/>
        <w:ind w:left="714"/>
        <w:contextualSpacing/>
        <w:rPr>
          <w:rFonts w:ascii="Calibri" w:eastAsia="Calibri" w:hAnsi="Calibri" w:cs="Arial"/>
          <w:color w:val="002F5D"/>
        </w:rPr>
      </w:pPr>
    </w:p>
    <w:p w14:paraId="08FB3F7D" w14:textId="2AC7EFB4" w:rsidR="009810FA" w:rsidRDefault="009810FA" w:rsidP="004A6349">
      <w:pPr>
        <w:spacing w:line="240" w:lineRule="auto"/>
        <w:contextualSpacing/>
        <w:rPr>
          <w:rFonts w:ascii="Calibri" w:eastAsia="Calibri" w:hAnsi="Calibri" w:cs="Arial"/>
          <w:color w:val="002F5D"/>
        </w:rPr>
      </w:pPr>
    </w:p>
    <w:p w14:paraId="53439D2A" w14:textId="77777777" w:rsidR="00996925" w:rsidRPr="00F42F81" w:rsidRDefault="00996925" w:rsidP="004A6349">
      <w:pPr>
        <w:spacing w:line="240" w:lineRule="auto"/>
        <w:contextualSpacing/>
        <w:rPr>
          <w:rFonts w:ascii="Calibri" w:eastAsia="Calibri" w:hAnsi="Calibri" w:cs="Arial"/>
          <w:color w:val="002F5D"/>
        </w:rPr>
      </w:pPr>
    </w:p>
    <w:p w14:paraId="29BF4766" w14:textId="77777777" w:rsidR="009810FA" w:rsidRDefault="009810FA" w:rsidP="009810FA">
      <w:pPr>
        <w:spacing w:before="120" w:line="240" w:lineRule="auto"/>
        <w:rPr>
          <w:rFonts w:ascii="Calibri" w:eastAsia="Calibri" w:hAnsi="Calibri" w:cs="Arial"/>
          <w:b/>
          <w:color w:val="002F5D"/>
        </w:rPr>
      </w:pPr>
      <w:r w:rsidRPr="00F42F81">
        <w:rPr>
          <w:rFonts w:ascii="Calibri" w:eastAsia="Calibri" w:hAnsi="Calibri" w:cs="Arial"/>
          <w:b/>
          <w:color w:val="002F5D"/>
        </w:rPr>
        <w:lastRenderedPageBreak/>
        <w:t xml:space="preserve">Factors influencing </w:t>
      </w:r>
      <w:r w:rsidRPr="00A27F7B">
        <w:rPr>
          <w:rFonts w:ascii="Calibri" w:eastAsia="Calibri" w:hAnsi="Calibri" w:cs="Arial"/>
          <w:b/>
          <w:color w:val="002F5D"/>
        </w:rPr>
        <w:t>population change</w:t>
      </w:r>
    </w:p>
    <w:p w14:paraId="2A22D53E" w14:textId="77777777" w:rsidR="009810FA" w:rsidRPr="004434DA" w:rsidRDefault="009810FA" w:rsidP="009810FA">
      <w:pPr>
        <w:pStyle w:val="ListParagraph"/>
        <w:numPr>
          <w:ilvl w:val="0"/>
          <w:numId w:val="86"/>
        </w:numPr>
        <w:spacing w:before="120" w:line="240" w:lineRule="auto"/>
        <w:rPr>
          <w:rFonts w:ascii="Calibri" w:eastAsia="Calibri" w:hAnsi="Calibri" w:cs="Arial"/>
          <w:b/>
          <w:color w:val="002F5D"/>
        </w:rPr>
      </w:pPr>
      <w:r w:rsidRPr="004434DA">
        <w:rPr>
          <w:rFonts w:ascii="Calibri" w:eastAsia="Calibri" w:hAnsi="Calibri" w:cs="Arial"/>
          <w:color w:val="002F5D"/>
        </w:rPr>
        <w:t xml:space="preserve">Major </w:t>
      </w:r>
      <w:r w:rsidRPr="004434DA">
        <w:rPr>
          <w:rFonts w:ascii="Calibri" w:eastAsia="Calibri" w:hAnsi="Calibri" w:cs="Arial"/>
          <w:b/>
          <w:color w:val="002F5D"/>
        </w:rPr>
        <w:t>new housing developments</w:t>
      </w:r>
      <w:r w:rsidRPr="004434DA">
        <w:rPr>
          <w:rFonts w:ascii="Calibri" w:eastAsia="Calibri" w:hAnsi="Calibri" w:cs="Arial"/>
          <w:color w:val="002F5D"/>
        </w:rPr>
        <w:t xml:space="preserve"> are proposed </w:t>
      </w:r>
      <w:r w:rsidRPr="004434DA">
        <w:rPr>
          <w:rFonts w:ascii="Calibri" w:eastAsia="Calibri" w:hAnsi="Calibri" w:cs="Arial"/>
          <w:b/>
          <w:color w:val="002F5D"/>
        </w:rPr>
        <w:t>across</w:t>
      </w:r>
      <w:r w:rsidRPr="004434DA">
        <w:rPr>
          <w:rFonts w:ascii="Calibri" w:eastAsia="Calibri" w:hAnsi="Calibri" w:cs="Arial"/>
          <w:color w:val="002F5D"/>
        </w:rPr>
        <w:t xml:space="preserve"> Peterborough and Cambridgeshire. </w:t>
      </w:r>
      <w:r w:rsidRPr="004434DA">
        <w:rPr>
          <w:rFonts w:ascii="Calibri" w:eastAsia="Calibri" w:hAnsi="Calibri" w:cs="Arial"/>
          <w:b/>
          <w:color w:val="002F5D"/>
        </w:rPr>
        <w:t>Peterborough Urban Extensions</w:t>
      </w:r>
      <w:r w:rsidRPr="004434DA">
        <w:rPr>
          <w:rFonts w:ascii="Calibri" w:eastAsia="Calibri" w:hAnsi="Calibri" w:cs="Arial"/>
          <w:color w:val="002F5D"/>
        </w:rPr>
        <w:t xml:space="preserve"> is the </w:t>
      </w:r>
      <w:r w:rsidRPr="004434DA">
        <w:rPr>
          <w:rFonts w:ascii="Calibri" w:eastAsia="Calibri" w:hAnsi="Calibri" w:cs="Arial"/>
          <w:b/>
          <w:color w:val="002F5D"/>
        </w:rPr>
        <w:t>largest</w:t>
      </w:r>
      <w:r w:rsidRPr="004434DA">
        <w:rPr>
          <w:rFonts w:ascii="Calibri" w:eastAsia="Calibri" w:hAnsi="Calibri" w:cs="Arial"/>
          <w:color w:val="002F5D"/>
        </w:rPr>
        <w:t xml:space="preserve"> major development site identified across Cambridgeshire and Peterborough. In </w:t>
      </w:r>
      <w:r w:rsidRPr="004434DA">
        <w:rPr>
          <w:rFonts w:ascii="Calibri" w:eastAsia="Calibri" w:hAnsi="Calibri" w:cs="Arial"/>
          <w:b/>
          <w:color w:val="002F5D"/>
        </w:rPr>
        <w:t>Cambridgeshire</w:t>
      </w:r>
      <w:r>
        <w:rPr>
          <w:rFonts w:ascii="Calibri" w:eastAsia="Calibri" w:hAnsi="Calibri" w:cs="Arial"/>
          <w:b/>
          <w:color w:val="002F5D"/>
        </w:rPr>
        <w:t>,</w:t>
      </w:r>
      <w:r>
        <w:rPr>
          <w:rFonts w:ascii="Calibri" w:eastAsia="Calibri" w:hAnsi="Calibri" w:cs="Arial"/>
          <w:color w:val="002F5D"/>
        </w:rPr>
        <w:t xml:space="preserve"> Northstowe</w:t>
      </w:r>
      <w:r w:rsidRPr="004434DA">
        <w:rPr>
          <w:rFonts w:ascii="Calibri" w:eastAsia="Calibri" w:hAnsi="Calibri" w:cs="Arial"/>
          <w:color w:val="002F5D"/>
        </w:rPr>
        <w:t xml:space="preserve"> and the proposed Waterbeach New Town have the highest numbers of planned dwellings, followed by </w:t>
      </w:r>
      <w:r w:rsidRPr="004434DA">
        <w:rPr>
          <w:rFonts w:cs="Arial"/>
          <w:color w:val="002F5D"/>
        </w:rPr>
        <w:t>Cambridge Northern Fringe East and Alconbury Weald</w:t>
      </w:r>
      <w:r w:rsidRPr="004434DA">
        <w:rPr>
          <w:rFonts w:ascii="Calibri" w:eastAsia="Calibri" w:hAnsi="Calibri" w:cs="Arial"/>
          <w:color w:val="002F5D"/>
        </w:rPr>
        <w:t>.</w:t>
      </w:r>
    </w:p>
    <w:p w14:paraId="155B866A" w14:textId="77777777" w:rsidR="009810FA" w:rsidRDefault="009810FA" w:rsidP="009810FA">
      <w:pPr>
        <w:numPr>
          <w:ilvl w:val="0"/>
          <w:numId w:val="25"/>
        </w:numPr>
        <w:spacing w:line="240" w:lineRule="auto"/>
        <w:contextualSpacing/>
        <w:rPr>
          <w:rFonts w:ascii="Calibri" w:eastAsia="Calibri" w:hAnsi="Calibri" w:cs="Arial"/>
          <w:color w:val="002F5D"/>
        </w:rPr>
      </w:pPr>
      <w:r w:rsidRPr="00A27F7B">
        <w:rPr>
          <w:rFonts w:ascii="Calibri" w:eastAsia="Calibri" w:hAnsi="Calibri" w:cs="Arial"/>
          <w:color w:val="002F5D"/>
        </w:rPr>
        <w:t xml:space="preserve">Within </w:t>
      </w:r>
      <w:r w:rsidRPr="00A27F7B">
        <w:rPr>
          <w:rFonts w:ascii="Calibri" w:eastAsia="Calibri" w:hAnsi="Calibri" w:cs="Arial"/>
          <w:b/>
          <w:color w:val="002F5D"/>
        </w:rPr>
        <w:t>Cambridgeshire</w:t>
      </w:r>
      <w:r w:rsidRPr="00A27F7B">
        <w:rPr>
          <w:rFonts w:ascii="Calibri" w:eastAsia="Calibri" w:hAnsi="Calibri" w:cs="Arial"/>
          <w:color w:val="002F5D"/>
        </w:rPr>
        <w:t xml:space="preserve">, the greatest </w:t>
      </w:r>
      <w:r w:rsidRPr="00A27F7B">
        <w:rPr>
          <w:rFonts w:ascii="Calibri" w:eastAsia="Calibri" w:hAnsi="Calibri" w:cs="Arial"/>
          <w:b/>
          <w:color w:val="002F5D"/>
        </w:rPr>
        <w:t>density</w:t>
      </w:r>
      <w:r w:rsidRPr="00A27F7B">
        <w:rPr>
          <w:rFonts w:ascii="Calibri" w:eastAsia="Calibri" w:hAnsi="Calibri" w:cs="Arial"/>
          <w:color w:val="002F5D"/>
        </w:rPr>
        <w:t xml:space="preserve"> of proposed new housing sites and numbers of dwellings is expected to be in </w:t>
      </w:r>
      <w:r w:rsidRPr="00A27F7B">
        <w:rPr>
          <w:rFonts w:ascii="Calibri" w:eastAsia="Calibri" w:hAnsi="Calibri" w:cs="Arial"/>
          <w:b/>
          <w:color w:val="002F5D"/>
        </w:rPr>
        <w:t>South Cambridgeshire</w:t>
      </w:r>
      <w:r w:rsidRPr="00A27F7B">
        <w:rPr>
          <w:rFonts w:ascii="Calibri" w:eastAsia="Calibri" w:hAnsi="Calibri" w:cs="Arial"/>
          <w:color w:val="002F5D"/>
        </w:rPr>
        <w:t xml:space="preserve">.  </w:t>
      </w:r>
      <w:r w:rsidRPr="00A27F7B">
        <w:rPr>
          <w:rFonts w:ascii="Calibri" w:eastAsia="Calibri" w:hAnsi="Calibri" w:cs="Arial"/>
          <w:b/>
          <w:color w:val="002F5D"/>
        </w:rPr>
        <w:t>Cambridge</w:t>
      </w:r>
      <w:r w:rsidRPr="00A27F7B">
        <w:rPr>
          <w:rFonts w:ascii="Calibri" w:eastAsia="Calibri" w:hAnsi="Calibri" w:cs="Arial"/>
          <w:color w:val="002F5D"/>
        </w:rPr>
        <w:t xml:space="preserve"> has had the </w:t>
      </w:r>
      <w:r w:rsidRPr="00A27F7B">
        <w:rPr>
          <w:rFonts w:ascii="Calibri" w:eastAsia="Calibri" w:hAnsi="Calibri" w:cs="Arial"/>
          <w:b/>
          <w:color w:val="002F5D"/>
        </w:rPr>
        <w:t>greatest number</w:t>
      </w:r>
      <w:r w:rsidRPr="00A27F7B">
        <w:rPr>
          <w:rFonts w:ascii="Calibri" w:eastAsia="Calibri" w:hAnsi="Calibri" w:cs="Arial"/>
          <w:color w:val="002F5D"/>
        </w:rPr>
        <w:t xml:space="preserve"> of completed developments since 2001.</w:t>
      </w:r>
    </w:p>
    <w:p w14:paraId="734050A5" w14:textId="77777777" w:rsidR="009810FA" w:rsidRPr="00A27F7B" w:rsidRDefault="009810FA" w:rsidP="009810FA">
      <w:pPr>
        <w:numPr>
          <w:ilvl w:val="0"/>
          <w:numId w:val="25"/>
        </w:numPr>
        <w:spacing w:line="240" w:lineRule="auto"/>
        <w:contextualSpacing/>
        <w:rPr>
          <w:rFonts w:ascii="Calibri" w:eastAsia="Calibri" w:hAnsi="Calibri" w:cs="Arial"/>
          <w:color w:val="002F5D"/>
        </w:rPr>
      </w:pPr>
      <w:r w:rsidRPr="00A27F7B">
        <w:rPr>
          <w:rFonts w:ascii="Calibri" w:eastAsia="Calibri" w:hAnsi="Calibri" w:cs="Arial"/>
          <w:b/>
          <w:color w:val="002F5D"/>
        </w:rPr>
        <w:t>Birth rates</w:t>
      </w:r>
      <w:r w:rsidRPr="00A27F7B">
        <w:rPr>
          <w:rFonts w:ascii="Calibri" w:eastAsia="Calibri" w:hAnsi="Calibri" w:cs="Arial"/>
          <w:color w:val="002F5D"/>
        </w:rPr>
        <w:t xml:space="preserve"> have generally </w:t>
      </w:r>
      <w:r w:rsidRPr="00A27F7B">
        <w:rPr>
          <w:rFonts w:ascii="Calibri" w:eastAsia="Calibri" w:hAnsi="Calibri" w:cs="Arial"/>
          <w:b/>
          <w:color w:val="002F5D"/>
        </w:rPr>
        <w:t>stabilised</w:t>
      </w:r>
      <w:r w:rsidRPr="00A27F7B">
        <w:rPr>
          <w:rFonts w:ascii="Calibri" w:eastAsia="Calibri" w:hAnsi="Calibri" w:cs="Arial"/>
          <w:color w:val="002F5D"/>
        </w:rPr>
        <w:t xml:space="preserve"> in recent years after generally increasing trends to 2012. </w:t>
      </w:r>
      <w:r w:rsidRPr="00A27F7B">
        <w:rPr>
          <w:rFonts w:ascii="Calibri" w:eastAsia="Calibri" w:hAnsi="Calibri" w:cs="Arial"/>
          <w:b/>
          <w:color w:val="002F5D"/>
        </w:rPr>
        <w:t>Peterborough’s</w:t>
      </w:r>
      <w:r w:rsidRPr="00A27F7B">
        <w:rPr>
          <w:rFonts w:ascii="Calibri" w:eastAsia="Calibri" w:hAnsi="Calibri" w:cs="Arial"/>
          <w:color w:val="002F5D"/>
        </w:rPr>
        <w:t xml:space="preserve"> rates are the </w:t>
      </w:r>
      <w:r w:rsidRPr="00A27F7B">
        <w:rPr>
          <w:rFonts w:ascii="Calibri" w:eastAsia="Calibri" w:hAnsi="Calibri" w:cs="Arial"/>
          <w:b/>
          <w:color w:val="002F5D"/>
        </w:rPr>
        <w:t>highest</w:t>
      </w:r>
      <w:r w:rsidRPr="00A27F7B">
        <w:rPr>
          <w:rFonts w:ascii="Calibri" w:eastAsia="Calibri" w:hAnsi="Calibri" w:cs="Arial"/>
          <w:color w:val="002F5D"/>
        </w:rPr>
        <w:t xml:space="preserve"> in Cambridgeshire and Peterborough. Within</w:t>
      </w:r>
      <w:r w:rsidRPr="00A27F7B">
        <w:rPr>
          <w:rFonts w:ascii="Calibri" w:eastAsia="Calibri" w:hAnsi="Calibri" w:cs="Arial"/>
          <w:b/>
          <w:color w:val="002F5D"/>
        </w:rPr>
        <w:t xml:space="preserve"> Cambridgeshire</w:t>
      </w:r>
      <w:r w:rsidRPr="00A27F7B">
        <w:rPr>
          <w:rFonts w:ascii="Calibri" w:eastAsia="Calibri" w:hAnsi="Calibri" w:cs="Arial"/>
          <w:color w:val="002F5D"/>
        </w:rPr>
        <w:t xml:space="preserve"> rates are </w:t>
      </w:r>
      <w:r w:rsidRPr="00A27F7B">
        <w:rPr>
          <w:rFonts w:ascii="Calibri" w:eastAsia="Calibri" w:hAnsi="Calibri" w:cs="Arial"/>
          <w:b/>
          <w:color w:val="002F5D"/>
        </w:rPr>
        <w:t>highest</w:t>
      </w:r>
      <w:r w:rsidRPr="00A27F7B">
        <w:rPr>
          <w:rFonts w:ascii="Calibri" w:eastAsia="Calibri" w:hAnsi="Calibri" w:cs="Arial"/>
          <w:color w:val="002F5D"/>
        </w:rPr>
        <w:t xml:space="preserve"> in </w:t>
      </w:r>
      <w:r w:rsidRPr="00A27F7B">
        <w:rPr>
          <w:rFonts w:ascii="Calibri" w:eastAsia="Calibri" w:hAnsi="Calibri" w:cs="Arial"/>
          <w:b/>
          <w:color w:val="002F5D"/>
        </w:rPr>
        <w:t>Fenland</w:t>
      </w:r>
      <w:r w:rsidRPr="00A27F7B">
        <w:rPr>
          <w:rFonts w:ascii="Calibri" w:eastAsia="Calibri" w:hAnsi="Calibri" w:cs="Arial"/>
          <w:color w:val="002F5D"/>
        </w:rPr>
        <w:t xml:space="preserve"> but notably </w:t>
      </w:r>
      <w:r w:rsidRPr="00A27F7B">
        <w:rPr>
          <w:rFonts w:ascii="Calibri" w:eastAsia="Calibri" w:hAnsi="Calibri" w:cs="Arial"/>
          <w:b/>
          <w:color w:val="002F5D"/>
        </w:rPr>
        <w:t>lower</w:t>
      </w:r>
      <w:r w:rsidRPr="00A27F7B">
        <w:rPr>
          <w:rFonts w:ascii="Calibri" w:eastAsia="Calibri" w:hAnsi="Calibri" w:cs="Arial"/>
          <w:color w:val="002F5D"/>
        </w:rPr>
        <w:t xml:space="preserve"> in </w:t>
      </w:r>
      <w:r w:rsidRPr="00A27F7B">
        <w:rPr>
          <w:rFonts w:ascii="Calibri" w:eastAsia="Calibri" w:hAnsi="Calibri" w:cs="Arial"/>
          <w:b/>
          <w:color w:val="002F5D"/>
        </w:rPr>
        <w:t>Cambridge</w:t>
      </w:r>
      <w:r w:rsidRPr="00A27F7B">
        <w:rPr>
          <w:rFonts w:ascii="Calibri" w:eastAsia="Calibri" w:hAnsi="Calibri" w:cs="Arial"/>
          <w:color w:val="FF0000"/>
        </w:rPr>
        <w:t>.</w:t>
      </w:r>
    </w:p>
    <w:p w14:paraId="0562B65E" w14:textId="77777777" w:rsidR="009810FA" w:rsidRPr="00904A2A" w:rsidRDefault="009810FA" w:rsidP="009810FA">
      <w:pPr>
        <w:numPr>
          <w:ilvl w:val="0"/>
          <w:numId w:val="25"/>
        </w:numPr>
        <w:spacing w:line="240" w:lineRule="auto"/>
        <w:contextualSpacing/>
        <w:rPr>
          <w:rFonts w:ascii="Calibri" w:eastAsia="Calibri" w:hAnsi="Calibri" w:cs="Arial"/>
          <w:color w:val="002F5D"/>
        </w:rPr>
      </w:pPr>
      <w:r w:rsidRPr="00904A2A">
        <w:rPr>
          <w:rFonts w:ascii="Calibri" w:eastAsia="Calibri" w:hAnsi="Calibri" w:cs="Arial"/>
          <w:b/>
          <w:color w:val="002F5D"/>
        </w:rPr>
        <w:t>Natural change and migration</w:t>
      </w:r>
      <w:r w:rsidRPr="00904A2A">
        <w:rPr>
          <w:rFonts w:ascii="Calibri" w:eastAsia="Calibri" w:hAnsi="Calibri" w:cs="Arial"/>
          <w:color w:val="002F5D"/>
        </w:rPr>
        <w:t xml:space="preserve"> made an approximately </w:t>
      </w:r>
      <w:r w:rsidRPr="00904A2A">
        <w:rPr>
          <w:rFonts w:ascii="Calibri" w:eastAsia="Calibri" w:hAnsi="Calibri" w:cs="Arial"/>
          <w:b/>
          <w:color w:val="002F5D"/>
        </w:rPr>
        <w:t>equal contribution</w:t>
      </w:r>
      <w:r w:rsidRPr="00904A2A">
        <w:rPr>
          <w:rFonts w:ascii="Calibri" w:eastAsia="Calibri" w:hAnsi="Calibri" w:cs="Arial"/>
          <w:color w:val="002F5D"/>
        </w:rPr>
        <w:t xml:space="preserve"> to population change in </w:t>
      </w:r>
      <w:r w:rsidRPr="00904A2A">
        <w:rPr>
          <w:rFonts w:ascii="Calibri" w:eastAsia="Calibri" w:hAnsi="Calibri" w:cs="Arial"/>
          <w:b/>
          <w:color w:val="002F5D"/>
        </w:rPr>
        <w:t>Cambridgeshire and Peterborough</w:t>
      </w:r>
      <w:r w:rsidRPr="00904A2A">
        <w:rPr>
          <w:rFonts w:ascii="Calibri" w:eastAsia="Calibri" w:hAnsi="Calibri" w:cs="Arial"/>
          <w:color w:val="002F5D"/>
        </w:rPr>
        <w:t xml:space="preserve"> combined. This is also true for </w:t>
      </w:r>
      <w:r w:rsidRPr="00904A2A">
        <w:rPr>
          <w:rFonts w:ascii="Calibri" w:eastAsia="Calibri" w:hAnsi="Calibri" w:cs="Arial"/>
          <w:b/>
          <w:color w:val="002F5D"/>
        </w:rPr>
        <w:t>Peterborough</w:t>
      </w:r>
      <w:r w:rsidRPr="00904A2A">
        <w:rPr>
          <w:rFonts w:ascii="Calibri" w:eastAsia="Calibri" w:hAnsi="Calibri" w:cs="Arial"/>
          <w:color w:val="002F5D"/>
        </w:rPr>
        <w:t xml:space="preserve">. In </w:t>
      </w:r>
      <w:r w:rsidRPr="00904A2A">
        <w:rPr>
          <w:rFonts w:ascii="Calibri" w:eastAsia="Calibri" w:hAnsi="Calibri" w:cs="Arial"/>
          <w:b/>
          <w:color w:val="002F5D"/>
        </w:rPr>
        <w:t>Cambridgeshire</w:t>
      </w:r>
      <w:r w:rsidRPr="00904A2A">
        <w:rPr>
          <w:rFonts w:ascii="Calibri" w:eastAsia="Calibri" w:hAnsi="Calibri" w:cs="Arial"/>
          <w:color w:val="002F5D"/>
        </w:rPr>
        <w:t xml:space="preserve">, </w:t>
      </w:r>
      <w:r w:rsidRPr="00904A2A">
        <w:rPr>
          <w:rFonts w:ascii="Calibri" w:eastAsia="Calibri" w:hAnsi="Calibri" w:cs="Arial"/>
          <w:b/>
          <w:color w:val="002F5D"/>
        </w:rPr>
        <w:t>natural change</w:t>
      </w:r>
      <w:r w:rsidRPr="00904A2A">
        <w:rPr>
          <w:rFonts w:ascii="Calibri" w:eastAsia="Calibri" w:hAnsi="Calibri" w:cs="Arial"/>
          <w:color w:val="002F5D"/>
        </w:rPr>
        <w:t xml:space="preserve"> accounted for a </w:t>
      </w:r>
      <w:r w:rsidRPr="00904A2A">
        <w:rPr>
          <w:rFonts w:ascii="Calibri" w:eastAsia="Calibri" w:hAnsi="Calibri" w:cs="Arial"/>
          <w:b/>
          <w:color w:val="002F5D"/>
        </w:rPr>
        <w:t>larger</w:t>
      </w:r>
      <w:r w:rsidRPr="00904A2A">
        <w:rPr>
          <w:rFonts w:ascii="Calibri" w:eastAsia="Calibri" w:hAnsi="Calibri" w:cs="Arial"/>
          <w:color w:val="002F5D"/>
        </w:rPr>
        <w:t xml:space="preserve"> proportion of the population change. Nationally and regionally migration made a larger contribution to population change than natural change.</w:t>
      </w:r>
    </w:p>
    <w:p w14:paraId="36FAE155" w14:textId="77777777" w:rsidR="009810FA" w:rsidRDefault="009810FA" w:rsidP="009810FA">
      <w:pPr>
        <w:numPr>
          <w:ilvl w:val="0"/>
          <w:numId w:val="25"/>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At </w:t>
      </w:r>
      <w:r>
        <w:rPr>
          <w:rFonts w:ascii="Calibri" w:eastAsia="Calibri" w:hAnsi="Calibri" w:cs="Arial"/>
          <w:color w:val="002F5D"/>
        </w:rPr>
        <w:t xml:space="preserve">a </w:t>
      </w:r>
      <w:r w:rsidRPr="00F42F81">
        <w:rPr>
          <w:rFonts w:ascii="Calibri" w:eastAsia="Calibri" w:hAnsi="Calibri" w:cs="Arial"/>
          <w:b/>
          <w:color w:val="002F5D"/>
        </w:rPr>
        <w:t>district</w:t>
      </w:r>
      <w:r w:rsidRPr="00F42F81">
        <w:rPr>
          <w:rFonts w:ascii="Calibri" w:eastAsia="Calibri" w:hAnsi="Calibri" w:cs="Arial"/>
          <w:color w:val="002F5D"/>
        </w:rPr>
        <w:t xml:space="preserve"> level in </w:t>
      </w:r>
      <w:r w:rsidRPr="00F42F81">
        <w:rPr>
          <w:rFonts w:ascii="Calibri" w:eastAsia="Calibri" w:hAnsi="Calibri" w:cs="Arial"/>
          <w:b/>
          <w:color w:val="002F5D"/>
        </w:rPr>
        <w:t>Cambridgeshire</w:t>
      </w:r>
      <w:r w:rsidRPr="00F42F81">
        <w:rPr>
          <w:rFonts w:ascii="Calibri" w:eastAsia="Calibri" w:hAnsi="Calibri" w:cs="Arial"/>
          <w:color w:val="002F5D"/>
        </w:rPr>
        <w:t xml:space="preserve">, the position varies by district with </w:t>
      </w:r>
      <w:r w:rsidRPr="00F42F81">
        <w:rPr>
          <w:rFonts w:ascii="Calibri" w:eastAsia="Calibri" w:hAnsi="Calibri" w:cs="Arial"/>
          <w:b/>
          <w:color w:val="002F5D"/>
        </w:rPr>
        <w:t>Fenland</w:t>
      </w:r>
      <w:r w:rsidRPr="00F42F81">
        <w:rPr>
          <w:rFonts w:ascii="Calibri" w:eastAsia="Calibri" w:hAnsi="Calibri" w:cs="Arial"/>
          <w:color w:val="002F5D"/>
        </w:rPr>
        <w:t xml:space="preserve"> having the largest proportional impact from </w:t>
      </w:r>
      <w:r w:rsidRPr="00F42F81">
        <w:rPr>
          <w:rFonts w:ascii="Calibri" w:eastAsia="Calibri" w:hAnsi="Calibri" w:cs="Arial"/>
          <w:b/>
          <w:color w:val="002F5D"/>
        </w:rPr>
        <w:t>migration</w:t>
      </w:r>
      <w:r w:rsidRPr="00F42F81">
        <w:rPr>
          <w:rFonts w:ascii="Calibri" w:eastAsia="Calibri" w:hAnsi="Calibri" w:cs="Arial"/>
          <w:color w:val="002F5D"/>
        </w:rPr>
        <w:t xml:space="preserve"> in 2016/17</w:t>
      </w:r>
      <w:r>
        <w:rPr>
          <w:rFonts w:ascii="Calibri" w:eastAsia="Calibri" w:hAnsi="Calibri" w:cs="Arial"/>
          <w:color w:val="002F5D"/>
        </w:rPr>
        <w:t>.</w:t>
      </w:r>
    </w:p>
    <w:p w14:paraId="51A341A9" w14:textId="77777777" w:rsidR="009810FA" w:rsidRPr="00F42F81" w:rsidRDefault="009810FA" w:rsidP="009810FA">
      <w:pPr>
        <w:numPr>
          <w:ilvl w:val="0"/>
          <w:numId w:val="25"/>
        </w:numPr>
        <w:spacing w:line="240" w:lineRule="auto"/>
        <w:contextualSpacing/>
        <w:rPr>
          <w:rFonts w:ascii="Calibri" w:eastAsia="Calibri" w:hAnsi="Calibri" w:cs="Arial"/>
          <w:color w:val="002F5D"/>
        </w:rPr>
      </w:pPr>
      <w:r>
        <w:rPr>
          <w:rFonts w:ascii="Calibri" w:eastAsia="Calibri" w:hAnsi="Calibri" w:cs="Arial"/>
          <w:color w:val="002F5D"/>
        </w:rPr>
        <w:t xml:space="preserve">In </w:t>
      </w:r>
      <w:r w:rsidRPr="00DE4559">
        <w:rPr>
          <w:rFonts w:ascii="Calibri" w:eastAsia="Calibri" w:hAnsi="Calibri" w:cs="Arial"/>
          <w:b/>
          <w:color w:val="002F5D"/>
        </w:rPr>
        <w:t>Cambridge</w:t>
      </w:r>
      <w:r>
        <w:rPr>
          <w:rFonts w:ascii="Calibri" w:eastAsia="Calibri" w:hAnsi="Calibri" w:cs="Arial"/>
          <w:color w:val="002F5D"/>
        </w:rPr>
        <w:t xml:space="preserve">, </w:t>
      </w:r>
      <w:r w:rsidRPr="00DE4559">
        <w:rPr>
          <w:rFonts w:ascii="Calibri" w:eastAsia="Calibri" w:hAnsi="Calibri" w:cs="Arial"/>
          <w:b/>
          <w:color w:val="002F5D"/>
        </w:rPr>
        <w:t>natural change</w:t>
      </w:r>
      <w:r>
        <w:rPr>
          <w:rFonts w:ascii="Calibri" w:eastAsia="Calibri" w:hAnsi="Calibri" w:cs="Arial"/>
          <w:color w:val="002F5D"/>
        </w:rPr>
        <w:t xml:space="preserve"> accounts for all of the population growth (180%), as migration has a net-loss from the area.</w:t>
      </w:r>
    </w:p>
    <w:p w14:paraId="7F1ACAAE" w14:textId="77777777" w:rsidR="009810FA" w:rsidRPr="00F42F81" w:rsidRDefault="009810FA" w:rsidP="009810FA">
      <w:pPr>
        <w:numPr>
          <w:ilvl w:val="0"/>
          <w:numId w:val="25"/>
        </w:numPr>
        <w:spacing w:line="240" w:lineRule="auto"/>
        <w:ind w:left="714" w:hanging="357"/>
        <w:contextualSpacing/>
        <w:rPr>
          <w:rFonts w:ascii="Calibri" w:eastAsia="Calibri" w:hAnsi="Calibri" w:cs="Arial"/>
          <w:color w:val="002F5D"/>
        </w:rPr>
      </w:pPr>
      <w:r w:rsidRPr="00F42F81">
        <w:rPr>
          <w:rFonts w:ascii="Calibri" w:eastAsia="Calibri" w:hAnsi="Calibri" w:cs="Arial"/>
          <w:color w:val="002F5D"/>
        </w:rPr>
        <w:t xml:space="preserve">In </w:t>
      </w:r>
      <w:r w:rsidRPr="00F42F81">
        <w:rPr>
          <w:rFonts w:ascii="Calibri" w:eastAsia="Calibri" w:hAnsi="Calibri" w:cs="Arial"/>
          <w:b/>
          <w:color w:val="002F5D"/>
        </w:rPr>
        <w:t>Cambridgeshire and Peterborough combined</w:t>
      </w:r>
      <w:r w:rsidRPr="00F42F81">
        <w:rPr>
          <w:rFonts w:ascii="Calibri" w:eastAsia="Calibri" w:hAnsi="Calibri" w:cs="Arial"/>
          <w:color w:val="002F5D"/>
        </w:rPr>
        <w:t xml:space="preserve">, most (73%) of national insurance number registrations for were from people from </w:t>
      </w:r>
      <w:r w:rsidRPr="00F42F81">
        <w:rPr>
          <w:rFonts w:ascii="Calibri" w:eastAsia="Calibri" w:hAnsi="Calibri" w:cs="Arial"/>
          <w:b/>
          <w:color w:val="002F5D"/>
        </w:rPr>
        <w:t>EU countries</w:t>
      </w:r>
      <w:r w:rsidRPr="00F42F81">
        <w:rPr>
          <w:rFonts w:ascii="Calibri" w:eastAsia="Calibri" w:hAnsi="Calibri" w:cs="Arial"/>
          <w:color w:val="002F5D"/>
        </w:rPr>
        <w:t>.</w:t>
      </w:r>
    </w:p>
    <w:p w14:paraId="41DE70B1" w14:textId="77777777" w:rsidR="009810FA" w:rsidRPr="00F42F81" w:rsidRDefault="009810FA" w:rsidP="009810FA">
      <w:pPr>
        <w:numPr>
          <w:ilvl w:val="0"/>
          <w:numId w:val="25"/>
        </w:numPr>
        <w:spacing w:line="240" w:lineRule="auto"/>
        <w:contextualSpacing/>
        <w:rPr>
          <w:rFonts w:ascii="Calibri" w:eastAsia="Calibri" w:hAnsi="Calibri" w:cs="Arial"/>
          <w:color w:val="002F5D"/>
        </w:rPr>
      </w:pPr>
      <w:r w:rsidRPr="00F42F81">
        <w:rPr>
          <w:rFonts w:ascii="Calibri" w:eastAsia="Calibri" w:hAnsi="Calibri" w:cs="Arial"/>
          <w:color w:val="002F5D"/>
        </w:rPr>
        <w:t xml:space="preserve">In </w:t>
      </w:r>
      <w:r w:rsidRPr="00F42F81">
        <w:rPr>
          <w:rFonts w:ascii="Calibri" w:eastAsia="Calibri" w:hAnsi="Calibri" w:cs="Arial"/>
          <w:b/>
          <w:color w:val="002F5D"/>
        </w:rPr>
        <w:t>Peterborough</w:t>
      </w:r>
      <w:r w:rsidRPr="00F42F81">
        <w:rPr>
          <w:rFonts w:ascii="Calibri" w:eastAsia="Calibri" w:hAnsi="Calibri" w:cs="Arial"/>
          <w:color w:val="002F5D"/>
        </w:rPr>
        <w:t>, almost 8</w:t>
      </w:r>
      <w:r>
        <w:rPr>
          <w:rFonts w:ascii="Calibri" w:eastAsia="Calibri" w:hAnsi="Calibri" w:cs="Arial"/>
          <w:color w:val="002F5D"/>
        </w:rPr>
        <w:t>3</w:t>
      </w:r>
      <w:r w:rsidRPr="00F42F81">
        <w:rPr>
          <w:rFonts w:ascii="Calibri" w:eastAsia="Calibri" w:hAnsi="Calibri" w:cs="Arial"/>
          <w:color w:val="002F5D"/>
        </w:rPr>
        <w:t xml:space="preserve">% of registrations were from EU countries. However, in </w:t>
      </w:r>
      <w:r w:rsidRPr="00F42F81">
        <w:rPr>
          <w:rFonts w:ascii="Calibri" w:eastAsia="Calibri" w:hAnsi="Calibri" w:cs="Arial"/>
          <w:b/>
          <w:color w:val="002F5D"/>
        </w:rPr>
        <w:t>Cambridgeshire</w:t>
      </w:r>
      <w:r w:rsidRPr="00F42F81">
        <w:rPr>
          <w:rFonts w:ascii="Calibri" w:eastAsia="Calibri" w:hAnsi="Calibri" w:cs="Arial"/>
          <w:color w:val="002F5D"/>
        </w:rPr>
        <w:t>, 69% of registrations were from EU countries, and over 30% from elsewhere in the world.</w:t>
      </w:r>
    </w:p>
    <w:p w14:paraId="0D961D55" w14:textId="77777777" w:rsidR="009810FA" w:rsidRPr="00D651DC" w:rsidRDefault="009810FA" w:rsidP="009810FA">
      <w:pPr>
        <w:numPr>
          <w:ilvl w:val="0"/>
          <w:numId w:val="59"/>
        </w:numPr>
        <w:spacing w:line="240" w:lineRule="auto"/>
        <w:ind w:left="714" w:hanging="357"/>
        <w:contextualSpacing/>
        <w:rPr>
          <w:rFonts w:ascii="Calibri" w:eastAsia="Calibri" w:hAnsi="Calibri" w:cs="Arial"/>
          <w:color w:val="002F5D"/>
        </w:rPr>
      </w:pPr>
      <w:r w:rsidRPr="00D651DC">
        <w:rPr>
          <w:rFonts w:ascii="Calibri" w:eastAsia="Calibri" w:hAnsi="Calibri" w:cs="Arial"/>
          <w:color w:val="002F5D"/>
        </w:rPr>
        <w:t xml:space="preserve">The </w:t>
      </w:r>
      <w:r w:rsidRPr="00D651DC">
        <w:rPr>
          <w:rFonts w:ascii="Calibri" w:eastAsia="Calibri" w:hAnsi="Calibri" w:cs="Arial"/>
          <w:b/>
          <w:color w:val="002F5D"/>
        </w:rPr>
        <w:t>drivers of population change</w:t>
      </w:r>
      <w:r w:rsidRPr="00D651DC">
        <w:rPr>
          <w:rFonts w:ascii="Calibri" w:eastAsia="Calibri" w:hAnsi="Calibri" w:cs="Arial"/>
          <w:color w:val="002F5D"/>
        </w:rPr>
        <w:t xml:space="preserve"> for Cambridgeshire and Peterborough combined and Peterborough are almost </w:t>
      </w:r>
      <w:r w:rsidRPr="00D651DC">
        <w:rPr>
          <w:rFonts w:ascii="Calibri" w:eastAsia="Calibri" w:hAnsi="Calibri" w:cs="Arial"/>
          <w:b/>
          <w:color w:val="002F5D"/>
        </w:rPr>
        <w:t>equally</w:t>
      </w:r>
      <w:r w:rsidRPr="00D651DC">
        <w:rPr>
          <w:rFonts w:ascii="Calibri" w:eastAsia="Calibri" w:hAnsi="Calibri" w:cs="Arial"/>
          <w:color w:val="002F5D"/>
        </w:rPr>
        <w:t xml:space="preserve"> natural change (births and deaths) and migration/other. In Cambridgeshire, just over 61% is accounted for by natural change. Nationally, net migration accounts for a slightly higher proportion of population growth (55%).</w:t>
      </w:r>
    </w:p>
    <w:p w14:paraId="52EFEFFD" w14:textId="77777777" w:rsidR="009810FA" w:rsidRDefault="009810FA" w:rsidP="009810FA">
      <w:pPr>
        <w:spacing w:line="240" w:lineRule="auto"/>
        <w:ind w:left="720"/>
        <w:contextualSpacing/>
        <w:rPr>
          <w:rFonts w:ascii="Calibri" w:eastAsia="Calibri" w:hAnsi="Calibri" w:cs="Arial"/>
          <w:color w:val="FF0000"/>
        </w:rPr>
      </w:pPr>
    </w:p>
    <w:p w14:paraId="18DACFFE" w14:textId="5FA4E758" w:rsidR="009810FA" w:rsidRDefault="009810FA" w:rsidP="009810FA">
      <w:pPr>
        <w:spacing w:before="120" w:line="240" w:lineRule="auto"/>
        <w:rPr>
          <w:rFonts w:ascii="Calibri" w:eastAsia="Calibri" w:hAnsi="Calibri" w:cs="Arial"/>
          <w:b/>
          <w:color w:val="002F5D"/>
        </w:rPr>
      </w:pPr>
      <w:r>
        <w:rPr>
          <w:rFonts w:ascii="Calibri" w:eastAsia="Calibri" w:hAnsi="Calibri" w:cs="Arial"/>
          <w:b/>
          <w:color w:val="002F5D"/>
        </w:rPr>
        <w:t>Other populations</w:t>
      </w:r>
    </w:p>
    <w:p w14:paraId="1D6A0909" w14:textId="77777777" w:rsidR="009810FA" w:rsidRDefault="009810FA" w:rsidP="009810FA">
      <w:pPr>
        <w:pStyle w:val="ListParagraph"/>
        <w:numPr>
          <w:ilvl w:val="0"/>
          <w:numId w:val="94"/>
        </w:numPr>
        <w:spacing w:after="160" w:line="256" w:lineRule="auto"/>
      </w:pPr>
      <w:r>
        <w:rPr>
          <w:color w:val="002F5D"/>
        </w:rPr>
        <w:t xml:space="preserve">Just over 4,100 residents in Cambridgeshire and Peterborough are employed in the </w:t>
      </w:r>
      <w:r w:rsidRPr="00973667">
        <w:rPr>
          <w:b/>
          <w:color w:val="002F5D"/>
        </w:rPr>
        <w:t>Armed Forces</w:t>
      </w:r>
      <w:r>
        <w:rPr>
          <w:color w:val="002F5D"/>
        </w:rPr>
        <w:t xml:space="preserve">; just under 950 in Peterborough and nearly 3,200 in Cambridgeshire. </w:t>
      </w:r>
      <w:r w:rsidRPr="00973667">
        <w:rPr>
          <w:color w:val="002F5D"/>
        </w:rPr>
        <w:t>In general, the health of the serving military population is good compared with the general population.</w:t>
      </w:r>
    </w:p>
    <w:p w14:paraId="07E955DF" w14:textId="77777777" w:rsidR="009810FA" w:rsidRDefault="009810FA" w:rsidP="009810FA">
      <w:pPr>
        <w:pStyle w:val="ListParagraph"/>
        <w:numPr>
          <w:ilvl w:val="0"/>
          <w:numId w:val="94"/>
        </w:numPr>
        <w:spacing w:after="160" w:line="256" w:lineRule="auto"/>
      </w:pPr>
      <w:r w:rsidRPr="00973667">
        <w:rPr>
          <w:color w:val="002F5D"/>
        </w:rPr>
        <w:t xml:space="preserve">Working age ex-Service community are more likely to have </w:t>
      </w:r>
      <w:r w:rsidRPr="00927B05">
        <w:rPr>
          <w:b/>
          <w:color w:val="002F5D"/>
        </w:rPr>
        <w:t>unpaid caring responsibilities</w:t>
      </w:r>
      <w:r w:rsidRPr="00973667">
        <w:rPr>
          <w:color w:val="002F5D"/>
        </w:rPr>
        <w:t xml:space="preserve">, to </w:t>
      </w:r>
      <w:r w:rsidRPr="00927B05">
        <w:rPr>
          <w:b/>
          <w:color w:val="002F5D"/>
        </w:rPr>
        <w:t>report health conditions that limit their daily</w:t>
      </w:r>
      <w:r w:rsidRPr="00927B05">
        <w:rPr>
          <w:color w:val="002F5D"/>
        </w:rPr>
        <w:t xml:space="preserve"> </w:t>
      </w:r>
      <w:r w:rsidRPr="00973667">
        <w:rPr>
          <w:color w:val="002F5D"/>
        </w:rPr>
        <w:t>and they are more li</w:t>
      </w:r>
      <w:r>
        <w:rPr>
          <w:color w:val="002F5D"/>
        </w:rPr>
        <w:t xml:space="preserve">kely to report being </w:t>
      </w:r>
      <w:r w:rsidRPr="00927B05">
        <w:rPr>
          <w:b/>
          <w:color w:val="002F5D"/>
        </w:rPr>
        <w:t>depresse</w:t>
      </w:r>
      <w:r>
        <w:rPr>
          <w:color w:val="002F5D"/>
        </w:rPr>
        <w:t>d.</w:t>
      </w:r>
    </w:p>
    <w:p w14:paraId="1D8FF6F3" w14:textId="77777777" w:rsidR="009810FA" w:rsidRDefault="009810FA" w:rsidP="009810FA">
      <w:pPr>
        <w:pStyle w:val="ListParagraph"/>
        <w:numPr>
          <w:ilvl w:val="0"/>
          <w:numId w:val="95"/>
        </w:numPr>
        <w:spacing w:after="160" w:line="256" w:lineRule="auto"/>
        <w:rPr>
          <w:color w:val="002F5D"/>
        </w:rPr>
      </w:pPr>
      <w:r w:rsidRPr="00973667">
        <w:rPr>
          <w:b/>
          <w:color w:val="002F5D"/>
        </w:rPr>
        <w:t>Homelessness</w:t>
      </w:r>
      <w:r>
        <w:rPr>
          <w:color w:val="002F5D"/>
        </w:rPr>
        <w:t xml:space="preserve"> is associated with </w:t>
      </w:r>
      <w:r>
        <w:rPr>
          <w:b/>
          <w:color w:val="002F5D"/>
        </w:rPr>
        <w:t>severe poverty, adverse health, education and social outcomes</w:t>
      </w:r>
      <w:r>
        <w:rPr>
          <w:color w:val="002F5D"/>
        </w:rPr>
        <w:t>, particularly for children.</w:t>
      </w:r>
    </w:p>
    <w:p w14:paraId="37017ED3" w14:textId="77777777" w:rsidR="009810FA" w:rsidRDefault="009810FA" w:rsidP="009810FA">
      <w:pPr>
        <w:pStyle w:val="ListParagraph"/>
        <w:numPr>
          <w:ilvl w:val="0"/>
          <w:numId w:val="95"/>
        </w:numPr>
        <w:spacing w:after="160" w:line="256" w:lineRule="auto"/>
        <w:rPr>
          <w:color w:val="002F5D"/>
        </w:rPr>
      </w:pPr>
      <w:r>
        <w:rPr>
          <w:color w:val="002F5D"/>
          <w:shd w:val="clear" w:color="auto" w:fill="FFFFFF"/>
        </w:rPr>
        <w:t xml:space="preserve">Single homeless people have significantly </w:t>
      </w:r>
      <w:r>
        <w:rPr>
          <w:b/>
          <w:color w:val="002F5D"/>
          <w:shd w:val="clear" w:color="auto" w:fill="FFFFFF"/>
        </w:rPr>
        <w:t>worse levels of ill health</w:t>
      </w:r>
      <w:r>
        <w:rPr>
          <w:color w:val="002F5D"/>
          <w:shd w:val="clear" w:color="auto" w:fill="FFFFFF"/>
        </w:rPr>
        <w:t xml:space="preserve"> and early death than the general population.</w:t>
      </w:r>
    </w:p>
    <w:p w14:paraId="4F6B477B" w14:textId="77777777" w:rsidR="009810FA" w:rsidRPr="003C50C7" w:rsidRDefault="009810FA" w:rsidP="009810FA">
      <w:pPr>
        <w:pStyle w:val="ListParagraph"/>
        <w:numPr>
          <w:ilvl w:val="0"/>
          <w:numId w:val="95"/>
        </w:numPr>
        <w:spacing w:line="240" w:lineRule="auto"/>
        <w:rPr>
          <w:rFonts w:ascii="Calibri" w:eastAsia="Times New Roman" w:hAnsi="Calibri" w:cs="Times New Roman"/>
          <w:b/>
          <w:bCs/>
          <w:color w:val="002F5D"/>
          <w:lang w:eastAsia="en-GB"/>
        </w:rPr>
      </w:pPr>
      <w:r>
        <w:rPr>
          <w:rFonts w:ascii="Calibri" w:eastAsia="Times New Roman" w:hAnsi="Calibri" w:cs="Times New Roman"/>
          <w:bCs/>
          <w:color w:val="002F5D"/>
          <w:lang w:eastAsia="en-GB"/>
        </w:rPr>
        <w:t xml:space="preserve">Several indicators for homelessness are statistically significantly </w:t>
      </w:r>
      <w:r>
        <w:rPr>
          <w:rFonts w:ascii="Calibri" w:eastAsia="Times New Roman" w:hAnsi="Calibri" w:cs="Times New Roman"/>
          <w:b/>
          <w:bCs/>
          <w:color w:val="002F5D"/>
          <w:lang w:eastAsia="en-GB"/>
        </w:rPr>
        <w:t>worse</w:t>
      </w:r>
      <w:r>
        <w:rPr>
          <w:rFonts w:ascii="Calibri" w:eastAsia="Times New Roman" w:hAnsi="Calibri" w:cs="Times New Roman"/>
          <w:bCs/>
          <w:color w:val="002F5D"/>
          <w:lang w:eastAsia="en-GB"/>
        </w:rPr>
        <w:t xml:space="preserve"> in </w:t>
      </w:r>
      <w:r>
        <w:rPr>
          <w:rFonts w:ascii="Calibri" w:eastAsia="Times New Roman" w:hAnsi="Calibri" w:cs="Times New Roman"/>
          <w:b/>
          <w:bCs/>
          <w:color w:val="002F5D"/>
          <w:lang w:eastAsia="en-GB"/>
        </w:rPr>
        <w:t>Peterborough</w:t>
      </w:r>
      <w:r>
        <w:rPr>
          <w:rFonts w:ascii="Calibri" w:eastAsia="Times New Roman" w:hAnsi="Calibri" w:cs="Times New Roman"/>
          <w:bCs/>
          <w:color w:val="002F5D"/>
          <w:lang w:eastAsia="en-GB"/>
        </w:rPr>
        <w:t xml:space="preserve"> compared to the England rate.</w:t>
      </w:r>
    </w:p>
    <w:p w14:paraId="61A229ED" w14:textId="77777777" w:rsidR="009810FA" w:rsidRDefault="009810FA" w:rsidP="009810FA">
      <w:pPr>
        <w:pStyle w:val="ListParagraph"/>
        <w:numPr>
          <w:ilvl w:val="0"/>
          <w:numId w:val="96"/>
        </w:numPr>
        <w:spacing w:after="160" w:line="256" w:lineRule="auto"/>
      </w:pPr>
      <w:r>
        <w:rPr>
          <w:color w:val="002F5D"/>
        </w:rPr>
        <w:t xml:space="preserve">In general, </w:t>
      </w:r>
      <w:r w:rsidRPr="00973667">
        <w:rPr>
          <w:b/>
          <w:color w:val="002F5D"/>
        </w:rPr>
        <w:t xml:space="preserve">prisoners </w:t>
      </w:r>
      <w:r>
        <w:rPr>
          <w:color w:val="002F5D"/>
        </w:rPr>
        <w:t>tend to have</w:t>
      </w:r>
      <w:r>
        <w:rPr>
          <w:b/>
          <w:color w:val="002F5D"/>
        </w:rPr>
        <w:t xml:space="preserve"> poorer health outcomes</w:t>
      </w:r>
      <w:r>
        <w:rPr>
          <w:color w:val="002F5D"/>
        </w:rPr>
        <w:t xml:space="preserve"> than the general population.</w:t>
      </w:r>
    </w:p>
    <w:p w14:paraId="252F46AF" w14:textId="77777777" w:rsidR="009810FA" w:rsidRPr="00973667" w:rsidRDefault="009810FA" w:rsidP="009810FA">
      <w:pPr>
        <w:pStyle w:val="ListParagraph"/>
        <w:numPr>
          <w:ilvl w:val="0"/>
          <w:numId w:val="96"/>
        </w:numPr>
        <w:spacing w:after="160" w:line="256" w:lineRule="auto"/>
        <w:rPr>
          <w:color w:val="002F5D"/>
        </w:rPr>
      </w:pPr>
      <w:r w:rsidRPr="00973667">
        <w:rPr>
          <w:b/>
          <w:color w:val="002F5D"/>
        </w:rPr>
        <w:t>HMP Whitemoor</w:t>
      </w:r>
      <w:r>
        <w:rPr>
          <w:color w:val="002F5D"/>
        </w:rPr>
        <w:t xml:space="preserve">, in Fenland, Cambridgeshire, is a maximum security prison for men with an </w:t>
      </w:r>
      <w:r w:rsidRPr="00973667">
        <w:rPr>
          <w:color w:val="002F5D"/>
        </w:rPr>
        <w:t xml:space="preserve">operational capacity of 458. </w:t>
      </w:r>
    </w:p>
    <w:p w14:paraId="172BF9D9" w14:textId="2288E4D6" w:rsidR="009810FA" w:rsidRPr="004A6349" w:rsidRDefault="009810FA" w:rsidP="004A6349">
      <w:pPr>
        <w:pStyle w:val="ListParagraph"/>
        <w:numPr>
          <w:ilvl w:val="0"/>
          <w:numId w:val="96"/>
        </w:numPr>
        <w:spacing w:after="160" w:line="256" w:lineRule="auto"/>
        <w:rPr>
          <w:color w:val="002F5D"/>
        </w:rPr>
      </w:pPr>
      <w:r w:rsidRPr="00973667">
        <w:rPr>
          <w:b/>
          <w:color w:val="002F5D"/>
        </w:rPr>
        <w:t>HMP Peterborough</w:t>
      </w:r>
      <w:r w:rsidRPr="00973667">
        <w:rPr>
          <w:color w:val="002F5D"/>
        </w:rPr>
        <w:t xml:space="preserve"> is situated in Peterborough. It houses both male and female prisoners with an operational capacity of over 1,200 places (868</w:t>
      </w:r>
      <w:r>
        <w:rPr>
          <w:color w:val="002F5D"/>
        </w:rPr>
        <w:t xml:space="preserve"> male, 360</w:t>
      </w:r>
      <w:r w:rsidR="00996925">
        <w:rPr>
          <w:color w:val="002F5D"/>
        </w:rPr>
        <w:t xml:space="preserve"> female).</w:t>
      </w:r>
    </w:p>
    <w:p w14:paraId="0D1CB46E" w14:textId="77777777" w:rsidR="009810FA" w:rsidRPr="0022024E" w:rsidRDefault="00E80CFE" w:rsidP="009810FA">
      <w:pPr>
        <w:spacing w:line="240" w:lineRule="auto"/>
        <w:rPr>
          <w:rFonts w:ascii="Calibri" w:eastAsia="Calibri" w:hAnsi="Calibri" w:cs="Arial"/>
          <w:b/>
          <w:color w:val="FF0000"/>
        </w:rPr>
      </w:pPr>
      <w:r>
        <w:rPr>
          <w:rFonts w:ascii="Calibri" w:eastAsia="Calibri" w:hAnsi="Calibri" w:cs="Arial"/>
          <w:b/>
          <w:color w:val="FF0000"/>
        </w:rPr>
        <w:pict w14:anchorId="3264EF8D">
          <v:rect id="_x0000_i1025" style="width:0;height:1.5pt" o:hralign="center" o:hrstd="t" o:hr="t" fillcolor="#a0a0a0" stroked="f"/>
        </w:pict>
      </w:r>
    </w:p>
    <w:p w14:paraId="21429516" w14:textId="77777777" w:rsidR="009810FA" w:rsidRPr="00CB12A3" w:rsidRDefault="009810FA" w:rsidP="009810FA">
      <w:pPr>
        <w:spacing w:before="240" w:line="240" w:lineRule="auto"/>
        <w:rPr>
          <w:rFonts w:ascii="Calibri" w:eastAsia="Calibri" w:hAnsi="Calibri" w:cs="Arial"/>
          <w:b/>
          <w:color w:val="002F5D"/>
        </w:rPr>
      </w:pPr>
      <w:r w:rsidRPr="00CB12A3">
        <w:rPr>
          <w:rFonts w:ascii="Calibri" w:eastAsia="Calibri" w:hAnsi="Calibri" w:cs="Arial"/>
          <w:b/>
          <w:color w:val="002F5D"/>
        </w:rPr>
        <w:lastRenderedPageBreak/>
        <w:t>RELATIVE DEPRIVATION AND WIDER DETERMINANTS OF HEALTH</w:t>
      </w:r>
    </w:p>
    <w:p w14:paraId="125E3E84" w14:textId="77777777" w:rsidR="009810FA" w:rsidRPr="00CB12A3" w:rsidRDefault="009810FA" w:rsidP="009810FA">
      <w:pPr>
        <w:spacing w:before="120" w:line="240" w:lineRule="auto"/>
        <w:rPr>
          <w:rFonts w:ascii="Calibri" w:eastAsia="Calibri" w:hAnsi="Calibri" w:cs="Arial"/>
          <w:b/>
          <w:color w:val="002F5D"/>
        </w:rPr>
      </w:pPr>
      <w:r w:rsidRPr="00CB12A3">
        <w:rPr>
          <w:rFonts w:ascii="Calibri" w:eastAsia="Calibri" w:hAnsi="Calibri" w:cs="Arial"/>
          <w:b/>
          <w:color w:val="002F5D"/>
        </w:rPr>
        <w:t>Relative deprivation and poverty</w:t>
      </w:r>
    </w:p>
    <w:p w14:paraId="44911968" w14:textId="77777777" w:rsidR="009810FA" w:rsidRPr="00CB12A3" w:rsidRDefault="009810FA" w:rsidP="009810FA">
      <w:pPr>
        <w:numPr>
          <w:ilvl w:val="0"/>
          <w:numId w:val="36"/>
        </w:numPr>
        <w:spacing w:line="240" w:lineRule="auto"/>
        <w:contextualSpacing/>
        <w:rPr>
          <w:rFonts w:ascii="Calibri" w:eastAsia="Times New Roman" w:hAnsi="Calibri" w:cs="Times New Roman"/>
          <w:color w:val="002F5D"/>
          <w:lang w:eastAsia="en-GB"/>
        </w:rPr>
      </w:pPr>
      <w:r w:rsidRPr="00CB12A3">
        <w:rPr>
          <w:rFonts w:ascii="Calibri" w:eastAsia="Times New Roman" w:hAnsi="Calibri" w:cs="Times New Roman"/>
          <w:b/>
          <w:color w:val="002F5D"/>
          <w:lang w:eastAsia="en-GB"/>
        </w:rPr>
        <w:t>Peterborough</w:t>
      </w:r>
      <w:r w:rsidRPr="00CB12A3">
        <w:rPr>
          <w:rFonts w:ascii="Calibri" w:eastAsia="Times New Roman" w:hAnsi="Calibri" w:cs="Times New Roman"/>
          <w:color w:val="002F5D"/>
          <w:lang w:eastAsia="en-GB"/>
        </w:rPr>
        <w:t xml:space="preserve"> has </w:t>
      </w:r>
      <w:r w:rsidRPr="00CB12A3">
        <w:rPr>
          <w:rFonts w:ascii="Calibri" w:eastAsia="Times New Roman" w:hAnsi="Calibri" w:cs="Times New Roman"/>
          <w:b/>
          <w:color w:val="002F5D"/>
          <w:lang w:eastAsia="en-GB"/>
        </w:rPr>
        <w:t>relatively high levels of deprivation</w:t>
      </w:r>
      <w:r w:rsidRPr="00CB12A3">
        <w:rPr>
          <w:rFonts w:ascii="Calibri" w:eastAsia="Times New Roman" w:hAnsi="Calibri" w:cs="Times New Roman"/>
          <w:color w:val="002F5D"/>
          <w:lang w:eastAsia="en-GB"/>
        </w:rPr>
        <w:t xml:space="preserve"> compared with England, with over a third of its population living in the most deprived 20% of areas nationally.</w:t>
      </w:r>
    </w:p>
    <w:p w14:paraId="0D888140" w14:textId="77777777" w:rsidR="009810FA" w:rsidRPr="00CB12A3" w:rsidRDefault="009810FA" w:rsidP="009810FA">
      <w:pPr>
        <w:numPr>
          <w:ilvl w:val="0"/>
          <w:numId w:val="36"/>
        </w:numPr>
        <w:spacing w:line="240" w:lineRule="auto"/>
        <w:ind w:left="714" w:hanging="357"/>
        <w:contextualSpacing/>
        <w:rPr>
          <w:rFonts w:ascii="Calibri" w:eastAsia="Times New Roman" w:hAnsi="Calibri" w:cs="Times New Roman"/>
          <w:color w:val="002F5D"/>
          <w:lang w:eastAsia="en-GB"/>
        </w:rPr>
      </w:pPr>
      <w:r w:rsidRPr="00CB12A3">
        <w:rPr>
          <w:rFonts w:ascii="Calibri" w:eastAsia="Calibri" w:hAnsi="Calibri" w:cs="Arial"/>
          <w:b/>
          <w:color w:val="002F5D"/>
        </w:rPr>
        <w:t>Cambridgeshire</w:t>
      </w:r>
      <w:r w:rsidRPr="00CB12A3">
        <w:rPr>
          <w:rFonts w:ascii="Calibri" w:eastAsia="Calibri" w:hAnsi="Calibri" w:cs="Arial"/>
          <w:color w:val="002F5D"/>
        </w:rPr>
        <w:t xml:space="preserve"> as a whole has </w:t>
      </w:r>
      <w:r w:rsidRPr="00CB12A3">
        <w:rPr>
          <w:rFonts w:ascii="Calibri" w:eastAsia="Calibri" w:hAnsi="Calibri" w:cs="Arial"/>
          <w:b/>
          <w:color w:val="002F5D"/>
        </w:rPr>
        <w:t>low levels of deprivation</w:t>
      </w:r>
      <w:r w:rsidRPr="00CB12A3">
        <w:rPr>
          <w:rFonts w:ascii="Calibri" w:eastAsia="Calibri" w:hAnsi="Calibri" w:cs="Arial"/>
          <w:color w:val="002F5D"/>
        </w:rPr>
        <w:t xml:space="preserve"> with small proportions of people living in the most deprived 20% of areas nationally.</w:t>
      </w:r>
    </w:p>
    <w:p w14:paraId="48D33F41" w14:textId="27CF9EDD" w:rsidR="009810FA" w:rsidRPr="00CB12A3" w:rsidRDefault="009810FA" w:rsidP="009810FA">
      <w:pPr>
        <w:numPr>
          <w:ilvl w:val="0"/>
          <w:numId w:val="36"/>
        </w:numPr>
        <w:spacing w:line="240" w:lineRule="auto"/>
        <w:ind w:left="714" w:hanging="357"/>
        <w:contextualSpacing/>
        <w:rPr>
          <w:rFonts w:ascii="Calibri" w:eastAsia="Times New Roman" w:hAnsi="Calibri" w:cs="Times New Roman"/>
          <w:color w:val="002F5D"/>
          <w:lang w:eastAsia="en-GB"/>
        </w:rPr>
      </w:pPr>
      <w:r w:rsidRPr="00CB12A3">
        <w:rPr>
          <w:rFonts w:ascii="Calibri" w:eastAsia="Calibri" w:hAnsi="Calibri" w:cs="Arial"/>
          <w:color w:val="002F5D"/>
        </w:rPr>
        <w:t xml:space="preserve">Within Cambridgeshire, </w:t>
      </w:r>
      <w:r w:rsidRPr="00CB12A3">
        <w:rPr>
          <w:rFonts w:ascii="Calibri" w:eastAsia="Calibri" w:hAnsi="Calibri" w:cs="Arial"/>
          <w:b/>
          <w:color w:val="002F5D"/>
        </w:rPr>
        <w:t>Fenland</w:t>
      </w:r>
      <w:r w:rsidRPr="00CB12A3">
        <w:rPr>
          <w:rFonts w:ascii="Calibri" w:eastAsia="Calibri" w:hAnsi="Calibri" w:cs="Arial"/>
          <w:color w:val="002F5D"/>
        </w:rPr>
        <w:t xml:space="preserve"> is the only district with a level of overall </w:t>
      </w:r>
      <w:r w:rsidRPr="00CB12A3">
        <w:rPr>
          <w:rFonts w:ascii="Calibri" w:eastAsia="Calibri" w:hAnsi="Calibri" w:cs="Arial"/>
          <w:b/>
          <w:color w:val="002F5D"/>
        </w:rPr>
        <w:t>deprivation above the national rate</w:t>
      </w:r>
      <w:r w:rsidRPr="00CB12A3">
        <w:rPr>
          <w:rFonts w:ascii="Calibri" w:eastAsia="Calibri" w:hAnsi="Calibri" w:cs="Arial"/>
          <w:color w:val="002F5D"/>
        </w:rPr>
        <w:t xml:space="preserve"> and it has a larger proportion of its population living in the most deprived 20% of areas nationally</w:t>
      </w:r>
      <w:r w:rsidR="00B911F0">
        <w:rPr>
          <w:rFonts w:ascii="Calibri" w:eastAsia="Calibri" w:hAnsi="Calibri" w:cs="Arial"/>
          <w:color w:val="002F5D"/>
        </w:rPr>
        <w:t xml:space="preserve"> compared to Cambridgeshire</w:t>
      </w:r>
      <w:r w:rsidRPr="00CB12A3">
        <w:rPr>
          <w:rFonts w:ascii="Calibri" w:eastAsia="Calibri" w:hAnsi="Calibri" w:cs="Arial"/>
          <w:color w:val="002F5D"/>
        </w:rPr>
        <w:t xml:space="preserve">, </w:t>
      </w:r>
      <w:r w:rsidR="00B911F0">
        <w:rPr>
          <w:rFonts w:ascii="Calibri" w:eastAsia="Calibri" w:hAnsi="Calibri" w:cs="Arial"/>
          <w:color w:val="002F5D"/>
        </w:rPr>
        <w:t xml:space="preserve">with </w:t>
      </w:r>
      <w:r w:rsidRPr="00CB12A3">
        <w:rPr>
          <w:rFonts w:ascii="Calibri" w:eastAsia="Calibri" w:hAnsi="Calibri" w:cs="Arial"/>
          <w:color w:val="002F5D"/>
        </w:rPr>
        <w:t>a level which is similar to the national average.</w:t>
      </w:r>
    </w:p>
    <w:p w14:paraId="6B2E73A2" w14:textId="77777777" w:rsidR="009810FA" w:rsidRPr="00CB12A3" w:rsidRDefault="009810FA" w:rsidP="009810FA">
      <w:pPr>
        <w:numPr>
          <w:ilvl w:val="0"/>
          <w:numId w:val="39"/>
        </w:numPr>
        <w:spacing w:line="240" w:lineRule="auto"/>
        <w:ind w:left="714" w:hanging="357"/>
        <w:contextualSpacing/>
        <w:rPr>
          <w:rFonts w:ascii="Calibri" w:eastAsia="Calibri" w:hAnsi="Calibri" w:cs="Arial"/>
          <w:color w:val="002F5D"/>
        </w:rPr>
      </w:pPr>
      <w:r w:rsidRPr="00CB12A3">
        <w:rPr>
          <w:rFonts w:ascii="Calibri" w:eastAsia="Calibri" w:hAnsi="Calibri" w:cs="Arial"/>
          <w:color w:val="002F5D"/>
        </w:rPr>
        <w:t xml:space="preserve">Relative deprivation in </w:t>
      </w:r>
      <w:r w:rsidRPr="00CB12A3">
        <w:rPr>
          <w:rFonts w:ascii="Calibri" w:eastAsia="Calibri" w:hAnsi="Calibri" w:cs="Arial"/>
          <w:b/>
          <w:color w:val="002F5D"/>
        </w:rPr>
        <w:t>smaller areas</w:t>
      </w:r>
      <w:r w:rsidRPr="00CB12A3">
        <w:rPr>
          <w:rFonts w:ascii="Calibri" w:eastAsia="Calibri" w:hAnsi="Calibri" w:cs="Arial"/>
          <w:color w:val="002F5D"/>
        </w:rPr>
        <w:t xml:space="preserve"> is concentrated in areas towards the </w:t>
      </w:r>
      <w:r w:rsidRPr="00CB12A3">
        <w:rPr>
          <w:rFonts w:ascii="Calibri" w:eastAsia="Calibri" w:hAnsi="Calibri" w:cs="Arial"/>
          <w:b/>
          <w:color w:val="002F5D"/>
        </w:rPr>
        <w:t>urban centre of Peterborough</w:t>
      </w:r>
      <w:r w:rsidRPr="00CB12A3">
        <w:rPr>
          <w:rFonts w:ascii="Calibri" w:eastAsia="Calibri" w:hAnsi="Calibri" w:cs="Arial"/>
          <w:color w:val="002F5D"/>
        </w:rPr>
        <w:t xml:space="preserve"> and in </w:t>
      </w:r>
      <w:r w:rsidRPr="00CB12A3">
        <w:rPr>
          <w:rFonts w:ascii="Calibri" w:eastAsia="Calibri" w:hAnsi="Calibri" w:cs="Arial"/>
          <w:b/>
          <w:color w:val="002F5D"/>
        </w:rPr>
        <w:t>Fenland</w:t>
      </w:r>
      <w:r w:rsidRPr="00CB12A3">
        <w:rPr>
          <w:rFonts w:ascii="Calibri" w:eastAsia="Calibri" w:hAnsi="Calibri" w:cs="Arial"/>
          <w:color w:val="002F5D"/>
        </w:rPr>
        <w:t xml:space="preserve"> in the north of Cambridgeshire. There are </w:t>
      </w:r>
      <w:r w:rsidRPr="00CB12A3">
        <w:rPr>
          <w:rFonts w:ascii="Calibri" w:eastAsia="Calibri" w:hAnsi="Calibri" w:cs="Arial"/>
          <w:b/>
          <w:color w:val="002F5D"/>
        </w:rPr>
        <w:t>pockets</w:t>
      </w:r>
      <w:r w:rsidRPr="00CB12A3">
        <w:rPr>
          <w:rFonts w:ascii="Calibri" w:eastAsia="Calibri" w:hAnsi="Calibri" w:cs="Arial"/>
          <w:color w:val="002F5D"/>
        </w:rPr>
        <w:t xml:space="preserve"> of greater relative deprivation elsewhere in Cambridgeshire, most notably in </w:t>
      </w:r>
      <w:r w:rsidRPr="00CB12A3">
        <w:rPr>
          <w:rFonts w:ascii="Calibri" w:eastAsia="Calibri" w:hAnsi="Calibri" w:cs="Arial"/>
          <w:b/>
          <w:color w:val="002F5D"/>
        </w:rPr>
        <w:t>north-east Cambridge</w:t>
      </w:r>
      <w:r w:rsidRPr="00CB12A3">
        <w:rPr>
          <w:rFonts w:ascii="Calibri" w:eastAsia="Calibri" w:hAnsi="Calibri" w:cs="Arial"/>
          <w:color w:val="002F5D"/>
        </w:rPr>
        <w:t xml:space="preserve">, </w:t>
      </w:r>
      <w:r w:rsidRPr="00CB12A3">
        <w:rPr>
          <w:rFonts w:ascii="Calibri" w:eastAsia="Calibri" w:hAnsi="Calibri" w:cs="Arial"/>
          <w:b/>
          <w:color w:val="002F5D"/>
        </w:rPr>
        <w:t>north Huntingdon</w:t>
      </w:r>
      <w:r w:rsidRPr="00CB12A3">
        <w:rPr>
          <w:rFonts w:ascii="Calibri" w:eastAsia="Calibri" w:hAnsi="Calibri" w:cs="Arial"/>
          <w:color w:val="002F5D"/>
        </w:rPr>
        <w:t xml:space="preserve"> and </w:t>
      </w:r>
      <w:r w:rsidRPr="00CB12A3">
        <w:rPr>
          <w:rFonts w:ascii="Calibri" w:eastAsia="Calibri" w:hAnsi="Calibri" w:cs="Arial"/>
          <w:b/>
          <w:color w:val="002F5D"/>
        </w:rPr>
        <w:t>Littleport West</w:t>
      </w:r>
      <w:r w:rsidRPr="00CB12A3">
        <w:rPr>
          <w:rFonts w:ascii="Calibri" w:eastAsia="Calibri" w:hAnsi="Calibri" w:cs="Arial"/>
          <w:color w:val="002F5D"/>
        </w:rPr>
        <w:t>.</w:t>
      </w:r>
    </w:p>
    <w:p w14:paraId="7016F194" w14:textId="77777777" w:rsidR="009810FA" w:rsidRPr="00CB12A3" w:rsidRDefault="009810FA" w:rsidP="009810FA">
      <w:pPr>
        <w:numPr>
          <w:ilvl w:val="0"/>
          <w:numId w:val="27"/>
        </w:numPr>
        <w:spacing w:line="240" w:lineRule="auto"/>
        <w:ind w:left="714" w:hanging="357"/>
        <w:contextualSpacing/>
        <w:rPr>
          <w:rFonts w:ascii="Calibri" w:eastAsia="Calibri" w:hAnsi="Calibri" w:cs="Arial"/>
          <w:b/>
          <w:color w:val="002F5D"/>
        </w:rPr>
      </w:pPr>
      <w:r w:rsidRPr="00CB12A3">
        <w:rPr>
          <w:rFonts w:ascii="Calibri" w:eastAsia="Calibri" w:hAnsi="Calibri" w:cs="Arial"/>
          <w:color w:val="002F5D"/>
        </w:rPr>
        <w:t xml:space="preserve">The percentage of children aged </w:t>
      </w:r>
      <w:r w:rsidRPr="00CB12A3">
        <w:rPr>
          <w:rFonts w:ascii="Calibri" w:eastAsia="Calibri" w:hAnsi="Calibri" w:cs="Arial"/>
          <w:b/>
          <w:color w:val="002F5D"/>
        </w:rPr>
        <w:t>under 16 living in poverty</w:t>
      </w:r>
      <w:r w:rsidRPr="00CB12A3">
        <w:rPr>
          <w:rFonts w:ascii="Calibri" w:eastAsia="Calibri" w:hAnsi="Calibri" w:cs="Arial"/>
          <w:color w:val="002F5D"/>
        </w:rPr>
        <w:t xml:space="preserve"> is highest in </w:t>
      </w:r>
      <w:r w:rsidRPr="00CB12A3">
        <w:rPr>
          <w:rFonts w:ascii="Calibri" w:eastAsia="Calibri" w:hAnsi="Calibri" w:cs="Arial"/>
          <w:b/>
          <w:color w:val="002F5D"/>
        </w:rPr>
        <w:t>Peterborough</w:t>
      </w:r>
      <w:r w:rsidRPr="00CB12A3">
        <w:rPr>
          <w:rFonts w:ascii="Calibri" w:eastAsia="Calibri" w:hAnsi="Calibri" w:cs="Arial"/>
          <w:color w:val="002F5D"/>
        </w:rPr>
        <w:t xml:space="preserve"> and </w:t>
      </w:r>
      <w:r w:rsidRPr="00CB12A3">
        <w:rPr>
          <w:rFonts w:ascii="Calibri" w:eastAsia="Calibri" w:hAnsi="Calibri" w:cs="Arial"/>
          <w:b/>
          <w:color w:val="002F5D"/>
        </w:rPr>
        <w:t>Fenland</w:t>
      </w:r>
      <w:r w:rsidRPr="00CB12A3">
        <w:rPr>
          <w:rFonts w:ascii="Calibri" w:eastAsia="Calibri" w:hAnsi="Calibri" w:cs="Arial"/>
          <w:color w:val="002F5D"/>
        </w:rPr>
        <w:t xml:space="preserve">, at a level higher than the national average. </w:t>
      </w:r>
      <w:r w:rsidRPr="00CB12A3">
        <w:rPr>
          <w:rFonts w:ascii="Calibri" w:eastAsia="Calibri" w:hAnsi="Calibri" w:cs="Arial"/>
          <w:b/>
          <w:color w:val="002F5D"/>
        </w:rPr>
        <w:t>Cambridgeshire’s</w:t>
      </w:r>
      <w:r w:rsidRPr="00CB12A3">
        <w:rPr>
          <w:rFonts w:ascii="Calibri" w:eastAsia="Calibri" w:hAnsi="Calibri" w:cs="Arial"/>
          <w:color w:val="002F5D"/>
        </w:rPr>
        <w:t xml:space="preserve"> level is </w:t>
      </w:r>
      <w:r w:rsidRPr="00CB12A3">
        <w:rPr>
          <w:rFonts w:ascii="Calibri" w:eastAsia="Calibri" w:hAnsi="Calibri" w:cs="Arial"/>
          <w:b/>
          <w:color w:val="002F5D"/>
        </w:rPr>
        <w:t>lower</w:t>
      </w:r>
      <w:r w:rsidRPr="00CB12A3">
        <w:rPr>
          <w:rFonts w:ascii="Calibri" w:eastAsia="Calibri" w:hAnsi="Calibri" w:cs="Arial"/>
          <w:color w:val="002F5D"/>
        </w:rPr>
        <w:t xml:space="preserve"> than average. </w:t>
      </w:r>
      <w:r w:rsidRPr="00CB12A3">
        <w:rPr>
          <w:rFonts w:ascii="Calibri" w:eastAsia="Calibri" w:hAnsi="Calibri" w:cs="Arial"/>
          <w:b/>
          <w:color w:val="002F5D"/>
        </w:rPr>
        <w:t>Peterborough</w:t>
      </w:r>
      <w:r w:rsidRPr="00CB12A3">
        <w:rPr>
          <w:rFonts w:ascii="Calibri" w:eastAsia="Calibri" w:hAnsi="Calibri" w:cs="Arial"/>
          <w:color w:val="002F5D"/>
        </w:rPr>
        <w:t xml:space="preserve"> and </w:t>
      </w:r>
      <w:r w:rsidRPr="00CB12A3">
        <w:rPr>
          <w:rFonts w:ascii="Calibri" w:eastAsia="Calibri" w:hAnsi="Calibri" w:cs="Arial"/>
          <w:b/>
          <w:color w:val="002F5D"/>
        </w:rPr>
        <w:t>Fenland</w:t>
      </w:r>
      <w:r w:rsidRPr="00CB12A3">
        <w:rPr>
          <w:rFonts w:ascii="Calibri" w:eastAsia="Calibri" w:hAnsi="Calibri" w:cs="Arial"/>
          <w:color w:val="002F5D"/>
        </w:rPr>
        <w:t xml:space="preserve"> have statistically significantly </w:t>
      </w:r>
      <w:r w:rsidRPr="00CB12A3">
        <w:rPr>
          <w:rFonts w:ascii="Calibri" w:eastAsia="Calibri" w:hAnsi="Calibri" w:cs="Arial"/>
          <w:b/>
          <w:color w:val="002F5D"/>
        </w:rPr>
        <w:t>high</w:t>
      </w:r>
      <w:r w:rsidRPr="00CB12A3">
        <w:rPr>
          <w:rFonts w:ascii="Calibri" w:eastAsia="Calibri" w:hAnsi="Calibri" w:cs="Arial"/>
          <w:color w:val="002F5D"/>
        </w:rPr>
        <w:t xml:space="preserve"> rates of children aged both under 16 and under 20 years living in </w:t>
      </w:r>
      <w:r w:rsidRPr="00CB12A3">
        <w:rPr>
          <w:rFonts w:ascii="Calibri" w:eastAsia="Calibri" w:hAnsi="Calibri" w:cs="Arial"/>
          <w:b/>
          <w:color w:val="002F5D"/>
        </w:rPr>
        <w:t>low income families</w:t>
      </w:r>
      <w:r w:rsidRPr="00CB12A3">
        <w:rPr>
          <w:rFonts w:ascii="Calibri" w:eastAsia="Calibri" w:hAnsi="Calibri" w:cs="Arial"/>
          <w:color w:val="002F5D"/>
        </w:rPr>
        <w:t>.</w:t>
      </w:r>
    </w:p>
    <w:p w14:paraId="3B3EB1FA" w14:textId="77777777" w:rsidR="009810FA" w:rsidRPr="004434DA" w:rsidRDefault="009810FA" w:rsidP="009810FA">
      <w:pPr>
        <w:numPr>
          <w:ilvl w:val="0"/>
          <w:numId w:val="27"/>
        </w:numPr>
        <w:spacing w:line="240" w:lineRule="auto"/>
        <w:contextualSpacing/>
        <w:rPr>
          <w:rFonts w:ascii="Calibri" w:eastAsia="Calibri" w:hAnsi="Calibri" w:cs="Arial"/>
          <w:b/>
          <w:color w:val="002F5D"/>
        </w:rPr>
      </w:pPr>
      <w:r w:rsidRPr="00CB12A3">
        <w:rPr>
          <w:rFonts w:ascii="Calibri" w:eastAsia="Calibri" w:hAnsi="Calibri" w:cs="Arial"/>
          <w:b/>
          <w:color w:val="002F5D"/>
        </w:rPr>
        <w:t>Peterborough</w:t>
      </w:r>
      <w:r w:rsidRPr="00CB12A3">
        <w:rPr>
          <w:rFonts w:ascii="Calibri" w:eastAsia="Calibri" w:hAnsi="Calibri" w:cs="Arial"/>
          <w:color w:val="002F5D"/>
        </w:rPr>
        <w:t xml:space="preserve"> also has higher than national levels of </w:t>
      </w:r>
      <w:r w:rsidRPr="00CB12A3">
        <w:rPr>
          <w:rFonts w:ascii="Calibri" w:eastAsia="Calibri" w:hAnsi="Calibri" w:cs="Arial"/>
          <w:b/>
          <w:color w:val="002F5D"/>
        </w:rPr>
        <w:t>income deprived older people aged 60+ years</w:t>
      </w:r>
      <w:r w:rsidRPr="00CB12A3">
        <w:rPr>
          <w:rFonts w:ascii="Calibri" w:eastAsia="Calibri" w:hAnsi="Calibri" w:cs="Arial"/>
          <w:color w:val="002F5D"/>
        </w:rPr>
        <w:t xml:space="preserve">, with </w:t>
      </w:r>
      <w:r w:rsidRPr="00CB12A3">
        <w:rPr>
          <w:rFonts w:ascii="Calibri" w:eastAsia="Calibri" w:hAnsi="Calibri" w:cs="Arial"/>
          <w:b/>
          <w:color w:val="002F5D"/>
        </w:rPr>
        <w:t>Cambridgeshire</w:t>
      </w:r>
      <w:r w:rsidRPr="00CB12A3">
        <w:rPr>
          <w:rFonts w:ascii="Calibri" w:eastAsia="Calibri" w:hAnsi="Calibri" w:cs="Arial"/>
          <w:color w:val="002F5D"/>
        </w:rPr>
        <w:t xml:space="preserve"> having a </w:t>
      </w:r>
      <w:r w:rsidRPr="00CB12A3">
        <w:rPr>
          <w:rFonts w:ascii="Calibri" w:eastAsia="Calibri" w:hAnsi="Calibri" w:cs="Arial"/>
          <w:b/>
          <w:color w:val="002F5D"/>
        </w:rPr>
        <w:t>lower</w:t>
      </w:r>
      <w:r w:rsidRPr="00CB12A3">
        <w:rPr>
          <w:rFonts w:ascii="Calibri" w:eastAsia="Calibri" w:hAnsi="Calibri" w:cs="Arial"/>
          <w:color w:val="002F5D"/>
        </w:rPr>
        <w:t xml:space="preserve"> level.</w:t>
      </w:r>
      <w:r w:rsidRPr="00CB12A3">
        <w:rPr>
          <w:rFonts w:ascii="Calibri" w:eastAsia="Calibri" w:hAnsi="Calibri" w:cs="Arial"/>
          <w:b/>
          <w:color w:val="002F5D"/>
        </w:rPr>
        <w:t xml:space="preserve"> Within Cambridgeshire</w:t>
      </w:r>
      <w:r w:rsidRPr="00CB12A3">
        <w:rPr>
          <w:rFonts w:ascii="Calibri" w:eastAsia="Calibri" w:hAnsi="Calibri" w:cs="Arial"/>
          <w:color w:val="002F5D"/>
        </w:rPr>
        <w:t xml:space="preserve"> rates are </w:t>
      </w:r>
      <w:r w:rsidRPr="00CB12A3">
        <w:rPr>
          <w:rFonts w:ascii="Calibri" w:eastAsia="Calibri" w:hAnsi="Calibri" w:cs="Arial"/>
          <w:b/>
          <w:color w:val="002F5D"/>
        </w:rPr>
        <w:t>highest</w:t>
      </w:r>
      <w:r w:rsidRPr="00CB12A3">
        <w:rPr>
          <w:rFonts w:ascii="Calibri" w:eastAsia="Calibri" w:hAnsi="Calibri" w:cs="Arial"/>
          <w:color w:val="002F5D"/>
        </w:rPr>
        <w:t xml:space="preserve"> are in </w:t>
      </w:r>
      <w:r w:rsidRPr="00CB12A3">
        <w:rPr>
          <w:rFonts w:ascii="Calibri" w:eastAsia="Calibri" w:hAnsi="Calibri" w:cs="Arial"/>
          <w:b/>
          <w:color w:val="002F5D"/>
        </w:rPr>
        <w:t>Fenland</w:t>
      </w:r>
      <w:r w:rsidRPr="00CB12A3">
        <w:rPr>
          <w:rFonts w:ascii="Calibri" w:eastAsia="Calibri" w:hAnsi="Calibri" w:cs="Arial"/>
          <w:color w:val="002F5D"/>
        </w:rPr>
        <w:t xml:space="preserve"> with a rate that is around the national average.</w:t>
      </w:r>
    </w:p>
    <w:p w14:paraId="6F3E9D5B" w14:textId="77777777" w:rsidR="009810FA" w:rsidRPr="00CB12A3" w:rsidRDefault="009810FA" w:rsidP="009810FA">
      <w:pPr>
        <w:spacing w:line="240" w:lineRule="auto"/>
        <w:ind w:left="720"/>
        <w:contextualSpacing/>
        <w:rPr>
          <w:rFonts w:ascii="Calibri" w:eastAsia="Calibri" w:hAnsi="Calibri" w:cs="Arial"/>
          <w:b/>
          <w:color w:val="002F5D"/>
        </w:rPr>
      </w:pPr>
    </w:p>
    <w:p w14:paraId="5027AE95" w14:textId="77777777" w:rsidR="009810FA" w:rsidRPr="00CB12A3" w:rsidRDefault="009810FA" w:rsidP="009810FA">
      <w:pPr>
        <w:spacing w:before="120" w:line="240" w:lineRule="auto"/>
        <w:rPr>
          <w:rFonts w:ascii="Calibri" w:eastAsia="Calibri" w:hAnsi="Calibri" w:cs="Arial"/>
          <w:b/>
          <w:color w:val="002F5D"/>
        </w:rPr>
      </w:pPr>
      <w:r w:rsidRPr="00CB12A3">
        <w:rPr>
          <w:rFonts w:ascii="Calibri" w:eastAsia="Calibri" w:hAnsi="Calibri" w:cs="Arial"/>
          <w:b/>
          <w:color w:val="002F5D"/>
        </w:rPr>
        <w:t>Child development and education</w:t>
      </w:r>
    </w:p>
    <w:p w14:paraId="1D617428" w14:textId="77777777" w:rsidR="009810FA" w:rsidRPr="000E262A" w:rsidRDefault="009810FA" w:rsidP="009810FA">
      <w:pPr>
        <w:numPr>
          <w:ilvl w:val="0"/>
          <w:numId w:val="28"/>
        </w:numPr>
        <w:spacing w:line="240" w:lineRule="auto"/>
        <w:contextualSpacing/>
        <w:rPr>
          <w:rFonts w:ascii="Calibri" w:eastAsia="Calibri" w:hAnsi="Calibri" w:cs="Arial"/>
          <w:color w:val="002F5D"/>
        </w:rPr>
      </w:pPr>
      <w:r>
        <w:rPr>
          <w:rFonts w:ascii="Calibri" w:eastAsia="Calibri" w:hAnsi="Calibri" w:cs="Arial"/>
          <w:b/>
          <w:color w:val="002F5D"/>
        </w:rPr>
        <w:t xml:space="preserve">Cambridgeshire’s </w:t>
      </w:r>
      <w:r w:rsidRPr="000E262A">
        <w:rPr>
          <w:rFonts w:ascii="Calibri" w:eastAsia="Calibri" w:hAnsi="Calibri" w:cs="Arial"/>
          <w:color w:val="002F5D"/>
        </w:rPr>
        <w:t xml:space="preserve">percentage of children achieving a </w:t>
      </w:r>
      <w:r w:rsidRPr="00BC5266">
        <w:rPr>
          <w:rFonts w:ascii="Calibri" w:eastAsia="Calibri" w:hAnsi="Calibri" w:cs="Arial"/>
          <w:b/>
          <w:color w:val="002F5D"/>
        </w:rPr>
        <w:t>good level of development</w:t>
      </w:r>
      <w:r w:rsidRPr="000E262A">
        <w:rPr>
          <w:rFonts w:ascii="Calibri" w:eastAsia="Calibri" w:hAnsi="Calibri" w:cs="Arial"/>
          <w:color w:val="002F5D"/>
        </w:rPr>
        <w:t xml:space="preserve"> at the end of reception is similar to the England rate.</w:t>
      </w:r>
      <w:r>
        <w:rPr>
          <w:rFonts w:ascii="Calibri" w:eastAsia="Calibri" w:hAnsi="Calibri" w:cs="Arial"/>
          <w:color w:val="002F5D"/>
        </w:rPr>
        <w:t xml:space="preserve">   </w:t>
      </w:r>
      <w:r w:rsidRPr="00BC5266">
        <w:rPr>
          <w:rFonts w:ascii="Calibri" w:eastAsia="Calibri" w:hAnsi="Calibri" w:cs="Arial"/>
          <w:b/>
          <w:color w:val="002F5D"/>
        </w:rPr>
        <w:t>Peterborough’s</w:t>
      </w:r>
      <w:r>
        <w:rPr>
          <w:rFonts w:ascii="Calibri" w:eastAsia="Calibri" w:hAnsi="Calibri" w:cs="Arial"/>
          <w:color w:val="002F5D"/>
        </w:rPr>
        <w:t xml:space="preserve"> percentage has been statistically significantly </w:t>
      </w:r>
      <w:r w:rsidRPr="00BC5266">
        <w:rPr>
          <w:rFonts w:ascii="Calibri" w:eastAsia="Calibri" w:hAnsi="Calibri" w:cs="Arial"/>
          <w:b/>
          <w:color w:val="002F5D"/>
        </w:rPr>
        <w:t>worse</w:t>
      </w:r>
      <w:r>
        <w:rPr>
          <w:rFonts w:ascii="Calibri" w:eastAsia="Calibri" w:hAnsi="Calibri" w:cs="Arial"/>
          <w:color w:val="002F5D"/>
        </w:rPr>
        <w:t xml:space="preserve"> than England since 2014/15.</w:t>
      </w:r>
    </w:p>
    <w:p w14:paraId="3EB1D6D5" w14:textId="77777777" w:rsidR="009810FA" w:rsidRPr="00DB299C" w:rsidRDefault="009810FA" w:rsidP="009810FA">
      <w:pPr>
        <w:numPr>
          <w:ilvl w:val="0"/>
          <w:numId w:val="28"/>
        </w:numPr>
        <w:spacing w:line="240" w:lineRule="auto"/>
        <w:contextualSpacing/>
        <w:rPr>
          <w:rFonts w:ascii="Calibri" w:eastAsia="Calibri" w:hAnsi="Calibri" w:cs="Arial"/>
          <w:color w:val="002F5D"/>
        </w:rPr>
      </w:pPr>
      <w:r w:rsidRPr="000E262A">
        <w:rPr>
          <w:rFonts w:ascii="Calibri" w:eastAsia="Calibri" w:hAnsi="Calibri" w:cs="Arial"/>
          <w:b/>
          <w:color w:val="002F5D"/>
        </w:rPr>
        <w:t>Cambridgeshire’s</w:t>
      </w:r>
      <w:r w:rsidRPr="000E262A">
        <w:rPr>
          <w:rFonts w:ascii="Calibri" w:eastAsia="Calibri" w:hAnsi="Calibri" w:cs="Arial"/>
          <w:color w:val="002F5D"/>
        </w:rPr>
        <w:t xml:space="preserve"> percentage of children with </w:t>
      </w:r>
      <w:r w:rsidRPr="000E262A">
        <w:rPr>
          <w:rFonts w:ascii="Calibri" w:eastAsia="Calibri" w:hAnsi="Calibri" w:cs="Arial"/>
          <w:b/>
          <w:color w:val="002F5D"/>
        </w:rPr>
        <w:t>free school meal status achieving a good level of development</w:t>
      </w:r>
      <w:r w:rsidRPr="000E262A">
        <w:rPr>
          <w:rFonts w:ascii="Calibri" w:eastAsia="Calibri" w:hAnsi="Calibri" w:cs="Arial"/>
          <w:color w:val="002F5D"/>
        </w:rPr>
        <w:t xml:space="preserve"> at the end of reception has been statistically significantly </w:t>
      </w:r>
      <w:r w:rsidRPr="000E262A">
        <w:rPr>
          <w:rFonts w:ascii="Calibri" w:eastAsia="Calibri" w:hAnsi="Calibri" w:cs="Arial"/>
          <w:b/>
          <w:color w:val="002F5D"/>
        </w:rPr>
        <w:t>worse</w:t>
      </w:r>
      <w:r w:rsidRPr="000E262A">
        <w:rPr>
          <w:rFonts w:ascii="Calibri" w:eastAsia="Calibri" w:hAnsi="Calibri" w:cs="Arial"/>
          <w:color w:val="002F5D"/>
        </w:rPr>
        <w:t xml:space="preserve"> than the England rate since 2012/13. </w:t>
      </w:r>
      <w:r w:rsidRPr="000E262A">
        <w:rPr>
          <w:rFonts w:ascii="Calibri" w:eastAsia="Calibri" w:hAnsi="Calibri" w:cs="Arial"/>
          <w:b/>
          <w:color w:val="002F5D"/>
        </w:rPr>
        <w:t>Peterborough’s</w:t>
      </w:r>
      <w:r w:rsidRPr="000E262A">
        <w:rPr>
          <w:rFonts w:ascii="Calibri" w:eastAsia="Calibri" w:hAnsi="Calibri" w:cs="Arial"/>
          <w:color w:val="002F5D"/>
        </w:rPr>
        <w:t xml:space="preserve"> rate tends to be </w:t>
      </w:r>
      <w:r w:rsidRPr="000E262A">
        <w:rPr>
          <w:rFonts w:ascii="Calibri" w:eastAsia="Calibri" w:hAnsi="Calibri" w:cs="Arial"/>
          <w:b/>
          <w:color w:val="002F5D"/>
        </w:rPr>
        <w:t>around</w:t>
      </w:r>
      <w:r w:rsidRPr="000E262A">
        <w:rPr>
          <w:rFonts w:ascii="Calibri" w:eastAsia="Calibri" w:hAnsi="Calibri" w:cs="Arial"/>
          <w:color w:val="002F5D"/>
        </w:rPr>
        <w:t xml:space="preserve"> the national </w:t>
      </w:r>
      <w:r w:rsidRPr="00DB299C">
        <w:rPr>
          <w:rFonts w:ascii="Calibri" w:eastAsia="Calibri" w:hAnsi="Calibri" w:cs="Arial"/>
          <w:b/>
          <w:color w:val="002F5D"/>
        </w:rPr>
        <w:t>average</w:t>
      </w:r>
      <w:r w:rsidRPr="00DB299C">
        <w:rPr>
          <w:rFonts w:ascii="Calibri" w:eastAsia="Calibri" w:hAnsi="Calibri" w:cs="Arial"/>
          <w:color w:val="002F5D"/>
        </w:rPr>
        <w:t>.</w:t>
      </w:r>
    </w:p>
    <w:p w14:paraId="478B7AFA" w14:textId="77777777" w:rsidR="009810FA" w:rsidRDefault="009810FA" w:rsidP="009810FA">
      <w:pPr>
        <w:numPr>
          <w:ilvl w:val="0"/>
          <w:numId w:val="30"/>
        </w:numPr>
        <w:spacing w:line="240" w:lineRule="auto"/>
        <w:contextualSpacing/>
        <w:rPr>
          <w:rFonts w:ascii="Calibri" w:eastAsia="Calibri" w:hAnsi="Calibri" w:cs="Arial"/>
          <w:color w:val="002F5D"/>
        </w:rPr>
      </w:pPr>
      <w:r w:rsidRPr="00DB299C">
        <w:rPr>
          <w:rFonts w:ascii="Calibri" w:eastAsia="Calibri" w:hAnsi="Calibri" w:cs="Arial"/>
          <w:color w:val="002F5D"/>
        </w:rPr>
        <w:t xml:space="preserve">Collectively, </w:t>
      </w:r>
      <w:r w:rsidRPr="00DB299C">
        <w:rPr>
          <w:rFonts w:ascii="Calibri" w:eastAsia="Calibri" w:hAnsi="Calibri" w:cs="Arial"/>
          <w:b/>
          <w:color w:val="002F5D"/>
        </w:rPr>
        <w:t>Cambridgeshire and Peterborough'</w:t>
      </w:r>
      <w:r w:rsidRPr="00DB299C">
        <w:rPr>
          <w:rFonts w:ascii="Calibri" w:eastAsia="Calibri" w:hAnsi="Calibri" w:cs="Arial"/>
          <w:color w:val="002F5D"/>
        </w:rPr>
        <w:t xml:space="preserve">s GSCE attainment rate is </w:t>
      </w:r>
      <w:r w:rsidRPr="00DB299C">
        <w:rPr>
          <w:rFonts w:ascii="Calibri" w:eastAsia="Calibri" w:hAnsi="Calibri" w:cs="Arial"/>
          <w:b/>
          <w:color w:val="002F5D"/>
        </w:rPr>
        <w:t>similar</w:t>
      </w:r>
      <w:r w:rsidRPr="00DB299C">
        <w:rPr>
          <w:rFonts w:ascii="Calibri" w:eastAsia="Calibri" w:hAnsi="Calibri" w:cs="Arial"/>
          <w:color w:val="002F5D"/>
        </w:rPr>
        <w:t xml:space="preserve"> to the England average. However, </w:t>
      </w:r>
      <w:r w:rsidRPr="00DB299C">
        <w:rPr>
          <w:rFonts w:ascii="Calibri" w:eastAsia="Calibri" w:hAnsi="Calibri" w:cs="Arial"/>
          <w:b/>
          <w:color w:val="002F5D"/>
        </w:rPr>
        <w:t>Peterborough</w:t>
      </w:r>
      <w:r w:rsidRPr="00DB299C">
        <w:rPr>
          <w:rFonts w:ascii="Calibri" w:eastAsia="Calibri" w:hAnsi="Calibri" w:cs="Arial"/>
          <w:color w:val="002F5D"/>
        </w:rPr>
        <w:t xml:space="preserve"> and </w:t>
      </w:r>
      <w:r w:rsidRPr="00DB299C">
        <w:rPr>
          <w:rFonts w:ascii="Calibri" w:eastAsia="Calibri" w:hAnsi="Calibri" w:cs="Arial"/>
          <w:b/>
          <w:color w:val="002F5D"/>
        </w:rPr>
        <w:t>Fenland’s</w:t>
      </w:r>
      <w:r w:rsidRPr="00DB299C">
        <w:rPr>
          <w:rFonts w:ascii="Calibri" w:eastAsia="Calibri" w:hAnsi="Calibri" w:cs="Arial"/>
          <w:color w:val="002F5D"/>
        </w:rPr>
        <w:t xml:space="preserve"> </w:t>
      </w:r>
      <w:r w:rsidRPr="00DB299C">
        <w:rPr>
          <w:rFonts w:ascii="Calibri" w:eastAsia="Calibri" w:hAnsi="Calibri" w:cs="Arial"/>
          <w:b/>
          <w:color w:val="002F5D"/>
        </w:rPr>
        <w:t>GSCE attainment rate</w:t>
      </w:r>
      <w:r w:rsidRPr="00DB299C">
        <w:rPr>
          <w:rFonts w:ascii="Calibri" w:eastAsia="Calibri" w:hAnsi="Calibri" w:cs="Arial"/>
          <w:color w:val="002F5D"/>
        </w:rPr>
        <w:t xml:space="preserve"> is statistically significantly </w:t>
      </w:r>
      <w:r w:rsidRPr="00DB299C">
        <w:rPr>
          <w:rFonts w:ascii="Calibri" w:eastAsia="Calibri" w:hAnsi="Calibri" w:cs="Arial"/>
          <w:b/>
          <w:color w:val="002F5D"/>
        </w:rPr>
        <w:t>worse</w:t>
      </w:r>
      <w:r w:rsidRPr="00DB299C">
        <w:rPr>
          <w:rFonts w:ascii="Calibri" w:eastAsia="Calibri" w:hAnsi="Calibri" w:cs="Arial"/>
          <w:color w:val="002F5D"/>
        </w:rPr>
        <w:t xml:space="preserve"> than in England. </w:t>
      </w:r>
      <w:r w:rsidRPr="00DB299C">
        <w:rPr>
          <w:rFonts w:ascii="Calibri" w:eastAsia="Calibri" w:hAnsi="Calibri" w:cs="Arial"/>
          <w:b/>
          <w:color w:val="002F5D"/>
        </w:rPr>
        <w:t>Cambridgeshire’s</w:t>
      </w:r>
      <w:r w:rsidRPr="00DB299C">
        <w:rPr>
          <w:rFonts w:ascii="Calibri" w:eastAsia="Calibri" w:hAnsi="Calibri" w:cs="Arial"/>
          <w:color w:val="002F5D"/>
        </w:rPr>
        <w:t xml:space="preserve"> rate is significantly </w:t>
      </w:r>
      <w:r w:rsidRPr="00DB299C">
        <w:rPr>
          <w:rFonts w:ascii="Calibri" w:eastAsia="Calibri" w:hAnsi="Calibri" w:cs="Arial"/>
          <w:b/>
          <w:color w:val="002F5D"/>
        </w:rPr>
        <w:t>better</w:t>
      </w:r>
      <w:r w:rsidRPr="00DB299C">
        <w:rPr>
          <w:rFonts w:ascii="Calibri" w:eastAsia="Calibri" w:hAnsi="Calibri" w:cs="Arial"/>
          <w:color w:val="002F5D"/>
        </w:rPr>
        <w:t xml:space="preserve"> than nationally.</w:t>
      </w:r>
    </w:p>
    <w:p w14:paraId="4CF99B3E" w14:textId="77777777" w:rsidR="009810FA" w:rsidRPr="00DB299C" w:rsidRDefault="009810FA" w:rsidP="009810FA">
      <w:pPr>
        <w:spacing w:line="240" w:lineRule="auto"/>
        <w:ind w:left="720"/>
        <w:contextualSpacing/>
        <w:rPr>
          <w:rFonts w:ascii="Calibri" w:eastAsia="Calibri" w:hAnsi="Calibri" w:cs="Arial"/>
          <w:color w:val="002F5D"/>
        </w:rPr>
      </w:pPr>
    </w:p>
    <w:p w14:paraId="1EC56BDF" w14:textId="77777777" w:rsidR="009810FA" w:rsidRDefault="009810FA" w:rsidP="009810FA">
      <w:pPr>
        <w:spacing w:line="240" w:lineRule="auto"/>
        <w:rPr>
          <w:rFonts w:ascii="Calibri" w:eastAsia="Calibri" w:hAnsi="Calibri" w:cs="Arial"/>
          <w:b/>
          <w:color w:val="002F5D"/>
        </w:rPr>
      </w:pPr>
      <w:r w:rsidRPr="006B7C9C">
        <w:rPr>
          <w:rFonts w:ascii="Calibri" w:eastAsia="Calibri" w:hAnsi="Calibri" w:cs="Arial"/>
          <w:b/>
          <w:color w:val="002F5D"/>
        </w:rPr>
        <w:t>Employment</w:t>
      </w:r>
    </w:p>
    <w:p w14:paraId="16C81564" w14:textId="77777777" w:rsidR="009810FA" w:rsidRPr="006B7C9C" w:rsidRDefault="009810FA" w:rsidP="009810FA">
      <w:pPr>
        <w:numPr>
          <w:ilvl w:val="0"/>
          <w:numId w:val="31"/>
        </w:numPr>
        <w:spacing w:line="240" w:lineRule="auto"/>
        <w:ind w:left="714" w:hanging="357"/>
        <w:contextualSpacing/>
        <w:rPr>
          <w:rFonts w:ascii="Calibri" w:eastAsia="Calibri" w:hAnsi="Calibri" w:cs="Arial"/>
          <w:color w:val="002F5D"/>
        </w:rPr>
      </w:pPr>
      <w:r w:rsidRPr="006B7C9C">
        <w:rPr>
          <w:rFonts w:ascii="Calibri" w:eastAsia="Calibri" w:hAnsi="Calibri" w:cs="Arial"/>
          <w:b/>
          <w:color w:val="002F5D"/>
        </w:rPr>
        <w:t>Peterborough</w:t>
      </w:r>
      <w:r w:rsidRPr="006B7C9C">
        <w:rPr>
          <w:rFonts w:ascii="Calibri" w:eastAsia="Calibri" w:hAnsi="Calibri" w:cs="Arial"/>
          <w:color w:val="002F5D"/>
        </w:rPr>
        <w:t xml:space="preserve"> has much </w:t>
      </w:r>
      <w:r w:rsidRPr="006B7C9C">
        <w:rPr>
          <w:rFonts w:ascii="Calibri" w:eastAsia="Calibri" w:hAnsi="Calibri" w:cs="Arial"/>
          <w:b/>
          <w:color w:val="002F5D"/>
        </w:rPr>
        <w:t>higher levels</w:t>
      </w:r>
      <w:r w:rsidRPr="006B7C9C">
        <w:rPr>
          <w:rFonts w:ascii="Calibri" w:eastAsia="Calibri" w:hAnsi="Calibri" w:cs="Arial"/>
          <w:color w:val="002F5D"/>
        </w:rPr>
        <w:t xml:space="preserve"> of income related deprivation than Cambridgeshire. Within Cambridgeshire, </w:t>
      </w:r>
      <w:r w:rsidRPr="006B7C9C">
        <w:rPr>
          <w:rFonts w:ascii="Calibri" w:eastAsia="Calibri" w:hAnsi="Calibri" w:cs="Arial"/>
          <w:b/>
          <w:color w:val="002F5D"/>
        </w:rPr>
        <w:t>Fenland</w:t>
      </w:r>
      <w:r w:rsidRPr="006B7C9C">
        <w:rPr>
          <w:rFonts w:ascii="Calibri" w:eastAsia="Calibri" w:hAnsi="Calibri" w:cs="Arial"/>
          <w:color w:val="002F5D"/>
        </w:rPr>
        <w:t xml:space="preserve"> has many more </w:t>
      </w:r>
      <w:r w:rsidRPr="006B7C9C">
        <w:rPr>
          <w:rFonts w:ascii="Calibri" w:eastAsia="Calibri" w:hAnsi="Calibri" w:cs="Arial"/>
          <w:b/>
          <w:color w:val="002F5D"/>
        </w:rPr>
        <w:t>deprived areas in terms of employment and income</w:t>
      </w:r>
      <w:r w:rsidRPr="006B7C9C">
        <w:rPr>
          <w:rFonts w:ascii="Calibri" w:eastAsia="Calibri" w:hAnsi="Calibri" w:cs="Arial"/>
          <w:color w:val="002F5D"/>
        </w:rPr>
        <w:t xml:space="preserve"> compared to the other districts. </w:t>
      </w:r>
    </w:p>
    <w:p w14:paraId="14E96CD4" w14:textId="77777777" w:rsidR="009810FA" w:rsidRPr="006B7C9C" w:rsidRDefault="009810FA" w:rsidP="009810FA">
      <w:pPr>
        <w:numPr>
          <w:ilvl w:val="0"/>
          <w:numId w:val="31"/>
        </w:numPr>
        <w:spacing w:line="240" w:lineRule="auto"/>
        <w:contextualSpacing/>
        <w:rPr>
          <w:rFonts w:ascii="Calibri" w:eastAsia="Calibri" w:hAnsi="Calibri" w:cs="Arial"/>
          <w:color w:val="002F5D"/>
        </w:rPr>
      </w:pPr>
      <w:r w:rsidRPr="006B7C9C">
        <w:rPr>
          <w:rFonts w:ascii="Calibri" w:eastAsia="Calibri" w:hAnsi="Calibri" w:cs="Arial"/>
          <w:color w:val="002F5D"/>
        </w:rPr>
        <w:t xml:space="preserve">Compared with England's average, </w:t>
      </w:r>
      <w:r w:rsidRPr="006B7C9C">
        <w:rPr>
          <w:rFonts w:ascii="Calibri" w:eastAsia="Calibri" w:hAnsi="Calibri" w:cs="Arial"/>
          <w:b/>
          <w:color w:val="002F5D"/>
        </w:rPr>
        <w:t>Cambridgeshire and Peterborough</w:t>
      </w:r>
      <w:r w:rsidRPr="006B7C9C">
        <w:rPr>
          <w:rFonts w:ascii="Calibri" w:eastAsia="Calibri" w:hAnsi="Calibri" w:cs="Arial"/>
          <w:color w:val="002F5D"/>
        </w:rPr>
        <w:t xml:space="preserve"> together has a statistically significantly </w:t>
      </w:r>
      <w:r w:rsidRPr="006B7C9C">
        <w:rPr>
          <w:rFonts w:ascii="Calibri" w:eastAsia="Calibri" w:hAnsi="Calibri" w:cs="Arial"/>
          <w:b/>
          <w:color w:val="002F5D"/>
        </w:rPr>
        <w:t>higher</w:t>
      </w:r>
      <w:r w:rsidRPr="006B7C9C">
        <w:rPr>
          <w:rFonts w:ascii="Calibri" w:eastAsia="Calibri" w:hAnsi="Calibri" w:cs="Arial"/>
          <w:color w:val="002F5D"/>
        </w:rPr>
        <w:t xml:space="preserve"> percentage of people </w:t>
      </w:r>
      <w:r w:rsidRPr="006B7C9C">
        <w:rPr>
          <w:rFonts w:ascii="Calibri" w:eastAsia="Calibri" w:hAnsi="Calibri" w:cs="Arial"/>
          <w:b/>
          <w:color w:val="002F5D"/>
        </w:rPr>
        <w:t>in employment</w:t>
      </w:r>
      <w:r w:rsidRPr="006B7C9C">
        <w:rPr>
          <w:rFonts w:ascii="Calibri" w:eastAsia="Calibri" w:hAnsi="Calibri" w:cs="Arial"/>
          <w:color w:val="002F5D"/>
        </w:rPr>
        <w:t xml:space="preserve">, with </w:t>
      </w:r>
      <w:r w:rsidRPr="006B7C9C">
        <w:rPr>
          <w:rFonts w:ascii="Calibri" w:eastAsia="Calibri" w:hAnsi="Calibri" w:cs="Arial"/>
          <w:b/>
          <w:color w:val="002F5D"/>
        </w:rPr>
        <w:t>Cambridgeshire’s</w:t>
      </w:r>
      <w:r w:rsidRPr="006B7C9C">
        <w:rPr>
          <w:rFonts w:ascii="Calibri" w:eastAsia="Calibri" w:hAnsi="Calibri" w:cs="Arial"/>
          <w:color w:val="002F5D"/>
        </w:rPr>
        <w:t xml:space="preserve"> rate significantly </w:t>
      </w:r>
      <w:r w:rsidRPr="006B7C9C">
        <w:rPr>
          <w:rFonts w:ascii="Calibri" w:eastAsia="Calibri" w:hAnsi="Calibri" w:cs="Arial"/>
          <w:b/>
          <w:color w:val="002F5D"/>
        </w:rPr>
        <w:t>higher</w:t>
      </w:r>
      <w:r w:rsidRPr="006B7C9C">
        <w:rPr>
          <w:rFonts w:ascii="Calibri" w:eastAsia="Calibri" w:hAnsi="Calibri" w:cs="Arial"/>
          <w:color w:val="002F5D"/>
        </w:rPr>
        <w:t xml:space="preserve"> and </w:t>
      </w:r>
      <w:r w:rsidRPr="006B7C9C">
        <w:rPr>
          <w:rFonts w:ascii="Calibri" w:eastAsia="Calibri" w:hAnsi="Calibri" w:cs="Arial"/>
          <w:b/>
          <w:color w:val="002F5D"/>
        </w:rPr>
        <w:t>Peterborough’s</w:t>
      </w:r>
      <w:r w:rsidRPr="006B7C9C">
        <w:rPr>
          <w:rFonts w:ascii="Calibri" w:eastAsia="Calibri" w:hAnsi="Calibri" w:cs="Arial"/>
          <w:color w:val="002F5D"/>
        </w:rPr>
        <w:t xml:space="preserve"> </w:t>
      </w:r>
      <w:r w:rsidRPr="006B7C9C">
        <w:rPr>
          <w:rFonts w:ascii="Calibri" w:eastAsia="Calibri" w:hAnsi="Calibri" w:cs="Arial"/>
          <w:b/>
          <w:color w:val="002F5D"/>
        </w:rPr>
        <w:t>below</w:t>
      </w:r>
      <w:r w:rsidRPr="006B7C9C">
        <w:rPr>
          <w:rFonts w:ascii="Calibri" w:eastAsia="Calibri" w:hAnsi="Calibri" w:cs="Arial"/>
          <w:color w:val="002F5D"/>
        </w:rPr>
        <w:t xml:space="preserve"> national levels.</w:t>
      </w:r>
    </w:p>
    <w:p w14:paraId="5A00D023" w14:textId="77777777" w:rsidR="009810FA" w:rsidRPr="006B7C9C" w:rsidRDefault="009810FA" w:rsidP="009810FA">
      <w:pPr>
        <w:numPr>
          <w:ilvl w:val="0"/>
          <w:numId w:val="31"/>
        </w:numPr>
        <w:spacing w:line="240" w:lineRule="auto"/>
        <w:contextualSpacing/>
        <w:rPr>
          <w:rFonts w:ascii="Calibri" w:eastAsia="Calibri" w:hAnsi="Calibri" w:cs="Arial"/>
          <w:color w:val="002F5D"/>
        </w:rPr>
      </w:pPr>
      <w:r w:rsidRPr="006B7C9C">
        <w:rPr>
          <w:rFonts w:ascii="Calibri" w:eastAsia="Calibri" w:hAnsi="Calibri" w:cs="Arial"/>
          <w:color w:val="002F5D"/>
        </w:rPr>
        <w:t xml:space="preserve">Within Cambridgeshire </w:t>
      </w:r>
      <w:r w:rsidRPr="006B7C9C">
        <w:rPr>
          <w:rFonts w:ascii="Calibri" w:eastAsia="Calibri" w:hAnsi="Calibri" w:cs="Arial"/>
          <w:b/>
          <w:color w:val="002F5D"/>
        </w:rPr>
        <w:t>employment rates</w:t>
      </w:r>
      <w:r w:rsidRPr="006B7C9C">
        <w:rPr>
          <w:rFonts w:ascii="Calibri" w:eastAsia="Calibri" w:hAnsi="Calibri" w:cs="Arial"/>
          <w:color w:val="002F5D"/>
        </w:rPr>
        <w:t xml:space="preserve"> in the </w:t>
      </w:r>
      <w:r w:rsidRPr="006B7C9C">
        <w:rPr>
          <w:rFonts w:ascii="Calibri" w:eastAsia="Calibri" w:hAnsi="Calibri" w:cs="Arial"/>
          <w:b/>
          <w:color w:val="002F5D"/>
        </w:rPr>
        <w:t>districts</w:t>
      </w:r>
      <w:r w:rsidRPr="006B7C9C">
        <w:rPr>
          <w:rFonts w:ascii="Calibri" w:eastAsia="Calibri" w:hAnsi="Calibri" w:cs="Arial"/>
          <w:color w:val="002F5D"/>
        </w:rPr>
        <w:t xml:space="preserve"> are statistically </w:t>
      </w:r>
      <w:r w:rsidRPr="006B7C9C">
        <w:rPr>
          <w:rFonts w:ascii="Calibri" w:eastAsia="Calibri" w:hAnsi="Calibri" w:cs="Arial"/>
          <w:b/>
          <w:color w:val="002F5D"/>
        </w:rPr>
        <w:t>better or similar</w:t>
      </w:r>
      <w:r w:rsidRPr="006B7C9C">
        <w:rPr>
          <w:rFonts w:ascii="Calibri" w:eastAsia="Calibri" w:hAnsi="Calibri" w:cs="Arial"/>
          <w:color w:val="002F5D"/>
        </w:rPr>
        <w:t xml:space="preserve"> to the national average, but rates are </w:t>
      </w:r>
      <w:r w:rsidRPr="006B7C9C">
        <w:rPr>
          <w:rFonts w:ascii="Calibri" w:eastAsia="Calibri" w:hAnsi="Calibri" w:cs="Arial"/>
          <w:b/>
          <w:color w:val="002F5D"/>
        </w:rPr>
        <w:t>lowest</w:t>
      </w:r>
      <w:r w:rsidRPr="006B7C9C">
        <w:rPr>
          <w:rFonts w:ascii="Calibri" w:eastAsia="Calibri" w:hAnsi="Calibri" w:cs="Arial"/>
          <w:color w:val="002F5D"/>
        </w:rPr>
        <w:t xml:space="preserve"> in </w:t>
      </w:r>
      <w:r w:rsidRPr="006B7C9C">
        <w:rPr>
          <w:rFonts w:ascii="Calibri" w:eastAsia="Calibri" w:hAnsi="Calibri" w:cs="Arial"/>
          <w:b/>
          <w:color w:val="002F5D"/>
        </w:rPr>
        <w:t>Cambridge City</w:t>
      </w:r>
      <w:r w:rsidRPr="006B7C9C">
        <w:rPr>
          <w:rFonts w:ascii="Calibri" w:eastAsia="Calibri" w:hAnsi="Calibri" w:cs="Arial"/>
          <w:color w:val="002F5D"/>
        </w:rPr>
        <w:t xml:space="preserve"> and </w:t>
      </w:r>
      <w:r w:rsidRPr="006B7C9C">
        <w:rPr>
          <w:rFonts w:ascii="Calibri" w:eastAsia="Calibri" w:hAnsi="Calibri" w:cs="Arial"/>
          <w:b/>
          <w:color w:val="002F5D"/>
        </w:rPr>
        <w:t>Fenland</w:t>
      </w:r>
      <w:r w:rsidRPr="006B7C9C">
        <w:rPr>
          <w:rFonts w:ascii="Calibri" w:eastAsia="Calibri" w:hAnsi="Calibri" w:cs="Arial"/>
          <w:color w:val="002F5D"/>
        </w:rPr>
        <w:t>.</w:t>
      </w:r>
    </w:p>
    <w:p w14:paraId="6C3DC7B9" w14:textId="77777777" w:rsidR="009810FA" w:rsidRPr="006B7C9C" w:rsidRDefault="009810FA" w:rsidP="009810FA">
      <w:pPr>
        <w:numPr>
          <w:ilvl w:val="0"/>
          <w:numId w:val="34"/>
        </w:numPr>
        <w:spacing w:line="240" w:lineRule="auto"/>
        <w:contextualSpacing/>
        <w:rPr>
          <w:rFonts w:ascii="Calibri" w:eastAsia="Calibri" w:hAnsi="Calibri" w:cs="Arial"/>
          <w:color w:val="002F5D"/>
        </w:rPr>
      </w:pPr>
      <w:r w:rsidRPr="006B7C9C">
        <w:rPr>
          <w:rFonts w:ascii="Calibri" w:eastAsia="Calibri" w:hAnsi="Calibri" w:cs="Arial"/>
          <w:color w:val="002F5D"/>
        </w:rPr>
        <w:t xml:space="preserve">The </w:t>
      </w:r>
      <w:r w:rsidRPr="006B7C9C">
        <w:rPr>
          <w:rFonts w:ascii="Calibri" w:eastAsia="Calibri" w:hAnsi="Calibri" w:cs="Arial"/>
          <w:b/>
          <w:color w:val="002F5D"/>
        </w:rPr>
        <w:t>gap in the employment rate</w:t>
      </w:r>
      <w:r w:rsidRPr="006B7C9C">
        <w:rPr>
          <w:rFonts w:ascii="Calibri" w:eastAsia="Calibri" w:hAnsi="Calibri" w:cs="Arial"/>
          <w:color w:val="002F5D"/>
        </w:rPr>
        <w:t xml:space="preserve"> between those with a </w:t>
      </w:r>
      <w:r w:rsidRPr="006B7C9C">
        <w:rPr>
          <w:rFonts w:ascii="Calibri" w:eastAsia="Calibri" w:hAnsi="Calibri" w:cs="Arial"/>
          <w:b/>
          <w:color w:val="002F5D"/>
        </w:rPr>
        <w:t>long-term health condition</w:t>
      </w:r>
      <w:r w:rsidRPr="006B7C9C">
        <w:rPr>
          <w:rFonts w:ascii="Calibri" w:eastAsia="Calibri" w:hAnsi="Calibri" w:cs="Arial"/>
          <w:color w:val="002F5D"/>
        </w:rPr>
        <w:t xml:space="preserve"> and the overall employment rate is </w:t>
      </w:r>
      <w:r w:rsidRPr="006B7C9C">
        <w:rPr>
          <w:rFonts w:ascii="Calibri" w:eastAsia="Calibri" w:hAnsi="Calibri" w:cs="Arial"/>
          <w:b/>
          <w:color w:val="002F5D"/>
        </w:rPr>
        <w:t>statistically similar</w:t>
      </w:r>
      <w:r w:rsidRPr="006B7C9C">
        <w:rPr>
          <w:rFonts w:ascii="Calibri" w:eastAsia="Calibri" w:hAnsi="Calibri" w:cs="Arial"/>
          <w:color w:val="002F5D"/>
        </w:rPr>
        <w:t xml:space="preserve"> </w:t>
      </w:r>
      <w:r>
        <w:rPr>
          <w:rFonts w:ascii="Calibri" w:eastAsia="Calibri" w:hAnsi="Calibri" w:cs="Arial"/>
          <w:color w:val="002F5D"/>
        </w:rPr>
        <w:t xml:space="preserve">to the national average </w:t>
      </w:r>
      <w:r w:rsidRPr="006B7C9C">
        <w:rPr>
          <w:rFonts w:ascii="Calibri" w:eastAsia="Calibri" w:hAnsi="Calibri" w:cs="Arial"/>
          <w:color w:val="002F5D"/>
        </w:rPr>
        <w:t xml:space="preserve">in </w:t>
      </w:r>
      <w:r w:rsidRPr="006B7C9C">
        <w:rPr>
          <w:rFonts w:ascii="Calibri" w:eastAsia="Calibri" w:hAnsi="Calibri" w:cs="Arial"/>
          <w:b/>
          <w:color w:val="002F5D"/>
        </w:rPr>
        <w:t>Cambridgeshire and Peterborough</w:t>
      </w:r>
      <w:r w:rsidRPr="006B7C9C">
        <w:rPr>
          <w:rFonts w:ascii="Calibri" w:eastAsia="Calibri" w:hAnsi="Calibri" w:cs="Arial"/>
          <w:color w:val="002F5D"/>
        </w:rPr>
        <w:t xml:space="preserve"> combined and independently. At </w:t>
      </w:r>
      <w:r>
        <w:rPr>
          <w:rFonts w:ascii="Calibri" w:eastAsia="Calibri" w:hAnsi="Calibri" w:cs="Arial"/>
          <w:color w:val="002F5D"/>
        </w:rPr>
        <w:t xml:space="preserve">a </w:t>
      </w:r>
      <w:r w:rsidRPr="006B7C9C">
        <w:rPr>
          <w:rFonts w:ascii="Calibri" w:eastAsia="Calibri" w:hAnsi="Calibri" w:cs="Arial"/>
          <w:color w:val="002F5D"/>
        </w:rPr>
        <w:t xml:space="preserve">district level </w:t>
      </w:r>
      <w:r w:rsidRPr="006B7C9C">
        <w:rPr>
          <w:rFonts w:ascii="Calibri" w:eastAsia="Calibri" w:hAnsi="Calibri" w:cs="Arial"/>
          <w:b/>
          <w:color w:val="002F5D"/>
        </w:rPr>
        <w:t xml:space="preserve">Cambridge </w:t>
      </w:r>
      <w:r w:rsidRPr="006B7C9C">
        <w:rPr>
          <w:rFonts w:ascii="Calibri" w:eastAsia="Calibri" w:hAnsi="Calibri" w:cs="Arial"/>
          <w:color w:val="002F5D"/>
        </w:rPr>
        <w:t>has a</w:t>
      </w:r>
      <w:r w:rsidRPr="006B7C9C">
        <w:rPr>
          <w:rFonts w:ascii="Calibri" w:eastAsia="Calibri" w:hAnsi="Calibri" w:cs="Arial"/>
          <w:b/>
          <w:color w:val="002F5D"/>
        </w:rPr>
        <w:t xml:space="preserve"> </w:t>
      </w:r>
      <w:r w:rsidRPr="006B7C9C">
        <w:rPr>
          <w:rFonts w:ascii="Calibri" w:eastAsia="Calibri" w:hAnsi="Calibri" w:cs="Arial"/>
          <w:color w:val="002F5D"/>
        </w:rPr>
        <w:t xml:space="preserve">statistically significantly </w:t>
      </w:r>
      <w:r w:rsidRPr="006B7C9C">
        <w:rPr>
          <w:rFonts w:ascii="Calibri" w:eastAsia="Calibri" w:hAnsi="Calibri" w:cs="Arial"/>
          <w:b/>
          <w:color w:val="002F5D"/>
        </w:rPr>
        <w:t>high (worse)</w:t>
      </w:r>
      <w:r w:rsidRPr="006B7C9C">
        <w:rPr>
          <w:rFonts w:ascii="Calibri" w:eastAsia="Calibri" w:hAnsi="Calibri" w:cs="Arial"/>
          <w:color w:val="002F5D"/>
        </w:rPr>
        <w:t xml:space="preserve"> gap.</w:t>
      </w:r>
    </w:p>
    <w:p w14:paraId="1923EB76" w14:textId="77777777" w:rsidR="009810FA" w:rsidRDefault="009810FA" w:rsidP="009810FA">
      <w:pPr>
        <w:numPr>
          <w:ilvl w:val="0"/>
          <w:numId w:val="34"/>
        </w:numPr>
        <w:spacing w:line="240" w:lineRule="auto"/>
        <w:contextualSpacing/>
        <w:rPr>
          <w:rFonts w:ascii="Calibri" w:eastAsia="Calibri" w:hAnsi="Calibri" w:cs="Arial"/>
          <w:color w:val="002F5D"/>
        </w:rPr>
      </w:pPr>
      <w:r w:rsidRPr="006B7C9C">
        <w:rPr>
          <w:rFonts w:ascii="Calibri" w:eastAsia="Calibri" w:hAnsi="Calibri" w:cs="Arial"/>
          <w:color w:val="002F5D"/>
        </w:rPr>
        <w:t xml:space="preserve">Rates of </w:t>
      </w:r>
      <w:r w:rsidRPr="006B7C9C">
        <w:rPr>
          <w:rFonts w:ascii="Calibri" w:eastAsia="Calibri" w:hAnsi="Calibri" w:cs="Arial"/>
          <w:b/>
          <w:color w:val="002F5D"/>
        </w:rPr>
        <w:t>Employment Support Allowance (ESA</w:t>
      </w:r>
      <w:r w:rsidRPr="006B7C9C">
        <w:rPr>
          <w:rFonts w:ascii="Calibri" w:eastAsia="Calibri" w:hAnsi="Calibri" w:cs="Arial"/>
          <w:color w:val="002F5D"/>
        </w:rPr>
        <w:t xml:space="preserve">) claimants for </w:t>
      </w:r>
      <w:r w:rsidRPr="006B7C9C">
        <w:rPr>
          <w:rFonts w:ascii="Calibri" w:eastAsia="Calibri" w:hAnsi="Calibri" w:cs="Arial"/>
          <w:b/>
          <w:color w:val="002F5D"/>
        </w:rPr>
        <w:t>mental and behavioural disorders</w:t>
      </w:r>
      <w:r w:rsidRPr="006B7C9C">
        <w:rPr>
          <w:rFonts w:ascii="Calibri" w:eastAsia="Calibri" w:hAnsi="Calibri" w:cs="Arial"/>
          <w:color w:val="002F5D"/>
        </w:rPr>
        <w:t xml:space="preserve"> are statistically significantly </w:t>
      </w:r>
      <w:r w:rsidRPr="006B7C9C">
        <w:rPr>
          <w:rFonts w:ascii="Calibri" w:eastAsia="Calibri" w:hAnsi="Calibri" w:cs="Arial"/>
          <w:b/>
          <w:color w:val="002F5D"/>
        </w:rPr>
        <w:t>higher</w:t>
      </w:r>
      <w:r w:rsidRPr="006B7C9C">
        <w:rPr>
          <w:rFonts w:ascii="Calibri" w:eastAsia="Calibri" w:hAnsi="Calibri" w:cs="Arial"/>
          <w:color w:val="002F5D"/>
        </w:rPr>
        <w:t xml:space="preserve"> than the national average in </w:t>
      </w:r>
      <w:r w:rsidRPr="006B7C9C">
        <w:rPr>
          <w:rFonts w:ascii="Calibri" w:eastAsia="Calibri" w:hAnsi="Calibri" w:cs="Arial"/>
          <w:b/>
          <w:color w:val="002F5D"/>
        </w:rPr>
        <w:t>Peterborough</w:t>
      </w:r>
      <w:r w:rsidRPr="006B7C9C">
        <w:rPr>
          <w:rFonts w:ascii="Calibri" w:eastAsia="Calibri" w:hAnsi="Calibri" w:cs="Arial"/>
          <w:color w:val="002F5D"/>
        </w:rPr>
        <w:t xml:space="preserve">, but </w:t>
      </w:r>
      <w:r w:rsidRPr="00C56219">
        <w:rPr>
          <w:rFonts w:ascii="Calibri" w:eastAsia="Calibri" w:hAnsi="Calibri" w:cs="Arial"/>
          <w:b/>
          <w:color w:val="002F5D"/>
        </w:rPr>
        <w:t>lower</w:t>
      </w:r>
      <w:r w:rsidRPr="00C56219">
        <w:rPr>
          <w:rFonts w:ascii="Calibri" w:eastAsia="Calibri" w:hAnsi="Calibri" w:cs="Arial"/>
          <w:color w:val="002F5D"/>
        </w:rPr>
        <w:t xml:space="preserve"> in </w:t>
      </w:r>
      <w:r w:rsidRPr="00C56219">
        <w:rPr>
          <w:rFonts w:ascii="Calibri" w:eastAsia="Calibri" w:hAnsi="Calibri" w:cs="Arial"/>
          <w:b/>
          <w:color w:val="002F5D"/>
        </w:rPr>
        <w:t>Cambridgeshire</w:t>
      </w:r>
      <w:r w:rsidRPr="00C56219">
        <w:rPr>
          <w:rFonts w:ascii="Calibri" w:eastAsia="Calibri" w:hAnsi="Calibri" w:cs="Arial"/>
          <w:color w:val="002F5D"/>
        </w:rPr>
        <w:t xml:space="preserve"> and all districts except </w:t>
      </w:r>
      <w:r w:rsidRPr="00C56219">
        <w:rPr>
          <w:rFonts w:ascii="Calibri" w:eastAsia="Calibri" w:hAnsi="Calibri" w:cs="Arial"/>
          <w:b/>
          <w:color w:val="002F5D"/>
        </w:rPr>
        <w:t>Fenland</w:t>
      </w:r>
      <w:r w:rsidRPr="00C56219">
        <w:rPr>
          <w:rFonts w:ascii="Calibri" w:eastAsia="Calibri" w:hAnsi="Calibri" w:cs="Arial"/>
          <w:color w:val="002F5D"/>
        </w:rPr>
        <w:t xml:space="preserve">, where is it </w:t>
      </w:r>
      <w:r w:rsidRPr="00C56219">
        <w:rPr>
          <w:rFonts w:ascii="Calibri" w:eastAsia="Calibri" w:hAnsi="Calibri" w:cs="Arial"/>
          <w:b/>
          <w:color w:val="002F5D"/>
        </w:rPr>
        <w:t>similar</w:t>
      </w:r>
      <w:r w:rsidRPr="00C56219">
        <w:rPr>
          <w:rFonts w:ascii="Calibri" w:eastAsia="Calibri" w:hAnsi="Calibri" w:cs="Arial"/>
          <w:color w:val="002F5D"/>
        </w:rPr>
        <w:t>.</w:t>
      </w:r>
    </w:p>
    <w:p w14:paraId="120CCD09" w14:textId="5066A28D" w:rsidR="009810FA" w:rsidRDefault="009810FA" w:rsidP="009810FA">
      <w:pPr>
        <w:spacing w:line="240" w:lineRule="auto"/>
        <w:ind w:left="720"/>
        <w:contextualSpacing/>
        <w:rPr>
          <w:rFonts w:ascii="Calibri" w:eastAsia="Calibri" w:hAnsi="Calibri" w:cs="Arial"/>
          <w:color w:val="002F5D"/>
        </w:rPr>
      </w:pPr>
    </w:p>
    <w:p w14:paraId="0C76DC09" w14:textId="7D59681D" w:rsidR="00996925" w:rsidRDefault="00996925" w:rsidP="009810FA">
      <w:pPr>
        <w:spacing w:line="240" w:lineRule="auto"/>
        <w:ind w:left="720"/>
        <w:contextualSpacing/>
        <w:rPr>
          <w:rFonts w:ascii="Calibri" w:eastAsia="Calibri" w:hAnsi="Calibri" w:cs="Arial"/>
          <w:color w:val="002F5D"/>
        </w:rPr>
      </w:pPr>
    </w:p>
    <w:p w14:paraId="69FC2275" w14:textId="77777777" w:rsidR="00996925" w:rsidRPr="00C56219" w:rsidRDefault="00996925" w:rsidP="009810FA">
      <w:pPr>
        <w:spacing w:line="240" w:lineRule="auto"/>
        <w:ind w:left="720"/>
        <w:contextualSpacing/>
        <w:rPr>
          <w:rFonts w:ascii="Calibri" w:eastAsia="Calibri" w:hAnsi="Calibri" w:cs="Arial"/>
          <w:color w:val="002F5D"/>
        </w:rPr>
      </w:pPr>
    </w:p>
    <w:p w14:paraId="10228A78" w14:textId="77777777" w:rsidR="009810FA" w:rsidRDefault="009810FA" w:rsidP="009810FA">
      <w:pPr>
        <w:spacing w:line="240" w:lineRule="auto"/>
        <w:rPr>
          <w:rFonts w:ascii="Calibri" w:eastAsia="Calibri" w:hAnsi="Calibri" w:cs="Arial"/>
          <w:b/>
          <w:color w:val="002F5D"/>
        </w:rPr>
      </w:pPr>
      <w:r w:rsidRPr="00C56219">
        <w:rPr>
          <w:rFonts w:ascii="Calibri" w:eastAsia="Calibri" w:hAnsi="Calibri" w:cs="Arial"/>
          <w:b/>
          <w:color w:val="002F5D"/>
        </w:rPr>
        <w:lastRenderedPageBreak/>
        <w:t>Other wider determinants</w:t>
      </w:r>
    </w:p>
    <w:p w14:paraId="1826D9EA" w14:textId="77777777" w:rsidR="009810FA" w:rsidRPr="004434DA" w:rsidRDefault="009810FA" w:rsidP="009810FA">
      <w:pPr>
        <w:pStyle w:val="ListParagraph"/>
        <w:numPr>
          <w:ilvl w:val="0"/>
          <w:numId w:val="87"/>
        </w:numPr>
        <w:spacing w:line="240" w:lineRule="auto"/>
        <w:rPr>
          <w:b/>
          <w:color w:val="002F5D"/>
        </w:rPr>
      </w:pPr>
      <w:r w:rsidRPr="004434DA">
        <w:rPr>
          <w:color w:val="002F5D"/>
        </w:rPr>
        <w:t xml:space="preserve">The rate of the </w:t>
      </w:r>
      <w:r w:rsidRPr="004434DA">
        <w:rPr>
          <w:b/>
          <w:color w:val="002F5D"/>
        </w:rPr>
        <w:t>density of fast food outlets</w:t>
      </w:r>
      <w:r w:rsidRPr="004434DA">
        <w:rPr>
          <w:color w:val="002F5D"/>
        </w:rPr>
        <w:t xml:space="preserve"> in </w:t>
      </w:r>
      <w:r w:rsidRPr="004434DA">
        <w:rPr>
          <w:b/>
          <w:color w:val="002F5D"/>
        </w:rPr>
        <w:t>Cambridgeshire and Peterborough</w:t>
      </w:r>
      <w:r w:rsidRPr="004434DA">
        <w:rPr>
          <w:color w:val="002F5D"/>
        </w:rPr>
        <w:t xml:space="preserve"> combined is numerically </w:t>
      </w:r>
      <w:r w:rsidRPr="004434DA">
        <w:rPr>
          <w:b/>
          <w:color w:val="002F5D"/>
        </w:rPr>
        <w:t>lower</w:t>
      </w:r>
      <w:r w:rsidRPr="004434DA">
        <w:rPr>
          <w:color w:val="002F5D"/>
        </w:rPr>
        <w:t xml:space="preserve"> than the England average.  Density levels are </w:t>
      </w:r>
      <w:r w:rsidRPr="004434DA">
        <w:rPr>
          <w:b/>
          <w:color w:val="002F5D"/>
        </w:rPr>
        <w:t>highest</w:t>
      </w:r>
      <w:r w:rsidRPr="004434DA">
        <w:rPr>
          <w:color w:val="002F5D"/>
        </w:rPr>
        <w:t xml:space="preserve"> in </w:t>
      </w:r>
      <w:r w:rsidRPr="004434DA">
        <w:rPr>
          <w:b/>
          <w:color w:val="002F5D"/>
        </w:rPr>
        <w:t>Peterborough</w:t>
      </w:r>
      <w:r w:rsidRPr="004434DA">
        <w:rPr>
          <w:color w:val="002F5D"/>
        </w:rPr>
        <w:t xml:space="preserve">, </w:t>
      </w:r>
      <w:r w:rsidRPr="004434DA">
        <w:rPr>
          <w:b/>
          <w:color w:val="002F5D"/>
        </w:rPr>
        <w:t>Cambridge</w:t>
      </w:r>
      <w:r w:rsidRPr="004434DA">
        <w:rPr>
          <w:color w:val="002F5D"/>
        </w:rPr>
        <w:t xml:space="preserve"> and </w:t>
      </w:r>
      <w:r w:rsidRPr="004434DA">
        <w:rPr>
          <w:b/>
          <w:color w:val="002F5D"/>
        </w:rPr>
        <w:t>Fenland</w:t>
      </w:r>
      <w:r w:rsidRPr="004434DA">
        <w:rPr>
          <w:color w:val="002F5D"/>
        </w:rPr>
        <w:t xml:space="preserve">, but are statistically </w:t>
      </w:r>
      <w:r w:rsidRPr="004434DA">
        <w:rPr>
          <w:b/>
          <w:color w:val="002F5D"/>
        </w:rPr>
        <w:t>similar</w:t>
      </w:r>
      <w:r w:rsidRPr="004434DA">
        <w:rPr>
          <w:color w:val="002F5D"/>
        </w:rPr>
        <w:t xml:space="preserve"> to </w:t>
      </w:r>
      <w:r w:rsidRPr="004434DA">
        <w:rPr>
          <w:b/>
          <w:color w:val="002F5D"/>
        </w:rPr>
        <w:t>nationally</w:t>
      </w:r>
      <w:r w:rsidRPr="004434DA">
        <w:rPr>
          <w:color w:val="002F5D"/>
        </w:rPr>
        <w:t xml:space="preserve">. </w:t>
      </w:r>
      <w:r w:rsidRPr="004434DA">
        <w:rPr>
          <w:b/>
          <w:color w:val="002F5D"/>
        </w:rPr>
        <w:t>Cambridgeshire’s</w:t>
      </w:r>
      <w:r w:rsidRPr="004434DA">
        <w:rPr>
          <w:color w:val="002F5D"/>
        </w:rPr>
        <w:t xml:space="preserve"> rate is significantly </w:t>
      </w:r>
      <w:r w:rsidRPr="004434DA">
        <w:rPr>
          <w:b/>
          <w:color w:val="002F5D"/>
        </w:rPr>
        <w:t>lower</w:t>
      </w:r>
      <w:r w:rsidRPr="004434DA">
        <w:rPr>
          <w:color w:val="002F5D"/>
        </w:rPr>
        <w:t xml:space="preserve"> (better) than England’s. </w:t>
      </w:r>
    </w:p>
    <w:p w14:paraId="2582A1F4" w14:textId="77777777" w:rsidR="009810FA" w:rsidRPr="00C56219" w:rsidRDefault="009810FA" w:rsidP="009810FA">
      <w:pPr>
        <w:numPr>
          <w:ilvl w:val="0"/>
          <w:numId w:val="35"/>
        </w:numPr>
        <w:spacing w:line="240" w:lineRule="auto"/>
        <w:contextualSpacing/>
        <w:rPr>
          <w:rFonts w:ascii="Calibri" w:eastAsia="Calibri" w:hAnsi="Calibri" w:cs="Arial"/>
          <w:color w:val="002F5D"/>
        </w:rPr>
      </w:pPr>
      <w:r w:rsidRPr="00C56219">
        <w:rPr>
          <w:rFonts w:ascii="Calibri" w:eastAsia="Calibri" w:hAnsi="Calibri" w:cs="Arial"/>
          <w:color w:val="002F5D"/>
        </w:rPr>
        <w:t xml:space="preserve">The </w:t>
      </w:r>
      <w:r w:rsidRPr="00C56219">
        <w:rPr>
          <w:rFonts w:ascii="Calibri" w:eastAsia="Calibri" w:hAnsi="Calibri" w:cs="Arial"/>
          <w:b/>
          <w:color w:val="002F5D"/>
        </w:rPr>
        <w:t>household overcrowding</w:t>
      </w:r>
      <w:r w:rsidRPr="00C56219">
        <w:rPr>
          <w:rFonts w:ascii="Calibri" w:eastAsia="Calibri" w:hAnsi="Calibri" w:cs="Arial"/>
          <w:color w:val="002F5D"/>
        </w:rPr>
        <w:t xml:space="preserve"> rate is numerically </w:t>
      </w:r>
      <w:r w:rsidRPr="00C56219">
        <w:rPr>
          <w:rFonts w:ascii="Calibri" w:eastAsia="Calibri" w:hAnsi="Calibri" w:cs="Arial"/>
          <w:b/>
          <w:color w:val="002F5D"/>
        </w:rPr>
        <w:t>lower</w:t>
      </w:r>
      <w:r w:rsidRPr="00C56219">
        <w:rPr>
          <w:rFonts w:ascii="Calibri" w:eastAsia="Calibri" w:hAnsi="Calibri" w:cs="Arial"/>
          <w:color w:val="002F5D"/>
        </w:rPr>
        <w:t xml:space="preserve"> than nationally in </w:t>
      </w:r>
      <w:r w:rsidRPr="00C56219">
        <w:rPr>
          <w:rFonts w:ascii="Calibri" w:eastAsia="Calibri" w:hAnsi="Calibri" w:cs="Arial"/>
          <w:b/>
          <w:color w:val="002F5D"/>
        </w:rPr>
        <w:t>Cambridgeshire and Peterborough</w:t>
      </w:r>
      <w:r w:rsidRPr="00C56219">
        <w:rPr>
          <w:rFonts w:ascii="Calibri" w:eastAsia="Calibri" w:hAnsi="Calibri" w:cs="Arial"/>
          <w:color w:val="002F5D"/>
        </w:rPr>
        <w:t xml:space="preserve"> as a whole. </w:t>
      </w:r>
      <w:r w:rsidRPr="00C56219">
        <w:rPr>
          <w:rFonts w:ascii="Calibri" w:eastAsia="Calibri" w:hAnsi="Calibri" w:cs="Arial"/>
          <w:b/>
          <w:color w:val="002F5D"/>
        </w:rPr>
        <w:t>Peterborough</w:t>
      </w:r>
      <w:r w:rsidRPr="00C56219">
        <w:rPr>
          <w:rFonts w:ascii="Calibri" w:eastAsia="Calibri" w:hAnsi="Calibri" w:cs="Arial"/>
          <w:color w:val="002F5D"/>
        </w:rPr>
        <w:t xml:space="preserve"> and </w:t>
      </w:r>
      <w:r w:rsidRPr="00C56219">
        <w:rPr>
          <w:rFonts w:ascii="Calibri" w:eastAsia="Calibri" w:hAnsi="Calibri" w:cs="Arial"/>
          <w:b/>
          <w:color w:val="002F5D"/>
        </w:rPr>
        <w:t>Cambridge</w:t>
      </w:r>
      <w:r w:rsidRPr="00C56219">
        <w:rPr>
          <w:rFonts w:ascii="Calibri" w:eastAsia="Calibri" w:hAnsi="Calibri" w:cs="Arial"/>
          <w:color w:val="002F5D"/>
        </w:rPr>
        <w:t xml:space="preserve"> though have statistically </w:t>
      </w:r>
      <w:r w:rsidRPr="00C56219">
        <w:rPr>
          <w:rFonts w:ascii="Calibri" w:eastAsia="Calibri" w:hAnsi="Calibri" w:cs="Arial"/>
          <w:b/>
          <w:color w:val="002F5D"/>
        </w:rPr>
        <w:t>higher</w:t>
      </w:r>
      <w:r w:rsidRPr="00C56219">
        <w:rPr>
          <w:rFonts w:ascii="Calibri" w:eastAsia="Calibri" w:hAnsi="Calibri" w:cs="Arial"/>
          <w:color w:val="002F5D"/>
        </w:rPr>
        <w:t xml:space="preserve"> levels of household overcrowding than found on average in England.</w:t>
      </w:r>
    </w:p>
    <w:p w14:paraId="1F8BCD1B" w14:textId="77777777" w:rsidR="009810FA" w:rsidRPr="00C56219" w:rsidRDefault="009810FA" w:rsidP="009810FA">
      <w:pPr>
        <w:numPr>
          <w:ilvl w:val="0"/>
          <w:numId w:val="35"/>
        </w:numPr>
        <w:spacing w:line="240" w:lineRule="auto"/>
        <w:contextualSpacing/>
        <w:rPr>
          <w:rFonts w:ascii="Calibri" w:eastAsia="Calibri" w:hAnsi="Calibri" w:cs="Arial"/>
          <w:color w:val="002F5D"/>
        </w:rPr>
      </w:pPr>
      <w:r w:rsidRPr="00C56219">
        <w:rPr>
          <w:rFonts w:ascii="Calibri" w:eastAsia="Calibri" w:hAnsi="Calibri" w:cs="Arial"/>
          <w:b/>
          <w:color w:val="002F5D"/>
        </w:rPr>
        <w:t>Cambridgeshire and Peterborough</w:t>
      </w:r>
      <w:r w:rsidRPr="00C56219">
        <w:rPr>
          <w:rFonts w:ascii="Calibri" w:eastAsia="Calibri" w:hAnsi="Calibri" w:cs="Arial"/>
          <w:color w:val="002F5D"/>
        </w:rPr>
        <w:t xml:space="preserve"> as a whole, </w:t>
      </w:r>
      <w:r w:rsidRPr="00C56219">
        <w:rPr>
          <w:rFonts w:ascii="Calibri" w:eastAsia="Calibri" w:hAnsi="Calibri" w:cs="Arial"/>
          <w:b/>
          <w:color w:val="002F5D"/>
        </w:rPr>
        <w:t>Cambridgeshire</w:t>
      </w:r>
      <w:r w:rsidRPr="00C56219">
        <w:rPr>
          <w:rFonts w:ascii="Calibri" w:eastAsia="Calibri" w:hAnsi="Calibri" w:cs="Arial"/>
          <w:color w:val="002F5D"/>
        </w:rPr>
        <w:t xml:space="preserve"> and </w:t>
      </w:r>
      <w:r w:rsidRPr="00C56219">
        <w:rPr>
          <w:rFonts w:ascii="Calibri" w:eastAsia="Calibri" w:hAnsi="Calibri" w:cs="Arial"/>
          <w:b/>
          <w:color w:val="002F5D"/>
        </w:rPr>
        <w:t>most districts</w:t>
      </w:r>
      <w:r w:rsidRPr="00C56219">
        <w:rPr>
          <w:rFonts w:ascii="Calibri" w:eastAsia="Calibri" w:hAnsi="Calibri" w:cs="Arial"/>
          <w:color w:val="002F5D"/>
        </w:rPr>
        <w:t xml:space="preserve"> have statistically </w:t>
      </w:r>
      <w:r w:rsidRPr="00C56219">
        <w:rPr>
          <w:rFonts w:ascii="Calibri" w:eastAsia="Calibri" w:hAnsi="Calibri" w:cs="Arial"/>
          <w:b/>
          <w:color w:val="002F5D"/>
        </w:rPr>
        <w:t>lower</w:t>
      </w:r>
      <w:r w:rsidRPr="00C56219">
        <w:rPr>
          <w:rFonts w:ascii="Calibri" w:eastAsia="Calibri" w:hAnsi="Calibri" w:cs="Arial"/>
          <w:color w:val="002F5D"/>
        </w:rPr>
        <w:t xml:space="preserve"> rates of </w:t>
      </w:r>
      <w:r w:rsidRPr="00C56219">
        <w:rPr>
          <w:rFonts w:ascii="Calibri" w:eastAsia="Calibri" w:hAnsi="Calibri" w:cs="Arial"/>
          <w:b/>
          <w:color w:val="002F5D"/>
        </w:rPr>
        <w:t>unpaid carers</w:t>
      </w:r>
      <w:r w:rsidRPr="00C56219">
        <w:rPr>
          <w:rFonts w:ascii="Calibri" w:eastAsia="Calibri" w:hAnsi="Calibri" w:cs="Arial"/>
          <w:color w:val="002F5D"/>
        </w:rPr>
        <w:t xml:space="preserve"> than found nationally. However, </w:t>
      </w:r>
      <w:r w:rsidRPr="00C56219">
        <w:rPr>
          <w:rFonts w:ascii="Calibri" w:eastAsia="Calibri" w:hAnsi="Calibri" w:cs="Arial"/>
          <w:b/>
          <w:color w:val="002F5D"/>
        </w:rPr>
        <w:t>Peterborough’s</w:t>
      </w:r>
      <w:r w:rsidRPr="00C56219">
        <w:rPr>
          <w:rFonts w:ascii="Calibri" w:eastAsia="Calibri" w:hAnsi="Calibri" w:cs="Arial"/>
          <w:color w:val="002F5D"/>
        </w:rPr>
        <w:t xml:space="preserve"> rate is </w:t>
      </w:r>
      <w:r w:rsidRPr="00C56219">
        <w:rPr>
          <w:rFonts w:ascii="Calibri" w:eastAsia="Calibri" w:hAnsi="Calibri" w:cs="Arial"/>
          <w:b/>
          <w:color w:val="002F5D"/>
        </w:rPr>
        <w:t>similar</w:t>
      </w:r>
      <w:r w:rsidRPr="00C56219">
        <w:rPr>
          <w:rFonts w:ascii="Calibri" w:eastAsia="Calibri" w:hAnsi="Calibri" w:cs="Arial"/>
          <w:color w:val="002F5D"/>
        </w:rPr>
        <w:t xml:space="preserve"> to the England rate and </w:t>
      </w:r>
      <w:r w:rsidRPr="00C56219">
        <w:rPr>
          <w:rFonts w:ascii="Calibri" w:eastAsia="Calibri" w:hAnsi="Calibri" w:cs="Arial"/>
          <w:b/>
          <w:color w:val="002F5D"/>
        </w:rPr>
        <w:t>Fenland</w:t>
      </w:r>
      <w:r w:rsidRPr="00C56219">
        <w:rPr>
          <w:rFonts w:ascii="Calibri" w:eastAsia="Calibri" w:hAnsi="Calibri" w:cs="Arial"/>
          <w:color w:val="002F5D"/>
        </w:rPr>
        <w:t xml:space="preserve"> has a statistically </w:t>
      </w:r>
      <w:r w:rsidRPr="00C56219">
        <w:rPr>
          <w:rFonts w:ascii="Calibri" w:eastAsia="Calibri" w:hAnsi="Calibri" w:cs="Arial"/>
          <w:b/>
          <w:color w:val="002F5D"/>
        </w:rPr>
        <w:t>higher</w:t>
      </w:r>
      <w:r w:rsidRPr="00C56219">
        <w:rPr>
          <w:rFonts w:ascii="Calibri" w:eastAsia="Calibri" w:hAnsi="Calibri" w:cs="Arial"/>
          <w:color w:val="002F5D"/>
        </w:rPr>
        <w:t xml:space="preserve"> level of unpaid carers than England and Cambridgeshire collectively.</w:t>
      </w:r>
    </w:p>
    <w:p w14:paraId="514858E1" w14:textId="77777777" w:rsidR="009810FA" w:rsidRPr="0022024E" w:rsidRDefault="00E80CFE" w:rsidP="009810FA">
      <w:pPr>
        <w:spacing w:line="240" w:lineRule="auto"/>
        <w:rPr>
          <w:rFonts w:ascii="Calibri" w:eastAsia="Calibri" w:hAnsi="Calibri" w:cs="Arial"/>
          <w:b/>
          <w:color w:val="FF0000"/>
        </w:rPr>
      </w:pPr>
      <w:r>
        <w:rPr>
          <w:rFonts w:ascii="Calibri" w:eastAsia="Calibri" w:hAnsi="Calibri" w:cs="Arial"/>
          <w:b/>
          <w:color w:val="FF0000"/>
        </w:rPr>
        <w:pict w14:anchorId="6546C24C">
          <v:rect id="_x0000_i1026" style="width:0;height:1.5pt" o:hralign="center" o:hrstd="t" o:hr="t" fillcolor="#a0a0a0" stroked="f"/>
        </w:pict>
      </w:r>
    </w:p>
    <w:p w14:paraId="5F8681EF" w14:textId="77777777" w:rsidR="009810FA" w:rsidRPr="0022024E" w:rsidRDefault="009810FA" w:rsidP="009810FA">
      <w:pPr>
        <w:spacing w:line="276" w:lineRule="auto"/>
        <w:rPr>
          <w:rFonts w:ascii="Calibri" w:eastAsia="Calibri" w:hAnsi="Calibri" w:cs="Arial"/>
          <w:b/>
          <w:color w:val="FF0000"/>
        </w:rPr>
      </w:pPr>
    </w:p>
    <w:p w14:paraId="463391A1" w14:textId="77777777" w:rsidR="009810FA" w:rsidRDefault="009810FA" w:rsidP="009810FA">
      <w:pPr>
        <w:spacing w:line="276" w:lineRule="auto"/>
        <w:rPr>
          <w:rFonts w:ascii="Calibri" w:eastAsia="Calibri" w:hAnsi="Calibri" w:cs="Arial"/>
          <w:b/>
          <w:color w:val="002F5D"/>
        </w:rPr>
      </w:pPr>
      <w:r w:rsidRPr="00C908E2">
        <w:rPr>
          <w:rFonts w:ascii="Calibri" w:eastAsia="Calibri" w:hAnsi="Calibri" w:cs="Arial"/>
          <w:b/>
          <w:color w:val="002F5D"/>
        </w:rPr>
        <w:t>LIFESTYLES</w:t>
      </w:r>
      <w:r>
        <w:rPr>
          <w:rFonts w:ascii="Calibri" w:eastAsia="Calibri" w:hAnsi="Calibri" w:cs="Arial"/>
          <w:b/>
          <w:color w:val="002F5D"/>
        </w:rPr>
        <w:t>,</w:t>
      </w:r>
      <w:r w:rsidRPr="00C908E2">
        <w:rPr>
          <w:rFonts w:ascii="Calibri" w:eastAsia="Calibri" w:hAnsi="Calibri" w:cs="Arial"/>
          <w:b/>
          <w:color w:val="002F5D"/>
        </w:rPr>
        <w:t xml:space="preserve"> RISK FACTORS</w:t>
      </w:r>
      <w:r>
        <w:rPr>
          <w:rFonts w:ascii="Calibri" w:eastAsia="Calibri" w:hAnsi="Calibri" w:cs="Arial"/>
          <w:b/>
          <w:color w:val="002F5D"/>
        </w:rPr>
        <w:t xml:space="preserve"> AND HEALTH AND WELLBEING</w:t>
      </w:r>
    </w:p>
    <w:p w14:paraId="4366A53B" w14:textId="77777777" w:rsidR="009810FA" w:rsidRDefault="009810FA" w:rsidP="009810FA">
      <w:pPr>
        <w:spacing w:before="120" w:line="240" w:lineRule="auto"/>
        <w:rPr>
          <w:rFonts w:ascii="Calibri" w:eastAsia="Calibri" w:hAnsi="Calibri" w:cs="Arial"/>
          <w:b/>
          <w:color w:val="002F5D"/>
        </w:rPr>
      </w:pPr>
      <w:r w:rsidRPr="00C908E2">
        <w:rPr>
          <w:rFonts w:ascii="Calibri" w:eastAsia="Calibri" w:hAnsi="Calibri" w:cs="Arial"/>
          <w:b/>
          <w:color w:val="002F5D"/>
        </w:rPr>
        <w:t>Excess weight and physical activity</w:t>
      </w:r>
    </w:p>
    <w:p w14:paraId="53DD96CF" w14:textId="77777777" w:rsidR="009810FA" w:rsidRPr="00C908E2" w:rsidRDefault="009810FA" w:rsidP="009810FA">
      <w:pPr>
        <w:numPr>
          <w:ilvl w:val="0"/>
          <w:numId w:val="2"/>
        </w:numPr>
        <w:spacing w:line="240" w:lineRule="auto"/>
        <w:ind w:left="714" w:hanging="357"/>
        <w:contextualSpacing/>
        <w:rPr>
          <w:rFonts w:ascii="Calibri" w:eastAsia="Calibri" w:hAnsi="Calibri" w:cs="Arial"/>
          <w:color w:val="002F5D"/>
        </w:rPr>
      </w:pPr>
      <w:r w:rsidRPr="00C908E2">
        <w:rPr>
          <w:rFonts w:ascii="Calibri" w:eastAsia="Calibri" w:hAnsi="Calibri" w:cs="Arial"/>
          <w:b/>
          <w:color w:val="002F5D"/>
        </w:rPr>
        <w:t>Cambridgeshire and Peterborough</w:t>
      </w:r>
      <w:r w:rsidRPr="00C908E2">
        <w:rPr>
          <w:rFonts w:ascii="Calibri" w:eastAsia="Calibri" w:hAnsi="Calibri" w:cs="Arial"/>
          <w:color w:val="002F5D"/>
        </w:rPr>
        <w:t xml:space="preserve"> combined has statistically significantly </w:t>
      </w:r>
      <w:r w:rsidRPr="00C908E2">
        <w:rPr>
          <w:rFonts w:ascii="Calibri" w:eastAsia="Calibri" w:hAnsi="Calibri" w:cs="Arial"/>
          <w:b/>
          <w:color w:val="002F5D"/>
        </w:rPr>
        <w:t>lower</w:t>
      </w:r>
      <w:r w:rsidRPr="00C908E2">
        <w:rPr>
          <w:rFonts w:ascii="Calibri" w:eastAsia="Calibri" w:hAnsi="Calibri" w:cs="Arial"/>
          <w:color w:val="002F5D"/>
        </w:rPr>
        <w:t xml:space="preserve"> rates of </w:t>
      </w:r>
      <w:r w:rsidRPr="00C908E2">
        <w:rPr>
          <w:rFonts w:ascii="Calibri" w:eastAsia="Calibri" w:hAnsi="Calibri" w:cs="Arial"/>
          <w:b/>
          <w:color w:val="002F5D"/>
        </w:rPr>
        <w:t>excess weight in children</w:t>
      </w:r>
      <w:r w:rsidRPr="00C908E2">
        <w:rPr>
          <w:rFonts w:ascii="Calibri" w:eastAsia="Calibri" w:hAnsi="Calibri" w:cs="Arial"/>
          <w:color w:val="002F5D"/>
        </w:rPr>
        <w:t xml:space="preserve"> than in England, with rates in reception year and year 6 pupils that are generally significantly </w:t>
      </w:r>
      <w:r w:rsidRPr="00C908E2">
        <w:rPr>
          <w:rFonts w:ascii="Calibri" w:eastAsia="Calibri" w:hAnsi="Calibri" w:cs="Arial"/>
          <w:b/>
          <w:color w:val="002F5D"/>
        </w:rPr>
        <w:t>lower</w:t>
      </w:r>
      <w:r w:rsidRPr="00C908E2">
        <w:rPr>
          <w:rFonts w:ascii="Calibri" w:eastAsia="Calibri" w:hAnsi="Calibri" w:cs="Arial"/>
          <w:color w:val="002F5D"/>
        </w:rPr>
        <w:t xml:space="preserve"> in </w:t>
      </w:r>
      <w:r w:rsidRPr="00C908E2">
        <w:rPr>
          <w:rFonts w:ascii="Calibri" w:eastAsia="Calibri" w:hAnsi="Calibri" w:cs="Arial"/>
          <w:b/>
          <w:color w:val="002F5D"/>
        </w:rPr>
        <w:t>Cambridgeshire</w:t>
      </w:r>
      <w:r w:rsidRPr="00C908E2">
        <w:rPr>
          <w:rFonts w:ascii="Calibri" w:eastAsia="Calibri" w:hAnsi="Calibri" w:cs="Arial"/>
          <w:color w:val="002F5D"/>
        </w:rPr>
        <w:t xml:space="preserve"> and </w:t>
      </w:r>
      <w:r w:rsidRPr="00C908E2">
        <w:rPr>
          <w:rFonts w:ascii="Calibri" w:eastAsia="Calibri" w:hAnsi="Calibri" w:cs="Arial"/>
          <w:b/>
          <w:color w:val="002F5D"/>
        </w:rPr>
        <w:t>most districts</w:t>
      </w:r>
      <w:r w:rsidRPr="00C908E2">
        <w:rPr>
          <w:rFonts w:ascii="Calibri" w:eastAsia="Calibri" w:hAnsi="Calibri" w:cs="Arial"/>
          <w:color w:val="002F5D"/>
        </w:rPr>
        <w:t>.</w:t>
      </w:r>
    </w:p>
    <w:p w14:paraId="76EF5CE3" w14:textId="77777777" w:rsidR="009810FA" w:rsidRPr="009C0660" w:rsidRDefault="009810FA" w:rsidP="009810FA">
      <w:pPr>
        <w:numPr>
          <w:ilvl w:val="0"/>
          <w:numId w:val="2"/>
        </w:numPr>
        <w:spacing w:line="240" w:lineRule="auto"/>
        <w:contextualSpacing/>
        <w:rPr>
          <w:rFonts w:ascii="Calibri" w:eastAsia="Calibri" w:hAnsi="Calibri" w:cs="Arial"/>
          <w:color w:val="002F5D"/>
        </w:rPr>
      </w:pPr>
      <w:r w:rsidRPr="00C908E2">
        <w:rPr>
          <w:rFonts w:ascii="Calibri" w:eastAsia="Calibri" w:hAnsi="Calibri" w:cs="Arial"/>
          <w:color w:val="002F5D"/>
        </w:rPr>
        <w:t xml:space="preserve">However, rates of </w:t>
      </w:r>
      <w:r w:rsidRPr="00C908E2">
        <w:rPr>
          <w:rFonts w:ascii="Calibri" w:eastAsia="Calibri" w:hAnsi="Calibri" w:cs="Arial"/>
          <w:b/>
          <w:color w:val="002F5D"/>
        </w:rPr>
        <w:t xml:space="preserve">excess weight </w:t>
      </w:r>
      <w:r w:rsidRPr="00C908E2">
        <w:rPr>
          <w:rFonts w:ascii="Calibri" w:eastAsia="Calibri" w:hAnsi="Calibri" w:cs="Arial"/>
          <w:color w:val="002F5D"/>
        </w:rPr>
        <w:t xml:space="preserve">are statistically </w:t>
      </w:r>
      <w:r w:rsidRPr="00C908E2">
        <w:rPr>
          <w:rFonts w:ascii="Calibri" w:eastAsia="Calibri" w:hAnsi="Calibri" w:cs="Arial"/>
          <w:b/>
          <w:color w:val="002F5D"/>
        </w:rPr>
        <w:t>similar</w:t>
      </w:r>
      <w:r w:rsidRPr="00C908E2">
        <w:rPr>
          <w:rFonts w:ascii="Calibri" w:eastAsia="Calibri" w:hAnsi="Calibri" w:cs="Arial"/>
          <w:color w:val="002F5D"/>
        </w:rPr>
        <w:t xml:space="preserve"> to the England average in </w:t>
      </w:r>
      <w:r w:rsidRPr="009C0660">
        <w:rPr>
          <w:rFonts w:ascii="Calibri" w:eastAsia="Calibri" w:hAnsi="Calibri" w:cs="Arial"/>
          <w:b/>
          <w:color w:val="002F5D"/>
        </w:rPr>
        <w:t>Peterborough</w:t>
      </w:r>
      <w:r w:rsidRPr="009C0660">
        <w:rPr>
          <w:rFonts w:ascii="Calibri" w:eastAsia="Calibri" w:hAnsi="Calibri" w:cs="Arial"/>
          <w:color w:val="002F5D"/>
        </w:rPr>
        <w:t xml:space="preserve"> and </w:t>
      </w:r>
      <w:r w:rsidRPr="009C0660">
        <w:rPr>
          <w:rFonts w:ascii="Calibri" w:eastAsia="Calibri" w:hAnsi="Calibri" w:cs="Arial"/>
          <w:b/>
          <w:color w:val="002F5D"/>
        </w:rPr>
        <w:t>Fenland</w:t>
      </w:r>
      <w:r w:rsidRPr="009C0660">
        <w:rPr>
          <w:rFonts w:ascii="Calibri" w:eastAsia="Calibri" w:hAnsi="Calibri" w:cs="Arial"/>
          <w:color w:val="002F5D"/>
        </w:rPr>
        <w:t xml:space="preserve"> for </w:t>
      </w:r>
      <w:r w:rsidRPr="009C0660">
        <w:rPr>
          <w:rFonts w:ascii="Calibri" w:eastAsia="Calibri" w:hAnsi="Calibri" w:cs="Arial"/>
          <w:b/>
          <w:color w:val="002F5D"/>
        </w:rPr>
        <w:t>reception year</w:t>
      </w:r>
      <w:r w:rsidRPr="009C0660">
        <w:rPr>
          <w:rFonts w:ascii="Calibri" w:eastAsia="Calibri" w:hAnsi="Calibri" w:cs="Arial"/>
          <w:color w:val="002F5D"/>
        </w:rPr>
        <w:t xml:space="preserve"> and </w:t>
      </w:r>
      <w:r w:rsidRPr="009C0660">
        <w:rPr>
          <w:rFonts w:ascii="Calibri" w:eastAsia="Calibri" w:hAnsi="Calibri" w:cs="Arial"/>
          <w:b/>
          <w:color w:val="002F5D"/>
        </w:rPr>
        <w:t>year 6 children</w:t>
      </w:r>
      <w:r w:rsidRPr="009C0660">
        <w:rPr>
          <w:rFonts w:ascii="Calibri" w:eastAsia="Calibri" w:hAnsi="Calibri" w:cs="Arial"/>
          <w:color w:val="002F5D"/>
        </w:rPr>
        <w:t>.</w:t>
      </w:r>
    </w:p>
    <w:p w14:paraId="57CB5A90" w14:textId="77777777" w:rsidR="009810FA" w:rsidRPr="009C0660" w:rsidRDefault="009810FA" w:rsidP="009810FA">
      <w:pPr>
        <w:numPr>
          <w:ilvl w:val="0"/>
          <w:numId w:val="2"/>
        </w:numPr>
        <w:spacing w:line="240" w:lineRule="auto"/>
        <w:contextualSpacing/>
        <w:rPr>
          <w:rFonts w:ascii="Calibri" w:eastAsia="Calibri" w:hAnsi="Calibri" w:cs="Arial"/>
          <w:color w:val="002F5D"/>
        </w:rPr>
      </w:pPr>
      <w:r w:rsidRPr="009C0660">
        <w:rPr>
          <w:rFonts w:ascii="Calibri" w:eastAsia="Calibri" w:hAnsi="Calibri" w:cs="Arial"/>
          <w:b/>
          <w:color w:val="002F5D"/>
        </w:rPr>
        <w:t xml:space="preserve">Rates of physical </w:t>
      </w:r>
      <w:r>
        <w:rPr>
          <w:rFonts w:ascii="Calibri" w:eastAsia="Calibri" w:hAnsi="Calibri" w:cs="Arial"/>
          <w:b/>
          <w:color w:val="002F5D"/>
        </w:rPr>
        <w:t>inactivity</w:t>
      </w:r>
      <w:r w:rsidRPr="009C0660">
        <w:rPr>
          <w:rFonts w:ascii="Calibri" w:eastAsia="Calibri" w:hAnsi="Calibri" w:cs="Arial"/>
          <w:color w:val="002F5D"/>
        </w:rPr>
        <w:t xml:space="preserve"> in </w:t>
      </w:r>
      <w:r w:rsidRPr="009C0660">
        <w:rPr>
          <w:rFonts w:ascii="Calibri" w:eastAsia="Calibri" w:hAnsi="Calibri" w:cs="Arial"/>
          <w:b/>
          <w:color w:val="002F5D"/>
        </w:rPr>
        <w:t>children</w:t>
      </w:r>
      <w:r w:rsidRPr="009C0660">
        <w:rPr>
          <w:rFonts w:ascii="Calibri" w:eastAsia="Calibri" w:hAnsi="Calibri" w:cs="Arial"/>
          <w:color w:val="002F5D"/>
        </w:rPr>
        <w:t xml:space="preserve"> in </w:t>
      </w:r>
      <w:r w:rsidRPr="009C0660">
        <w:rPr>
          <w:rFonts w:ascii="Calibri" w:eastAsia="Calibri" w:hAnsi="Calibri" w:cs="Arial"/>
          <w:b/>
          <w:color w:val="002F5D"/>
        </w:rPr>
        <w:t>Cambridgeshire</w:t>
      </w:r>
      <w:r w:rsidRPr="009C0660">
        <w:rPr>
          <w:rFonts w:ascii="Calibri" w:eastAsia="Calibri" w:hAnsi="Calibri" w:cs="Arial"/>
          <w:color w:val="002F5D"/>
        </w:rPr>
        <w:t xml:space="preserve"> and </w:t>
      </w:r>
      <w:r w:rsidRPr="009C0660">
        <w:rPr>
          <w:rFonts w:ascii="Calibri" w:eastAsia="Calibri" w:hAnsi="Calibri" w:cs="Arial"/>
          <w:b/>
          <w:color w:val="002F5D"/>
        </w:rPr>
        <w:t>Peterborough</w:t>
      </w:r>
      <w:r w:rsidRPr="009C0660">
        <w:rPr>
          <w:rFonts w:ascii="Calibri" w:eastAsia="Calibri" w:hAnsi="Calibri" w:cs="Arial"/>
          <w:color w:val="002F5D"/>
        </w:rPr>
        <w:t xml:space="preserve"> are </w:t>
      </w:r>
      <w:r w:rsidRPr="009C0660">
        <w:rPr>
          <w:rFonts w:ascii="Calibri" w:eastAsia="Calibri" w:hAnsi="Calibri" w:cs="Arial"/>
          <w:b/>
          <w:color w:val="002F5D"/>
        </w:rPr>
        <w:t>similar</w:t>
      </w:r>
      <w:r w:rsidRPr="009C0660">
        <w:rPr>
          <w:rFonts w:ascii="Calibri" w:eastAsia="Calibri" w:hAnsi="Calibri" w:cs="Arial"/>
          <w:color w:val="002F5D"/>
        </w:rPr>
        <w:t xml:space="preserve"> to national levels.</w:t>
      </w:r>
    </w:p>
    <w:p w14:paraId="2F5E27F2" w14:textId="77777777" w:rsidR="009810FA" w:rsidRPr="009C0660" w:rsidRDefault="009810FA" w:rsidP="009810FA">
      <w:pPr>
        <w:numPr>
          <w:ilvl w:val="0"/>
          <w:numId w:val="2"/>
        </w:numPr>
        <w:spacing w:line="240" w:lineRule="auto"/>
        <w:ind w:left="714" w:hanging="357"/>
        <w:contextualSpacing/>
        <w:rPr>
          <w:rFonts w:ascii="Calibri" w:eastAsia="Calibri" w:hAnsi="Calibri" w:cs="Arial"/>
          <w:color w:val="002F5D"/>
        </w:rPr>
      </w:pPr>
      <w:r w:rsidRPr="009C0660">
        <w:rPr>
          <w:rFonts w:ascii="Calibri" w:eastAsia="Calibri" w:hAnsi="Calibri" w:cs="Arial"/>
          <w:color w:val="002F5D"/>
        </w:rPr>
        <w:t xml:space="preserve">In general rates of </w:t>
      </w:r>
      <w:r w:rsidRPr="009C0660">
        <w:rPr>
          <w:rFonts w:ascii="Calibri" w:eastAsia="Calibri" w:hAnsi="Calibri" w:cs="Arial"/>
          <w:b/>
          <w:color w:val="002F5D"/>
        </w:rPr>
        <w:t>excess weight in adults</w:t>
      </w:r>
      <w:r w:rsidRPr="009C0660">
        <w:rPr>
          <w:rFonts w:ascii="Calibri" w:eastAsia="Calibri" w:hAnsi="Calibri" w:cs="Arial"/>
          <w:color w:val="002F5D"/>
        </w:rPr>
        <w:t xml:space="preserve"> are </w:t>
      </w:r>
      <w:r w:rsidRPr="009C0660">
        <w:rPr>
          <w:rFonts w:ascii="Calibri" w:eastAsia="Calibri" w:hAnsi="Calibri" w:cs="Arial"/>
          <w:b/>
          <w:color w:val="002F5D"/>
        </w:rPr>
        <w:t>similar to national levels</w:t>
      </w:r>
      <w:r w:rsidRPr="009C0660">
        <w:rPr>
          <w:rFonts w:ascii="Calibri" w:eastAsia="Calibri" w:hAnsi="Calibri" w:cs="Arial"/>
          <w:color w:val="002F5D"/>
        </w:rPr>
        <w:t xml:space="preserve"> in </w:t>
      </w:r>
      <w:r w:rsidRPr="009C0660">
        <w:rPr>
          <w:rFonts w:ascii="Calibri" w:eastAsia="Calibri" w:hAnsi="Calibri" w:cs="Arial"/>
          <w:b/>
          <w:color w:val="002F5D"/>
        </w:rPr>
        <w:t>Cambridgeshire and Peterborough</w:t>
      </w:r>
      <w:r w:rsidRPr="009C0660">
        <w:rPr>
          <w:rFonts w:ascii="Calibri" w:eastAsia="Calibri" w:hAnsi="Calibri" w:cs="Arial"/>
          <w:color w:val="002F5D"/>
        </w:rPr>
        <w:t xml:space="preserve">.  However, they are statistically significantly </w:t>
      </w:r>
      <w:r w:rsidRPr="009C0660">
        <w:rPr>
          <w:rFonts w:ascii="Calibri" w:eastAsia="Calibri" w:hAnsi="Calibri" w:cs="Arial"/>
          <w:b/>
          <w:color w:val="002F5D"/>
        </w:rPr>
        <w:t>worse</w:t>
      </w:r>
      <w:r w:rsidRPr="009C0660">
        <w:rPr>
          <w:rFonts w:ascii="Calibri" w:eastAsia="Calibri" w:hAnsi="Calibri" w:cs="Arial"/>
          <w:color w:val="002F5D"/>
        </w:rPr>
        <w:t xml:space="preserve"> than the national average in </w:t>
      </w:r>
      <w:r w:rsidRPr="009C0660">
        <w:rPr>
          <w:rFonts w:ascii="Calibri" w:eastAsia="Calibri" w:hAnsi="Calibri" w:cs="Arial"/>
          <w:b/>
          <w:color w:val="002F5D"/>
        </w:rPr>
        <w:t>Fenland and Huntingdonshire</w:t>
      </w:r>
      <w:r w:rsidRPr="009C0660">
        <w:rPr>
          <w:rFonts w:ascii="Calibri" w:eastAsia="Calibri" w:hAnsi="Calibri" w:cs="Arial"/>
          <w:color w:val="002F5D"/>
        </w:rPr>
        <w:t xml:space="preserve">. </w:t>
      </w:r>
      <w:r w:rsidRPr="009C0660">
        <w:rPr>
          <w:rFonts w:ascii="Calibri" w:eastAsia="Calibri" w:hAnsi="Calibri" w:cs="Arial"/>
          <w:b/>
          <w:color w:val="002F5D"/>
        </w:rPr>
        <w:t>60%</w:t>
      </w:r>
      <w:r w:rsidRPr="009C0660">
        <w:rPr>
          <w:rFonts w:ascii="Calibri" w:eastAsia="Calibri" w:hAnsi="Calibri" w:cs="Arial"/>
          <w:color w:val="002F5D"/>
        </w:rPr>
        <w:t xml:space="preserve"> of </w:t>
      </w:r>
      <w:r w:rsidRPr="009C0660">
        <w:rPr>
          <w:rFonts w:ascii="Calibri" w:eastAsia="Calibri" w:hAnsi="Calibri" w:cs="Arial"/>
          <w:b/>
          <w:color w:val="002F5D"/>
        </w:rPr>
        <w:t>Cambridgeshire and Peterborough</w:t>
      </w:r>
      <w:r w:rsidRPr="009C0660">
        <w:rPr>
          <w:rFonts w:ascii="Calibri" w:eastAsia="Calibri" w:hAnsi="Calibri" w:cs="Arial"/>
          <w:color w:val="002F5D"/>
        </w:rPr>
        <w:t xml:space="preserve"> adults are </w:t>
      </w:r>
      <w:r w:rsidRPr="009C0660">
        <w:rPr>
          <w:rFonts w:ascii="Calibri" w:eastAsia="Calibri" w:hAnsi="Calibri" w:cs="Arial"/>
          <w:b/>
          <w:color w:val="002F5D"/>
        </w:rPr>
        <w:t>overweight</w:t>
      </w:r>
      <w:r w:rsidRPr="009C0660">
        <w:rPr>
          <w:rFonts w:ascii="Calibri" w:eastAsia="Calibri" w:hAnsi="Calibri" w:cs="Arial"/>
          <w:color w:val="002F5D"/>
        </w:rPr>
        <w:t xml:space="preserve"> or </w:t>
      </w:r>
      <w:r w:rsidRPr="009C0660">
        <w:rPr>
          <w:rFonts w:ascii="Calibri" w:eastAsia="Calibri" w:hAnsi="Calibri" w:cs="Arial"/>
          <w:b/>
          <w:color w:val="002F5D"/>
        </w:rPr>
        <w:t>obese</w:t>
      </w:r>
      <w:r w:rsidRPr="009C0660">
        <w:rPr>
          <w:rFonts w:ascii="Calibri" w:eastAsia="Calibri" w:hAnsi="Calibri" w:cs="Arial"/>
          <w:color w:val="002F5D"/>
        </w:rPr>
        <w:t>.</w:t>
      </w:r>
    </w:p>
    <w:p w14:paraId="4A2F3C64" w14:textId="77777777" w:rsidR="009810FA" w:rsidRDefault="009810FA" w:rsidP="009810FA">
      <w:pPr>
        <w:numPr>
          <w:ilvl w:val="0"/>
          <w:numId w:val="2"/>
        </w:numPr>
        <w:spacing w:line="240" w:lineRule="auto"/>
        <w:ind w:left="714" w:hanging="357"/>
        <w:contextualSpacing/>
        <w:rPr>
          <w:rFonts w:ascii="Calibri" w:eastAsia="Calibri" w:hAnsi="Calibri" w:cs="Arial"/>
          <w:color w:val="002F5D"/>
        </w:rPr>
      </w:pPr>
      <w:r w:rsidRPr="009C0660">
        <w:rPr>
          <w:rFonts w:ascii="Calibri" w:eastAsia="Calibri" w:hAnsi="Calibri" w:cs="Arial"/>
          <w:color w:val="002F5D"/>
        </w:rPr>
        <w:t xml:space="preserve">Rates of </w:t>
      </w:r>
      <w:r w:rsidRPr="009C0660">
        <w:rPr>
          <w:rFonts w:ascii="Calibri" w:eastAsia="Calibri" w:hAnsi="Calibri" w:cs="Arial"/>
          <w:b/>
          <w:color w:val="002F5D"/>
        </w:rPr>
        <w:t>physical activity</w:t>
      </w:r>
      <w:r w:rsidRPr="009C0660">
        <w:rPr>
          <w:rFonts w:ascii="Calibri" w:eastAsia="Calibri" w:hAnsi="Calibri" w:cs="Arial"/>
          <w:color w:val="002F5D"/>
        </w:rPr>
        <w:t xml:space="preserve"> in </w:t>
      </w:r>
      <w:r w:rsidRPr="009C0660">
        <w:rPr>
          <w:rFonts w:ascii="Calibri" w:eastAsia="Calibri" w:hAnsi="Calibri" w:cs="Arial"/>
          <w:b/>
          <w:color w:val="002F5D"/>
        </w:rPr>
        <w:t>Cambridgeshire and Peterborough</w:t>
      </w:r>
      <w:r w:rsidRPr="009C0660">
        <w:rPr>
          <w:rFonts w:ascii="Calibri" w:eastAsia="Calibri" w:hAnsi="Calibri" w:cs="Arial"/>
          <w:color w:val="002F5D"/>
        </w:rPr>
        <w:t xml:space="preserve"> as a whole are significantly </w:t>
      </w:r>
      <w:r w:rsidRPr="009C0660">
        <w:rPr>
          <w:rFonts w:ascii="Calibri" w:eastAsia="Calibri" w:hAnsi="Calibri" w:cs="Arial"/>
          <w:b/>
          <w:color w:val="002F5D"/>
        </w:rPr>
        <w:t xml:space="preserve">better </w:t>
      </w:r>
      <w:r w:rsidRPr="009C0660">
        <w:rPr>
          <w:rFonts w:ascii="Calibri" w:eastAsia="Calibri" w:hAnsi="Calibri" w:cs="Arial"/>
          <w:color w:val="002F5D"/>
        </w:rPr>
        <w:t xml:space="preserve">than national levels. Rates are significantly </w:t>
      </w:r>
      <w:r w:rsidRPr="009C0660">
        <w:rPr>
          <w:rFonts w:ascii="Calibri" w:eastAsia="Calibri" w:hAnsi="Calibri" w:cs="Arial"/>
          <w:b/>
          <w:color w:val="002F5D"/>
        </w:rPr>
        <w:t>better</w:t>
      </w:r>
      <w:r w:rsidRPr="009C0660">
        <w:rPr>
          <w:rFonts w:ascii="Calibri" w:eastAsia="Calibri" w:hAnsi="Calibri" w:cs="Arial"/>
          <w:color w:val="002F5D"/>
        </w:rPr>
        <w:t xml:space="preserve"> in </w:t>
      </w:r>
      <w:r w:rsidRPr="009C0660">
        <w:rPr>
          <w:rFonts w:ascii="Calibri" w:eastAsia="Calibri" w:hAnsi="Calibri" w:cs="Arial"/>
          <w:b/>
          <w:color w:val="002F5D"/>
        </w:rPr>
        <w:t>Cambridgeshire</w:t>
      </w:r>
      <w:r w:rsidRPr="009C0660">
        <w:rPr>
          <w:rFonts w:ascii="Calibri" w:eastAsia="Calibri" w:hAnsi="Calibri" w:cs="Arial"/>
          <w:color w:val="002F5D"/>
        </w:rPr>
        <w:t xml:space="preserve">, </w:t>
      </w:r>
      <w:r w:rsidRPr="009C0660">
        <w:rPr>
          <w:rFonts w:ascii="Calibri" w:eastAsia="Calibri" w:hAnsi="Calibri" w:cs="Arial"/>
          <w:b/>
          <w:color w:val="002F5D"/>
        </w:rPr>
        <w:t>Cambridge, Huntingdonshire</w:t>
      </w:r>
      <w:r w:rsidRPr="009C0660">
        <w:rPr>
          <w:rFonts w:ascii="Calibri" w:eastAsia="Calibri" w:hAnsi="Calibri" w:cs="Arial"/>
          <w:color w:val="002F5D"/>
        </w:rPr>
        <w:t xml:space="preserve"> and </w:t>
      </w:r>
      <w:r w:rsidRPr="009C0660">
        <w:rPr>
          <w:rFonts w:ascii="Calibri" w:eastAsia="Calibri" w:hAnsi="Calibri" w:cs="Arial"/>
          <w:b/>
          <w:color w:val="002F5D"/>
        </w:rPr>
        <w:t>South Cambridgeshire</w:t>
      </w:r>
      <w:r w:rsidRPr="009C0660">
        <w:rPr>
          <w:rFonts w:ascii="Calibri" w:eastAsia="Calibri" w:hAnsi="Calibri" w:cs="Arial"/>
          <w:color w:val="002F5D"/>
        </w:rPr>
        <w:t xml:space="preserve">. However they are significantly </w:t>
      </w:r>
      <w:r w:rsidRPr="009C0660">
        <w:rPr>
          <w:rFonts w:ascii="Calibri" w:eastAsia="Calibri" w:hAnsi="Calibri" w:cs="Arial"/>
          <w:b/>
          <w:color w:val="002F5D"/>
        </w:rPr>
        <w:t>worse</w:t>
      </w:r>
      <w:r w:rsidRPr="009C0660">
        <w:rPr>
          <w:rFonts w:ascii="Calibri" w:eastAsia="Calibri" w:hAnsi="Calibri" w:cs="Arial"/>
          <w:color w:val="002F5D"/>
        </w:rPr>
        <w:t xml:space="preserve"> in </w:t>
      </w:r>
      <w:r w:rsidRPr="009C0660">
        <w:rPr>
          <w:rFonts w:ascii="Calibri" w:eastAsia="Calibri" w:hAnsi="Calibri" w:cs="Arial"/>
          <w:b/>
          <w:color w:val="002F5D"/>
        </w:rPr>
        <w:t xml:space="preserve">Peterborough </w:t>
      </w:r>
      <w:r w:rsidRPr="009C0660">
        <w:rPr>
          <w:rFonts w:ascii="Calibri" w:eastAsia="Calibri" w:hAnsi="Calibri" w:cs="Arial"/>
          <w:color w:val="002F5D"/>
        </w:rPr>
        <w:t xml:space="preserve">and </w:t>
      </w:r>
      <w:r w:rsidRPr="009C0660">
        <w:rPr>
          <w:rFonts w:ascii="Calibri" w:eastAsia="Calibri" w:hAnsi="Calibri" w:cs="Arial"/>
          <w:b/>
          <w:color w:val="002F5D"/>
        </w:rPr>
        <w:t>Fenland</w:t>
      </w:r>
      <w:r w:rsidRPr="009C0660">
        <w:rPr>
          <w:rFonts w:ascii="Calibri" w:eastAsia="Calibri" w:hAnsi="Calibri" w:cs="Arial"/>
          <w:color w:val="002F5D"/>
        </w:rPr>
        <w:t>.</w:t>
      </w:r>
    </w:p>
    <w:p w14:paraId="112C9B21" w14:textId="77777777" w:rsidR="009810FA" w:rsidRDefault="009810FA" w:rsidP="009810FA">
      <w:pPr>
        <w:spacing w:line="240" w:lineRule="auto"/>
        <w:ind w:left="714"/>
        <w:contextualSpacing/>
        <w:rPr>
          <w:rFonts w:ascii="Calibri" w:eastAsia="Calibri" w:hAnsi="Calibri" w:cs="Arial"/>
          <w:color w:val="002F5D"/>
        </w:rPr>
      </w:pPr>
    </w:p>
    <w:p w14:paraId="7747E972" w14:textId="77777777" w:rsidR="009810FA" w:rsidRPr="004434DA" w:rsidRDefault="009810FA" w:rsidP="009810FA">
      <w:pPr>
        <w:spacing w:line="240" w:lineRule="auto"/>
        <w:contextualSpacing/>
        <w:rPr>
          <w:rFonts w:ascii="Calibri" w:eastAsia="Calibri" w:hAnsi="Calibri" w:cs="Arial"/>
          <w:color w:val="002F5D"/>
        </w:rPr>
      </w:pPr>
      <w:r w:rsidRPr="004434DA">
        <w:rPr>
          <w:rFonts w:ascii="Calibri" w:eastAsia="Calibri" w:hAnsi="Calibri" w:cs="Arial"/>
          <w:b/>
          <w:color w:val="002F5D"/>
        </w:rPr>
        <w:t>Smoking</w:t>
      </w:r>
    </w:p>
    <w:p w14:paraId="1CD3BDEA" w14:textId="77777777" w:rsidR="009810FA" w:rsidRPr="009C0660" w:rsidRDefault="009810FA" w:rsidP="009810FA">
      <w:pPr>
        <w:numPr>
          <w:ilvl w:val="0"/>
          <w:numId w:val="4"/>
        </w:numPr>
        <w:spacing w:line="240" w:lineRule="auto"/>
        <w:contextualSpacing/>
        <w:rPr>
          <w:rFonts w:ascii="Calibri" w:eastAsia="Calibri" w:hAnsi="Calibri" w:cs="Arial"/>
          <w:color w:val="002F5D"/>
        </w:rPr>
      </w:pPr>
      <w:r>
        <w:rPr>
          <w:rFonts w:ascii="Calibri" w:eastAsia="Calibri" w:hAnsi="Calibri" w:cs="Arial"/>
          <w:color w:val="002F5D"/>
        </w:rPr>
        <w:t>The percentages</w:t>
      </w:r>
      <w:r w:rsidRPr="009C0660">
        <w:rPr>
          <w:rFonts w:ascii="Calibri" w:eastAsia="Calibri" w:hAnsi="Calibri" w:cs="Arial"/>
          <w:color w:val="002F5D"/>
        </w:rPr>
        <w:t xml:space="preserve"> of regular </w:t>
      </w:r>
      <w:r w:rsidRPr="009C0660">
        <w:rPr>
          <w:rFonts w:ascii="Calibri" w:eastAsia="Calibri" w:hAnsi="Calibri" w:cs="Arial"/>
          <w:b/>
          <w:color w:val="002F5D"/>
        </w:rPr>
        <w:t>smoking</w:t>
      </w:r>
      <w:r w:rsidRPr="009C0660">
        <w:rPr>
          <w:rFonts w:ascii="Calibri" w:eastAsia="Calibri" w:hAnsi="Calibri" w:cs="Arial"/>
          <w:color w:val="002F5D"/>
        </w:rPr>
        <w:t xml:space="preserve"> in </w:t>
      </w:r>
      <w:r w:rsidRPr="009C0660">
        <w:rPr>
          <w:rFonts w:ascii="Calibri" w:eastAsia="Calibri" w:hAnsi="Calibri" w:cs="Arial"/>
          <w:b/>
          <w:color w:val="002F5D"/>
        </w:rPr>
        <w:t>children</w:t>
      </w:r>
      <w:r w:rsidRPr="009C0660">
        <w:rPr>
          <w:rFonts w:ascii="Calibri" w:eastAsia="Calibri" w:hAnsi="Calibri" w:cs="Arial"/>
          <w:color w:val="002F5D"/>
        </w:rPr>
        <w:t xml:space="preserve"> aged 15 years are </w:t>
      </w:r>
      <w:r w:rsidRPr="009C0660">
        <w:rPr>
          <w:rFonts w:ascii="Calibri" w:eastAsia="Calibri" w:hAnsi="Calibri" w:cs="Arial"/>
          <w:b/>
          <w:color w:val="002F5D"/>
        </w:rPr>
        <w:t>similar</w:t>
      </w:r>
      <w:r w:rsidRPr="009C0660">
        <w:rPr>
          <w:rFonts w:ascii="Calibri" w:eastAsia="Calibri" w:hAnsi="Calibri" w:cs="Arial"/>
          <w:color w:val="002F5D"/>
        </w:rPr>
        <w:t xml:space="preserve"> to national levels in </w:t>
      </w:r>
      <w:r w:rsidRPr="009C0660">
        <w:rPr>
          <w:rFonts w:ascii="Calibri" w:eastAsia="Calibri" w:hAnsi="Calibri" w:cs="Arial"/>
          <w:b/>
          <w:color w:val="002F5D"/>
        </w:rPr>
        <w:t>Cambridgeshire</w:t>
      </w:r>
      <w:r w:rsidRPr="009C0660">
        <w:rPr>
          <w:rFonts w:ascii="Calibri" w:eastAsia="Calibri" w:hAnsi="Calibri" w:cs="Arial"/>
          <w:color w:val="002F5D"/>
        </w:rPr>
        <w:t xml:space="preserve"> and </w:t>
      </w:r>
      <w:r w:rsidRPr="009C0660">
        <w:rPr>
          <w:rFonts w:ascii="Calibri" w:eastAsia="Calibri" w:hAnsi="Calibri" w:cs="Arial"/>
          <w:b/>
          <w:color w:val="002F5D"/>
        </w:rPr>
        <w:t>Peterborough</w:t>
      </w:r>
      <w:r w:rsidRPr="009C0660">
        <w:rPr>
          <w:rFonts w:ascii="Calibri" w:eastAsia="Calibri" w:hAnsi="Calibri" w:cs="Arial"/>
          <w:color w:val="002F5D"/>
        </w:rPr>
        <w:t xml:space="preserve">, though numerically </w:t>
      </w:r>
      <w:r w:rsidRPr="009C0660">
        <w:rPr>
          <w:rFonts w:ascii="Calibri" w:eastAsia="Calibri" w:hAnsi="Calibri" w:cs="Arial"/>
          <w:b/>
          <w:color w:val="002F5D"/>
        </w:rPr>
        <w:t>higher</w:t>
      </w:r>
      <w:r w:rsidRPr="009C0660">
        <w:rPr>
          <w:rFonts w:ascii="Calibri" w:eastAsia="Calibri" w:hAnsi="Calibri" w:cs="Arial"/>
          <w:color w:val="002F5D"/>
        </w:rPr>
        <w:t xml:space="preserve"> </w:t>
      </w:r>
      <w:r>
        <w:rPr>
          <w:rFonts w:ascii="Calibri" w:eastAsia="Calibri" w:hAnsi="Calibri" w:cs="Arial"/>
          <w:color w:val="002F5D"/>
        </w:rPr>
        <w:t>in Peterborough than England and Cambridgeshire</w:t>
      </w:r>
      <w:r w:rsidRPr="009C0660">
        <w:rPr>
          <w:rFonts w:ascii="Calibri" w:eastAsia="Calibri" w:hAnsi="Calibri" w:cs="Arial"/>
          <w:color w:val="002F5D"/>
        </w:rPr>
        <w:t xml:space="preserve">, with around </w:t>
      </w:r>
      <w:r w:rsidRPr="009C0660">
        <w:rPr>
          <w:rFonts w:ascii="Calibri" w:eastAsia="Calibri" w:hAnsi="Calibri" w:cs="Arial"/>
          <w:b/>
          <w:color w:val="002F5D"/>
        </w:rPr>
        <w:t>10%</w:t>
      </w:r>
      <w:r w:rsidRPr="009C0660">
        <w:rPr>
          <w:rFonts w:ascii="Calibri" w:eastAsia="Calibri" w:hAnsi="Calibri" w:cs="Arial"/>
          <w:color w:val="002F5D"/>
        </w:rPr>
        <w:t xml:space="preserve"> of 15 year olds being </w:t>
      </w:r>
      <w:r w:rsidRPr="009C0660">
        <w:rPr>
          <w:rFonts w:ascii="Calibri" w:eastAsia="Calibri" w:hAnsi="Calibri" w:cs="Arial"/>
          <w:b/>
          <w:color w:val="002F5D"/>
        </w:rPr>
        <w:t>smokers</w:t>
      </w:r>
      <w:r w:rsidRPr="009C0660">
        <w:rPr>
          <w:rFonts w:ascii="Calibri" w:eastAsia="Calibri" w:hAnsi="Calibri" w:cs="Arial"/>
          <w:color w:val="002F5D"/>
        </w:rPr>
        <w:t>.</w:t>
      </w:r>
    </w:p>
    <w:p w14:paraId="02298B75" w14:textId="77777777" w:rsidR="009810FA" w:rsidRPr="003A0E31" w:rsidRDefault="009810FA" w:rsidP="009810FA">
      <w:pPr>
        <w:numPr>
          <w:ilvl w:val="0"/>
          <w:numId w:val="3"/>
        </w:numPr>
        <w:spacing w:line="240" w:lineRule="auto"/>
        <w:contextualSpacing/>
        <w:rPr>
          <w:rFonts w:ascii="Calibri" w:eastAsia="Calibri" w:hAnsi="Calibri" w:cs="Arial"/>
          <w:color w:val="002F5D"/>
        </w:rPr>
      </w:pPr>
      <w:r w:rsidRPr="009C0660">
        <w:rPr>
          <w:rFonts w:ascii="Calibri" w:eastAsia="Calibri" w:hAnsi="Calibri" w:cs="Arial"/>
          <w:b/>
          <w:color w:val="002F5D"/>
        </w:rPr>
        <w:t>Smoking</w:t>
      </w:r>
      <w:r>
        <w:rPr>
          <w:rFonts w:ascii="Calibri" w:eastAsia="Calibri" w:hAnsi="Calibri" w:cs="Arial"/>
          <w:color w:val="002F5D"/>
        </w:rPr>
        <w:t xml:space="preserve"> prevalence</w:t>
      </w:r>
      <w:r w:rsidRPr="009C0660">
        <w:rPr>
          <w:rFonts w:ascii="Calibri" w:eastAsia="Calibri" w:hAnsi="Calibri" w:cs="Arial"/>
          <w:color w:val="002F5D"/>
        </w:rPr>
        <w:t xml:space="preserve"> in </w:t>
      </w:r>
      <w:r w:rsidRPr="009C0660">
        <w:rPr>
          <w:rFonts w:ascii="Calibri" w:eastAsia="Calibri" w:hAnsi="Calibri" w:cs="Arial"/>
          <w:b/>
          <w:color w:val="002F5D"/>
        </w:rPr>
        <w:t>adults</w:t>
      </w:r>
      <w:r w:rsidRPr="009C0660">
        <w:rPr>
          <w:rFonts w:ascii="Calibri" w:eastAsia="Calibri" w:hAnsi="Calibri" w:cs="Arial"/>
          <w:color w:val="002F5D"/>
        </w:rPr>
        <w:t xml:space="preserve"> </w:t>
      </w:r>
      <w:r>
        <w:rPr>
          <w:rFonts w:ascii="Calibri" w:eastAsia="Calibri" w:hAnsi="Calibri" w:cs="Arial"/>
          <w:color w:val="002F5D"/>
        </w:rPr>
        <w:t>is</w:t>
      </w:r>
      <w:r w:rsidRPr="009C0660">
        <w:rPr>
          <w:rFonts w:ascii="Calibri" w:eastAsia="Calibri" w:hAnsi="Calibri" w:cs="Arial"/>
          <w:color w:val="002F5D"/>
        </w:rPr>
        <w:t xml:space="preserve"> </w:t>
      </w:r>
      <w:r w:rsidRPr="009C0660">
        <w:rPr>
          <w:rFonts w:ascii="Calibri" w:eastAsia="Calibri" w:hAnsi="Calibri" w:cs="Arial"/>
          <w:b/>
          <w:color w:val="002F5D"/>
        </w:rPr>
        <w:t>similar</w:t>
      </w:r>
      <w:r w:rsidRPr="009C0660">
        <w:rPr>
          <w:rFonts w:ascii="Calibri" w:eastAsia="Calibri" w:hAnsi="Calibri" w:cs="Arial"/>
          <w:color w:val="002F5D"/>
        </w:rPr>
        <w:t xml:space="preserve"> to </w:t>
      </w:r>
      <w:r>
        <w:rPr>
          <w:rFonts w:ascii="Calibri" w:eastAsia="Calibri" w:hAnsi="Calibri" w:cs="Arial"/>
          <w:color w:val="002F5D"/>
        </w:rPr>
        <w:t xml:space="preserve">the </w:t>
      </w:r>
      <w:r w:rsidRPr="009C0660">
        <w:rPr>
          <w:rFonts w:ascii="Calibri" w:eastAsia="Calibri" w:hAnsi="Calibri" w:cs="Arial"/>
          <w:color w:val="002F5D"/>
        </w:rPr>
        <w:t>national</w:t>
      </w:r>
      <w:r>
        <w:rPr>
          <w:rFonts w:ascii="Calibri" w:eastAsia="Calibri" w:hAnsi="Calibri" w:cs="Arial"/>
          <w:color w:val="002F5D"/>
        </w:rPr>
        <w:t xml:space="preserve"> average</w:t>
      </w:r>
      <w:r w:rsidRPr="009C0660">
        <w:rPr>
          <w:rFonts w:ascii="Calibri" w:eastAsia="Calibri" w:hAnsi="Calibri" w:cs="Arial"/>
          <w:color w:val="002F5D"/>
        </w:rPr>
        <w:t xml:space="preserve"> in </w:t>
      </w:r>
      <w:r w:rsidRPr="009C0660">
        <w:rPr>
          <w:rFonts w:ascii="Calibri" w:eastAsia="Calibri" w:hAnsi="Calibri" w:cs="Arial"/>
          <w:b/>
          <w:color w:val="002F5D"/>
        </w:rPr>
        <w:t xml:space="preserve">Cambridgeshire and </w:t>
      </w:r>
      <w:r w:rsidRPr="003A0E31">
        <w:rPr>
          <w:rFonts w:ascii="Calibri" w:eastAsia="Calibri" w:hAnsi="Calibri" w:cs="Arial"/>
          <w:b/>
          <w:color w:val="002F5D"/>
        </w:rPr>
        <w:t>Peterborough</w:t>
      </w:r>
      <w:r w:rsidRPr="003A0E31">
        <w:rPr>
          <w:rFonts w:ascii="Calibri" w:eastAsia="Calibri" w:hAnsi="Calibri" w:cs="Arial"/>
          <w:color w:val="002F5D"/>
        </w:rPr>
        <w:t xml:space="preserve"> as a whole and across each area independently. </w:t>
      </w:r>
      <w:r w:rsidRPr="003A0E31">
        <w:rPr>
          <w:rFonts w:ascii="Calibri" w:eastAsia="Calibri" w:hAnsi="Calibri" w:cs="Arial"/>
          <w:b/>
          <w:color w:val="002F5D"/>
        </w:rPr>
        <w:t>15%</w:t>
      </w:r>
      <w:r w:rsidRPr="003A0E31">
        <w:rPr>
          <w:rFonts w:ascii="Calibri" w:eastAsia="Calibri" w:hAnsi="Calibri" w:cs="Arial"/>
          <w:color w:val="002F5D"/>
        </w:rPr>
        <w:t xml:space="preserve"> of all </w:t>
      </w:r>
      <w:r w:rsidRPr="003A0E31">
        <w:rPr>
          <w:rFonts w:ascii="Calibri" w:eastAsia="Calibri" w:hAnsi="Calibri" w:cs="Arial"/>
          <w:b/>
          <w:color w:val="002F5D"/>
        </w:rPr>
        <w:t>Cambridgeshire and Peterborough</w:t>
      </w:r>
      <w:r w:rsidRPr="003A0E31">
        <w:rPr>
          <w:rFonts w:ascii="Calibri" w:eastAsia="Calibri" w:hAnsi="Calibri" w:cs="Arial"/>
          <w:color w:val="002F5D"/>
        </w:rPr>
        <w:t xml:space="preserve"> </w:t>
      </w:r>
      <w:r w:rsidRPr="003A0E31">
        <w:rPr>
          <w:rFonts w:ascii="Calibri" w:eastAsia="Calibri" w:hAnsi="Calibri" w:cs="Arial"/>
          <w:b/>
          <w:color w:val="002F5D"/>
        </w:rPr>
        <w:t>adults</w:t>
      </w:r>
      <w:r w:rsidRPr="003A0E31">
        <w:rPr>
          <w:rFonts w:ascii="Calibri" w:eastAsia="Calibri" w:hAnsi="Calibri" w:cs="Arial"/>
          <w:color w:val="002F5D"/>
        </w:rPr>
        <w:t xml:space="preserve"> are </w:t>
      </w:r>
      <w:r w:rsidRPr="003A0E31">
        <w:rPr>
          <w:rFonts w:ascii="Calibri" w:eastAsia="Calibri" w:hAnsi="Calibri" w:cs="Arial"/>
          <w:b/>
          <w:color w:val="002F5D"/>
        </w:rPr>
        <w:t>smokers</w:t>
      </w:r>
      <w:r w:rsidRPr="003A0E31">
        <w:rPr>
          <w:rFonts w:ascii="Calibri" w:eastAsia="Calibri" w:hAnsi="Calibri" w:cs="Arial"/>
          <w:color w:val="002F5D"/>
        </w:rPr>
        <w:t>.</w:t>
      </w:r>
    </w:p>
    <w:p w14:paraId="07B98381" w14:textId="7A20A3D4" w:rsidR="009810FA" w:rsidRPr="004A6349" w:rsidRDefault="009810FA" w:rsidP="009810FA">
      <w:pPr>
        <w:numPr>
          <w:ilvl w:val="0"/>
          <w:numId w:val="4"/>
        </w:numPr>
        <w:spacing w:line="240" w:lineRule="auto"/>
        <w:contextualSpacing/>
        <w:rPr>
          <w:rFonts w:ascii="Calibri" w:eastAsia="Calibri" w:hAnsi="Calibri" w:cs="Times New Roman"/>
          <w:color w:val="002F5D"/>
          <w:sz w:val="20"/>
          <w:szCs w:val="20"/>
        </w:rPr>
      </w:pPr>
      <w:r w:rsidRPr="004A6349">
        <w:rPr>
          <w:rFonts w:ascii="Calibri" w:eastAsia="Calibri" w:hAnsi="Calibri" w:cs="Times New Roman"/>
          <w:color w:val="002F5D"/>
        </w:rPr>
        <w:t xml:space="preserve">Levels of </w:t>
      </w:r>
      <w:r w:rsidRPr="00330B65">
        <w:rPr>
          <w:rFonts w:ascii="Calibri" w:eastAsia="Calibri" w:hAnsi="Calibri" w:cs="Times New Roman"/>
          <w:b/>
          <w:color w:val="002F5D"/>
        </w:rPr>
        <w:t>smoking quitters</w:t>
      </w:r>
      <w:r w:rsidRPr="00330B65">
        <w:rPr>
          <w:rFonts w:ascii="Calibri" w:eastAsia="Calibri" w:hAnsi="Calibri" w:cs="Times New Roman"/>
          <w:color w:val="002F5D"/>
        </w:rPr>
        <w:t xml:space="preserve"> have tended to</w:t>
      </w:r>
      <w:r w:rsidRPr="004A6349">
        <w:rPr>
          <w:rFonts w:ascii="Calibri" w:eastAsia="Calibri" w:hAnsi="Calibri" w:cs="Times New Roman"/>
          <w:b/>
          <w:color w:val="002F5D"/>
        </w:rPr>
        <w:t xml:space="preserve"> fall</w:t>
      </w:r>
      <w:r w:rsidRPr="004A6349">
        <w:rPr>
          <w:rFonts w:ascii="Calibri" w:eastAsia="Calibri" w:hAnsi="Calibri" w:cs="Times New Roman"/>
          <w:color w:val="002F5D"/>
        </w:rPr>
        <w:t xml:space="preserve"> </w:t>
      </w:r>
      <w:r w:rsidR="003A0E31" w:rsidRPr="004A6349">
        <w:rPr>
          <w:rFonts w:ascii="Calibri" w:eastAsia="Calibri" w:hAnsi="Calibri" w:cs="Times New Roman"/>
          <w:color w:val="002F5D"/>
        </w:rPr>
        <w:t xml:space="preserve">in </w:t>
      </w:r>
      <w:r w:rsidR="003A0E31" w:rsidRPr="004A6349">
        <w:rPr>
          <w:rFonts w:ascii="Calibri" w:eastAsia="Calibri" w:hAnsi="Calibri" w:cs="Times New Roman"/>
          <w:b/>
          <w:color w:val="002F5D"/>
        </w:rPr>
        <w:t>Cambridgeshire</w:t>
      </w:r>
      <w:r w:rsidR="003A0E31" w:rsidRPr="004A6349">
        <w:rPr>
          <w:rFonts w:ascii="Calibri" w:eastAsia="Calibri" w:hAnsi="Calibri" w:cs="Times New Roman"/>
          <w:color w:val="002F5D"/>
        </w:rPr>
        <w:t xml:space="preserve"> </w:t>
      </w:r>
      <w:r w:rsidRPr="004A6349">
        <w:rPr>
          <w:rFonts w:ascii="Calibri" w:eastAsia="Calibri" w:hAnsi="Calibri" w:cs="Times New Roman"/>
          <w:color w:val="002F5D"/>
        </w:rPr>
        <w:t>and have stabilised at a lower rate following the wider use of e-cigarettes.</w:t>
      </w:r>
      <w:r w:rsidR="003A0E31" w:rsidRPr="004A6349">
        <w:rPr>
          <w:rFonts w:ascii="Calibri" w:eastAsia="Calibri" w:hAnsi="Calibri" w:cs="Times New Roman"/>
          <w:color w:val="002F5D"/>
        </w:rPr>
        <w:t xml:space="preserve">  </w:t>
      </w:r>
      <w:r w:rsidR="003A0E31" w:rsidRPr="004A6349">
        <w:rPr>
          <w:rFonts w:ascii="Calibri" w:eastAsia="Calibri" w:hAnsi="Calibri" w:cs="Times New Roman"/>
          <w:b/>
          <w:color w:val="002F5D"/>
        </w:rPr>
        <w:t>Peterborough</w:t>
      </w:r>
      <w:r w:rsidR="003A0E31" w:rsidRPr="004A6349">
        <w:rPr>
          <w:rFonts w:ascii="Calibri" w:eastAsia="Calibri" w:hAnsi="Calibri" w:cs="Times New Roman"/>
          <w:color w:val="002F5D"/>
        </w:rPr>
        <w:t xml:space="preserve"> has seen a </w:t>
      </w:r>
      <w:r w:rsidR="003A0E31" w:rsidRPr="004A6349">
        <w:rPr>
          <w:rFonts w:ascii="Calibri" w:eastAsia="Calibri" w:hAnsi="Calibri" w:cs="Times New Roman"/>
          <w:b/>
          <w:color w:val="002F5D"/>
        </w:rPr>
        <w:t>rise</w:t>
      </w:r>
      <w:r w:rsidR="003A0E31" w:rsidRPr="004A6349">
        <w:rPr>
          <w:rFonts w:ascii="Calibri" w:eastAsia="Calibri" w:hAnsi="Calibri" w:cs="Times New Roman"/>
          <w:color w:val="002F5D"/>
        </w:rPr>
        <w:t xml:space="preserve"> in levels of </w:t>
      </w:r>
      <w:r w:rsidR="003A0E31" w:rsidRPr="004A6349">
        <w:rPr>
          <w:rFonts w:ascii="Calibri" w:eastAsia="Calibri" w:hAnsi="Calibri" w:cs="Times New Roman"/>
          <w:b/>
          <w:color w:val="002F5D"/>
        </w:rPr>
        <w:t>smoking quitters</w:t>
      </w:r>
      <w:r w:rsidR="003A0E31" w:rsidRPr="004A6349">
        <w:rPr>
          <w:rFonts w:ascii="Calibri" w:eastAsia="Calibri" w:hAnsi="Calibri" w:cs="Times New Roman"/>
          <w:color w:val="002F5D"/>
        </w:rPr>
        <w:t xml:space="preserve"> in the last two years. </w:t>
      </w:r>
    </w:p>
    <w:p w14:paraId="72F6A721" w14:textId="77777777" w:rsidR="009810FA" w:rsidRPr="0022024E" w:rsidRDefault="009810FA" w:rsidP="009810FA">
      <w:pPr>
        <w:spacing w:line="240" w:lineRule="auto"/>
        <w:ind w:left="720"/>
        <w:contextualSpacing/>
        <w:rPr>
          <w:rFonts w:ascii="Calibri" w:eastAsia="Calibri" w:hAnsi="Calibri" w:cs="Times New Roman"/>
          <w:color w:val="FF0000"/>
          <w:sz w:val="20"/>
          <w:szCs w:val="20"/>
        </w:rPr>
      </w:pPr>
    </w:p>
    <w:p w14:paraId="7B7690D3" w14:textId="77777777" w:rsidR="009810FA" w:rsidRPr="007E5C3B" w:rsidRDefault="009810FA" w:rsidP="009810FA">
      <w:pPr>
        <w:spacing w:before="120" w:line="240" w:lineRule="auto"/>
        <w:rPr>
          <w:rFonts w:ascii="Calibri" w:eastAsia="Calibri" w:hAnsi="Calibri" w:cs="Arial"/>
          <w:b/>
          <w:color w:val="002F5D"/>
        </w:rPr>
      </w:pPr>
      <w:r w:rsidRPr="009C0660">
        <w:rPr>
          <w:rFonts w:ascii="Calibri" w:eastAsia="Calibri" w:hAnsi="Calibri" w:cs="Arial"/>
          <w:b/>
          <w:color w:val="002F5D"/>
        </w:rPr>
        <w:t xml:space="preserve">Alcohol </w:t>
      </w:r>
      <w:r w:rsidRPr="007E5C3B">
        <w:rPr>
          <w:rFonts w:ascii="Calibri" w:eastAsia="Calibri" w:hAnsi="Calibri" w:cs="Arial"/>
          <w:b/>
          <w:color w:val="002F5D"/>
        </w:rPr>
        <w:t>and drug use</w:t>
      </w:r>
    </w:p>
    <w:p w14:paraId="0E9EE7F7" w14:textId="77777777" w:rsidR="009810FA" w:rsidRDefault="009810FA" w:rsidP="009810FA">
      <w:pPr>
        <w:numPr>
          <w:ilvl w:val="0"/>
          <w:numId w:val="4"/>
        </w:numPr>
        <w:spacing w:line="240" w:lineRule="auto"/>
        <w:contextualSpacing/>
        <w:rPr>
          <w:rFonts w:ascii="Calibri" w:eastAsia="Calibri" w:hAnsi="Calibri" w:cs="Arial"/>
          <w:color w:val="002F5D"/>
        </w:rPr>
      </w:pPr>
      <w:r w:rsidRPr="007E5C3B">
        <w:rPr>
          <w:rFonts w:ascii="Calibri" w:eastAsia="Calibri" w:hAnsi="Calibri" w:cs="Arial"/>
          <w:color w:val="002F5D"/>
        </w:rPr>
        <w:t xml:space="preserve">The percentage of </w:t>
      </w:r>
      <w:r w:rsidRPr="007E5C3B">
        <w:rPr>
          <w:rFonts w:ascii="Calibri" w:eastAsia="Calibri" w:hAnsi="Calibri" w:cs="Arial"/>
          <w:b/>
          <w:color w:val="002F5D"/>
        </w:rPr>
        <w:t>15 year olds</w:t>
      </w:r>
      <w:r w:rsidRPr="007E5C3B">
        <w:rPr>
          <w:rFonts w:ascii="Calibri" w:eastAsia="Calibri" w:hAnsi="Calibri" w:cs="Arial"/>
          <w:color w:val="002F5D"/>
        </w:rPr>
        <w:t xml:space="preserve"> in </w:t>
      </w:r>
      <w:r w:rsidRPr="007E5C3B">
        <w:rPr>
          <w:rFonts w:ascii="Calibri" w:eastAsia="Calibri" w:hAnsi="Calibri" w:cs="Arial"/>
          <w:b/>
          <w:color w:val="002F5D"/>
        </w:rPr>
        <w:t>Cambridgeshire</w:t>
      </w:r>
      <w:r w:rsidRPr="007E5C3B">
        <w:rPr>
          <w:rFonts w:ascii="Calibri" w:eastAsia="Calibri" w:hAnsi="Calibri" w:cs="Arial"/>
          <w:color w:val="002F5D"/>
        </w:rPr>
        <w:t xml:space="preserve"> that have </w:t>
      </w:r>
      <w:r w:rsidRPr="007E5C3B">
        <w:rPr>
          <w:rFonts w:ascii="Calibri" w:eastAsia="Calibri" w:hAnsi="Calibri" w:cs="Arial"/>
          <w:b/>
          <w:color w:val="002F5D"/>
        </w:rPr>
        <w:t>ever had an</w:t>
      </w:r>
      <w:r w:rsidRPr="007E5C3B">
        <w:rPr>
          <w:rFonts w:ascii="Calibri" w:eastAsia="Calibri" w:hAnsi="Calibri" w:cs="Arial"/>
          <w:color w:val="002F5D"/>
        </w:rPr>
        <w:t xml:space="preserve"> </w:t>
      </w:r>
      <w:r w:rsidRPr="007E5C3B">
        <w:rPr>
          <w:rFonts w:ascii="Calibri" w:eastAsia="Calibri" w:hAnsi="Calibri" w:cs="Arial"/>
          <w:b/>
          <w:color w:val="002F5D"/>
        </w:rPr>
        <w:t>alcoholic drink</w:t>
      </w:r>
      <w:r w:rsidRPr="007E5C3B">
        <w:rPr>
          <w:rFonts w:ascii="Calibri" w:eastAsia="Calibri" w:hAnsi="Calibri" w:cs="Arial"/>
          <w:color w:val="002F5D"/>
        </w:rPr>
        <w:t xml:space="preserve"> is statistically significantly </w:t>
      </w:r>
      <w:r w:rsidRPr="007E5C3B">
        <w:rPr>
          <w:rFonts w:ascii="Calibri" w:eastAsia="Calibri" w:hAnsi="Calibri" w:cs="Arial"/>
          <w:b/>
          <w:color w:val="002F5D"/>
        </w:rPr>
        <w:t>higher</w:t>
      </w:r>
      <w:r w:rsidRPr="007E5C3B">
        <w:rPr>
          <w:rFonts w:ascii="Calibri" w:eastAsia="Calibri" w:hAnsi="Calibri" w:cs="Arial"/>
          <w:color w:val="002F5D"/>
        </w:rPr>
        <w:t xml:space="preserve"> th</w:t>
      </w:r>
      <w:r>
        <w:rPr>
          <w:rFonts w:ascii="Calibri" w:eastAsia="Calibri" w:hAnsi="Calibri" w:cs="Arial"/>
          <w:color w:val="002F5D"/>
        </w:rPr>
        <w:t>an the England average, with the percentage</w:t>
      </w:r>
      <w:r w:rsidRPr="007E5C3B">
        <w:rPr>
          <w:rFonts w:ascii="Calibri" w:eastAsia="Calibri" w:hAnsi="Calibri" w:cs="Arial"/>
          <w:color w:val="002F5D"/>
        </w:rPr>
        <w:t xml:space="preserve"> of regular drinki</w:t>
      </w:r>
      <w:r>
        <w:rPr>
          <w:rFonts w:ascii="Calibri" w:eastAsia="Calibri" w:hAnsi="Calibri" w:cs="Arial"/>
          <w:color w:val="002F5D"/>
        </w:rPr>
        <w:t>ng around national levels. The percentages</w:t>
      </w:r>
      <w:r w:rsidRPr="007E5C3B">
        <w:rPr>
          <w:rFonts w:ascii="Calibri" w:eastAsia="Calibri" w:hAnsi="Calibri" w:cs="Arial"/>
          <w:color w:val="002F5D"/>
        </w:rPr>
        <w:t xml:space="preserve"> are significantly </w:t>
      </w:r>
      <w:r w:rsidRPr="007E5C3B">
        <w:rPr>
          <w:rFonts w:ascii="Calibri" w:eastAsia="Calibri" w:hAnsi="Calibri" w:cs="Arial"/>
          <w:b/>
          <w:color w:val="002F5D"/>
        </w:rPr>
        <w:t>better</w:t>
      </w:r>
      <w:r w:rsidRPr="007E5C3B">
        <w:rPr>
          <w:rFonts w:ascii="Calibri" w:eastAsia="Calibri" w:hAnsi="Calibri" w:cs="Arial"/>
          <w:color w:val="002F5D"/>
        </w:rPr>
        <w:t xml:space="preserve"> than nationally in </w:t>
      </w:r>
      <w:r w:rsidRPr="007E5C3B">
        <w:rPr>
          <w:rFonts w:ascii="Calibri" w:eastAsia="Calibri" w:hAnsi="Calibri" w:cs="Arial"/>
          <w:b/>
          <w:color w:val="002F5D"/>
        </w:rPr>
        <w:t>Peterborough</w:t>
      </w:r>
      <w:r w:rsidRPr="007E5C3B">
        <w:rPr>
          <w:rFonts w:ascii="Calibri" w:eastAsia="Calibri" w:hAnsi="Calibri" w:cs="Arial"/>
          <w:color w:val="002F5D"/>
        </w:rPr>
        <w:t>.</w:t>
      </w:r>
    </w:p>
    <w:p w14:paraId="0135A535" w14:textId="77777777" w:rsidR="009810FA" w:rsidRPr="007E5C3B" w:rsidRDefault="009810FA" w:rsidP="009810FA">
      <w:pPr>
        <w:numPr>
          <w:ilvl w:val="0"/>
          <w:numId w:val="4"/>
        </w:numPr>
        <w:spacing w:line="240" w:lineRule="auto"/>
        <w:contextualSpacing/>
        <w:rPr>
          <w:rFonts w:ascii="Calibri" w:eastAsia="Calibri" w:hAnsi="Calibri" w:cs="Arial"/>
          <w:color w:val="002F5D"/>
        </w:rPr>
      </w:pPr>
      <w:r w:rsidRPr="007E5C3B">
        <w:rPr>
          <w:rFonts w:ascii="Calibri" w:eastAsia="Calibri" w:hAnsi="Calibri" w:cs="Arial"/>
          <w:color w:val="002F5D"/>
        </w:rPr>
        <w:t xml:space="preserve">The percentage of </w:t>
      </w:r>
      <w:r w:rsidRPr="007E5C3B">
        <w:rPr>
          <w:rFonts w:ascii="Calibri" w:eastAsia="Calibri" w:hAnsi="Calibri" w:cs="Arial"/>
          <w:b/>
          <w:color w:val="002F5D"/>
        </w:rPr>
        <w:t>Cambridgeshire</w:t>
      </w:r>
      <w:r w:rsidRPr="007E5C3B">
        <w:rPr>
          <w:rFonts w:ascii="Calibri" w:eastAsia="Calibri" w:hAnsi="Calibri" w:cs="Arial"/>
          <w:color w:val="002F5D"/>
        </w:rPr>
        <w:t xml:space="preserve"> </w:t>
      </w:r>
      <w:r w:rsidRPr="007E5C3B">
        <w:rPr>
          <w:rFonts w:ascii="Calibri" w:eastAsia="Calibri" w:hAnsi="Calibri" w:cs="Arial"/>
          <w:b/>
          <w:color w:val="002F5D"/>
        </w:rPr>
        <w:t xml:space="preserve">adults </w:t>
      </w:r>
      <w:r w:rsidRPr="007E5C3B">
        <w:rPr>
          <w:rFonts w:ascii="Calibri" w:eastAsia="Calibri" w:hAnsi="Calibri" w:cs="Arial"/>
          <w:color w:val="002F5D"/>
        </w:rPr>
        <w:t>who</w:t>
      </w:r>
      <w:r w:rsidRPr="007E5C3B">
        <w:rPr>
          <w:rFonts w:ascii="Calibri" w:eastAsia="Calibri" w:hAnsi="Calibri" w:cs="Arial"/>
          <w:b/>
          <w:color w:val="002F5D"/>
        </w:rPr>
        <w:t xml:space="preserve"> abstain from drinking alcohol</w:t>
      </w:r>
      <w:r w:rsidRPr="007E5C3B">
        <w:rPr>
          <w:rFonts w:ascii="Calibri" w:eastAsia="Calibri" w:hAnsi="Calibri" w:cs="Arial"/>
          <w:color w:val="002F5D"/>
        </w:rPr>
        <w:t xml:space="preserve"> is statistically significantly </w:t>
      </w:r>
      <w:r w:rsidRPr="007E5C3B">
        <w:rPr>
          <w:rFonts w:ascii="Calibri" w:eastAsia="Calibri" w:hAnsi="Calibri" w:cs="Arial"/>
          <w:b/>
          <w:color w:val="002F5D"/>
        </w:rPr>
        <w:t>lower</w:t>
      </w:r>
      <w:r w:rsidRPr="007E5C3B">
        <w:rPr>
          <w:rFonts w:ascii="Calibri" w:eastAsia="Calibri" w:hAnsi="Calibri" w:cs="Arial"/>
          <w:color w:val="002F5D"/>
        </w:rPr>
        <w:t xml:space="preserve"> (worse) than the England average, with only 10% abstaining. In </w:t>
      </w:r>
      <w:r w:rsidRPr="007E5C3B">
        <w:rPr>
          <w:rFonts w:ascii="Calibri" w:eastAsia="Calibri" w:hAnsi="Calibri" w:cs="Arial"/>
          <w:b/>
          <w:color w:val="002F5D"/>
        </w:rPr>
        <w:t>Cambridgeshire and Peterborough</w:t>
      </w:r>
      <w:r w:rsidRPr="007E5C3B">
        <w:rPr>
          <w:rFonts w:ascii="Calibri" w:eastAsia="Calibri" w:hAnsi="Calibri" w:cs="Arial"/>
          <w:color w:val="002F5D"/>
        </w:rPr>
        <w:t xml:space="preserve"> as a whole </w:t>
      </w:r>
      <w:r w:rsidRPr="00CB3D08">
        <w:rPr>
          <w:rFonts w:ascii="Calibri" w:eastAsia="Calibri" w:hAnsi="Calibri" w:cs="Arial"/>
          <w:color w:val="002F5D"/>
        </w:rPr>
        <w:t>percentages of</w:t>
      </w:r>
      <w:r w:rsidRPr="007E5C3B">
        <w:rPr>
          <w:rFonts w:ascii="Calibri" w:eastAsia="Calibri" w:hAnsi="Calibri" w:cs="Arial"/>
          <w:b/>
          <w:color w:val="002F5D"/>
        </w:rPr>
        <w:t xml:space="preserve"> abstention</w:t>
      </w:r>
      <w:r w:rsidRPr="007E5C3B">
        <w:rPr>
          <w:rFonts w:ascii="Calibri" w:eastAsia="Calibri" w:hAnsi="Calibri" w:cs="Arial"/>
          <w:color w:val="002F5D"/>
        </w:rPr>
        <w:t xml:space="preserve"> are </w:t>
      </w:r>
      <w:r w:rsidRPr="007E5C3B">
        <w:rPr>
          <w:rFonts w:ascii="Calibri" w:eastAsia="Calibri" w:hAnsi="Calibri" w:cs="Arial"/>
          <w:b/>
          <w:color w:val="002F5D"/>
        </w:rPr>
        <w:t>numerically lower</w:t>
      </w:r>
      <w:r w:rsidRPr="007E5C3B">
        <w:rPr>
          <w:rFonts w:ascii="Calibri" w:eastAsia="Calibri" w:hAnsi="Calibri" w:cs="Arial"/>
          <w:color w:val="002F5D"/>
        </w:rPr>
        <w:t xml:space="preserve"> than nationally, </w:t>
      </w:r>
      <w:r w:rsidRPr="007E5C3B">
        <w:rPr>
          <w:rFonts w:ascii="Calibri" w:eastAsia="Calibri" w:hAnsi="Calibri" w:cs="Arial"/>
          <w:color w:val="002F5D"/>
        </w:rPr>
        <w:lastRenderedPageBreak/>
        <w:t xml:space="preserve">though levels in </w:t>
      </w:r>
      <w:r w:rsidRPr="007E5C3B">
        <w:rPr>
          <w:rFonts w:ascii="Calibri" w:eastAsia="Calibri" w:hAnsi="Calibri" w:cs="Arial"/>
          <w:b/>
          <w:color w:val="002F5D"/>
        </w:rPr>
        <w:t>Peterborough</w:t>
      </w:r>
      <w:r w:rsidRPr="007E5C3B">
        <w:rPr>
          <w:rFonts w:ascii="Calibri" w:eastAsia="Calibri" w:hAnsi="Calibri" w:cs="Arial"/>
          <w:color w:val="002F5D"/>
        </w:rPr>
        <w:t xml:space="preserve"> are </w:t>
      </w:r>
      <w:r w:rsidRPr="007E5C3B">
        <w:rPr>
          <w:rFonts w:ascii="Calibri" w:eastAsia="Calibri" w:hAnsi="Calibri" w:cs="Arial"/>
          <w:b/>
          <w:color w:val="002F5D"/>
        </w:rPr>
        <w:t>numerically higher</w:t>
      </w:r>
      <w:r w:rsidRPr="007E5C3B">
        <w:rPr>
          <w:rFonts w:ascii="Calibri" w:eastAsia="Calibri" w:hAnsi="Calibri" w:cs="Arial"/>
          <w:color w:val="002F5D"/>
        </w:rPr>
        <w:t xml:space="preserve"> and </w:t>
      </w:r>
      <w:r w:rsidRPr="007E5C3B">
        <w:rPr>
          <w:rFonts w:ascii="Calibri" w:eastAsia="Calibri" w:hAnsi="Calibri" w:cs="Arial"/>
          <w:b/>
          <w:color w:val="002F5D"/>
        </w:rPr>
        <w:t>statistically similar</w:t>
      </w:r>
      <w:r w:rsidRPr="007E5C3B">
        <w:rPr>
          <w:rFonts w:ascii="Calibri" w:eastAsia="Calibri" w:hAnsi="Calibri" w:cs="Arial"/>
          <w:color w:val="002F5D"/>
        </w:rPr>
        <w:t xml:space="preserve"> to England levels at 23%.</w:t>
      </w:r>
    </w:p>
    <w:p w14:paraId="020F97C2" w14:textId="77777777" w:rsidR="009810FA" w:rsidRPr="007E5C3B" w:rsidRDefault="009810FA" w:rsidP="009810FA">
      <w:pPr>
        <w:numPr>
          <w:ilvl w:val="0"/>
          <w:numId w:val="4"/>
        </w:numPr>
        <w:spacing w:line="240" w:lineRule="auto"/>
        <w:contextualSpacing/>
        <w:rPr>
          <w:rFonts w:ascii="Calibri" w:eastAsia="Calibri" w:hAnsi="Calibri" w:cs="Arial"/>
          <w:color w:val="002F5D"/>
        </w:rPr>
      </w:pPr>
      <w:r w:rsidRPr="007E5C3B">
        <w:rPr>
          <w:rFonts w:ascii="Calibri" w:eastAsia="Calibri" w:hAnsi="Calibri" w:cs="Arial"/>
          <w:color w:val="002F5D"/>
        </w:rPr>
        <w:t xml:space="preserve">The rates of </w:t>
      </w:r>
      <w:r w:rsidRPr="007E5C3B">
        <w:rPr>
          <w:rFonts w:ascii="Calibri" w:eastAsia="Calibri" w:hAnsi="Calibri" w:cs="Arial"/>
          <w:b/>
          <w:color w:val="002F5D"/>
        </w:rPr>
        <w:t>hospital admission episodes</w:t>
      </w:r>
      <w:r w:rsidRPr="007E5C3B">
        <w:rPr>
          <w:rFonts w:ascii="Calibri" w:eastAsia="Calibri" w:hAnsi="Calibri" w:cs="Arial"/>
          <w:color w:val="002F5D"/>
        </w:rPr>
        <w:t xml:space="preserve"> for </w:t>
      </w:r>
      <w:r w:rsidRPr="007E5C3B">
        <w:rPr>
          <w:rFonts w:ascii="Calibri" w:eastAsia="Calibri" w:hAnsi="Calibri" w:cs="Arial"/>
          <w:b/>
          <w:color w:val="002F5D"/>
        </w:rPr>
        <w:t>alcohol-related conditions</w:t>
      </w:r>
      <w:r w:rsidRPr="007E5C3B">
        <w:rPr>
          <w:rFonts w:ascii="Calibri" w:eastAsia="Calibri" w:hAnsi="Calibri" w:cs="Arial"/>
          <w:color w:val="002F5D"/>
        </w:rPr>
        <w:t xml:space="preserve"> are statistically significantly </w:t>
      </w:r>
      <w:r w:rsidRPr="007E5C3B">
        <w:rPr>
          <w:rFonts w:ascii="Calibri" w:eastAsia="Calibri" w:hAnsi="Calibri" w:cs="Arial"/>
          <w:b/>
          <w:color w:val="002F5D"/>
        </w:rPr>
        <w:t>higher</w:t>
      </w:r>
      <w:r w:rsidRPr="007E5C3B">
        <w:rPr>
          <w:rFonts w:ascii="Calibri" w:eastAsia="Calibri" w:hAnsi="Calibri" w:cs="Arial"/>
          <w:color w:val="002F5D"/>
        </w:rPr>
        <w:t xml:space="preserve"> (worse) than the England average in </w:t>
      </w:r>
      <w:r w:rsidRPr="007E5C3B">
        <w:rPr>
          <w:rFonts w:ascii="Calibri" w:eastAsia="Calibri" w:hAnsi="Calibri" w:cs="Arial"/>
          <w:b/>
          <w:color w:val="002F5D"/>
        </w:rPr>
        <w:t>Cambridge</w:t>
      </w:r>
      <w:r w:rsidRPr="007E5C3B">
        <w:rPr>
          <w:rFonts w:ascii="Calibri" w:eastAsia="Calibri" w:hAnsi="Calibri" w:cs="Arial"/>
          <w:color w:val="002F5D"/>
        </w:rPr>
        <w:t xml:space="preserve"> and </w:t>
      </w:r>
      <w:r w:rsidRPr="007E5C3B">
        <w:rPr>
          <w:rFonts w:ascii="Calibri" w:eastAsia="Calibri" w:hAnsi="Calibri" w:cs="Arial"/>
          <w:b/>
          <w:color w:val="002F5D"/>
        </w:rPr>
        <w:t>Fenland</w:t>
      </w:r>
      <w:r w:rsidRPr="007E5C3B">
        <w:rPr>
          <w:rFonts w:ascii="Calibri" w:eastAsia="Calibri" w:hAnsi="Calibri" w:cs="Arial"/>
          <w:color w:val="002F5D"/>
        </w:rPr>
        <w:t xml:space="preserve"> and </w:t>
      </w:r>
      <w:r w:rsidRPr="007E5C3B">
        <w:rPr>
          <w:rFonts w:ascii="Calibri" w:eastAsia="Calibri" w:hAnsi="Calibri" w:cs="Arial"/>
          <w:b/>
          <w:color w:val="002F5D"/>
        </w:rPr>
        <w:t>similar</w:t>
      </w:r>
      <w:r w:rsidRPr="007E5C3B">
        <w:rPr>
          <w:rFonts w:ascii="Calibri" w:eastAsia="Calibri" w:hAnsi="Calibri" w:cs="Arial"/>
          <w:color w:val="002F5D"/>
        </w:rPr>
        <w:t xml:space="preserve"> in </w:t>
      </w:r>
      <w:r w:rsidRPr="007E5C3B">
        <w:rPr>
          <w:rFonts w:ascii="Calibri" w:eastAsia="Calibri" w:hAnsi="Calibri" w:cs="Arial"/>
          <w:b/>
          <w:color w:val="002F5D"/>
        </w:rPr>
        <w:t>Cambridgeshire and Peterborough</w:t>
      </w:r>
      <w:r w:rsidRPr="007E5C3B">
        <w:rPr>
          <w:rFonts w:ascii="Calibri" w:eastAsia="Calibri" w:hAnsi="Calibri" w:cs="Arial"/>
          <w:color w:val="002F5D"/>
        </w:rPr>
        <w:t>.</w:t>
      </w:r>
    </w:p>
    <w:p w14:paraId="2B3D951E" w14:textId="77777777" w:rsidR="009810FA" w:rsidRDefault="009810FA" w:rsidP="009810FA">
      <w:pPr>
        <w:numPr>
          <w:ilvl w:val="0"/>
          <w:numId w:val="4"/>
        </w:numPr>
        <w:spacing w:line="240" w:lineRule="auto"/>
        <w:contextualSpacing/>
        <w:rPr>
          <w:rFonts w:ascii="Calibri" w:eastAsia="Calibri" w:hAnsi="Calibri" w:cs="Arial"/>
          <w:b/>
          <w:color w:val="002F5D"/>
        </w:rPr>
      </w:pPr>
      <w:r w:rsidRPr="007E5C3B">
        <w:rPr>
          <w:rFonts w:ascii="Calibri" w:eastAsia="Calibri" w:hAnsi="Calibri" w:cs="Arial"/>
          <w:color w:val="002F5D"/>
        </w:rPr>
        <w:t xml:space="preserve">Levels of </w:t>
      </w:r>
      <w:r w:rsidRPr="007E5C3B">
        <w:rPr>
          <w:rFonts w:ascii="Calibri" w:eastAsia="Calibri" w:hAnsi="Calibri" w:cs="Arial"/>
          <w:b/>
          <w:color w:val="002F5D"/>
        </w:rPr>
        <w:t>drug use</w:t>
      </w:r>
      <w:r w:rsidRPr="007E5C3B">
        <w:rPr>
          <w:rFonts w:ascii="Calibri" w:eastAsia="Calibri" w:hAnsi="Calibri" w:cs="Arial"/>
          <w:color w:val="002F5D"/>
        </w:rPr>
        <w:t xml:space="preserve"> in </w:t>
      </w:r>
      <w:r w:rsidRPr="007E5C3B">
        <w:rPr>
          <w:rFonts w:ascii="Calibri" w:eastAsia="Calibri" w:hAnsi="Calibri" w:cs="Arial"/>
          <w:b/>
          <w:color w:val="002F5D"/>
        </w:rPr>
        <w:t>children</w:t>
      </w:r>
      <w:r w:rsidRPr="007E5C3B">
        <w:rPr>
          <w:rFonts w:ascii="Calibri" w:eastAsia="Calibri" w:hAnsi="Calibri" w:cs="Arial"/>
          <w:color w:val="002F5D"/>
        </w:rPr>
        <w:t xml:space="preserve"> in </w:t>
      </w:r>
      <w:r w:rsidRPr="007E5C3B">
        <w:rPr>
          <w:rFonts w:ascii="Calibri" w:eastAsia="Calibri" w:hAnsi="Calibri" w:cs="Arial"/>
          <w:b/>
          <w:color w:val="002F5D"/>
        </w:rPr>
        <w:t>Cambridgeshire</w:t>
      </w:r>
      <w:r w:rsidRPr="007E5C3B">
        <w:rPr>
          <w:rFonts w:ascii="Calibri" w:eastAsia="Calibri" w:hAnsi="Calibri" w:cs="Arial"/>
          <w:color w:val="002F5D"/>
        </w:rPr>
        <w:t xml:space="preserve"> and </w:t>
      </w:r>
      <w:r w:rsidRPr="007E5C3B">
        <w:rPr>
          <w:rFonts w:ascii="Calibri" w:eastAsia="Calibri" w:hAnsi="Calibri" w:cs="Arial"/>
          <w:b/>
          <w:color w:val="002F5D"/>
        </w:rPr>
        <w:t>Peterborough</w:t>
      </w:r>
      <w:r w:rsidRPr="007E5C3B">
        <w:rPr>
          <w:rFonts w:ascii="Calibri" w:eastAsia="Calibri" w:hAnsi="Calibri" w:cs="Arial"/>
          <w:color w:val="002F5D"/>
        </w:rPr>
        <w:t xml:space="preserve"> are </w:t>
      </w:r>
      <w:r w:rsidRPr="007E5C3B">
        <w:rPr>
          <w:rFonts w:ascii="Calibri" w:eastAsia="Calibri" w:hAnsi="Calibri" w:cs="Arial"/>
          <w:b/>
          <w:color w:val="002F5D"/>
        </w:rPr>
        <w:t>similar</w:t>
      </w:r>
      <w:r w:rsidRPr="007E5C3B">
        <w:rPr>
          <w:rFonts w:ascii="Calibri" w:eastAsia="Calibri" w:hAnsi="Calibri" w:cs="Arial"/>
          <w:color w:val="002F5D"/>
        </w:rPr>
        <w:t xml:space="preserve"> to </w:t>
      </w:r>
      <w:r w:rsidRPr="007E5C3B">
        <w:rPr>
          <w:rFonts w:ascii="Calibri" w:eastAsia="Calibri" w:hAnsi="Calibri" w:cs="Arial"/>
          <w:b/>
          <w:color w:val="002F5D"/>
        </w:rPr>
        <w:t>national</w:t>
      </w:r>
      <w:r w:rsidRPr="007E5C3B">
        <w:rPr>
          <w:rFonts w:ascii="Calibri" w:eastAsia="Calibri" w:hAnsi="Calibri" w:cs="Arial"/>
          <w:color w:val="002F5D"/>
        </w:rPr>
        <w:t xml:space="preserve"> levels.</w:t>
      </w:r>
    </w:p>
    <w:p w14:paraId="748E623E" w14:textId="77777777" w:rsidR="009810FA" w:rsidRPr="007E5C3B" w:rsidRDefault="009810FA" w:rsidP="009810FA">
      <w:pPr>
        <w:numPr>
          <w:ilvl w:val="0"/>
          <w:numId w:val="4"/>
        </w:numPr>
        <w:spacing w:line="240" w:lineRule="auto"/>
        <w:contextualSpacing/>
        <w:rPr>
          <w:rFonts w:ascii="Calibri" w:eastAsia="Calibri" w:hAnsi="Calibri" w:cs="Arial"/>
          <w:b/>
          <w:color w:val="002F5D"/>
        </w:rPr>
      </w:pPr>
      <w:r w:rsidRPr="007E5C3B">
        <w:rPr>
          <w:rFonts w:ascii="Calibri" w:eastAsia="Calibri" w:hAnsi="Calibri" w:cs="Arial"/>
          <w:color w:val="002F5D"/>
        </w:rPr>
        <w:t xml:space="preserve">Nearly </w:t>
      </w:r>
      <w:r w:rsidRPr="007E5C3B">
        <w:rPr>
          <w:rFonts w:ascii="Calibri" w:eastAsia="Calibri" w:hAnsi="Calibri" w:cs="Arial"/>
          <w:b/>
          <w:color w:val="002F5D"/>
        </w:rPr>
        <w:t>44,000</w:t>
      </w:r>
      <w:r w:rsidRPr="007E5C3B">
        <w:rPr>
          <w:rFonts w:ascii="Calibri" w:eastAsia="Calibri" w:hAnsi="Calibri" w:cs="Arial"/>
          <w:color w:val="002F5D"/>
        </w:rPr>
        <w:t xml:space="preserve"> </w:t>
      </w:r>
      <w:r w:rsidRPr="007E5C3B">
        <w:rPr>
          <w:rFonts w:ascii="Calibri" w:eastAsia="Calibri" w:hAnsi="Calibri" w:cs="Arial"/>
          <w:b/>
          <w:color w:val="002F5D"/>
        </w:rPr>
        <w:t>Cambridgeshire and Peterborough</w:t>
      </w:r>
      <w:r w:rsidRPr="007E5C3B">
        <w:rPr>
          <w:rFonts w:ascii="Calibri" w:eastAsia="Calibri" w:hAnsi="Calibri" w:cs="Arial"/>
          <w:color w:val="002F5D"/>
        </w:rPr>
        <w:t xml:space="preserve"> </w:t>
      </w:r>
      <w:r w:rsidRPr="007E5C3B">
        <w:rPr>
          <w:rFonts w:ascii="Calibri" w:eastAsia="Calibri" w:hAnsi="Calibri" w:cs="Arial"/>
          <w:b/>
          <w:color w:val="002F5D"/>
        </w:rPr>
        <w:t>adults</w:t>
      </w:r>
      <w:r w:rsidRPr="007E5C3B">
        <w:rPr>
          <w:rFonts w:ascii="Calibri" w:eastAsia="Calibri" w:hAnsi="Calibri" w:cs="Arial"/>
          <w:color w:val="002F5D"/>
        </w:rPr>
        <w:t xml:space="preserve"> aged 16 to 59 years are estimated to have used an </w:t>
      </w:r>
      <w:r w:rsidRPr="007E5C3B">
        <w:rPr>
          <w:rFonts w:ascii="Calibri" w:eastAsia="Calibri" w:hAnsi="Calibri" w:cs="Arial"/>
          <w:b/>
          <w:color w:val="002F5D"/>
        </w:rPr>
        <w:t>illegal drug</w:t>
      </w:r>
      <w:r w:rsidRPr="007E5C3B">
        <w:rPr>
          <w:rFonts w:ascii="Calibri" w:eastAsia="Calibri" w:hAnsi="Calibri" w:cs="Arial"/>
          <w:color w:val="002F5D"/>
        </w:rPr>
        <w:t xml:space="preserve"> of any sort within the last year, with more than 10,000 using drugs more than once per month. Around 40 </w:t>
      </w:r>
      <w:r w:rsidRPr="007E5C3B">
        <w:rPr>
          <w:rFonts w:ascii="Calibri" w:eastAsia="Calibri" w:hAnsi="Calibri" w:cs="Arial"/>
          <w:b/>
          <w:color w:val="002F5D"/>
        </w:rPr>
        <w:t>adults</w:t>
      </w:r>
      <w:r w:rsidRPr="007E5C3B">
        <w:rPr>
          <w:rFonts w:ascii="Calibri" w:eastAsia="Calibri" w:hAnsi="Calibri" w:cs="Arial"/>
          <w:color w:val="002F5D"/>
        </w:rPr>
        <w:t xml:space="preserve"> die each year due to </w:t>
      </w:r>
      <w:r w:rsidRPr="007E5C3B">
        <w:rPr>
          <w:rFonts w:ascii="Calibri" w:eastAsia="Calibri" w:hAnsi="Calibri" w:cs="Arial"/>
          <w:b/>
          <w:color w:val="002F5D"/>
        </w:rPr>
        <w:t>drug misuse</w:t>
      </w:r>
      <w:r w:rsidRPr="007E5C3B">
        <w:rPr>
          <w:rFonts w:ascii="Calibri" w:eastAsia="Calibri" w:hAnsi="Calibri" w:cs="Arial"/>
          <w:color w:val="002F5D"/>
        </w:rPr>
        <w:t xml:space="preserve"> in </w:t>
      </w:r>
      <w:r w:rsidRPr="007E5C3B">
        <w:rPr>
          <w:rFonts w:ascii="Calibri" w:eastAsia="Calibri" w:hAnsi="Calibri" w:cs="Arial"/>
          <w:b/>
          <w:color w:val="002F5D"/>
        </w:rPr>
        <w:t>Cambridgeshire and Peterborough</w:t>
      </w:r>
      <w:r w:rsidRPr="007E5C3B">
        <w:rPr>
          <w:rFonts w:ascii="Calibri" w:eastAsia="Calibri" w:hAnsi="Calibri" w:cs="Arial"/>
          <w:color w:val="002F5D"/>
        </w:rPr>
        <w:t xml:space="preserve">; rates of deaths are statistically </w:t>
      </w:r>
      <w:r w:rsidRPr="007E5C3B">
        <w:rPr>
          <w:rFonts w:ascii="Calibri" w:eastAsia="Calibri" w:hAnsi="Calibri" w:cs="Arial"/>
          <w:b/>
          <w:color w:val="002F5D"/>
        </w:rPr>
        <w:t>similar</w:t>
      </w:r>
      <w:r w:rsidRPr="007E5C3B">
        <w:rPr>
          <w:rFonts w:ascii="Calibri" w:eastAsia="Calibri" w:hAnsi="Calibri" w:cs="Arial"/>
          <w:color w:val="002F5D"/>
        </w:rPr>
        <w:t xml:space="preserve"> to national levels but are </w:t>
      </w:r>
      <w:r w:rsidRPr="007E5C3B">
        <w:rPr>
          <w:rFonts w:ascii="Calibri" w:eastAsia="Calibri" w:hAnsi="Calibri" w:cs="Arial"/>
          <w:b/>
          <w:color w:val="002F5D"/>
        </w:rPr>
        <w:t>numerically higher</w:t>
      </w:r>
      <w:r w:rsidRPr="007E5C3B">
        <w:rPr>
          <w:rFonts w:ascii="Calibri" w:eastAsia="Calibri" w:hAnsi="Calibri" w:cs="Arial"/>
          <w:color w:val="002F5D"/>
        </w:rPr>
        <w:t xml:space="preserve"> in </w:t>
      </w:r>
      <w:r w:rsidRPr="007E5C3B">
        <w:rPr>
          <w:rFonts w:ascii="Calibri" w:eastAsia="Calibri" w:hAnsi="Calibri" w:cs="Arial"/>
          <w:b/>
          <w:color w:val="002F5D"/>
        </w:rPr>
        <w:t>Peterborough</w:t>
      </w:r>
      <w:r w:rsidRPr="007E5C3B">
        <w:rPr>
          <w:rFonts w:ascii="Calibri" w:eastAsia="Calibri" w:hAnsi="Calibri" w:cs="Arial"/>
          <w:color w:val="002F5D"/>
        </w:rPr>
        <w:t xml:space="preserve">, </w:t>
      </w:r>
      <w:r w:rsidRPr="007E5C3B">
        <w:rPr>
          <w:rFonts w:ascii="Calibri" w:eastAsia="Calibri" w:hAnsi="Calibri" w:cs="Arial"/>
          <w:b/>
          <w:color w:val="002F5D"/>
        </w:rPr>
        <w:t>Cambridge</w:t>
      </w:r>
      <w:r w:rsidRPr="007E5C3B">
        <w:rPr>
          <w:rFonts w:ascii="Calibri" w:eastAsia="Calibri" w:hAnsi="Calibri" w:cs="Arial"/>
          <w:color w:val="002F5D"/>
        </w:rPr>
        <w:t xml:space="preserve"> and </w:t>
      </w:r>
      <w:r w:rsidRPr="007E5C3B">
        <w:rPr>
          <w:rFonts w:ascii="Calibri" w:eastAsia="Calibri" w:hAnsi="Calibri" w:cs="Arial"/>
          <w:b/>
          <w:color w:val="002F5D"/>
        </w:rPr>
        <w:t>Fenland</w:t>
      </w:r>
      <w:r w:rsidRPr="007E5C3B">
        <w:rPr>
          <w:rFonts w:ascii="Calibri" w:eastAsia="Calibri" w:hAnsi="Calibri" w:cs="Arial"/>
          <w:color w:val="002F5D"/>
        </w:rPr>
        <w:t>.</w:t>
      </w:r>
    </w:p>
    <w:p w14:paraId="155BDAE0" w14:textId="77777777" w:rsidR="009810FA" w:rsidRPr="007E5C3B" w:rsidRDefault="009810FA" w:rsidP="009810FA">
      <w:pPr>
        <w:tabs>
          <w:tab w:val="left" w:pos="720"/>
          <w:tab w:val="left" w:pos="1440"/>
          <w:tab w:val="left" w:pos="2160"/>
          <w:tab w:val="left" w:pos="2880"/>
          <w:tab w:val="left" w:pos="3719"/>
        </w:tabs>
        <w:spacing w:before="120" w:line="240" w:lineRule="auto"/>
        <w:rPr>
          <w:rFonts w:ascii="Calibri" w:eastAsia="Calibri" w:hAnsi="Calibri" w:cs="Arial"/>
          <w:b/>
          <w:color w:val="002F5D"/>
        </w:rPr>
      </w:pPr>
      <w:r w:rsidRPr="007E5C3B">
        <w:rPr>
          <w:rFonts w:ascii="Calibri" w:eastAsia="Calibri" w:hAnsi="Calibri" w:cs="Arial"/>
          <w:b/>
          <w:color w:val="002F5D"/>
        </w:rPr>
        <w:t>NHS Health Checks</w:t>
      </w:r>
    </w:p>
    <w:p w14:paraId="7FE88648" w14:textId="3164413F" w:rsidR="009810FA" w:rsidRDefault="009810FA" w:rsidP="009810FA">
      <w:pPr>
        <w:numPr>
          <w:ilvl w:val="0"/>
          <w:numId w:val="4"/>
        </w:numPr>
        <w:spacing w:line="240" w:lineRule="auto"/>
        <w:contextualSpacing/>
        <w:rPr>
          <w:rFonts w:ascii="Calibri" w:eastAsia="Times New Roman" w:hAnsi="Calibri" w:cs="Times New Roman"/>
          <w:color w:val="002F5D"/>
          <w:lang w:eastAsia="en-GB"/>
        </w:rPr>
      </w:pPr>
      <w:r w:rsidRPr="007E5C3B">
        <w:rPr>
          <w:rFonts w:ascii="Calibri" w:eastAsia="Calibri" w:hAnsi="Calibri" w:cs="Arial"/>
          <w:color w:val="002F5D"/>
        </w:rPr>
        <w:t xml:space="preserve">The percentage of the eligible population invited for an </w:t>
      </w:r>
      <w:r w:rsidRPr="007E5C3B">
        <w:rPr>
          <w:rFonts w:ascii="Calibri" w:eastAsia="Calibri" w:hAnsi="Calibri" w:cs="Arial"/>
          <w:b/>
          <w:color w:val="002F5D"/>
        </w:rPr>
        <w:t>NHS Health Check</w:t>
      </w:r>
      <w:r w:rsidRPr="007E5C3B">
        <w:rPr>
          <w:rFonts w:ascii="Calibri" w:eastAsia="Calibri" w:hAnsi="Calibri" w:cs="Arial"/>
          <w:color w:val="002F5D"/>
        </w:rPr>
        <w:t xml:space="preserve"> in </w:t>
      </w:r>
      <w:r w:rsidRPr="007E5C3B">
        <w:rPr>
          <w:rFonts w:ascii="Calibri" w:eastAsia="Calibri" w:hAnsi="Calibri" w:cs="Arial"/>
          <w:b/>
          <w:color w:val="002F5D"/>
        </w:rPr>
        <w:t>Cambridgeshire and Peterborough</w:t>
      </w:r>
      <w:r w:rsidRPr="007E5C3B">
        <w:rPr>
          <w:rFonts w:ascii="Calibri" w:eastAsia="Calibri" w:hAnsi="Calibri" w:cs="Arial"/>
          <w:color w:val="002F5D"/>
        </w:rPr>
        <w:t xml:space="preserve"> is </w:t>
      </w:r>
      <w:r w:rsidRPr="007E5C3B">
        <w:rPr>
          <w:rFonts w:ascii="Calibri" w:eastAsia="Calibri" w:hAnsi="Calibri" w:cs="Arial"/>
          <w:b/>
          <w:color w:val="002F5D"/>
        </w:rPr>
        <w:t>lower</w:t>
      </w:r>
      <w:r w:rsidRPr="007E5C3B">
        <w:rPr>
          <w:rFonts w:ascii="Calibri" w:eastAsia="Calibri" w:hAnsi="Calibri" w:cs="Arial"/>
          <w:color w:val="002F5D"/>
        </w:rPr>
        <w:t xml:space="preserve"> than the England average. Actual</w:t>
      </w:r>
      <w:r w:rsidRPr="007E5C3B">
        <w:rPr>
          <w:rFonts w:ascii="Calibri" w:eastAsia="Calibri" w:hAnsi="Calibri" w:cs="Arial"/>
          <w:b/>
          <w:color w:val="002F5D"/>
        </w:rPr>
        <w:t xml:space="preserve"> uptake</w:t>
      </w:r>
      <w:r w:rsidRPr="007E5C3B">
        <w:rPr>
          <w:rFonts w:ascii="Calibri" w:eastAsia="Calibri" w:hAnsi="Calibri" w:cs="Arial"/>
          <w:color w:val="002F5D"/>
        </w:rPr>
        <w:t xml:space="preserve"> of those offers is </w:t>
      </w:r>
      <w:r w:rsidRPr="007E5C3B">
        <w:rPr>
          <w:rFonts w:ascii="Calibri" w:eastAsia="Calibri" w:hAnsi="Calibri" w:cs="Arial"/>
          <w:b/>
          <w:color w:val="002F5D"/>
        </w:rPr>
        <w:t>higher</w:t>
      </w:r>
      <w:r w:rsidRPr="007E5C3B">
        <w:rPr>
          <w:rFonts w:ascii="Calibri" w:eastAsia="Calibri" w:hAnsi="Calibri" w:cs="Arial"/>
          <w:color w:val="002F5D"/>
        </w:rPr>
        <w:t xml:space="preserve"> than </w:t>
      </w:r>
      <w:r w:rsidR="00B911F0">
        <w:rPr>
          <w:rFonts w:ascii="Calibri" w:eastAsia="Calibri" w:hAnsi="Calibri" w:cs="Arial"/>
          <w:color w:val="002F5D"/>
        </w:rPr>
        <w:t xml:space="preserve">the national </w:t>
      </w:r>
      <w:r w:rsidRPr="007E5C3B">
        <w:rPr>
          <w:rFonts w:ascii="Calibri" w:eastAsia="Calibri" w:hAnsi="Calibri" w:cs="Arial"/>
          <w:color w:val="002F5D"/>
        </w:rPr>
        <w:t>average.</w:t>
      </w:r>
    </w:p>
    <w:p w14:paraId="1674803B" w14:textId="77777777" w:rsidR="009810FA" w:rsidRDefault="009810FA" w:rsidP="009810FA">
      <w:pPr>
        <w:spacing w:line="240" w:lineRule="auto"/>
        <w:ind w:left="360"/>
        <w:contextualSpacing/>
        <w:rPr>
          <w:rFonts w:ascii="Calibri" w:eastAsia="Times New Roman" w:hAnsi="Calibri" w:cs="Times New Roman"/>
          <w:color w:val="002F5D"/>
          <w:lang w:eastAsia="en-GB"/>
        </w:rPr>
      </w:pPr>
    </w:p>
    <w:p w14:paraId="0E680585" w14:textId="77777777" w:rsidR="009810FA" w:rsidRPr="004434DA" w:rsidRDefault="009810FA" w:rsidP="009810FA">
      <w:pPr>
        <w:spacing w:line="240" w:lineRule="auto"/>
        <w:contextualSpacing/>
        <w:rPr>
          <w:rFonts w:ascii="Calibri" w:eastAsia="Times New Roman" w:hAnsi="Calibri" w:cs="Times New Roman"/>
          <w:color w:val="002F5D"/>
          <w:lang w:eastAsia="en-GB"/>
        </w:rPr>
      </w:pPr>
      <w:r w:rsidRPr="004434DA">
        <w:rPr>
          <w:rFonts w:ascii="Calibri" w:eastAsia="Calibri" w:hAnsi="Calibri" w:cs="Arial"/>
          <w:b/>
          <w:color w:val="002F5D"/>
        </w:rPr>
        <w:t>Sexual health</w:t>
      </w:r>
    </w:p>
    <w:p w14:paraId="47A867A1" w14:textId="2D0EC4B5" w:rsidR="009810FA" w:rsidRPr="008565C3" w:rsidRDefault="009810FA" w:rsidP="009810FA">
      <w:pPr>
        <w:numPr>
          <w:ilvl w:val="0"/>
          <w:numId w:val="4"/>
        </w:numPr>
        <w:spacing w:line="240" w:lineRule="auto"/>
        <w:ind w:left="714" w:hanging="357"/>
        <w:contextualSpacing/>
        <w:rPr>
          <w:rFonts w:ascii="Calibri" w:eastAsia="Calibri" w:hAnsi="Calibri" w:cs="Arial"/>
          <w:color w:val="002F5D"/>
        </w:rPr>
      </w:pPr>
      <w:r w:rsidRPr="007E5C3B">
        <w:rPr>
          <w:rFonts w:ascii="Calibri" w:eastAsia="Calibri" w:hAnsi="Calibri" w:cs="Arial"/>
          <w:color w:val="002F5D"/>
        </w:rPr>
        <w:t xml:space="preserve">The </w:t>
      </w:r>
      <w:r w:rsidRPr="007E5C3B">
        <w:rPr>
          <w:rFonts w:ascii="Calibri" w:eastAsia="Calibri" w:hAnsi="Calibri" w:cs="Arial"/>
          <w:b/>
          <w:color w:val="002F5D"/>
        </w:rPr>
        <w:t>chlamydia detection rate</w:t>
      </w:r>
      <w:r w:rsidRPr="007E5C3B">
        <w:rPr>
          <w:rFonts w:ascii="Calibri" w:eastAsia="Calibri" w:hAnsi="Calibri" w:cs="Arial"/>
          <w:color w:val="002F5D"/>
        </w:rPr>
        <w:t xml:space="preserve"> is statistically significantly </w:t>
      </w:r>
      <w:r w:rsidRPr="007E5C3B">
        <w:rPr>
          <w:rFonts w:ascii="Calibri" w:eastAsia="Calibri" w:hAnsi="Calibri" w:cs="Arial"/>
          <w:b/>
          <w:color w:val="002F5D"/>
        </w:rPr>
        <w:t>lower</w:t>
      </w:r>
      <w:r w:rsidRPr="007E5C3B">
        <w:rPr>
          <w:rFonts w:ascii="Calibri" w:eastAsia="Calibri" w:hAnsi="Calibri" w:cs="Arial"/>
          <w:color w:val="002F5D"/>
        </w:rPr>
        <w:t xml:space="preserve"> than the national target in </w:t>
      </w:r>
      <w:r w:rsidRPr="007E5C3B">
        <w:rPr>
          <w:rFonts w:ascii="Calibri" w:eastAsia="Calibri" w:hAnsi="Calibri" w:cs="Arial"/>
          <w:b/>
          <w:color w:val="002F5D"/>
        </w:rPr>
        <w:t>Cambridgeshire and Peterborough</w:t>
      </w:r>
      <w:r w:rsidRPr="007E5C3B">
        <w:rPr>
          <w:rFonts w:ascii="Calibri" w:eastAsia="Calibri" w:hAnsi="Calibri" w:cs="Arial"/>
          <w:color w:val="002F5D"/>
        </w:rPr>
        <w:t xml:space="preserve"> as a whole, in </w:t>
      </w:r>
      <w:r w:rsidRPr="007E5C3B">
        <w:rPr>
          <w:rFonts w:ascii="Calibri" w:eastAsia="Calibri" w:hAnsi="Calibri" w:cs="Arial"/>
          <w:b/>
          <w:color w:val="002F5D"/>
        </w:rPr>
        <w:t>Cambridgeshire</w:t>
      </w:r>
      <w:r w:rsidRPr="007E5C3B">
        <w:rPr>
          <w:rFonts w:ascii="Calibri" w:eastAsia="Calibri" w:hAnsi="Calibri" w:cs="Arial"/>
          <w:color w:val="002F5D"/>
        </w:rPr>
        <w:t xml:space="preserve"> and in each of the </w:t>
      </w:r>
      <w:r w:rsidRPr="007E5C3B">
        <w:rPr>
          <w:rFonts w:ascii="Calibri" w:eastAsia="Calibri" w:hAnsi="Calibri" w:cs="Arial"/>
          <w:b/>
          <w:color w:val="002F5D"/>
        </w:rPr>
        <w:t>districts</w:t>
      </w:r>
      <w:r w:rsidRPr="007E5C3B">
        <w:rPr>
          <w:rFonts w:ascii="Calibri" w:eastAsia="Calibri" w:hAnsi="Calibri" w:cs="Arial"/>
          <w:color w:val="002F5D"/>
        </w:rPr>
        <w:t xml:space="preserve">.  However, it is significantly </w:t>
      </w:r>
      <w:r w:rsidRPr="007E5C3B">
        <w:rPr>
          <w:rFonts w:ascii="Calibri" w:eastAsia="Calibri" w:hAnsi="Calibri" w:cs="Arial"/>
          <w:b/>
          <w:color w:val="002F5D"/>
        </w:rPr>
        <w:t>higher</w:t>
      </w:r>
      <w:r w:rsidRPr="007E5C3B">
        <w:rPr>
          <w:rFonts w:ascii="Calibri" w:eastAsia="Calibri" w:hAnsi="Calibri" w:cs="Arial"/>
          <w:color w:val="002F5D"/>
        </w:rPr>
        <w:t xml:space="preserve"> than </w:t>
      </w:r>
      <w:r>
        <w:rPr>
          <w:rFonts w:ascii="Calibri" w:eastAsia="Calibri" w:hAnsi="Calibri" w:cs="Arial"/>
          <w:color w:val="002F5D"/>
        </w:rPr>
        <w:t xml:space="preserve">the </w:t>
      </w:r>
      <w:r w:rsidRPr="007E5C3B">
        <w:rPr>
          <w:rFonts w:ascii="Calibri" w:eastAsia="Calibri" w:hAnsi="Calibri" w:cs="Arial"/>
          <w:color w:val="002F5D"/>
        </w:rPr>
        <w:t>national</w:t>
      </w:r>
      <w:r>
        <w:rPr>
          <w:rFonts w:ascii="Calibri" w:eastAsia="Calibri" w:hAnsi="Calibri" w:cs="Arial"/>
          <w:color w:val="002F5D"/>
        </w:rPr>
        <w:t xml:space="preserve"> target</w:t>
      </w:r>
      <w:r w:rsidRPr="007E5C3B">
        <w:rPr>
          <w:rFonts w:ascii="Calibri" w:eastAsia="Calibri" w:hAnsi="Calibri" w:cs="Arial"/>
          <w:color w:val="002F5D"/>
        </w:rPr>
        <w:t xml:space="preserve"> in </w:t>
      </w:r>
      <w:r w:rsidRPr="007E5C3B">
        <w:rPr>
          <w:rFonts w:ascii="Calibri" w:eastAsia="Calibri" w:hAnsi="Calibri" w:cs="Arial"/>
          <w:b/>
          <w:color w:val="002F5D"/>
        </w:rPr>
        <w:t>Peterborough</w:t>
      </w:r>
      <w:r w:rsidRPr="007E5C3B">
        <w:rPr>
          <w:rFonts w:ascii="Calibri" w:eastAsia="Calibri" w:hAnsi="Calibri" w:cs="Arial"/>
          <w:color w:val="002F5D"/>
        </w:rPr>
        <w:t>. Low detection rates for Chlamydia can either be due to a low rate of infections in an area, to lower numbers of screen</w:t>
      </w:r>
      <w:r w:rsidR="00B911F0">
        <w:rPr>
          <w:rFonts w:ascii="Calibri" w:eastAsia="Calibri" w:hAnsi="Calibri" w:cs="Arial"/>
          <w:color w:val="002F5D"/>
        </w:rPr>
        <w:t>ing</w:t>
      </w:r>
      <w:r w:rsidRPr="007E5C3B">
        <w:rPr>
          <w:rFonts w:ascii="Calibri" w:eastAsia="Calibri" w:hAnsi="Calibri" w:cs="Arial"/>
          <w:color w:val="002F5D"/>
        </w:rPr>
        <w:t xml:space="preserve">s </w:t>
      </w:r>
      <w:r w:rsidRPr="008565C3">
        <w:rPr>
          <w:rFonts w:ascii="Calibri" w:eastAsia="Calibri" w:hAnsi="Calibri" w:cs="Arial"/>
          <w:color w:val="002F5D"/>
        </w:rPr>
        <w:t>being done, or to the screen</w:t>
      </w:r>
      <w:r w:rsidR="00B911F0">
        <w:rPr>
          <w:rFonts w:ascii="Calibri" w:eastAsia="Calibri" w:hAnsi="Calibri" w:cs="Arial"/>
          <w:color w:val="002F5D"/>
        </w:rPr>
        <w:t>ing</w:t>
      </w:r>
      <w:r w:rsidRPr="008565C3">
        <w:rPr>
          <w:rFonts w:ascii="Calibri" w:eastAsia="Calibri" w:hAnsi="Calibri" w:cs="Arial"/>
          <w:color w:val="002F5D"/>
        </w:rPr>
        <w:t>s not targeting those at highest risk.</w:t>
      </w:r>
    </w:p>
    <w:p w14:paraId="229C5AB1" w14:textId="77777777" w:rsidR="009810FA" w:rsidRPr="008565C3" w:rsidRDefault="009810FA" w:rsidP="009810FA">
      <w:pPr>
        <w:numPr>
          <w:ilvl w:val="0"/>
          <w:numId w:val="4"/>
        </w:numPr>
        <w:spacing w:line="240" w:lineRule="auto"/>
        <w:contextualSpacing/>
        <w:rPr>
          <w:rFonts w:ascii="Calibri" w:eastAsia="Calibri" w:hAnsi="Calibri" w:cs="Arial"/>
          <w:color w:val="002F5D"/>
        </w:rPr>
      </w:pPr>
      <w:r w:rsidRPr="008565C3">
        <w:rPr>
          <w:rFonts w:ascii="Calibri" w:eastAsia="Calibri" w:hAnsi="Calibri" w:cs="Arial"/>
          <w:color w:val="002F5D"/>
        </w:rPr>
        <w:t xml:space="preserve">The percentage of </w:t>
      </w:r>
      <w:r w:rsidRPr="008565C3">
        <w:rPr>
          <w:rFonts w:ascii="Calibri" w:eastAsia="Calibri" w:hAnsi="Calibri" w:cs="Arial"/>
          <w:b/>
          <w:color w:val="002F5D"/>
        </w:rPr>
        <w:t>HIV diagnoses</w:t>
      </w:r>
      <w:r w:rsidRPr="008565C3">
        <w:rPr>
          <w:rFonts w:ascii="Calibri" w:eastAsia="Calibri" w:hAnsi="Calibri" w:cs="Arial"/>
          <w:color w:val="002F5D"/>
        </w:rPr>
        <w:t xml:space="preserve"> being made at a </w:t>
      </w:r>
      <w:r w:rsidRPr="008565C3">
        <w:rPr>
          <w:rFonts w:ascii="Calibri" w:eastAsia="Calibri" w:hAnsi="Calibri" w:cs="Arial"/>
          <w:b/>
          <w:color w:val="002F5D"/>
        </w:rPr>
        <w:t>late stage</w:t>
      </w:r>
      <w:r w:rsidRPr="008565C3">
        <w:rPr>
          <w:rFonts w:ascii="Calibri" w:eastAsia="Calibri" w:hAnsi="Calibri" w:cs="Arial"/>
          <w:color w:val="002F5D"/>
        </w:rPr>
        <w:t xml:space="preserve"> of infection in </w:t>
      </w:r>
      <w:r w:rsidRPr="008565C3">
        <w:rPr>
          <w:rFonts w:ascii="Calibri" w:eastAsia="Calibri" w:hAnsi="Calibri" w:cs="Arial"/>
          <w:b/>
          <w:color w:val="002F5D"/>
        </w:rPr>
        <w:t>Cambridgeshire and Peterborough</w:t>
      </w:r>
      <w:r w:rsidRPr="008565C3">
        <w:rPr>
          <w:rFonts w:ascii="Calibri" w:eastAsia="Calibri" w:hAnsi="Calibri" w:cs="Arial"/>
          <w:color w:val="002F5D"/>
        </w:rPr>
        <w:t xml:space="preserve"> as a whole is currently </w:t>
      </w:r>
      <w:r w:rsidRPr="008565C3">
        <w:rPr>
          <w:rFonts w:ascii="Calibri" w:eastAsia="Calibri" w:hAnsi="Calibri" w:cs="Arial"/>
          <w:b/>
          <w:color w:val="002F5D"/>
        </w:rPr>
        <w:t>above the national target</w:t>
      </w:r>
      <w:r w:rsidRPr="008565C3">
        <w:rPr>
          <w:rFonts w:ascii="Calibri" w:eastAsia="Calibri" w:hAnsi="Calibri" w:cs="Arial"/>
          <w:color w:val="002F5D"/>
        </w:rPr>
        <w:t xml:space="preserve"> and average.</w:t>
      </w:r>
    </w:p>
    <w:p w14:paraId="634FEB8D" w14:textId="77777777" w:rsidR="009810FA" w:rsidRDefault="009810FA" w:rsidP="009810FA">
      <w:pPr>
        <w:numPr>
          <w:ilvl w:val="0"/>
          <w:numId w:val="4"/>
        </w:numPr>
        <w:spacing w:line="240" w:lineRule="auto"/>
        <w:contextualSpacing/>
        <w:rPr>
          <w:rFonts w:ascii="Calibri" w:eastAsia="Calibri" w:hAnsi="Calibri" w:cs="Arial"/>
          <w:color w:val="002F5D"/>
        </w:rPr>
      </w:pPr>
      <w:r w:rsidRPr="008565C3">
        <w:rPr>
          <w:rFonts w:ascii="Calibri" w:eastAsia="Calibri" w:hAnsi="Calibri" w:cs="Arial"/>
          <w:b/>
          <w:color w:val="002F5D"/>
        </w:rPr>
        <w:t>STI testing</w:t>
      </w:r>
      <w:r w:rsidRPr="008565C3">
        <w:rPr>
          <w:rFonts w:ascii="Calibri" w:eastAsia="Calibri" w:hAnsi="Calibri" w:cs="Arial"/>
          <w:color w:val="002F5D"/>
        </w:rPr>
        <w:t xml:space="preserve"> rates are statistically significantly </w:t>
      </w:r>
      <w:r w:rsidRPr="008565C3">
        <w:rPr>
          <w:rFonts w:ascii="Calibri" w:eastAsia="Calibri" w:hAnsi="Calibri" w:cs="Arial"/>
          <w:b/>
          <w:color w:val="002F5D"/>
        </w:rPr>
        <w:t>lower</w:t>
      </w:r>
      <w:r w:rsidRPr="008565C3">
        <w:rPr>
          <w:rFonts w:ascii="Calibri" w:eastAsia="Calibri" w:hAnsi="Calibri" w:cs="Arial"/>
          <w:color w:val="002F5D"/>
        </w:rPr>
        <w:t xml:space="preserve"> than the national average in </w:t>
      </w:r>
      <w:r w:rsidRPr="008565C3">
        <w:rPr>
          <w:rFonts w:ascii="Calibri" w:eastAsia="Calibri" w:hAnsi="Calibri" w:cs="Arial"/>
          <w:b/>
          <w:color w:val="002F5D"/>
        </w:rPr>
        <w:t>Cambridgeshire and Peterborough</w:t>
      </w:r>
      <w:r w:rsidRPr="008565C3">
        <w:rPr>
          <w:rFonts w:ascii="Calibri" w:eastAsia="Calibri" w:hAnsi="Calibri" w:cs="Arial"/>
          <w:color w:val="002F5D"/>
        </w:rPr>
        <w:t xml:space="preserve"> as a whole, with significantly </w:t>
      </w:r>
      <w:r w:rsidRPr="008565C3">
        <w:rPr>
          <w:rFonts w:ascii="Calibri" w:eastAsia="Calibri" w:hAnsi="Calibri" w:cs="Arial"/>
          <w:b/>
          <w:color w:val="002F5D"/>
        </w:rPr>
        <w:t>lower</w:t>
      </w:r>
      <w:r w:rsidRPr="008565C3">
        <w:rPr>
          <w:rFonts w:ascii="Calibri" w:eastAsia="Calibri" w:hAnsi="Calibri" w:cs="Arial"/>
          <w:color w:val="002F5D"/>
        </w:rPr>
        <w:t xml:space="preserve"> disease </w:t>
      </w:r>
      <w:r w:rsidRPr="008565C3">
        <w:rPr>
          <w:rFonts w:ascii="Calibri" w:eastAsia="Calibri" w:hAnsi="Calibri" w:cs="Arial"/>
          <w:b/>
          <w:color w:val="002F5D"/>
        </w:rPr>
        <w:t>diagnosis</w:t>
      </w:r>
      <w:r w:rsidRPr="008565C3">
        <w:rPr>
          <w:rFonts w:ascii="Calibri" w:eastAsia="Calibri" w:hAnsi="Calibri" w:cs="Arial"/>
          <w:color w:val="002F5D"/>
        </w:rPr>
        <w:t xml:space="preserve"> </w:t>
      </w:r>
      <w:r w:rsidRPr="008565C3">
        <w:rPr>
          <w:rFonts w:ascii="Calibri" w:eastAsia="Calibri" w:hAnsi="Calibri" w:cs="Arial"/>
          <w:b/>
          <w:color w:val="002F5D"/>
        </w:rPr>
        <w:t>rates</w:t>
      </w:r>
      <w:r w:rsidRPr="008565C3">
        <w:rPr>
          <w:rFonts w:ascii="Calibri" w:eastAsia="Calibri" w:hAnsi="Calibri" w:cs="Arial"/>
          <w:color w:val="002F5D"/>
        </w:rPr>
        <w:t xml:space="preserve"> and a correspondingly significantly </w:t>
      </w:r>
      <w:r w:rsidRPr="008565C3">
        <w:rPr>
          <w:rFonts w:ascii="Calibri" w:eastAsia="Calibri" w:hAnsi="Calibri" w:cs="Arial"/>
          <w:b/>
          <w:color w:val="002F5D"/>
        </w:rPr>
        <w:t>low</w:t>
      </w:r>
      <w:r w:rsidRPr="008565C3">
        <w:rPr>
          <w:rFonts w:ascii="Calibri" w:eastAsia="Calibri" w:hAnsi="Calibri" w:cs="Arial"/>
          <w:color w:val="002F5D"/>
        </w:rPr>
        <w:t xml:space="preserve"> rate of </w:t>
      </w:r>
      <w:r w:rsidRPr="008565C3">
        <w:rPr>
          <w:rFonts w:ascii="Calibri" w:eastAsia="Calibri" w:hAnsi="Calibri" w:cs="Arial"/>
          <w:b/>
          <w:color w:val="002F5D"/>
        </w:rPr>
        <w:t>positive tests</w:t>
      </w:r>
      <w:r w:rsidRPr="008565C3">
        <w:rPr>
          <w:rFonts w:ascii="Calibri" w:eastAsia="Calibri" w:hAnsi="Calibri" w:cs="Arial"/>
          <w:color w:val="002F5D"/>
        </w:rPr>
        <w:t xml:space="preserve">. The </w:t>
      </w:r>
      <w:r w:rsidRPr="008565C3">
        <w:rPr>
          <w:rFonts w:ascii="Calibri" w:eastAsia="Calibri" w:hAnsi="Calibri" w:cs="Arial"/>
          <w:b/>
          <w:color w:val="002F5D"/>
        </w:rPr>
        <w:t>same</w:t>
      </w:r>
      <w:r w:rsidRPr="008565C3">
        <w:rPr>
          <w:rFonts w:ascii="Calibri" w:eastAsia="Calibri" w:hAnsi="Calibri" w:cs="Arial"/>
          <w:color w:val="002F5D"/>
        </w:rPr>
        <w:t xml:space="preserve"> is true for </w:t>
      </w:r>
      <w:r w:rsidRPr="008565C3">
        <w:rPr>
          <w:rFonts w:ascii="Calibri" w:eastAsia="Calibri" w:hAnsi="Calibri" w:cs="Arial"/>
          <w:b/>
          <w:color w:val="002F5D"/>
        </w:rPr>
        <w:t>Cambridgeshire</w:t>
      </w:r>
      <w:r w:rsidRPr="008565C3">
        <w:rPr>
          <w:rFonts w:ascii="Calibri" w:eastAsia="Calibri" w:hAnsi="Calibri" w:cs="Arial"/>
          <w:color w:val="002F5D"/>
        </w:rPr>
        <w:t xml:space="preserve"> alone. </w:t>
      </w:r>
      <w:r w:rsidRPr="008565C3">
        <w:rPr>
          <w:rFonts w:ascii="Calibri" w:eastAsia="Calibri" w:hAnsi="Calibri" w:cs="Arial"/>
          <w:b/>
          <w:color w:val="002F5D"/>
        </w:rPr>
        <w:t>Peterborough</w:t>
      </w:r>
      <w:r w:rsidRPr="008565C3">
        <w:rPr>
          <w:rFonts w:ascii="Calibri" w:eastAsia="Calibri" w:hAnsi="Calibri" w:cs="Arial"/>
          <w:color w:val="002F5D"/>
        </w:rPr>
        <w:t xml:space="preserve"> has a significantly </w:t>
      </w:r>
      <w:r w:rsidRPr="008565C3">
        <w:rPr>
          <w:rFonts w:ascii="Calibri" w:eastAsia="Calibri" w:hAnsi="Calibri" w:cs="Arial"/>
          <w:b/>
          <w:color w:val="002F5D"/>
        </w:rPr>
        <w:t>high rate of</w:t>
      </w:r>
      <w:r w:rsidRPr="008565C3">
        <w:rPr>
          <w:rFonts w:ascii="Calibri" w:eastAsia="Calibri" w:hAnsi="Calibri" w:cs="Arial"/>
          <w:color w:val="002F5D"/>
        </w:rPr>
        <w:t xml:space="preserve"> </w:t>
      </w:r>
      <w:r w:rsidRPr="008565C3">
        <w:rPr>
          <w:rFonts w:ascii="Calibri" w:eastAsia="Calibri" w:hAnsi="Calibri" w:cs="Arial"/>
          <w:b/>
          <w:color w:val="002F5D"/>
        </w:rPr>
        <w:t>STI testing</w:t>
      </w:r>
      <w:r w:rsidRPr="008565C3">
        <w:rPr>
          <w:rFonts w:ascii="Calibri" w:eastAsia="Calibri" w:hAnsi="Calibri" w:cs="Arial"/>
          <w:color w:val="002F5D"/>
        </w:rPr>
        <w:t xml:space="preserve"> and a rate of </w:t>
      </w:r>
      <w:r w:rsidRPr="008565C3">
        <w:rPr>
          <w:rFonts w:ascii="Calibri" w:eastAsia="Calibri" w:hAnsi="Calibri" w:cs="Arial"/>
          <w:b/>
          <w:color w:val="002F5D"/>
        </w:rPr>
        <w:t xml:space="preserve">diagnoses </w:t>
      </w:r>
      <w:r w:rsidRPr="008565C3">
        <w:rPr>
          <w:rFonts w:ascii="Calibri" w:eastAsia="Calibri" w:hAnsi="Calibri" w:cs="Arial"/>
          <w:color w:val="002F5D"/>
        </w:rPr>
        <w:t>that is</w:t>
      </w:r>
      <w:r w:rsidRPr="008565C3">
        <w:rPr>
          <w:rFonts w:ascii="Calibri" w:eastAsia="Calibri" w:hAnsi="Calibri" w:cs="Arial"/>
          <w:b/>
          <w:color w:val="002F5D"/>
        </w:rPr>
        <w:t xml:space="preserve"> similar </w:t>
      </w:r>
      <w:r w:rsidRPr="008565C3">
        <w:rPr>
          <w:rFonts w:ascii="Calibri" w:eastAsia="Calibri" w:hAnsi="Calibri" w:cs="Arial"/>
          <w:color w:val="002F5D"/>
        </w:rPr>
        <w:t>to</w:t>
      </w:r>
      <w:r w:rsidRPr="008565C3">
        <w:rPr>
          <w:rFonts w:ascii="Calibri" w:eastAsia="Calibri" w:hAnsi="Calibri" w:cs="Arial"/>
          <w:b/>
          <w:color w:val="002F5D"/>
        </w:rPr>
        <w:t xml:space="preserve"> England</w:t>
      </w:r>
      <w:r w:rsidRPr="008565C3">
        <w:rPr>
          <w:rFonts w:ascii="Calibri" w:eastAsia="Calibri" w:hAnsi="Calibri" w:cs="Arial"/>
          <w:color w:val="002F5D"/>
        </w:rPr>
        <w:t>.</w:t>
      </w:r>
    </w:p>
    <w:p w14:paraId="0C0C635B" w14:textId="77777777" w:rsidR="009810FA" w:rsidRPr="004434DA" w:rsidRDefault="009810FA" w:rsidP="009810FA">
      <w:pPr>
        <w:spacing w:line="240" w:lineRule="auto"/>
        <w:ind w:left="720"/>
        <w:contextualSpacing/>
        <w:rPr>
          <w:rFonts w:ascii="Calibri" w:eastAsia="Calibri" w:hAnsi="Calibri" w:cs="Arial"/>
          <w:color w:val="002F5D"/>
        </w:rPr>
      </w:pPr>
    </w:p>
    <w:p w14:paraId="524C5972" w14:textId="77777777" w:rsidR="009810FA" w:rsidRPr="008565C3" w:rsidRDefault="009810FA" w:rsidP="009810FA">
      <w:pPr>
        <w:spacing w:before="120" w:line="240" w:lineRule="auto"/>
        <w:rPr>
          <w:rFonts w:ascii="Calibri" w:eastAsia="Calibri" w:hAnsi="Calibri" w:cs="Arial"/>
          <w:b/>
          <w:color w:val="002F5D"/>
        </w:rPr>
      </w:pPr>
      <w:r w:rsidRPr="008565C3">
        <w:rPr>
          <w:rFonts w:ascii="Calibri" w:eastAsia="Calibri" w:hAnsi="Calibri" w:cs="Arial"/>
          <w:b/>
          <w:color w:val="002F5D"/>
        </w:rPr>
        <w:t>Under 18 births</w:t>
      </w:r>
      <w:r w:rsidRPr="008565C3">
        <w:rPr>
          <w:rFonts w:ascii="Calibri" w:eastAsia="Calibri" w:hAnsi="Calibri" w:cs="Arial"/>
          <w:b/>
          <w:color w:val="002F5D"/>
        </w:rPr>
        <w:tab/>
      </w:r>
    </w:p>
    <w:p w14:paraId="56105DE1" w14:textId="77777777" w:rsidR="009810FA" w:rsidRPr="008565C3" w:rsidRDefault="009810FA" w:rsidP="009810FA">
      <w:pPr>
        <w:numPr>
          <w:ilvl w:val="0"/>
          <w:numId w:val="7"/>
        </w:numPr>
        <w:spacing w:line="240" w:lineRule="auto"/>
        <w:contextualSpacing/>
        <w:rPr>
          <w:rFonts w:ascii="Calibri" w:eastAsia="Calibri" w:hAnsi="Calibri" w:cs="Arial"/>
          <w:color w:val="002F5D"/>
        </w:rPr>
      </w:pPr>
      <w:r w:rsidRPr="008565C3">
        <w:rPr>
          <w:rFonts w:ascii="Calibri" w:eastAsia="Calibri" w:hAnsi="Calibri" w:cs="Arial"/>
          <w:color w:val="002F5D"/>
        </w:rPr>
        <w:t xml:space="preserve">In </w:t>
      </w:r>
      <w:r w:rsidRPr="008565C3">
        <w:rPr>
          <w:rFonts w:ascii="Calibri" w:eastAsia="Calibri" w:hAnsi="Calibri" w:cs="Arial"/>
          <w:b/>
          <w:color w:val="002F5D"/>
        </w:rPr>
        <w:t>Cambridgeshire and Peterborough</w:t>
      </w:r>
      <w:r w:rsidRPr="008565C3">
        <w:rPr>
          <w:rFonts w:ascii="Calibri" w:eastAsia="Calibri" w:hAnsi="Calibri" w:cs="Arial"/>
          <w:color w:val="002F5D"/>
        </w:rPr>
        <w:t xml:space="preserve"> as a whole, and </w:t>
      </w:r>
      <w:r w:rsidRPr="008565C3">
        <w:rPr>
          <w:rFonts w:ascii="Calibri" w:eastAsia="Calibri" w:hAnsi="Calibri" w:cs="Arial"/>
          <w:b/>
          <w:color w:val="002F5D"/>
        </w:rPr>
        <w:t>Cambridgeshire</w:t>
      </w:r>
      <w:r w:rsidRPr="008565C3">
        <w:rPr>
          <w:rFonts w:ascii="Calibri" w:eastAsia="Calibri" w:hAnsi="Calibri" w:cs="Arial"/>
          <w:color w:val="002F5D"/>
        </w:rPr>
        <w:t xml:space="preserve">, </w:t>
      </w:r>
      <w:r w:rsidRPr="008565C3">
        <w:rPr>
          <w:rFonts w:ascii="Calibri" w:eastAsia="Calibri" w:hAnsi="Calibri" w:cs="Arial"/>
          <w:b/>
          <w:color w:val="002F5D"/>
        </w:rPr>
        <w:t xml:space="preserve">teenage conception rates </w:t>
      </w:r>
      <w:r w:rsidRPr="008565C3">
        <w:rPr>
          <w:rFonts w:ascii="Calibri" w:eastAsia="Calibri" w:hAnsi="Calibri" w:cs="Arial"/>
          <w:color w:val="002F5D"/>
        </w:rPr>
        <w:t xml:space="preserve">are significantly </w:t>
      </w:r>
      <w:r w:rsidRPr="008565C3">
        <w:rPr>
          <w:rFonts w:ascii="Calibri" w:eastAsia="Calibri" w:hAnsi="Calibri" w:cs="Arial"/>
          <w:b/>
          <w:color w:val="002F5D"/>
        </w:rPr>
        <w:t>lower</w:t>
      </w:r>
      <w:r w:rsidRPr="008565C3">
        <w:rPr>
          <w:rFonts w:ascii="Calibri" w:eastAsia="Calibri" w:hAnsi="Calibri" w:cs="Arial"/>
          <w:color w:val="002F5D"/>
        </w:rPr>
        <w:t xml:space="preserve"> than England levels. However, they are statistically </w:t>
      </w:r>
      <w:r w:rsidRPr="008565C3">
        <w:rPr>
          <w:rFonts w:ascii="Calibri" w:eastAsia="Calibri" w:hAnsi="Calibri" w:cs="Arial"/>
          <w:b/>
          <w:color w:val="002F5D"/>
        </w:rPr>
        <w:t>significantly</w:t>
      </w:r>
      <w:r w:rsidRPr="008565C3">
        <w:rPr>
          <w:rFonts w:ascii="Calibri" w:eastAsia="Calibri" w:hAnsi="Calibri" w:cs="Arial"/>
          <w:color w:val="002F5D"/>
        </w:rPr>
        <w:t xml:space="preserve"> </w:t>
      </w:r>
      <w:r w:rsidRPr="008565C3">
        <w:rPr>
          <w:rFonts w:ascii="Calibri" w:eastAsia="Calibri" w:hAnsi="Calibri" w:cs="Arial"/>
          <w:b/>
          <w:color w:val="002F5D"/>
        </w:rPr>
        <w:t>higher</w:t>
      </w:r>
      <w:r w:rsidRPr="008565C3">
        <w:rPr>
          <w:rFonts w:ascii="Calibri" w:eastAsia="Calibri" w:hAnsi="Calibri" w:cs="Arial"/>
          <w:color w:val="002F5D"/>
        </w:rPr>
        <w:t xml:space="preserve"> in </w:t>
      </w:r>
      <w:r w:rsidRPr="008565C3">
        <w:rPr>
          <w:rFonts w:ascii="Calibri" w:eastAsia="Calibri" w:hAnsi="Calibri" w:cs="Arial"/>
          <w:b/>
          <w:color w:val="002F5D"/>
        </w:rPr>
        <w:t>Peterborough</w:t>
      </w:r>
      <w:r w:rsidRPr="008565C3">
        <w:rPr>
          <w:rFonts w:ascii="Calibri" w:eastAsia="Calibri" w:hAnsi="Calibri" w:cs="Arial"/>
          <w:color w:val="002F5D"/>
        </w:rPr>
        <w:t xml:space="preserve">. </w:t>
      </w:r>
    </w:p>
    <w:p w14:paraId="4CEE570E" w14:textId="77777777" w:rsidR="009810FA" w:rsidRDefault="009810FA" w:rsidP="009810FA">
      <w:pPr>
        <w:spacing w:line="240" w:lineRule="auto"/>
        <w:ind w:left="720"/>
        <w:contextualSpacing/>
        <w:rPr>
          <w:rFonts w:ascii="Calibri" w:eastAsia="Calibri" w:hAnsi="Calibri" w:cs="Arial"/>
          <w:color w:val="FF0000"/>
        </w:rPr>
      </w:pPr>
    </w:p>
    <w:p w14:paraId="6E8E9783" w14:textId="77777777" w:rsidR="009810FA" w:rsidRPr="0022024E" w:rsidRDefault="009810FA" w:rsidP="009810FA">
      <w:pPr>
        <w:spacing w:line="240" w:lineRule="auto"/>
        <w:ind w:left="720"/>
        <w:contextualSpacing/>
        <w:rPr>
          <w:rFonts w:ascii="Calibri" w:eastAsia="Calibri" w:hAnsi="Calibri" w:cs="Arial"/>
          <w:color w:val="FF0000"/>
        </w:rPr>
      </w:pPr>
    </w:p>
    <w:p w14:paraId="6F577E37" w14:textId="77777777" w:rsidR="009810FA" w:rsidRPr="00B04791" w:rsidRDefault="009810FA" w:rsidP="009810FA">
      <w:pPr>
        <w:spacing w:line="276" w:lineRule="auto"/>
        <w:rPr>
          <w:rFonts w:ascii="Calibri" w:eastAsia="Calibri" w:hAnsi="Calibri" w:cs="Arial"/>
          <w:b/>
          <w:color w:val="002F5D"/>
        </w:rPr>
      </w:pPr>
      <w:r w:rsidRPr="00B04791">
        <w:rPr>
          <w:rFonts w:ascii="Calibri" w:eastAsia="Calibri" w:hAnsi="Calibri" w:cs="Arial"/>
          <w:b/>
          <w:color w:val="002F5D"/>
        </w:rPr>
        <w:t>Falls</w:t>
      </w:r>
    </w:p>
    <w:p w14:paraId="0A91E71D" w14:textId="77777777" w:rsidR="009810FA" w:rsidRPr="00B04791" w:rsidRDefault="009810FA" w:rsidP="009810FA">
      <w:pPr>
        <w:numPr>
          <w:ilvl w:val="0"/>
          <w:numId w:val="53"/>
        </w:numPr>
        <w:spacing w:line="240" w:lineRule="auto"/>
        <w:contextualSpacing/>
        <w:rPr>
          <w:rFonts w:ascii="Calibri" w:eastAsia="Calibri" w:hAnsi="Calibri" w:cs="Times New Roman"/>
          <w:color w:val="002F5D"/>
        </w:rPr>
      </w:pPr>
      <w:r w:rsidRPr="00B04791">
        <w:rPr>
          <w:rFonts w:ascii="Calibri" w:eastAsia="Calibri" w:hAnsi="Calibri" w:cs="Times New Roman"/>
          <w:color w:val="002F5D"/>
        </w:rPr>
        <w:t xml:space="preserve">Rates of </w:t>
      </w:r>
      <w:r w:rsidRPr="00B04791">
        <w:rPr>
          <w:rFonts w:ascii="Calibri" w:eastAsia="Calibri" w:hAnsi="Calibri" w:cs="Times New Roman"/>
          <w:b/>
          <w:color w:val="002F5D"/>
        </w:rPr>
        <w:t>emergency hospital admissions due to falls</w:t>
      </w:r>
      <w:r w:rsidRPr="00B04791">
        <w:rPr>
          <w:rFonts w:ascii="Calibri" w:eastAsia="Calibri" w:hAnsi="Calibri" w:cs="Times New Roman"/>
          <w:color w:val="002F5D"/>
        </w:rPr>
        <w:t xml:space="preserve"> in people aged 65 and over are </w:t>
      </w:r>
      <w:r w:rsidRPr="00B04791">
        <w:rPr>
          <w:rFonts w:ascii="Calibri" w:eastAsia="Calibri" w:hAnsi="Calibri" w:cs="Times New Roman"/>
          <w:b/>
          <w:color w:val="002F5D"/>
        </w:rPr>
        <w:t>similar</w:t>
      </w:r>
      <w:r w:rsidRPr="00B04791">
        <w:rPr>
          <w:rFonts w:ascii="Calibri" w:eastAsia="Calibri" w:hAnsi="Calibri" w:cs="Times New Roman"/>
          <w:color w:val="002F5D"/>
        </w:rPr>
        <w:t xml:space="preserve">, occasionally statistically significantly </w:t>
      </w:r>
      <w:r w:rsidRPr="00B04791">
        <w:rPr>
          <w:rFonts w:ascii="Calibri" w:eastAsia="Calibri" w:hAnsi="Calibri" w:cs="Times New Roman"/>
          <w:b/>
          <w:color w:val="002F5D"/>
        </w:rPr>
        <w:t>lower</w:t>
      </w:r>
      <w:r w:rsidRPr="00B04791">
        <w:rPr>
          <w:rFonts w:ascii="Calibri" w:eastAsia="Calibri" w:hAnsi="Calibri" w:cs="Times New Roman"/>
          <w:color w:val="002F5D"/>
        </w:rPr>
        <w:t xml:space="preserve">, than </w:t>
      </w:r>
      <w:r w:rsidRPr="00B04791">
        <w:rPr>
          <w:rFonts w:ascii="Calibri" w:eastAsia="Calibri" w:hAnsi="Calibri" w:cs="Times New Roman"/>
          <w:b/>
          <w:color w:val="002F5D"/>
        </w:rPr>
        <w:t>national rates</w:t>
      </w:r>
      <w:r w:rsidRPr="00B04791">
        <w:rPr>
          <w:rFonts w:ascii="Calibri" w:eastAsia="Calibri" w:hAnsi="Calibri" w:cs="Times New Roman"/>
          <w:color w:val="002F5D"/>
        </w:rPr>
        <w:t xml:space="preserve">. However, they are </w:t>
      </w:r>
      <w:r w:rsidRPr="00B04791">
        <w:rPr>
          <w:rFonts w:ascii="Calibri" w:eastAsia="Calibri" w:hAnsi="Calibri" w:cs="Times New Roman"/>
          <w:b/>
          <w:color w:val="002F5D"/>
        </w:rPr>
        <w:t>higher</w:t>
      </w:r>
      <w:r w:rsidRPr="00B04791">
        <w:rPr>
          <w:rFonts w:ascii="Calibri" w:eastAsia="Calibri" w:hAnsi="Calibri" w:cs="Times New Roman"/>
          <w:color w:val="002F5D"/>
        </w:rPr>
        <w:t xml:space="preserve"> than the national average in people aged 65 and over in </w:t>
      </w:r>
      <w:r w:rsidRPr="00B04791">
        <w:rPr>
          <w:rFonts w:ascii="Calibri" w:eastAsia="Calibri" w:hAnsi="Calibri" w:cs="Times New Roman"/>
          <w:b/>
          <w:color w:val="002F5D"/>
        </w:rPr>
        <w:t>Cambridge</w:t>
      </w:r>
      <w:r w:rsidRPr="00B04791">
        <w:rPr>
          <w:rFonts w:ascii="Calibri" w:eastAsia="Calibri" w:hAnsi="Calibri" w:cs="Times New Roman"/>
          <w:color w:val="002F5D"/>
        </w:rPr>
        <w:t>.</w:t>
      </w:r>
    </w:p>
    <w:p w14:paraId="1A5C0301" w14:textId="77777777" w:rsidR="009810FA" w:rsidRPr="0022024E" w:rsidRDefault="00E80CFE" w:rsidP="009810FA">
      <w:pPr>
        <w:spacing w:line="240" w:lineRule="auto"/>
        <w:rPr>
          <w:rFonts w:ascii="Calibri" w:eastAsia="Calibri" w:hAnsi="Calibri" w:cs="Arial"/>
          <w:b/>
          <w:color w:val="FF0000"/>
        </w:rPr>
      </w:pPr>
      <w:r>
        <w:rPr>
          <w:rFonts w:ascii="Calibri" w:eastAsia="Calibri" w:hAnsi="Calibri" w:cs="Arial"/>
          <w:b/>
          <w:color w:val="FF0000"/>
        </w:rPr>
        <w:pict w14:anchorId="6698C1C9">
          <v:rect id="_x0000_i1027" style="width:0;height:1.5pt" o:hralign="center" o:hrstd="t" o:hr="t" fillcolor="#a0a0a0" stroked="f"/>
        </w:pict>
      </w:r>
    </w:p>
    <w:p w14:paraId="56EBEB12" w14:textId="77777777" w:rsidR="009810FA" w:rsidRPr="0022024E" w:rsidRDefault="009810FA" w:rsidP="009810FA">
      <w:pPr>
        <w:spacing w:line="276" w:lineRule="auto"/>
        <w:rPr>
          <w:rFonts w:ascii="Calibri" w:eastAsia="Calibri" w:hAnsi="Calibri" w:cs="Arial"/>
          <w:b/>
          <w:color w:val="FF0000"/>
        </w:rPr>
      </w:pPr>
    </w:p>
    <w:p w14:paraId="33A5E3BD" w14:textId="77777777" w:rsidR="009810FA" w:rsidRPr="00300E1C" w:rsidRDefault="009810FA" w:rsidP="009810FA">
      <w:pPr>
        <w:spacing w:line="276" w:lineRule="auto"/>
        <w:rPr>
          <w:rFonts w:ascii="Calibri" w:eastAsia="Calibri" w:hAnsi="Calibri" w:cs="Arial"/>
          <w:b/>
          <w:color w:val="002F5D"/>
        </w:rPr>
      </w:pPr>
      <w:r w:rsidRPr="00300E1C">
        <w:rPr>
          <w:rFonts w:ascii="Calibri" w:eastAsia="Calibri" w:hAnsi="Calibri" w:cs="Arial"/>
          <w:b/>
          <w:color w:val="002F5D"/>
        </w:rPr>
        <w:t>SCREENING, VACCINATION AND IMMUNISATION</w:t>
      </w:r>
    </w:p>
    <w:p w14:paraId="7E1E8719" w14:textId="77777777" w:rsidR="009810FA" w:rsidRPr="00300E1C" w:rsidRDefault="009810FA" w:rsidP="009810FA">
      <w:pPr>
        <w:spacing w:before="120" w:line="240" w:lineRule="auto"/>
        <w:rPr>
          <w:rFonts w:ascii="Calibri" w:eastAsia="Calibri" w:hAnsi="Calibri" w:cs="Arial"/>
          <w:b/>
          <w:color w:val="002F5D"/>
        </w:rPr>
      </w:pPr>
      <w:r w:rsidRPr="00300E1C">
        <w:rPr>
          <w:rFonts w:ascii="Calibri" w:eastAsia="Calibri" w:hAnsi="Calibri" w:cs="Arial"/>
          <w:b/>
          <w:color w:val="002F5D"/>
        </w:rPr>
        <w:t>Children</w:t>
      </w:r>
    </w:p>
    <w:p w14:paraId="7431C82F" w14:textId="77777777" w:rsidR="009810FA" w:rsidRPr="00300E1C" w:rsidRDefault="009810FA" w:rsidP="009810FA">
      <w:pPr>
        <w:numPr>
          <w:ilvl w:val="0"/>
          <w:numId w:val="56"/>
        </w:numPr>
        <w:spacing w:line="240" w:lineRule="auto"/>
        <w:contextualSpacing/>
        <w:rPr>
          <w:rFonts w:ascii="Calibri" w:eastAsia="Times New Roman" w:hAnsi="Calibri" w:cs="Times New Roman"/>
          <w:color w:val="002F5D"/>
          <w:lang w:eastAsia="en-GB"/>
        </w:rPr>
      </w:pPr>
      <w:r w:rsidRPr="00300E1C">
        <w:rPr>
          <w:rFonts w:ascii="Calibri" w:eastAsia="Times New Roman" w:hAnsi="Calibri" w:cs="Times New Roman"/>
          <w:color w:val="002F5D"/>
          <w:lang w:eastAsia="en-GB"/>
        </w:rPr>
        <w:t xml:space="preserve">In general, </w:t>
      </w:r>
      <w:r w:rsidRPr="00300E1C">
        <w:rPr>
          <w:rFonts w:ascii="Calibri" w:eastAsia="Times New Roman" w:hAnsi="Calibri" w:cs="Times New Roman"/>
          <w:b/>
          <w:color w:val="002F5D"/>
          <w:lang w:eastAsia="en-GB"/>
        </w:rPr>
        <w:t>Cambridgeshire and Peterborough's</w:t>
      </w:r>
      <w:r w:rsidRPr="00300E1C">
        <w:rPr>
          <w:rFonts w:ascii="Calibri" w:eastAsia="Times New Roman" w:hAnsi="Calibri" w:cs="Times New Roman"/>
          <w:color w:val="002F5D"/>
          <w:lang w:eastAsia="en-GB"/>
        </w:rPr>
        <w:t xml:space="preserve"> vaccination </w:t>
      </w:r>
      <w:r w:rsidRPr="00300E1C">
        <w:rPr>
          <w:rFonts w:ascii="Calibri" w:eastAsia="Times New Roman" w:hAnsi="Calibri" w:cs="Times New Roman"/>
          <w:b/>
          <w:color w:val="002F5D"/>
          <w:lang w:eastAsia="en-GB"/>
        </w:rPr>
        <w:t>coverage</w:t>
      </w:r>
      <w:r w:rsidRPr="00300E1C">
        <w:rPr>
          <w:rFonts w:ascii="Calibri" w:eastAsia="Times New Roman" w:hAnsi="Calibri" w:cs="Times New Roman"/>
          <w:color w:val="002F5D"/>
          <w:lang w:eastAsia="en-GB"/>
        </w:rPr>
        <w:t xml:space="preserve"> rates tend to be </w:t>
      </w:r>
      <w:r w:rsidRPr="00300E1C">
        <w:rPr>
          <w:rFonts w:ascii="Calibri" w:eastAsia="Times New Roman" w:hAnsi="Calibri" w:cs="Times New Roman"/>
          <w:b/>
          <w:color w:val="002F5D"/>
          <w:lang w:eastAsia="en-GB"/>
        </w:rPr>
        <w:t>similar</w:t>
      </w:r>
      <w:r w:rsidRPr="00300E1C">
        <w:rPr>
          <w:rFonts w:ascii="Calibri" w:eastAsia="Times New Roman" w:hAnsi="Calibri" w:cs="Times New Roman"/>
          <w:color w:val="002F5D"/>
          <w:lang w:eastAsia="en-GB"/>
        </w:rPr>
        <w:t xml:space="preserve"> to target goals.</w:t>
      </w:r>
    </w:p>
    <w:p w14:paraId="34D9A7E3" w14:textId="77777777" w:rsidR="009810FA" w:rsidRDefault="009810FA" w:rsidP="009810FA">
      <w:pPr>
        <w:numPr>
          <w:ilvl w:val="0"/>
          <w:numId w:val="56"/>
        </w:numPr>
        <w:spacing w:line="240" w:lineRule="auto"/>
        <w:contextualSpacing/>
        <w:rPr>
          <w:rFonts w:ascii="Calibri" w:eastAsia="Times New Roman" w:hAnsi="Calibri" w:cs="Times New Roman"/>
          <w:color w:val="002F5D"/>
          <w:lang w:eastAsia="en-GB"/>
        </w:rPr>
      </w:pPr>
      <w:r w:rsidRPr="00300E1C">
        <w:rPr>
          <w:rFonts w:ascii="Calibri" w:eastAsia="Times New Roman" w:hAnsi="Calibri" w:cs="Times New Roman"/>
          <w:color w:val="002F5D"/>
          <w:lang w:eastAsia="en-GB"/>
        </w:rPr>
        <w:t xml:space="preserve">For </w:t>
      </w:r>
      <w:r w:rsidRPr="00300E1C">
        <w:rPr>
          <w:rFonts w:ascii="Calibri" w:eastAsia="Times New Roman" w:hAnsi="Calibri" w:cs="Times New Roman"/>
          <w:b/>
          <w:color w:val="002F5D"/>
          <w:lang w:eastAsia="en-GB"/>
        </w:rPr>
        <w:t>Cambridgeshire and Peterborough</w:t>
      </w:r>
      <w:r w:rsidRPr="00300E1C">
        <w:rPr>
          <w:rFonts w:ascii="Calibri" w:eastAsia="Times New Roman" w:hAnsi="Calibri" w:cs="Times New Roman"/>
          <w:color w:val="002F5D"/>
          <w:lang w:eastAsia="en-GB"/>
        </w:rPr>
        <w:t xml:space="preserve"> collectively, and also for the </w:t>
      </w:r>
      <w:r w:rsidRPr="00300E1C">
        <w:rPr>
          <w:rFonts w:ascii="Calibri" w:eastAsia="Times New Roman" w:hAnsi="Calibri" w:cs="Times New Roman"/>
          <w:b/>
          <w:color w:val="002F5D"/>
          <w:lang w:eastAsia="en-GB"/>
        </w:rPr>
        <w:t>two individual areas,</w:t>
      </w:r>
      <w:r w:rsidRPr="00300E1C">
        <w:rPr>
          <w:rFonts w:ascii="Calibri" w:eastAsia="Times New Roman" w:hAnsi="Calibri" w:cs="Times New Roman"/>
          <w:color w:val="002F5D"/>
          <w:lang w:eastAsia="en-GB"/>
        </w:rPr>
        <w:t xml:space="preserve"> vaccination </w:t>
      </w:r>
      <w:r w:rsidRPr="00300E1C">
        <w:rPr>
          <w:rFonts w:ascii="Calibri" w:eastAsia="Times New Roman" w:hAnsi="Calibri" w:cs="Times New Roman"/>
          <w:b/>
          <w:color w:val="002F5D"/>
          <w:lang w:eastAsia="en-GB"/>
        </w:rPr>
        <w:t>coverage</w:t>
      </w:r>
      <w:r w:rsidRPr="00300E1C">
        <w:rPr>
          <w:rFonts w:ascii="Calibri" w:eastAsia="Times New Roman" w:hAnsi="Calibri" w:cs="Times New Roman"/>
          <w:color w:val="002F5D"/>
          <w:lang w:eastAsia="en-GB"/>
        </w:rPr>
        <w:t xml:space="preserve"> rates </w:t>
      </w:r>
      <w:r w:rsidRPr="00300E1C">
        <w:rPr>
          <w:rFonts w:ascii="Calibri" w:eastAsia="Times New Roman" w:hAnsi="Calibri" w:cs="Times New Roman"/>
          <w:b/>
          <w:color w:val="002F5D"/>
          <w:lang w:eastAsia="en-GB"/>
        </w:rPr>
        <w:t>MMR for 2 doses (5 years old</w:t>
      </w:r>
      <w:r w:rsidRPr="00300E1C">
        <w:rPr>
          <w:rFonts w:ascii="Calibri" w:eastAsia="Times New Roman" w:hAnsi="Calibri" w:cs="Times New Roman"/>
          <w:color w:val="002F5D"/>
          <w:lang w:eastAsia="en-GB"/>
        </w:rPr>
        <w:t xml:space="preserve">) are statistically significantly </w:t>
      </w:r>
      <w:r w:rsidRPr="00300E1C">
        <w:rPr>
          <w:rFonts w:ascii="Calibri" w:eastAsia="Times New Roman" w:hAnsi="Calibri" w:cs="Times New Roman"/>
          <w:b/>
          <w:color w:val="002F5D"/>
          <w:lang w:eastAsia="en-GB"/>
        </w:rPr>
        <w:t>worse</w:t>
      </w:r>
      <w:r w:rsidRPr="00300E1C">
        <w:rPr>
          <w:rFonts w:ascii="Calibri" w:eastAsia="Times New Roman" w:hAnsi="Calibri" w:cs="Times New Roman"/>
          <w:color w:val="002F5D"/>
          <w:lang w:eastAsia="en-GB"/>
        </w:rPr>
        <w:t xml:space="preserve"> than the benchmark goals.</w:t>
      </w:r>
    </w:p>
    <w:p w14:paraId="1D0A9033" w14:textId="77777777" w:rsidR="009810FA" w:rsidRDefault="009810FA" w:rsidP="009810FA">
      <w:pPr>
        <w:numPr>
          <w:ilvl w:val="0"/>
          <w:numId w:val="56"/>
        </w:numPr>
        <w:spacing w:line="240" w:lineRule="auto"/>
        <w:contextualSpacing/>
        <w:rPr>
          <w:rFonts w:ascii="Calibri" w:eastAsia="Times New Roman" w:hAnsi="Calibri" w:cs="Times New Roman"/>
          <w:color w:val="002F5D"/>
          <w:lang w:eastAsia="en-GB"/>
        </w:rPr>
      </w:pPr>
      <w:r w:rsidRPr="00242EBF">
        <w:rPr>
          <w:rFonts w:ascii="Calibri" w:eastAsia="Times New Roman" w:hAnsi="Calibri" w:cs="Times New Roman"/>
          <w:b/>
          <w:color w:val="002F5D"/>
          <w:lang w:eastAsia="en-GB"/>
        </w:rPr>
        <w:lastRenderedPageBreak/>
        <w:t>Peterborough’s</w:t>
      </w:r>
      <w:r>
        <w:rPr>
          <w:rFonts w:ascii="Calibri" w:eastAsia="Times New Roman" w:hAnsi="Calibri" w:cs="Times New Roman"/>
          <w:color w:val="002F5D"/>
          <w:lang w:eastAsia="en-GB"/>
        </w:rPr>
        <w:t xml:space="preserve"> vaccination coverage for </w:t>
      </w:r>
      <w:r w:rsidRPr="00242EBF">
        <w:rPr>
          <w:rFonts w:ascii="Calibri" w:eastAsia="Times New Roman" w:hAnsi="Calibri" w:cs="Times New Roman"/>
          <w:b/>
          <w:color w:val="002F5D"/>
          <w:lang w:eastAsia="en-GB"/>
        </w:rPr>
        <w:t>Hib/ MenC booster (</w:t>
      </w:r>
      <w:r>
        <w:rPr>
          <w:rFonts w:ascii="Calibri" w:eastAsia="Times New Roman" w:hAnsi="Calibri" w:cs="Times New Roman"/>
          <w:b/>
          <w:color w:val="002F5D"/>
          <w:lang w:eastAsia="en-GB"/>
        </w:rPr>
        <w:t>2</w:t>
      </w:r>
      <w:r w:rsidRPr="00242EBF">
        <w:rPr>
          <w:rFonts w:ascii="Calibri" w:eastAsia="Times New Roman" w:hAnsi="Calibri" w:cs="Times New Roman"/>
          <w:b/>
          <w:color w:val="002F5D"/>
          <w:lang w:eastAsia="en-GB"/>
        </w:rPr>
        <w:t xml:space="preserve"> years old)</w:t>
      </w:r>
      <w:r w:rsidRPr="00242EBF">
        <w:rPr>
          <w:rFonts w:ascii="Calibri" w:eastAsia="Times New Roman" w:hAnsi="Calibri" w:cs="Times New Roman"/>
          <w:color w:val="002F5D"/>
          <w:lang w:eastAsia="en-GB"/>
        </w:rPr>
        <w:t xml:space="preserve"> and </w:t>
      </w:r>
      <w:r>
        <w:rPr>
          <w:rFonts w:ascii="Calibri" w:eastAsia="Times New Roman" w:hAnsi="Calibri" w:cs="Times New Roman"/>
          <w:b/>
          <w:color w:val="002F5D"/>
          <w:lang w:eastAsia="en-GB"/>
        </w:rPr>
        <w:t>Pneumonia booster</w:t>
      </w:r>
      <w:r w:rsidRPr="00242EBF">
        <w:rPr>
          <w:rFonts w:ascii="Calibri" w:eastAsia="Times New Roman" w:hAnsi="Calibri" w:cs="Times New Roman"/>
          <w:color w:val="002F5D"/>
          <w:lang w:eastAsia="en-GB"/>
        </w:rPr>
        <w:t xml:space="preserve"> for </w:t>
      </w:r>
      <w:r w:rsidRPr="00300E1C">
        <w:rPr>
          <w:rFonts w:ascii="Calibri" w:eastAsia="Times New Roman" w:hAnsi="Calibri" w:cs="Times New Roman"/>
          <w:color w:val="002F5D"/>
          <w:lang w:eastAsia="en-GB"/>
        </w:rPr>
        <w:t xml:space="preserve">are statistically significantly </w:t>
      </w:r>
      <w:r w:rsidRPr="00300E1C">
        <w:rPr>
          <w:rFonts w:ascii="Calibri" w:eastAsia="Times New Roman" w:hAnsi="Calibri" w:cs="Times New Roman"/>
          <w:b/>
          <w:color w:val="002F5D"/>
          <w:lang w:eastAsia="en-GB"/>
        </w:rPr>
        <w:t>worse</w:t>
      </w:r>
      <w:r w:rsidRPr="00300E1C">
        <w:rPr>
          <w:rFonts w:ascii="Calibri" w:eastAsia="Times New Roman" w:hAnsi="Calibri" w:cs="Times New Roman"/>
          <w:color w:val="002F5D"/>
          <w:lang w:eastAsia="en-GB"/>
        </w:rPr>
        <w:t xml:space="preserve"> than the benchmark goals.</w:t>
      </w:r>
    </w:p>
    <w:p w14:paraId="394ABB1C" w14:textId="77777777" w:rsidR="009810FA" w:rsidRPr="00300E1C" w:rsidRDefault="009810FA" w:rsidP="009810FA">
      <w:pPr>
        <w:spacing w:before="120" w:line="240" w:lineRule="auto"/>
        <w:rPr>
          <w:rFonts w:ascii="Calibri" w:eastAsia="Calibri" w:hAnsi="Calibri" w:cs="Arial"/>
          <w:b/>
          <w:color w:val="002F5D"/>
        </w:rPr>
      </w:pPr>
      <w:r w:rsidRPr="00300E1C">
        <w:rPr>
          <w:rFonts w:ascii="Calibri" w:eastAsia="Calibri" w:hAnsi="Calibri" w:cs="Arial"/>
          <w:b/>
          <w:color w:val="002F5D"/>
        </w:rPr>
        <w:t>Adult screening</w:t>
      </w:r>
      <w:r w:rsidRPr="00300E1C">
        <w:rPr>
          <w:rFonts w:ascii="Calibri" w:eastAsia="Calibri" w:hAnsi="Calibri" w:cs="Arial"/>
          <w:b/>
          <w:color w:val="002F5D"/>
        </w:rPr>
        <w:tab/>
      </w:r>
    </w:p>
    <w:p w14:paraId="02F8FF10" w14:textId="77777777" w:rsidR="009810FA" w:rsidRPr="00300E1C" w:rsidRDefault="009810FA" w:rsidP="009810FA">
      <w:pPr>
        <w:numPr>
          <w:ilvl w:val="0"/>
          <w:numId w:val="55"/>
        </w:numPr>
        <w:spacing w:line="240" w:lineRule="auto"/>
        <w:ind w:left="714" w:hanging="357"/>
        <w:contextualSpacing/>
        <w:rPr>
          <w:rFonts w:ascii="Calibri" w:eastAsia="Calibri" w:hAnsi="Calibri" w:cs="Times New Roman"/>
          <w:color w:val="002F5D"/>
        </w:rPr>
      </w:pPr>
      <w:r w:rsidRPr="00300E1C">
        <w:rPr>
          <w:rFonts w:ascii="Calibri" w:eastAsia="Calibri" w:hAnsi="Calibri" w:cs="Times New Roman"/>
          <w:color w:val="002F5D"/>
        </w:rPr>
        <w:t xml:space="preserve">Though not statistically assessed </w:t>
      </w:r>
      <w:r w:rsidRPr="00300E1C">
        <w:rPr>
          <w:rFonts w:ascii="Calibri" w:eastAsia="Calibri" w:hAnsi="Calibri" w:cs="Times New Roman"/>
          <w:b/>
          <w:color w:val="002F5D"/>
        </w:rPr>
        <w:t>screening rates</w:t>
      </w:r>
      <w:r w:rsidRPr="00300E1C">
        <w:rPr>
          <w:rFonts w:ascii="Calibri" w:eastAsia="Calibri" w:hAnsi="Calibri" w:cs="Times New Roman"/>
          <w:color w:val="002F5D"/>
        </w:rPr>
        <w:t xml:space="preserve"> in </w:t>
      </w:r>
      <w:r w:rsidRPr="00300E1C">
        <w:rPr>
          <w:rFonts w:ascii="Calibri" w:eastAsia="Calibri" w:hAnsi="Calibri" w:cs="Times New Roman"/>
          <w:b/>
          <w:color w:val="002F5D"/>
        </w:rPr>
        <w:t>Cambridgeshire and Peterborough</w:t>
      </w:r>
      <w:r w:rsidRPr="00300E1C">
        <w:rPr>
          <w:rFonts w:ascii="Calibri" w:eastAsia="Calibri" w:hAnsi="Calibri" w:cs="Times New Roman"/>
          <w:color w:val="002F5D"/>
        </w:rPr>
        <w:t xml:space="preserve"> combined are </w:t>
      </w:r>
      <w:r w:rsidRPr="00300E1C">
        <w:rPr>
          <w:rFonts w:ascii="Calibri" w:eastAsia="Calibri" w:hAnsi="Calibri" w:cs="Times New Roman"/>
          <w:b/>
          <w:color w:val="002F5D"/>
        </w:rPr>
        <w:t>around national averages</w:t>
      </w:r>
      <w:r w:rsidRPr="00300E1C">
        <w:rPr>
          <w:rFonts w:ascii="Calibri" w:eastAsia="Calibri" w:hAnsi="Calibri" w:cs="Times New Roman"/>
          <w:color w:val="002F5D"/>
        </w:rPr>
        <w:t xml:space="preserve">, though there are </w:t>
      </w:r>
      <w:r w:rsidRPr="00300E1C">
        <w:rPr>
          <w:rFonts w:ascii="Calibri" w:eastAsia="Calibri" w:hAnsi="Calibri" w:cs="Times New Roman"/>
          <w:b/>
          <w:color w:val="002F5D"/>
        </w:rPr>
        <w:t>decreasing trends</w:t>
      </w:r>
      <w:r w:rsidRPr="00300E1C">
        <w:rPr>
          <w:rFonts w:ascii="Calibri" w:eastAsia="Calibri" w:hAnsi="Calibri" w:cs="Times New Roman"/>
          <w:color w:val="002F5D"/>
        </w:rPr>
        <w:t xml:space="preserve"> in </w:t>
      </w:r>
      <w:r w:rsidRPr="00300E1C">
        <w:rPr>
          <w:rFonts w:ascii="Calibri" w:eastAsia="Calibri" w:hAnsi="Calibri" w:cs="Times New Roman"/>
          <w:b/>
          <w:color w:val="002F5D"/>
        </w:rPr>
        <w:t>cervical cancer</w:t>
      </w:r>
      <w:r w:rsidRPr="00300E1C">
        <w:rPr>
          <w:rFonts w:ascii="Calibri" w:eastAsia="Calibri" w:hAnsi="Calibri" w:cs="Times New Roman"/>
          <w:color w:val="002F5D"/>
        </w:rPr>
        <w:t xml:space="preserve"> </w:t>
      </w:r>
      <w:r w:rsidRPr="00300E1C">
        <w:rPr>
          <w:rFonts w:ascii="Calibri" w:eastAsia="Calibri" w:hAnsi="Calibri" w:cs="Times New Roman"/>
          <w:b/>
          <w:color w:val="002F5D"/>
        </w:rPr>
        <w:t>screening</w:t>
      </w:r>
      <w:r w:rsidRPr="00300E1C">
        <w:rPr>
          <w:rFonts w:ascii="Calibri" w:eastAsia="Calibri" w:hAnsi="Calibri" w:cs="Times New Roman"/>
          <w:color w:val="002F5D"/>
        </w:rPr>
        <w:t xml:space="preserve"> rates. </w:t>
      </w:r>
    </w:p>
    <w:p w14:paraId="255DACC8" w14:textId="77777777" w:rsidR="009810FA" w:rsidRPr="00300E1C" w:rsidRDefault="009810FA" w:rsidP="009810FA">
      <w:pPr>
        <w:numPr>
          <w:ilvl w:val="0"/>
          <w:numId w:val="55"/>
        </w:numPr>
        <w:spacing w:line="240" w:lineRule="auto"/>
        <w:ind w:left="714" w:hanging="357"/>
        <w:contextualSpacing/>
        <w:rPr>
          <w:rFonts w:ascii="Calibri" w:eastAsia="Calibri" w:hAnsi="Calibri" w:cs="Times New Roman"/>
          <w:color w:val="002F5D"/>
        </w:rPr>
      </w:pPr>
      <w:r w:rsidRPr="00300E1C">
        <w:rPr>
          <w:rFonts w:ascii="Calibri" w:eastAsia="Calibri" w:hAnsi="Calibri" w:cs="Times New Roman"/>
          <w:b/>
          <w:color w:val="002F5D"/>
        </w:rPr>
        <w:t>Peterborough</w:t>
      </w:r>
      <w:r w:rsidRPr="00300E1C">
        <w:rPr>
          <w:rFonts w:ascii="Calibri" w:eastAsia="Calibri" w:hAnsi="Calibri" w:cs="Times New Roman"/>
          <w:color w:val="002F5D"/>
        </w:rPr>
        <w:t xml:space="preserve"> and </w:t>
      </w:r>
      <w:r w:rsidRPr="00300E1C">
        <w:rPr>
          <w:rFonts w:ascii="Calibri" w:eastAsia="Calibri" w:hAnsi="Calibri" w:cs="Times New Roman"/>
          <w:b/>
          <w:color w:val="002F5D"/>
        </w:rPr>
        <w:t>Cambridge’s</w:t>
      </w:r>
      <w:r w:rsidRPr="00300E1C">
        <w:rPr>
          <w:rFonts w:ascii="Calibri" w:eastAsia="Calibri" w:hAnsi="Calibri" w:cs="Times New Roman"/>
          <w:color w:val="002F5D"/>
        </w:rPr>
        <w:t xml:space="preserve"> rates of </w:t>
      </w:r>
      <w:r w:rsidRPr="00300E1C">
        <w:rPr>
          <w:rFonts w:ascii="Calibri" w:eastAsia="Calibri" w:hAnsi="Calibri" w:cs="Times New Roman"/>
          <w:b/>
          <w:color w:val="002F5D"/>
        </w:rPr>
        <w:t>breast</w:t>
      </w:r>
      <w:r w:rsidRPr="00300E1C">
        <w:rPr>
          <w:rFonts w:ascii="Calibri" w:eastAsia="Calibri" w:hAnsi="Calibri" w:cs="Times New Roman"/>
          <w:color w:val="002F5D"/>
        </w:rPr>
        <w:t xml:space="preserve">, </w:t>
      </w:r>
      <w:r w:rsidRPr="00300E1C">
        <w:rPr>
          <w:rFonts w:ascii="Calibri" w:eastAsia="Calibri" w:hAnsi="Calibri" w:cs="Times New Roman"/>
          <w:b/>
          <w:color w:val="002F5D"/>
        </w:rPr>
        <w:t>cervical cancer</w:t>
      </w:r>
      <w:r w:rsidRPr="00300E1C">
        <w:rPr>
          <w:rFonts w:ascii="Calibri" w:eastAsia="Calibri" w:hAnsi="Calibri" w:cs="Times New Roman"/>
          <w:color w:val="002F5D"/>
        </w:rPr>
        <w:t xml:space="preserve"> and </w:t>
      </w:r>
      <w:r w:rsidRPr="00300E1C">
        <w:rPr>
          <w:rFonts w:ascii="Calibri" w:eastAsia="Calibri" w:hAnsi="Calibri" w:cs="Times New Roman"/>
          <w:b/>
          <w:color w:val="002F5D"/>
        </w:rPr>
        <w:t>bowel screening</w:t>
      </w:r>
      <w:r w:rsidRPr="00300E1C">
        <w:rPr>
          <w:rFonts w:ascii="Calibri" w:eastAsia="Calibri" w:hAnsi="Calibri" w:cs="Times New Roman"/>
          <w:color w:val="002F5D"/>
        </w:rPr>
        <w:t xml:space="preserve"> are statistically significantly </w:t>
      </w:r>
      <w:r w:rsidRPr="00300E1C">
        <w:rPr>
          <w:rFonts w:ascii="Calibri" w:eastAsia="Calibri" w:hAnsi="Calibri" w:cs="Times New Roman"/>
          <w:b/>
          <w:color w:val="002F5D"/>
        </w:rPr>
        <w:t>lower</w:t>
      </w:r>
      <w:r w:rsidRPr="00300E1C">
        <w:rPr>
          <w:rFonts w:ascii="Calibri" w:eastAsia="Calibri" w:hAnsi="Calibri" w:cs="Times New Roman"/>
          <w:color w:val="002F5D"/>
        </w:rPr>
        <w:t xml:space="preserve"> than national averages, as is </w:t>
      </w:r>
      <w:r w:rsidRPr="00300E1C">
        <w:rPr>
          <w:rFonts w:ascii="Calibri" w:eastAsia="Calibri" w:hAnsi="Calibri" w:cs="Times New Roman"/>
          <w:b/>
          <w:color w:val="002F5D"/>
        </w:rPr>
        <w:t>Cambridgeshire’s</w:t>
      </w:r>
      <w:r w:rsidRPr="00300E1C">
        <w:rPr>
          <w:rFonts w:ascii="Calibri" w:eastAsia="Calibri" w:hAnsi="Calibri" w:cs="Times New Roman"/>
          <w:color w:val="002F5D"/>
        </w:rPr>
        <w:t xml:space="preserve"> rate of </w:t>
      </w:r>
      <w:r w:rsidRPr="00300E1C">
        <w:rPr>
          <w:rFonts w:ascii="Calibri" w:eastAsia="Calibri" w:hAnsi="Calibri" w:cs="Times New Roman"/>
          <w:b/>
          <w:color w:val="002F5D"/>
        </w:rPr>
        <w:t>cervical cancer</w:t>
      </w:r>
      <w:r w:rsidRPr="00300E1C">
        <w:rPr>
          <w:rFonts w:ascii="Calibri" w:eastAsia="Calibri" w:hAnsi="Calibri" w:cs="Times New Roman"/>
          <w:color w:val="002F5D"/>
        </w:rPr>
        <w:t xml:space="preserve"> </w:t>
      </w:r>
      <w:r w:rsidRPr="00300E1C">
        <w:rPr>
          <w:rFonts w:ascii="Calibri" w:eastAsia="Calibri" w:hAnsi="Calibri" w:cs="Times New Roman"/>
          <w:b/>
          <w:color w:val="002F5D"/>
        </w:rPr>
        <w:t>screening</w:t>
      </w:r>
      <w:r w:rsidRPr="00300E1C">
        <w:rPr>
          <w:rFonts w:ascii="Calibri" w:eastAsia="Calibri" w:hAnsi="Calibri" w:cs="Times New Roman"/>
          <w:color w:val="002F5D"/>
        </w:rPr>
        <w:t xml:space="preserve"> and </w:t>
      </w:r>
      <w:r w:rsidRPr="00300E1C">
        <w:rPr>
          <w:rFonts w:ascii="Calibri" w:eastAsia="Calibri" w:hAnsi="Calibri" w:cs="Times New Roman"/>
          <w:b/>
          <w:color w:val="002F5D"/>
        </w:rPr>
        <w:t>Fenland’s</w:t>
      </w:r>
      <w:r w:rsidRPr="00300E1C">
        <w:rPr>
          <w:rFonts w:ascii="Calibri" w:eastAsia="Calibri" w:hAnsi="Calibri" w:cs="Times New Roman"/>
          <w:color w:val="002F5D"/>
        </w:rPr>
        <w:t xml:space="preserve"> rate of </w:t>
      </w:r>
      <w:r w:rsidRPr="00300E1C">
        <w:rPr>
          <w:rFonts w:ascii="Calibri" w:eastAsia="Calibri" w:hAnsi="Calibri" w:cs="Times New Roman"/>
          <w:b/>
          <w:color w:val="002F5D"/>
        </w:rPr>
        <w:t>bowel cancer screening</w:t>
      </w:r>
      <w:r w:rsidRPr="00300E1C">
        <w:rPr>
          <w:rFonts w:ascii="Calibri" w:eastAsia="Calibri" w:hAnsi="Calibri" w:cs="Times New Roman"/>
          <w:color w:val="002F5D"/>
        </w:rPr>
        <w:t>.</w:t>
      </w:r>
    </w:p>
    <w:p w14:paraId="15BA2F55" w14:textId="77777777" w:rsidR="009810FA" w:rsidRPr="00300E1C" w:rsidRDefault="009810FA" w:rsidP="009810FA">
      <w:pPr>
        <w:numPr>
          <w:ilvl w:val="0"/>
          <w:numId w:val="55"/>
        </w:numPr>
        <w:spacing w:line="240" w:lineRule="auto"/>
        <w:ind w:left="714" w:hanging="357"/>
        <w:contextualSpacing/>
        <w:rPr>
          <w:rFonts w:ascii="Calibri" w:eastAsia="Calibri" w:hAnsi="Calibri" w:cs="Times New Roman"/>
          <w:color w:val="002F5D"/>
        </w:rPr>
      </w:pPr>
      <w:r w:rsidRPr="00300E1C">
        <w:rPr>
          <w:rFonts w:ascii="Calibri" w:eastAsia="Calibri" w:hAnsi="Calibri" w:cs="Times New Roman"/>
          <w:b/>
          <w:color w:val="002F5D"/>
        </w:rPr>
        <w:t xml:space="preserve">Cambridge’s rate of screening coverage for </w:t>
      </w:r>
      <w:r w:rsidRPr="00300E1C">
        <w:rPr>
          <w:rFonts w:cs="Arial"/>
          <w:color w:val="002F5D"/>
        </w:rPr>
        <w:t xml:space="preserve">abdominal aortic aneurysm is </w:t>
      </w:r>
      <w:r w:rsidRPr="00300E1C">
        <w:rPr>
          <w:rFonts w:ascii="Calibri" w:eastAsia="Calibri" w:hAnsi="Calibri" w:cs="Times New Roman"/>
          <w:color w:val="002F5D"/>
        </w:rPr>
        <w:t xml:space="preserve">statistically significantly </w:t>
      </w:r>
      <w:r w:rsidRPr="00300E1C">
        <w:rPr>
          <w:rFonts w:ascii="Calibri" w:eastAsia="Calibri" w:hAnsi="Calibri" w:cs="Times New Roman"/>
          <w:b/>
          <w:color w:val="002F5D"/>
        </w:rPr>
        <w:t>lower</w:t>
      </w:r>
      <w:r w:rsidRPr="00300E1C">
        <w:rPr>
          <w:rFonts w:ascii="Calibri" w:eastAsia="Calibri" w:hAnsi="Calibri" w:cs="Times New Roman"/>
          <w:color w:val="002F5D"/>
        </w:rPr>
        <w:t xml:space="preserve"> than national averages.</w:t>
      </w:r>
    </w:p>
    <w:p w14:paraId="22B67C9D" w14:textId="77777777" w:rsidR="009810FA" w:rsidRPr="004434DA" w:rsidRDefault="009810FA" w:rsidP="009810FA">
      <w:pPr>
        <w:spacing w:before="120" w:line="240" w:lineRule="auto"/>
        <w:rPr>
          <w:rFonts w:ascii="Calibri" w:eastAsia="Calibri" w:hAnsi="Calibri" w:cs="Arial"/>
          <w:b/>
          <w:color w:val="002F5D"/>
        </w:rPr>
      </w:pPr>
      <w:r w:rsidRPr="004434DA">
        <w:rPr>
          <w:rFonts w:ascii="Calibri" w:eastAsia="Calibri" w:hAnsi="Calibri" w:cs="Arial"/>
          <w:b/>
          <w:color w:val="002F5D"/>
        </w:rPr>
        <w:t>Influenza</w:t>
      </w:r>
    </w:p>
    <w:p w14:paraId="4DD7575F" w14:textId="77777777" w:rsidR="009810FA" w:rsidRPr="004434DA" w:rsidRDefault="009810FA" w:rsidP="009810FA">
      <w:pPr>
        <w:numPr>
          <w:ilvl w:val="0"/>
          <w:numId w:val="57"/>
        </w:numPr>
        <w:spacing w:line="240" w:lineRule="auto"/>
        <w:contextualSpacing/>
        <w:rPr>
          <w:rFonts w:ascii="Calibri" w:eastAsia="Times New Roman" w:hAnsi="Calibri" w:cs="Times New Roman"/>
          <w:color w:val="002F5D"/>
          <w:lang w:eastAsia="en-GB"/>
        </w:rPr>
      </w:pPr>
      <w:r w:rsidRPr="004434DA">
        <w:rPr>
          <w:rFonts w:ascii="Calibri" w:eastAsia="Times New Roman" w:hAnsi="Calibri" w:cs="Times New Roman"/>
          <w:b/>
          <w:color w:val="002F5D"/>
          <w:lang w:eastAsia="en-GB"/>
        </w:rPr>
        <w:t>Cambridgeshire and Peterborough’s flu vaccination</w:t>
      </w:r>
      <w:r w:rsidRPr="004434DA">
        <w:rPr>
          <w:rFonts w:ascii="Calibri" w:eastAsia="Times New Roman" w:hAnsi="Calibri" w:cs="Times New Roman"/>
          <w:color w:val="002F5D"/>
          <w:lang w:eastAsia="en-GB"/>
        </w:rPr>
        <w:t xml:space="preserve"> rates for </w:t>
      </w:r>
      <w:r w:rsidRPr="004434DA">
        <w:rPr>
          <w:rFonts w:ascii="Calibri" w:eastAsia="Times New Roman" w:hAnsi="Calibri" w:cs="Times New Roman"/>
          <w:b/>
          <w:color w:val="002F5D"/>
          <w:lang w:eastAsia="en-GB"/>
        </w:rPr>
        <w:t>older people</w:t>
      </w:r>
      <w:r w:rsidRPr="004434DA">
        <w:rPr>
          <w:rFonts w:ascii="Calibri" w:eastAsia="Times New Roman" w:hAnsi="Calibri" w:cs="Times New Roman"/>
          <w:color w:val="002F5D"/>
          <w:lang w:eastAsia="en-GB"/>
        </w:rPr>
        <w:t xml:space="preserve"> and </w:t>
      </w:r>
      <w:r w:rsidRPr="004434DA">
        <w:rPr>
          <w:rFonts w:ascii="Calibri" w:eastAsia="Times New Roman" w:hAnsi="Calibri" w:cs="Times New Roman"/>
          <w:b/>
          <w:color w:val="002F5D"/>
          <w:lang w:eastAsia="en-GB"/>
        </w:rPr>
        <w:t>at risk</w:t>
      </w:r>
      <w:r w:rsidRPr="004434DA">
        <w:rPr>
          <w:rFonts w:ascii="Calibri" w:eastAsia="Times New Roman" w:hAnsi="Calibri" w:cs="Times New Roman"/>
          <w:color w:val="002F5D"/>
          <w:lang w:eastAsia="en-GB"/>
        </w:rPr>
        <w:t xml:space="preserve"> </w:t>
      </w:r>
      <w:r w:rsidRPr="004434DA">
        <w:rPr>
          <w:rFonts w:ascii="Calibri" w:eastAsia="Times New Roman" w:hAnsi="Calibri" w:cs="Times New Roman"/>
          <w:b/>
          <w:color w:val="002F5D"/>
          <w:lang w:eastAsia="en-GB"/>
        </w:rPr>
        <w:t>individuals</w:t>
      </w:r>
      <w:r w:rsidRPr="004434DA">
        <w:rPr>
          <w:rFonts w:ascii="Calibri" w:eastAsia="Times New Roman" w:hAnsi="Calibri" w:cs="Times New Roman"/>
          <w:color w:val="002F5D"/>
          <w:lang w:eastAsia="en-GB"/>
        </w:rPr>
        <w:t xml:space="preserve"> are statistically significantly </w:t>
      </w:r>
      <w:r w:rsidRPr="004434DA">
        <w:rPr>
          <w:rFonts w:ascii="Calibri" w:eastAsia="Times New Roman" w:hAnsi="Calibri" w:cs="Times New Roman"/>
          <w:b/>
          <w:color w:val="002F5D"/>
          <w:lang w:eastAsia="en-GB"/>
        </w:rPr>
        <w:t>below</w:t>
      </w:r>
      <w:r w:rsidRPr="004434DA">
        <w:rPr>
          <w:rFonts w:ascii="Calibri" w:eastAsia="Times New Roman" w:hAnsi="Calibri" w:cs="Times New Roman"/>
          <w:color w:val="002F5D"/>
          <w:lang w:eastAsia="en-GB"/>
        </w:rPr>
        <w:t xml:space="preserve"> national targets and </w:t>
      </w:r>
      <w:r w:rsidRPr="004434DA">
        <w:rPr>
          <w:rFonts w:ascii="Calibri" w:eastAsia="Times New Roman" w:hAnsi="Calibri" w:cs="Times New Roman"/>
          <w:b/>
          <w:color w:val="002F5D"/>
          <w:lang w:eastAsia="en-GB"/>
        </w:rPr>
        <w:t>trends</w:t>
      </w:r>
      <w:r w:rsidRPr="004434DA">
        <w:rPr>
          <w:rFonts w:ascii="Calibri" w:eastAsia="Times New Roman" w:hAnsi="Calibri" w:cs="Times New Roman"/>
          <w:color w:val="002F5D"/>
          <w:lang w:eastAsia="en-GB"/>
        </w:rPr>
        <w:t xml:space="preserve"> are </w:t>
      </w:r>
      <w:r w:rsidRPr="004434DA">
        <w:rPr>
          <w:rFonts w:ascii="Calibri" w:eastAsia="Times New Roman" w:hAnsi="Calibri" w:cs="Times New Roman"/>
          <w:b/>
          <w:color w:val="002F5D"/>
          <w:lang w:eastAsia="en-GB"/>
        </w:rPr>
        <w:t>declining</w:t>
      </w:r>
      <w:r>
        <w:rPr>
          <w:rFonts w:ascii="Calibri" w:eastAsia="Times New Roman" w:hAnsi="Calibri" w:cs="Times New Roman"/>
          <w:b/>
          <w:color w:val="002F5D"/>
          <w:lang w:eastAsia="en-GB"/>
        </w:rPr>
        <w:t xml:space="preserve"> </w:t>
      </w:r>
      <w:r w:rsidRPr="00DE4559">
        <w:rPr>
          <w:rFonts w:ascii="Calibri" w:eastAsia="Times New Roman" w:hAnsi="Calibri" w:cs="Times New Roman"/>
          <w:color w:val="002F5D"/>
          <w:lang w:eastAsia="en-GB"/>
        </w:rPr>
        <w:t>for at risk individuals</w:t>
      </w:r>
      <w:r w:rsidRPr="004434DA">
        <w:rPr>
          <w:rFonts w:ascii="Calibri" w:eastAsia="Times New Roman" w:hAnsi="Calibri" w:cs="Times New Roman"/>
          <w:color w:val="002F5D"/>
          <w:lang w:eastAsia="en-GB"/>
        </w:rPr>
        <w:t>.</w:t>
      </w:r>
    </w:p>
    <w:p w14:paraId="593FA42A" w14:textId="77777777" w:rsidR="009810FA" w:rsidRDefault="009810FA" w:rsidP="009810FA">
      <w:pPr>
        <w:spacing w:line="240" w:lineRule="auto"/>
        <w:contextualSpacing/>
        <w:rPr>
          <w:rFonts w:ascii="Calibri" w:eastAsia="Times New Roman" w:hAnsi="Calibri" w:cs="Times New Roman"/>
          <w:color w:val="FF0000"/>
          <w:lang w:eastAsia="en-GB"/>
        </w:rPr>
      </w:pPr>
    </w:p>
    <w:p w14:paraId="7989B220" w14:textId="77777777" w:rsidR="009810FA" w:rsidRPr="0022024E" w:rsidRDefault="009810FA" w:rsidP="009810FA">
      <w:pPr>
        <w:spacing w:line="240" w:lineRule="auto"/>
        <w:contextualSpacing/>
        <w:rPr>
          <w:rFonts w:ascii="Calibri" w:eastAsia="Times New Roman" w:hAnsi="Calibri" w:cs="Times New Roman"/>
          <w:color w:val="FF0000"/>
          <w:lang w:eastAsia="en-GB"/>
        </w:rPr>
      </w:pPr>
    </w:p>
    <w:p w14:paraId="328371C8" w14:textId="77777777" w:rsidR="009810FA" w:rsidRPr="0022024E" w:rsidRDefault="00E80CFE" w:rsidP="009810FA">
      <w:pPr>
        <w:spacing w:line="240" w:lineRule="auto"/>
        <w:rPr>
          <w:rFonts w:ascii="Calibri" w:eastAsia="Calibri" w:hAnsi="Calibri" w:cs="Arial"/>
          <w:b/>
          <w:color w:val="FF0000"/>
        </w:rPr>
      </w:pPr>
      <w:r>
        <w:rPr>
          <w:rFonts w:ascii="Calibri" w:eastAsia="Calibri" w:hAnsi="Calibri" w:cs="Arial"/>
          <w:b/>
          <w:color w:val="FF0000"/>
        </w:rPr>
        <w:pict w14:anchorId="0D4F369B">
          <v:rect id="_x0000_i1028" style="width:0;height:1.5pt" o:hralign="center" o:hrstd="t" o:hr="t" fillcolor="#a0a0a0" stroked="f"/>
        </w:pict>
      </w:r>
    </w:p>
    <w:p w14:paraId="77B0DEBE" w14:textId="77777777" w:rsidR="009810FA" w:rsidRPr="0022024E" w:rsidRDefault="009810FA" w:rsidP="009810FA">
      <w:pPr>
        <w:spacing w:line="240" w:lineRule="auto"/>
        <w:rPr>
          <w:rFonts w:ascii="Calibri" w:eastAsia="Calibri" w:hAnsi="Calibri" w:cs="Arial"/>
          <w:b/>
          <w:color w:val="002F5D"/>
        </w:rPr>
      </w:pPr>
    </w:p>
    <w:p w14:paraId="575E1E1A" w14:textId="77777777" w:rsidR="009810FA" w:rsidRPr="0022024E" w:rsidRDefault="009810FA" w:rsidP="009810FA">
      <w:pPr>
        <w:spacing w:line="240" w:lineRule="auto"/>
        <w:rPr>
          <w:rFonts w:ascii="Calibri" w:eastAsia="Calibri" w:hAnsi="Calibri" w:cs="Arial"/>
          <w:b/>
          <w:color w:val="002F5D"/>
        </w:rPr>
      </w:pPr>
      <w:r w:rsidRPr="0022024E">
        <w:rPr>
          <w:rFonts w:ascii="Calibri" w:eastAsia="Calibri" w:hAnsi="Calibri" w:cs="Arial"/>
          <w:b/>
          <w:color w:val="002F5D"/>
        </w:rPr>
        <w:t xml:space="preserve">LEVELS OF ILLNESS AND HEALTH AND SOCIAL CARE SERVICES </w:t>
      </w:r>
    </w:p>
    <w:p w14:paraId="50B5A7AE" w14:textId="77777777" w:rsidR="009810FA" w:rsidRDefault="009810FA" w:rsidP="009810FA">
      <w:pPr>
        <w:spacing w:line="240" w:lineRule="auto"/>
        <w:rPr>
          <w:rFonts w:ascii="Calibri" w:eastAsia="Calibri" w:hAnsi="Calibri" w:cs="Arial"/>
          <w:color w:val="002F5D"/>
        </w:rPr>
      </w:pPr>
      <w:r w:rsidRPr="0022024E">
        <w:rPr>
          <w:rFonts w:ascii="Calibri" w:eastAsia="Calibri" w:hAnsi="Calibri" w:cs="Arial"/>
          <w:color w:val="002F5D"/>
        </w:rPr>
        <w:t xml:space="preserve">Please note that disease prevalence data from general practices is dependent on accurate ascertainment and recording of disease by general practitioners. It is not also not age-weighted and, as most diseases occur more often at older ages, disease prevalence will mostly be influenced by the underlying age structure of the population. This can make interpretation and </w:t>
      </w:r>
      <w:r w:rsidRPr="006131C5">
        <w:rPr>
          <w:rFonts w:ascii="Calibri" w:eastAsia="Calibri" w:hAnsi="Calibri" w:cs="Arial"/>
          <w:color w:val="002F5D"/>
        </w:rPr>
        <w:t>comparison difficult.</w:t>
      </w:r>
    </w:p>
    <w:p w14:paraId="63EEAF0D" w14:textId="77777777" w:rsidR="009810FA" w:rsidRPr="006131C5" w:rsidRDefault="009810FA" w:rsidP="009810FA">
      <w:pPr>
        <w:spacing w:line="240" w:lineRule="auto"/>
        <w:rPr>
          <w:rFonts w:ascii="Calibri" w:eastAsia="Calibri" w:hAnsi="Calibri" w:cs="Arial"/>
          <w:color w:val="002F5D"/>
        </w:rPr>
      </w:pPr>
    </w:p>
    <w:p w14:paraId="56BE74B1" w14:textId="77777777" w:rsidR="009810FA" w:rsidRPr="006131C5" w:rsidRDefault="009810FA" w:rsidP="009810FA">
      <w:pPr>
        <w:spacing w:before="120" w:line="240" w:lineRule="auto"/>
        <w:rPr>
          <w:rFonts w:ascii="Calibri" w:eastAsia="Calibri" w:hAnsi="Calibri" w:cs="Arial"/>
          <w:b/>
          <w:color w:val="002F5D"/>
        </w:rPr>
      </w:pPr>
      <w:r w:rsidRPr="006131C5">
        <w:rPr>
          <w:rFonts w:ascii="Calibri" w:eastAsia="Calibri" w:hAnsi="Calibri" w:cs="Arial"/>
          <w:b/>
          <w:color w:val="002F5D"/>
        </w:rPr>
        <w:t>Cardiovascular, respiratory and long-term conditions</w:t>
      </w:r>
    </w:p>
    <w:p w14:paraId="638F8483" w14:textId="77777777" w:rsidR="009810FA" w:rsidRPr="006131C5" w:rsidRDefault="009810FA" w:rsidP="009810FA">
      <w:pPr>
        <w:numPr>
          <w:ilvl w:val="0"/>
          <w:numId w:val="13"/>
        </w:numPr>
        <w:spacing w:line="240" w:lineRule="auto"/>
        <w:contextualSpacing/>
        <w:rPr>
          <w:rFonts w:ascii="Calibri" w:eastAsia="Calibri" w:hAnsi="Calibri" w:cs="Arial"/>
          <w:color w:val="002F5D"/>
        </w:rPr>
      </w:pPr>
      <w:r w:rsidRPr="006131C5">
        <w:rPr>
          <w:rFonts w:ascii="Calibri" w:eastAsia="Calibri" w:hAnsi="Calibri" w:cs="Arial"/>
          <w:color w:val="002F5D"/>
        </w:rPr>
        <w:t xml:space="preserve">The recorded prevalence of </w:t>
      </w:r>
      <w:r w:rsidRPr="006131C5">
        <w:rPr>
          <w:rFonts w:ascii="Calibri" w:eastAsia="Calibri" w:hAnsi="Calibri" w:cs="Arial"/>
          <w:b/>
          <w:color w:val="002F5D"/>
        </w:rPr>
        <w:t>coronary heart disease</w:t>
      </w:r>
      <w:r w:rsidRPr="006131C5">
        <w:rPr>
          <w:rFonts w:ascii="Calibri" w:eastAsia="Calibri" w:hAnsi="Calibri" w:cs="Arial"/>
          <w:color w:val="002F5D"/>
        </w:rPr>
        <w:t xml:space="preserve">, </w:t>
      </w:r>
      <w:r w:rsidRPr="006131C5">
        <w:rPr>
          <w:rFonts w:ascii="Calibri" w:eastAsia="Calibri" w:hAnsi="Calibri" w:cs="Arial"/>
          <w:b/>
          <w:color w:val="002F5D"/>
        </w:rPr>
        <w:t>high blood pressure</w:t>
      </w:r>
      <w:r w:rsidRPr="006131C5">
        <w:rPr>
          <w:rFonts w:ascii="Calibri" w:eastAsia="Calibri" w:hAnsi="Calibri" w:cs="Arial"/>
          <w:color w:val="002F5D"/>
        </w:rPr>
        <w:t xml:space="preserve"> and </w:t>
      </w:r>
      <w:r w:rsidRPr="006131C5">
        <w:rPr>
          <w:rFonts w:ascii="Calibri" w:eastAsia="Calibri" w:hAnsi="Calibri" w:cs="Arial"/>
          <w:b/>
          <w:color w:val="002F5D"/>
        </w:rPr>
        <w:t>stroke</w:t>
      </w:r>
      <w:r w:rsidRPr="006131C5">
        <w:rPr>
          <w:rFonts w:ascii="Calibri" w:eastAsia="Calibri" w:hAnsi="Calibri" w:cs="Arial"/>
          <w:color w:val="002F5D"/>
        </w:rPr>
        <w:t xml:space="preserve"> are statistically significantly </w:t>
      </w:r>
      <w:r w:rsidRPr="006131C5">
        <w:rPr>
          <w:rFonts w:ascii="Calibri" w:eastAsia="Calibri" w:hAnsi="Calibri" w:cs="Arial"/>
          <w:b/>
          <w:color w:val="002F5D"/>
        </w:rPr>
        <w:t>lower</w:t>
      </w:r>
      <w:r w:rsidRPr="006131C5">
        <w:rPr>
          <w:rFonts w:ascii="Calibri" w:eastAsia="Calibri" w:hAnsi="Calibri" w:cs="Arial"/>
          <w:color w:val="002F5D"/>
        </w:rPr>
        <w:t xml:space="preserve"> than the national averages in </w:t>
      </w:r>
      <w:r w:rsidRPr="006131C5">
        <w:rPr>
          <w:rFonts w:ascii="Calibri" w:eastAsia="Calibri" w:hAnsi="Calibri" w:cs="Arial"/>
          <w:b/>
          <w:color w:val="002F5D"/>
        </w:rPr>
        <w:t>Cambridgeshire and Peterborough</w:t>
      </w:r>
      <w:r w:rsidRPr="006131C5">
        <w:rPr>
          <w:rFonts w:ascii="Calibri" w:eastAsia="Calibri" w:hAnsi="Calibri" w:cs="Arial"/>
          <w:color w:val="002F5D"/>
        </w:rPr>
        <w:t xml:space="preserve"> as a whole. This is also true for the two areas independently. However, </w:t>
      </w:r>
      <w:r w:rsidRPr="006131C5">
        <w:rPr>
          <w:rFonts w:ascii="Calibri" w:eastAsia="Calibri" w:hAnsi="Calibri" w:cs="Arial"/>
          <w:b/>
          <w:color w:val="002F5D"/>
        </w:rPr>
        <w:t>Fenland’s</w:t>
      </w:r>
      <w:r w:rsidRPr="006131C5">
        <w:rPr>
          <w:rFonts w:ascii="Calibri" w:eastAsia="Calibri" w:hAnsi="Calibri" w:cs="Arial"/>
          <w:color w:val="002F5D"/>
        </w:rPr>
        <w:t xml:space="preserve"> rates are significantly </w:t>
      </w:r>
      <w:r w:rsidRPr="006131C5">
        <w:rPr>
          <w:rFonts w:ascii="Calibri" w:eastAsia="Calibri" w:hAnsi="Calibri" w:cs="Arial"/>
          <w:b/>
          <w:color w:val="002F5D"/>
        </w:rPr>
        <w:t>higher for all three conditions</w:t>
      </w:r>
      <w:r w:rsidRPr="006131C5">
        <w:rPr>
          <w:rFonts w:ascii="Calibri" w:eastAsia="Calibri" w:hAnsi="Calibri" w:cs="Arial"/>
          <w:color w:val="002F5D"/>
        </w:rPr>
        <w:t xml:space="preserve">, as is the rate of </w:t>
      </w:r>
      <w:r w:rsidRPr="006131C5">
        <w:rPr>
          <w:rFonts w:ascii="Calibri" w:eastAsia="Calibri" w:hAnsi="Calibri" w:cs="Arial"/>
          <w:b/>
          <w:color w:val="002F5D"/>
        </w:rPr>
        <w:t>high blood pressure</w:t>
      </w:r>
      <w:r w:rsidRPr="006131C5">
        <w:rPr>
          <w:rFonts w:ascii="Calibri" w:eastAsia="Calibri" w:hAnsi="Calibri" w:cs="Arial"/>
          <w:color w:val="002F5D"/>
        </w:rPr>
        <w:t xml:space="preserve"> in </w:t>
      </w:r>
      <w:r w:rsidRPr="006131C5">
        <w:rPr>
          <w:rFonts w:ascii="Calibri" w:eastAsia="Calibri" w:hAnsi="Calibri" w:cs="Arial"/>
          <w:b/>
          <w:color w:val="002F5D"/>
        </w:rPr>
        <w:t>Huntingdonshire and East Cambridgeshire</w:t>
      </w:r>
      <w:r w:rsidRPr="006131C5">
        <w:rPr>
          <w:rFonts w:ascii="Calibri" w:eastAsia="Calibri" w:hAnsi="Calibri" w:cs="Arial"/>
          <w:color w:val="002F5D"/>
        </w:rPr>
        <w:t>.</w:t>
      </w:r>
    </w:p>
    <w:p w14:paraId="13DB8A1B" w14:textId="77777777" w:rsidR="009810FA" w:rsidRPr="006131C5" w:rsidRDefault="009810FA" w:rsidP="009810FA">
      <w:pPr>
        <w:numPr>
          <w:ilvl w:val="0"/>
          <w:numId w:val="14"/>
        </w:numPr>
        <w:spacing w:line="240" w:lineRule="auto"/>
        <w:contextualSpacing/>
        <w:rPr>
          <w:rFonts w:ascii="Calibri" w:eastAsia="Calibri" w:hAnsi="Calibri" w:cs="Arial"/>
          <w:color w:val="002F5D"/>
        </w:rPr>
      </w:pPr>
      <w:r w:rsidRPr="006131C5">
        <w:rPr>
          <w:rFonts w:ascii="Calibri" w:eastAsia="Calibri" w:hAnsi="Calibri" w:cs="Arial"/>
          <w:color w:val="002F5D"/>
        </w:rPr>
        <w:t xml:space="preserve">In general the recorded prevalence of </w:t>
      </w:r>
      <w:r w:rsidRPr="006131C5">
        <w:rPr>
          <w:rFonts w:ascii="Calibri" w:eastAsia="Calibri" w:hAnsi="Calibri" w:cs="Arial"/>
          <w:b/>
          <w:color w:val="002F5D"/>
        </w:rPr>
        <w:t>asthma</w:t>
      </w:r>
      <w:r w:rsidRPr="006131C5">
        <w:rPr>
          <w:rFonts w:ascii="Calibri" w:eastAsia="Calibri" w:hAnsi="Calibri" w:cs="Arial"/>
          <w:color w:val="002F5D"/>
        </w:rPr>
        <w:t xml:space="preserve"> is statistically </w:t>
      </w:r>
      <w:r w:rsidRPr="006131C5">
        <w:rPr>
          <w:rFonts w:ascii="Calibri" w:eastAsia="Calibri" w:hAnsi="Calibri" w:cs="Arial"/>
          <w:b/>
          <w:color w:val="002F5D"/>
        </w:rPr>
        <w:t>similar</w:t>
      </w:r>
      <w:r w:rsidRPr="006131C5">
        <w:rPr>
          <w:rFonts w:ascii="Calibri" w:eastAsia="Calibri" w:hAnsi="Calibri" w:cs="Arial"/>
          <w:color w:val="002F5D"/>
        </w:rPr>
        <w:t xml:space="preserve"> in </w:t>
      </w:r>
      <w:r w:rsidRPr="006131C5">
        <w:rPr>
          <w:rFonts w:ascii="Calibri" w:eastAsia="Calibri" w:hAnsi="Calibri" w:cs="Arial"/>
          <w:b/>
          <w:color w:val="002F5D"/>
        </w:rPr>
        <w:t xml:space="preserve">Cambridgeshire and Peterborough </w:t>
      </w:r>
      <w:r w:rsidRPr="006131C5">
        <w:rPr>
          <w:rFonts w:ascii="Calibri" w:eastAsia="Calibri" w:hAnsi="Calibri" w:cs="Arial"/>
          <w:color w:val="002F5D"/>
        </w:rPr>
        <w:t xml:space="preserve">combined and significantly </w:t>
      </w:r>
      <w:r w:rsidRPr="006131C5">
        <w:rPr>
          <w:rFonts w:ascii="Calibri" w:eastAsia="Calibri" w:hAnsi="Calibri" w:cs="Arial"/>
          <w:b/>
          <w:color w:val="002F5D"/>
        </w:rPr>
        <w:t>higher</w:t>
      </w:r>
      <w:r w:rsidRPr="006131C5">
        <w:rPr>
          <w:rFonts w:ascii="Calibri" w:eastAsia="Calibri" w:hAnsi="Calibri" w:cs="Arial"/>
          <w:color w:val="002F5D"/>
        </w:rPr>
        <w:t xml:space="preserve"> in </w:t>
      </w:r>
      <w:r w:rsidRPr="006131C5">
        <w:rPr>
          <w:rFonts w:ascii="Calibri" w:eastAsia="Calibri" w:hAnsi="Calibri" w:cs="Arial"/>
          <w:b/>
          <w:color w:val="002F5D"/>
        </w:rPr>
        <w:t xml:space="preserve">Cambridgeshire. </w:t>
      </w:r>
      <w:r w:rsidRPr="006131C5">
        <w:rPr>
          <w:rFonts w:ascii="Calibri" w:eastAsia="Calibri" w:hAnsi="Calibri" w:cs="Arial"/>
          <w:color w:val="002F5D"/>
        </w:rPr>
        <w:t xml:space="preserve">It is significantly </w:t>
      </w:r>
      <w:r w:rsidRPr="006131C5">
        <w:rPr>
          <w:rFonts w:ascii="Calibri" w:eastAsia="Calibri" w:hAnsi="Calibri" w:cs="Arial"/>
          <w:b/>
          <w:color w:val="002F5D"/>
        </w:rPr>
        <w:t>lower</w:t>
      </w:r>
      <w:r w:rsidRPr="006131C5">
        <w:rPr>
          <w:rFonts w:ascii="Calibri" w:eastAsia="Calibri" w:hAnsi="Calibri" w:cs="Arial"/>
          <w:color w:val="002F5D"/>
        </w:rPr>
        <w:t xml:space="preserve"> in the two areas with younger population profiles, </w:t>
      </w:r>
      <w:r w:rsidRPr="006131C5">
        <w:rPr>
          <w:rFonts w:ascii="Calibri" w:eastAsia="Calibri" w:hAnsi="Calibri" w:cs="Arial"/>
          <w:b/>
          <w:color w:val="002F5D"/>
        </w:rPr>
        <w:t>Peterborough and Cambridge.</w:t>
      </w:r>
    </w:p>
    <w:p w14:paraId="684DF297" w14:textId="77777777" w:rsidR="009810FA" w:rsidRPr="006131C5" w:rsidRDefault="009810FA" w:rsidP="009810FA">
      <w:pPr>
        <w:numPr>
          <w:ilvl w:val="0"/>
          <w:numId w:val="14"/>
        </w:numPr>
        <w:spacing w:before="120" w:line="240" w:lineRule="auto"/>
        <w:contextualSpacing/>
        <w:rPr>
          <w:rFonts w:ascii="Calibri" w:eastAsia="Calibri" w:hAnsi="Calibri" w:cs="Arial"/>
          <w:color w:val="002F5D"/>
        </w:rPr>
      </w:pPr>
      <w:r w:rsidRPr="006131C5">
        <w:rPr>
          <w:rFonts w:ascii="Calibri" w:eastAsia="Calibri" w:hAnsi="Calibri" w:cs="Arial"/>
          <w:color w:val="002F5D"/>
        </w:rPr>
        <w:t xml:space="preserve">The recorded prevalence of </w:t>
      </w:r>
      <w:r w:rsidRPr="006131C5">
        <w:rPr>
          <w:rFonts w:ascii="Calibri" w:eastAsia="Calibri" w:hAnsi="Calibri" w:cs="Arial"/>
          <w:b/>
          <w:color w:val="002F5D"/>
        </w:rPr>
        <w:t>chronic obstructive pulmonary disease</w:t>
      </w:r>
      <w:r w:rsidRPr="006131C5">
        <w:rPr>
          <w:rFonts w:ascii="Calibri" w:eastAsia="Calibri" w:hAnsi="Calibri" w:cs="Arial"/>
          <w:color w:val="002F5D"/>
        </w:rPr>
        <w:t xml:space="preserve"> (COPD) is generally </w:t>
      </w:r>
      <w:r w:rsidRPr="006131C5">
        <w:rPr>
          <w:rFonts w:ascii="Calibri" w:eastAsia="Calibri" w:hAnsi="Calibri" w:cs="Arial"/>
          <w:b/>
          <w:color w:val="002F5D"/>
        </w:rPr>
        <w:t>lower</w:t>
      </w:r>
      <w:r w:rsidRPr="006131C5">
        <w:rPr>
          <w:rFonts w:ascii="Calibri" w:eastAsia="Calibri" w:hAnsi="Calibri" w:cs="Arial"/>
          <w:color w:val="002F5D"/>
        </w:rPr>
        <w:t xml:space="preserve"> in </w:t>
      </w:r>
      <w:r w:rsidRPr="006131C5">
        <w:rPr>
          <w:rFonts w:ascii="Calibri" w:eastAsia="Calibri" w:hAnsi="Calibri" w:cs="Arial"/>
          <w:b/>
          <w:color w:val="002F5D"/>
        </w:rPr>
        <w:t>Cambridgeshire and Peterborough</w:t>
      </w:r>
      <w:r w:rsidRPr="006131C5">
        <w:rPr>
          <w:rFonts w:ascii="Calibri" w:eastAsia="Calibri" w:hAnsi="Calibri" w:cs="Arial"/>
          <w:color w:val="002F5D"/>
        </w:rPr>
        <w:t xml:space="preserve">, though </w:t>
      </w:r>
      <w:r w:rsidRPr="006131C5">
        <w:rPr>
          <w:rFonts w:ascii="Calibri" w:eastAsia="Calibri" w:hAnsi="Calibri" w:cs="Arial"/>
          <w:b/>
          <w:color w:val="002F5D"/>
        </w:rPr>
        <w:t>Fenland</w:t>
      </w:r>
      <w:r w:rsidRPr="006131C5">
        <w:rPr>
          <w:rFonts w:ascii="Calibri" w:eastAsia="Calibri" w:hAnsi="Calibri" w:cs="Arial"/>
          <w:color w:val="002F5D"/>
        </w:rPr>
        <w:t xml:space="preserve"> has a significantly </w:t>
      </w:r>
      <w:r w:rsidRPr="006131C5">
        <w:rPr>
          <w:rFonts w:ascii="Calibri" w:eastAsia="Calibri" w:hAnsi="Calibri" w:cs="Arial"/>
          <w:b/>
          <w:color w:val="002F5D"/>
        </w:rPr>
        <w:t>high</w:t>
      </w:r>
      <w:r w:rsidRPr="006131C5">
        <w:rPr>
          <w:rFonts w:ascii="Calibri" w:eastAsia="Calibri" w:hAnsi="Calibri" w:cs="Arial"/>
          <w:color w:val="002F5D"/>
        </w:rPr>
        <w:t xml:space="preserve"> rate.</w:t>
      </w:r>
    </w:p>
    <w:p w14:paraId="11608152" w14:textId="22E16FCA" w:rsidR="009810FA" w:rsidRPr="006131C5" w:rsidRDefault="009810FA" w:rsidP="009810FA">
      <w:pPr>
        <w:numPr>
          <w:ilvl w:val="0"/>
          <w:numId w:val="14"/>
        </w:numPr>
        <w:spacing w:line="240" w:lineRule="auto"/>
        <w:contextualSpacing/>
        <w:rPr>
          <w:rFonts w:ascii="Calibri" w:eastAsia="Calibri" w:hAnsi="Calibri" w:cs="Arial"/>
          <w:color w:val="002F5D"/>
        </w:rPr>
      </w:pPr>
      <w:r w:rsidRPr="006131C5">
        <w:rPr>
          <w:rFonts w:ascii="Calibri" w:eastAsia="Calibri" w:hAnsi="Calibri" w:cs="Arial"/>
          <w:color w:val="002F5D"/>
        </w:rPr>
        <w:t xml:space="preserve">In </w:t>
      </w:r>
      <w:r w:rsidRPr="006131C5">
        <w:rPr>
          <w:rFonts w:ascii="Calibri" w:eastAsia="Calibri" w:hAnsi="Calibri" w:cs="Arial"/>
          <w:b/>
          <w:color w:val="002F5D"/>
        </w:rPr>
        <w:t>Cambridgeshire and Peterborough</w:t>
      </w:r>
      <w:r w:rsidRPr="006131C5">
        <w:rPr>
          <w:rFonts w:ascii="Calibri" w:eastAsia="Calibri" w:hAnsi="Calibri" w:cs="Arial"/>
          <w:color w:val="002F5D"/>
        </w:rPr>
        <w:t xml:space="preserve"> as a whole the recorded prevalence of </w:t>
      </w:r>
      <w:r w:rsidRPr="006131C5">
        <w:rPr>
          <w:rFonts w:ascii="Calibri" w:eastAsia="Calibri" w:hAnsi="Calibri" w:cs="Arial"/>
          <w:b/>
          <w:color w:val="002F5D"/>
        </w:rPr>
        <w:t>cancer</w:t>
      </w:r>
      <w:r w:rsidRPr="006131C5">
        <w:rPr>
          <w:rFonts w:ascii="Calibri" w:eastAsia="Calibri" w:hAnsi="Calibri" w:cs="Arial"/>
          <w:color w:val="002F5D"/>
        </w:rPr>
        <w:t xml:space="preserve"> is significantly </w:t>
      </w:r>
      <w:r w:rsidRPr="006131C5">
        <w:rPr>
          <w:rFonts w:ascii="Calibri" w:eastAsia="Calibri" w:hAnsi="Calibri" w:cs="Arial"/>
          <w:b/>
          <w:color w:val="002F5D"/>
        </w:rPr>
        <w:t>lower</w:t>
      </w:r>
      <w:r w:rsidRPr="006131C5">
        <w:rPr>
          <w:rFonts w:ascii="Calibri" w:eastAsia="Calibri" w:hAnsi="Calibri" w:cs="Arial"/>
          <w:color w:val="002F5D"/>
        </w:rPr>
        <w:t xml:space="preserve"> than the national average; it is significantly </w:t>
      </w:r>
      <w:r w:rsidRPr="006131C5">
        <w:rPr>
          <w:rFonts w:ascii="Calibri" w:eastAsia="Calibri" w:hAnsi="Calibri" w:cs="Arial"/>
          <w:b/>
          <w:color w:val="002F5D"/>
        </w:rPr>
        <w:t>low</w:t>
      </w:r>
      <w:r w:rsidRPr="006131C5">
        <w:rPr>
          <w:rFonts w:ascii="Calibri" w:eastAsia="Calibri" w:hAnsi="Calibri" w:cs="Arial"/>
          <w:color w:val="002F5D"/>
        </w:rPr>
        <w:t xml:space="preserve"> in </w:t>
      </w:r>
      <w:r w:rsidRPr="006131C5">
        <w:rPr>
          <w:rFonts w:ascii="Calibri" w:eastAsia="Calibri" w:hAnsi="Calibri" w:cs="Arial"/>
          <w:b/>
          <w:color w:val="002F5D"/>
        </w:rPr>
        <w:t>Peterborough</w:t>
      </w:r>
      <w:r w:rsidRPr="006131C5">
        <w:rPr>
          <w:rFonts w:ascii="Calibri" w:eastAsia="Calibri" w:hAnsi="Calibri" w:cs="Arial"/>
          <w:color w:val="002F5D"/>
        </w:rPr>
        <w:t xml:space="preserve"> and </w:t>
      </w:r>
      <w:r w:rsidRPr="006131C5">
        <w:rPr>
          <w:rFonts w:ascii="Calibri" w:eastAsia="Calibri" w:hAnsi="Calibri" w:cs="Arial"/>
          <w:b/>
          <w:color w:val="002F5D"/>
        </w:rPr>
        <w:t>high</w:t>
      </w:r>
      <w:r w:rsidRPr="006131C5">
        <w:rPr>
          <w:rFonts w:ascii="Calibri" w:eastAsia="Calibri" w:hAnsi="Calibri" w:cs="Arial"/>
          <w:color w:val="002F5D"/>
        </w:rPr>
        <w:t xml:space="preserve"> in </w:t>
      </w:r>
      <w:r w:rsidRPr="006131C5">
        <w:rPr>
          <w:rFonts w:ascii="Calibri" w:eastAsia="Calibri" w:hAnsi="Calibri" w:cs="Arial"/>
          <w:b/>
          <w:color w:val="002F5D"/>
        </w:rPr>
        <w:t>Cambridgeshire</w:t>
      </w:r>
      <w:r w:rsidRPr="006131C5">
        <w:rPr>
          <w:rFonts w:ascii="Calibri" w:eastAsia="Calibri" w:hAnsi="Calibri" w:cs="Arial"/>
          <w:color w:val="002F5D"/>
        </w:rPr>
        <w:t xml:space="preserve">. All districts except Cambridge have significantly </w:t>
      </w:r>
      <w:r w:rsidRPr="006131C5">
        <w:rPr>
          <w:rFonts w:ascii="Calibri" w:eastAsia="Calibri" w:hAnsi="Calibri" w:cs="Arial"/>
          <w:b/>
          <w:color w:val="002F5D"/>
        </w:rPr>
        <w:t>high</w:t>
      </w:r>
      <w:r w:rsidR="0065406C">
        <w:rPr>
          <w:rFonts w:ascii="Calibri" w:eastAsia="Calibri" w:hAnsi="Calibri" w:cs="Arial"/>
          <w:color w:val="002F5D"/>
        </w:rPr>
        <w:t xml:space="preserve"> cancer prevalence</w:t>
      </w:r>
      <w:r w:rsidRPr="006131C5">
        <w:rPr>
          <w:rFonts w:ascii="Calibri" w:eastAsia="Calibri" w:hAnsi="Calibri" w:cs="Arial"/>
          <w:color w:val="002F5D"/>
        </w:rPr>
        <w:t>.</w:t>
      </w:r>
    </w:p>
    <w:p w14:paraId="3E4DE0EF" w14:textId="77777777" w:rsidR="009810FA" w:rsidRPr="006131C5" w:rsidRDefault="009810FA" w:rsidP="009810FA">
      <w:pPr>
        <w:numPr>
          <w:ilvl w:val="0"/>
          <w:numId w:val="14"/>
        </w:numPr>
        <w:spacing w:line="240" w:lineRule="auto"/>
        <w:contextualSpacing/>
        <w:rPr>
          <w:rFonts w:ascii="Calibri" w:eastAsia="Calibri" w:hAnsi="Calibri" w:cs="Arial"/>
          <w:color w:val="002F5D"/>
        </w:rPr>
      </w:pPr>
      <w:r w:rsidRPr="006131C5">
        <w:rPr>
          <w:rFonts w:ascii="Calibri" w:eastAsia="Calibri" w:hAnsi="Calibri" w:cs="Arial"/>
          <w:color w:val="002F5D"/>
        </w:rPr>
        <w:t xml:space="preserve">The recorded prevalence of </w:t>
      </w:r>
      <w:r w:rsidRPr="006131C5">
        <w:rPr>
          <w:rFonts w:ascii="Calibri" w:eastAsia="Calibri" w:hAnsi="Calibri" w:cs="Arial"/>
          <w:b/>
          <w:color w:val="002F5D"/>
        </w:rPr>
        <w:t>diabetes</w:t>
      </w:r>
      <w:r w:rsidRPr="006131C5">
        <w:rPr>
          <w:rFonts w:ascii="Calibri" w:eastAsia="Calibri" w:hAnsi="Calibri" w:cs="Arial"/>
          <w:color w:val="002F5D"/>
        </w:rPr>
        <w:t xml:space="preserve"> in people aged 17 years and over is statistically significantly </w:t>
      </w:r>
      <w:r w:rsidRPr="006131C5">
        <w:rPr>
          <w:rFonts w:ascii="Calibri" w:eastAsia="Calibri" w:hAnsi="Calibri" w:cs="Arial"/>
          <w:b/>
          <w:color w:val="002F5D"/>
        </w:rPr>
        <w:t>lower</w:t>
      </w:r>
      <w:r w:rsidRPr="006131C5">
        <w:rPr>
          <w:rFonts w:ascii="Calibri" w:eastAsia="Calibri" w:hAnsi="Calibri" w:cs="Arial"/>
          <w:color w:val="002F5D"/>
        </w:rPr>
        <w:t xml:space="preserve"> in </w:t>
      </w:r>
      <w:r w:rsidRPr="006131C5">
        <w:rPr>
          <w:rFonts w:ascii="Calibri" w:eastAsia="Calibri" w:hAnsi="Calibri" w:cs="Arial"/>
          <w:b/>
          <w:color w:val="002F5D"/>
        </w:rPr>
        <w:t>most areas of Cambridgeshire</w:t>
      </w:r>
      <w:r w:rsidRPr="006131C5">
        <w:rPr>
          <w:rFonts w:ascii="Calibri" w:eastAsia="Calibri" w:hAnsi="Calibri" w:cs="Arial"/>
          <w:color w:val="002F5D"/>
        </w:rPr>
        <w:t xml:space="preserve"> </w:t>
      </w:r>
      <w:r w:rsidRPr="006131C5">
        <w:rPr>
          <w:rFonts w:ascii="Calibri" w:eastAsia="Calibri" w:hAnsi="Calibri" w:cs="Arial"/>
          <w:b/>
          <w:color w:val="002F5D"/>
        </w:rPr>
        <w:t>and Peterborough</w:t>
      </w:r>
      <w:r w:rsidRPr="006131C5">
        <w:rPr>
          <w:rFonts w:ascii="Calibri" w:eastAsia="Calibri" w:hAnsi="Calibri" w:cs="Arial"/>
          <w:color w:val="002F5D"/>
        </w:rPr>
        <w:t xml:space="preserve">, but is significantly </w:t>
      </w:r>
      <w:r w:rsidRPr="006131C5">
        <w:rPr>
          <w:rFonts w:ascii="Calibri" w:eastAsia="Calibri" w:hAnsi="Calibri" w:cs="Arial"/>
          <w:b/>
          <w:color w:val="002F5D"/>
        </w:rPr>
        <w:t>high</w:t>
      </w:r>
      <w:r w:rsidRPr="006131C5">
        <w:rPr>
          <w:rFonts w:ascii="Calibri" w:eastAsia="Calibri" w:hAnsi="Calibri" w:cs="Arial"/>
          <w:color w:val="002F5D"/>
        </w:rPr>
        <w:t xml:space="preserve"> in </w:t>
      </w:r>
      <w:r w:rsidRPr="006131C5">
        <w:rPr>
          <w:rFonts w:ascii="Calibri" w:eastAsia="Calibri" w:hAnsi="Calibri" w:cs="Arial"/>
          <w:b/>
          <w:color w:val="002F5D"/>
        </w:rPr>
        <w:t>Peterborough and</w:t>
      </w:r>
      <w:r w:rsidRPr="006131C5">
        <w:rPr>
          <w:rFonts w:ascii="Calibri" w:eastAsia="Calibri" w:hAnsi="Calibri" w:cs="Arial"/>
          <w:color w:val="002F5D"/>
        </w:rPr>
        <w:t xml:space="preserve"> </w:t>
      </w:r>
      <w:r w:rsidRPr="006131C5">
        <w:rPr>
          <w:rFonts w:ascii="Calibri" w:eastAsia="Calibri" w:hAnsi="Calibri" w:cs="Arial"/>
          <w:b/>
          <w:color w:val="002F5D"/>
        </w:rPr>
        <w:t>Fenland</w:t>
      </w:r>
      <w:r w:rsidRPr="006131C5">
        <w:rPr>
          <w:rFonts w:ascii="Calibri" w:eastAsia="Calibri" w:hAnsi="Calibri" w:cs="Arial"/>
          <w:color w:val="002F5D"/>
        </w:rPr>
        <w:t>.</w:t>
      </w:r>
    </w:p>
    <w:p w14:paraId="4CBB08DD" w14:textId="77777777" w:rsidR="009810FA" w:rsidRPr="006131C5" w:rsidRDefault="009810FA" w:rsidP="009810FA">
      <w:pPr>
        <w:spacing w:line="276" w:lineRule="auto"/>
        <w:rPr>
          <w:rFonts w:ascii="Calibri" w:eastAsia="Calibri" w:hAnsi="Calibri" w:cs="Arial"/>
          <w:b/>
          <w:color w:val="002F5D"/>
        </w:rPr>
      </w:pPr>
    </w:p>
    <w:p w14:paraId="3E4FF089" w14:textId="77777777" w:rsidR="009810FA" w:rsidRPr="006131C5" w:rsidRDefault="009810FA" w:rsidP="009810FA">
      <w:pPr>
        <w:spacing w:line="276" w:lineRule="auto"/>
        <w:rPr>
          <w:rFonts w:ascii="Calibri" w:eastAsia="Calibri" w:hAnsi="Calibri" w:cs="Arial"/>
          <w:b/>
          <w:color w:val="002F5D"/>
        </w:rPr>
      </w:pPr>
      <w:r>
        <w:rPr>
          <w:rFonts w:ascii="Calibri" w:eastAsia="Calibri" w:hAnsi="Calibri" w:cs="Arial"/>
          <w:b/>
          <w:color w:val="002F5D"/>
        </w:rPr>
        <w:t>M</w:t>
      </w:r>
      <w:r w:rsidRPr="006131C5">
        <w:rPr>
          <w:rFonts w:ascii="Calibri" w:eastAsia="Calibri" w:hAnsi="Calibri" w:cs="Arial"/>
          <w:b/>
          <w:color w:val="002F5D"/>
        </w:rPr>
        <w:t>ental health</w:t>
      </w:r>
    </w:p>
    <w:p w14:paraId="1BCB80FA" w14:textId="77777777" w:rsidR="009810FA" w:rsidRPr="006131C5" w:rsidRDefault="009810FA" w:rsidP="009810FA">
      <w:pPr>
        <w:numPr>
          <w:ilvl w:val="0"/>
          <w:numId w:val="14"/>
        </w:numPr>
        <w:spacing w:line="240" w:lineRule="auto"/>
        <w:ind w:left="714" w:hanging="357"/>
        <w:contextualSpacing/>
        <w:rPr>
          <w:rFonts w:ascii="Calibri" w:eastAsia="Calibri" w:hAnsi="Calibri" w:cs="Arial"/>
          <w:color w:val="002F5D"/>
        </w:rPr>
      </w:pPr>
      <w:r w:rsidRPr="006131C5">
        <w:rPr>
          <w:rFonts w:ascii="Calibri" w:eastAsia="Calibri" w:hAnsi="Calibri" w:cs="Arial"/>
          <w:color w:val="002F5D"/>
        </w:rPr>
        <w:t xml:space="preserve">The GP recorded prevalence of recorded </w:t>
      </w:r>
      <w:r w:rsidRPr="006131C5">
        <w:rPr>
          <w:rFonts w:ascii="Calibri" w:eastAsia="Calibri" w:hAnsi="Calibri" w:cs="Arial"/>
          <w:b/>
          <w:color w:val="002F5D"/>
        </w:rPr>
        <w:t>serious mental illness</w:t>
      </w:r>
      <w:r w:rsidRPr="006131C5">
        <w:rPr>
          <w:rFonts w:ascii="Calibri" w:eastAsia="Calibri" w:hAnsi="Calibri" w:cs="Arial"/>
          <w:color w:val="002F5D"/>
        </w:rPr>
        <w:t xml:space="preserve"> (schizophrenia, bipolar disorder and other psychoses) and</w:t>
      </w:r>
      <w:r w:rsidRPr="006131C5">
        <w:rPr>
          <w:rFonts w:ascii="Calibri" w:eastAsia="Calibri" w:hAnsi="Calibri" w:cs="Arial"/>
          <w:b/>
          <w:color w:val="002F5D"/>
        </w:rPr>
        <w:t xml:space="preserve"> depression </w:t>
      </w:r>
      <w:r w:rsidRPr="006131C5">
        <w:rPr>
          <w:rFonts w:ascii="Calibri" w:eastAsia="Calibri" w:hAnsi="Calibri" w:cs="Arial"/>
          <w:color w:val="002F5D"/>
        </w:rPr>
        <w:t xml:space="preserve">is statistically significantly </w:t>
      </w:r>
      <w:r w:rsidRPr="006131C5">
        <w:rPr>
          <w:rFonts w:ascii="Calibri" w:eastAsia="Calibri" w:hAnsi="Calibri" w:cs="Arial"/>
          <w:b/>
          <w:color w:val="002F5D"/>
        </w:rPr>
        <w:t>lower</w:t>
      </w:r>
      <w:r w:rsidRPr="006131C5">
        <w:rPr>
          <w:rFonts w:ascii="Calibri" w:eastAsia="Calibri" w:hAnsi="Calibri" w:cs="Arial"/>
          <w:color w:val="002F5D"/>
        </w:rPr>
        <w:t xml:space="preserve"> than nationally in </w:t>
      </w:r>
      <w:r w:rsidRPr="006131C5">
        <w:rPr>
          <w:rFonts w:ascii="Calibri" w:eastAsia="Calibri" w:hAnsi="Calibri" w:cs="Arial"/>
          <w:b/>
          <w:color w:val="002F5D"/>
        </w:rPr>
        <w:t>Cambridgeshire and Peterborough</w:t>
      </w:r>
      <w:r w:rsidRPr="006131C5">
        <w:rPr>
          <w:rFonts w:ascii="Calibri" w:eastAsia="Calibri" w:hAnsi="Calibri" w:cs="Arial"/>
          <w:color w:val="002F5D"/>
        </w:rPr>
        <w:t xml:space="preserve"> as a whole, as it is in </w:t>
      </w:r>
      <w:r w:rsidRPr="006131C5">
        <w:rPr>
          <w:rFonts w:ascii="Calibri" w:eastAsia="Calibri" w:hAnsi="Calibri" w:cs="Arial"/>
          <w:b/>
          <w:color w:val="002F5D"/>
        </w:rPr>
        <w:t xml:space="preserve">most areas </w:t>
      </w:r>
      <w:r w:rsidRPr="006131C5">
        <w:rPr>
          <w:rFonts w:ascii="Calibri" w:eastAsia="Calibri" w:hAnsi="Calibri" w:cs="Arial"/>
          <w:color w:val="002F5D"/>
        </w:rPr>
        <w:t xml:space="preserve">independently. However, </w:t>
      </w:r>
      <w:r w:rsidRPr="006131C5">
        <w:rPr>
          <w:rFonts w:ascii="Calibri" w:eastAsia="Calibri" w:hAnsi="Calibri" w:cs="Arial"/>
          <w:b/>
          <w:color w:val="002F5D"/>
        </w:rPr>
        <w:t>serious mental illness</w:t>
      </w:r>
      <w:r w:rsidRPr="006131C5">
        <w:rPr>
          <w:rFonts w:ascii="Calibri" w:eastAsia="Calibri" w:hAnsi="Calibri" w:cs="Arial"/>
          <w:color w:val="002F5D"/>
        </w:rPr>
        <w:t xml:space="preserve"> is significantly </w:t>
      </w:r>
      <w:r w:rsidRPr="006131C5">
        <w:rPr>
          <w:rFonts w:ascii="Calibri" w:eastAsia="Calibri" w:hAnsi="Calibri" w:cs="Arial"/>
          <w:b/>
          <w:color w:val="002F5D"/>
        </w:rPr>
        <w:t>high</w:t>
      </w:r>
      <w:r w:rsidRPr="006131C5">
        <w:rPr>
          <w:rFonts w:ascii="Calibri" w:eastAsia="Calibri" w:hAnsi="Calibri" w:cs="Arial"/>
          <w:color w:val="002F5D"/>
        </w:rPr>
        <w:t xml:space="preserve"> in </w:t>
      </w:r>
      <w:r w:rsidRPr="006131C5">
        <w:rPr>
          <w:rFonts w:ascii="Calibri" w:eastAsia="Calibri" w:hAnsi="Calibri" w:cs="Arial"/>
          <w:b/>
          <w:color w:val="002F5D"/>
        </w:rPr>
        <w:t>Cambridge</w:t>
      </w:r>
      <w:r w:rsidRPr="006131C5">
        <w:rPr>
          <w:rFonts w:ascii="Calibri" w:eastAsia="Calibri" w:hAnsi="Calibri" w:cs="Arial"/>
          <w:color w:val="002F5D"/>
        </w:rPr>
        <w:t xml:space="preserve"> and </w:t>
      </w:r>
      <w:r w:rsidRPr="006131C5">
        <w:rPr>
          <w:rFonts w:ascii="Calibri" w:eastAsia="Calibri" w:hAnsi="Calibri" w:cs="Arial"/>
          <w:b/>
          <w:color w:val="002F5D"/>
        </w:rPr>
        <w:t>depression</w:t>
      </w:r>
      <w:r w:rsidRPr="006131C5">
        <w:rPr>
          <w:rFonts w:ascii="Calibri" w:eastAsia="Calibri" w:hAnsi="Calibri" w:cs="Arial"/>
          <w:color w:val="002F5D"/>
        </w:rPr>
        <w:t xml:space="preserve"> is significantly </w:t>
      </w:r>
      <w:r w:rsidRPr="006131C5">
        <w:rPr>
          <w:rFonts w:ascii="Calibri" w:eastAsia="Calibri" w:hAnsi="Calibri" w:cs="Arial"/>
          <w:b/>
          <w:color w:val="002F5D"/>
        </w:rPr>
        <w:t>high</w:t>
      </w:r>
      <w:r w:rsidRPr="006131C5">
        <w:rPr>
          <w:rFonts w:ascii="Calibri" w:eastAsia="Calibri" w:hAnsi="Calibri" w:cs="Arial"/>
          <w:color w:val="002F5D"/>
        </w:rPr>
        <w:t xml:space="preserve"> in </w:t>
      </w:r>
      <w:r w:rsidRPr="006131C5">
        <w:rPr>
          <w:rFonts w:ascii="Calibri" w:eastAsia="Calibri" w:hAnsi="Calibri" w:cs="Arial"/>
          <w:b/>
          <w:color w:val="002F5D"/>
        </w:rPr>
        <w:t>Fenland</w:t>
      </w:r>
      <w:r w:rsidRPr="006131C5">
        <w:rPr>
          <w:rFonts w:ascii="Calibri" w:eastAsia="Calibri" w:hAnsi="Calibri" w:cs="Arial"/>
          <w:color w:val="002F5D"/>
        </w:rPr>
        <w:t>.</w:t>
      </w:r>
    </w:p>
    <w:p w14:paraId="691FBC0D" w14:textId="77777777" w:rsidR="009810FA" w:rsidRPr="006131C5" w:rsidRDefault="009810FA" w:rsidP="009810FA">
      <w:pPr>
        <w:numPr>
          <w:ilvl w:val="0"/>
          <w:numId w:val="14"/>
        </w:numPr>
        <w:spacing w:line="240" w:lineRule="auto"/>
        <w:ind w:left="714" w:hanging="357"/>
        <w:contextualSpacing/>
        <w:rPr>
          <w:rFonts w:ascii="Calibri" w:eastAsia="Calibri" w:hAnsi="Calibri" w:cs="Arial"/>
          <w:color w:val="002F5D"/>
        </w:rPr>
      </w:pPr>
      <w:r w:rsidRPr="006131C5">
        <w:rPr>
          <w:rFonts w:ascii="Calibri" w:eastAsia="Calibri" w:hAnsi="Calibri" w:cs="Arial"/>
          <w:color w:val="002F5D"/>
        </w:rPr>
        <w:t xml:space="preserve">Levels of recorded </w:t>
      </w:r>
      <w:r w:rsidRPr="006131C5">
        <w:rPr>
          <w:rFonts w:ascii="Calibri" w:eastAsia="Calibri" w:hAnsi="Calibri" w:cs="Arial"/>
          <w:b/>
          <w:color w:val="002F5D"/>
        </w:rPr>
        <w:t>dementia</w:t>
      </w:r>
      <w:r w:rsidRPr="006131C5">
        <w:rPr>
          <w:rFonts w:ascii="Calibri" w:eastAsia="Calibri" w:hAnsi="Calibri" w:cs="Arial"/>
          <w:color w:val="002F5D"/>
        </w:rPr>
        <w:t xml:space="preserve"> across the local area county are significantly </w:t>
      </w:r>
      <w:r w:rsidRPr="006131C5">
        <w:rPr>
          <w:rFonts w:ascii="Calibri" w:eastAsia="Calibri" w:hAnsi="Calibri" w:cs="Arial"/>
          <w:b/>
          <w:color w:val="002F5D"/>
        </w:rPr>
        <w:t>lower</w:t>
      </w:r>
      <w:r w:rsidRPr="006131C5">
        <w:rPr>
          <w:rFonts w:ascii="Calibri" w:eastAsia="Calibri" w:hAnsi="Calibri" w:cs="Arial"/>
          <w:color w:val="002F5D"/>
        </w:rPr>
        <w:t xml:space="preserve"> or </w:t>
      </w:r>
      <w:r w:rsidRPr="006131C5">
        <w:rPr>
          <w:rFonts w:ascii="Calibri" w:eastAsia="Calibri" w:hAnsi="Calibri" w:cs="Arial"/>
          <w:b/>
          <w:color w:val="002F5D"/>
        </w:rPr>
        <w:t>similar</w:t>
      </w:r>
      <w:r w:rsidRPr="006131C5">
        <w:rPr>
          <w:rFonts w:ascii="Calibri" w:eastAsia="Calibri" w:hAnsi="Calibri" w:cs="Arial"/>
          <w:color w:val="002F5D"/>
        </w:rPr>
        <w:t xml:space="preserve"> to the national average, though are known to be increasing.</w:t>
      </w:r>
    </w:p>
    <w:p w14:paraId="017E38A3" w14:textId="77777777" w:rsidR="009810FA" w:rsidRPr="006131C5" w:rsidRDefault="009810FA" w:rsidP="009810FA">
      <w:pPr>
        <w:numPr>
          <w:ilvl w:val="0"/>
          <w:numId w:val="14"/>
        </w:numPr>
        <w:spacing w:line="240" w:lineRule="auto"/>
        <w:ind w:left="714" w:hanging="357"/>
        <w:contextualSpacing/>
        <w:rPr>
          <w:rFonts w:ascii="Calibri" w:eastAsia="Calibri" w:hAnsi="Calibri" w:cs="Arial"/>
          <w:color w:val="002F5D"/>
        </w:rPr>
      </w:pPr>
      <w:r w:rsidRPr="006131C5">
        <w:rPr>
          <w:rFonts w:ascii="Calibri" w:eastAsia="Calibri" w:hAnsi="Calibri" w:cs="Arial"/>
          <w:color w:val="002F5D"/>
        </w:rPr>
        <w:lastRenderedPageBreak/>
        <w:t xml:space="preserve">The proportion of people with a recorded </w:t>
      </w:r>
      <w:r w:rsidRPr="006131C5">
        <w:rPr>
          <w:rFonts w:ascii="Calibri" w:eastAsia="Calibri" w:hAnsi="Calibri" w:cs="Arial"/>
          <w:b/>
          <w:color w:val="002F5D"/>
        </w:rPr>
        <w:t>learning disability</w:t>
      </w:r>
      <w:r w:rsidRPr="006131C5">
        <w:rPr>
          <w:rFonts w:ascii="Calibri" w:eastAsia="Calibri" w:hAnsi="Calibri" w:cs="Arial"/>
          <w:color w:val="002F5D"/>
        </w:rPr>
        <w:t xml:space="preserve"> is statistically significantly </w:t>
      </w:r>
      <w:r w:rsidRPr="006131C5">
        <w:rPr>
          <w:rFonts w:ascii="Calibri" w:eastAsia="Calibri" w:hAnsi="Calibri" w:cs="Arial"/>
          <w:b/>
          <w:color w:val="002F5D"/>
        </w:rPr>
        <w:t>lower</w:t>
      </w:r>
      <w:r w:rsidRPr="006131C5">
        <w:rPr>
          <w:rFonts w:ascii="Calibri" w:eastAsia="Calibri" w:hAnsi="Calibri" w:cs="Arial"/>
          <w:color w:val="002F5D"/>
        </w:rPr>
        <w:t xml:space="preserve"> than the England average in </w:t>
      </w:r>
      <w:r w:rsidRPr="006131C5">
        <w:rPr>
          <w:rFonts w:ascii="Calibri" w:eastAsia="Calibri" w:hAnsi="Calibri" w:cs="Arial"/>
          <w:b/>
          <w:color w:val="002F5D"/>
        </w:rPr>
        <w:t>Cambridgeshire and Peterborough</w:t>
      </w:r>
      <w:r w:rsidRPr="006131C5">
        <w:rPr>
          <w:rFonts w:ascii="Calibri" w:eastAsia="Calibri" w:hAnsi="Calibri" w:cs="Arial"/>
          <w:color w:val="002F5D"/>
        </w:rPr>
        <w:t xml:space="preserve"> combined, and lower or similar than England for all other areas </w:t>
      </w:r>
      <w:r w:rsidRPr="006131C5">
        <w:rPr>
          <w:rFonts w:ascii="Calibri" w:eastAsia="Calibri" w:hAnsi="Calibri" w:cs="Arial"/>
          <w:b/>
          <w:color w:val="002F5D"/>
        </w:rPr>
        <w:t>except Fenland</w:t>
      </w:r>
      <w:r w:rsidRPr="006131C5">
        <w:rPr>
          <w:rFonts w:ascii="Calibri" w:eastAsia="Calibri" w:hAnsi="Calibri" w:cs="Arial"/>
          <w:color w:val="002F5D"/>
        </w:rPr>
        <w:t>.</w:t>
      </w:r>
    </w:p>
    <w:p w14:paraId="624F66A2" w14:textId="77777777" w:rsidR="009810FA" w:rsidRDefault="009810FA" w:rsidP="009810FA">
      <w:pPr>
        <w:numPr>
          <w:ilvl w:val="0"/>
          <w:numId w:val="14"/>
        </w:numPr>
        <w:spacing w:line="240" w:lineRule="auto"/>
        <w:ind w:left="714" w:hanging="357"/>
        <w:contextualSpacing/>
        <w:rPr>
          <w:rFonts w:ascii="Calibri" w:eastAsia="Times New Roman" w:hAnsi="Calibri" w:cs="Arial"/>
          <w:color w:val="002F5D"/>
          <w:sz w:val="24"/>
          <w:szCs w:val="26"/>
        </w:rPr>
      </w:pPr>
      <w:r w:rsidRPr="006131C5">
        <w:rPr>
          <w:rFonts w:ascii="Calibri" w:eastAsia="Calibri" w:hAnsi="Calibri" w:cs="Times New Roman"/>
          <w:color w:val="002F5D"/>
        </w:rPr>
        <w:t xml:space="preserve">Rates of emergency admission to hospital for </w:t>
      </w:r>
      <w:r w:rsidRPr="006131C5">
        <w:rPr>
          <w:rFonts w:ascii="Calibri" w:eastAsia="Calibri" w:hAnsi="Calibri" w:cs="Times New Roman"/>
          <w:b/>
          <w:color w:val="002F5D"/>
        </w:rPr>
        <w:t>self-harm</w:t>
      </w:r>
      <w:r w:rsidRPr="006131C5">
        <w:rPr>
          <w:rFonts w:ascii="Calibri" w:eastAsia="Calibri" w:hAnsi="Calibri" w:cs="Times New Roman"/>
          <w:color w:val="002F5D"/>
        </w:rPr>
        <w:t xml:space="preserve"> are statistically significantly </w:t>
      </w:r>
      <w:r w:rsidRPr="006131C5">
        <w:rPr>
          <w:rFonts w:ascii="Calibri" w:eastAsia="Calibri" w:hAnsi="Calibri" w:cs="Times New Roman"/>
          <w:b/>
          <w:color w:val="002F5D"/>
        </w:rPr>
        <w:t>higher</w:t>
      </w:r>
      <w:r w:rsidRPr="006131C5">
        <w:rPr>
          <w:rFonts w:ascii="Calibri" w:eastAsia="Calibri" w:hAnsi="Calibri" w:cs="Times New Roman"/>
          <w:color w:val="002F5D"/>
        </w:rPr>
        <w:t xml:space="preserve"> than the </w:t>
      </w:r>
      <w:r w:rsidRPr="00242EBF">
        <w:rPr>
          <w:rFonts w:ascii="Calibri" w:eastAsia="Calibri" w:hAnsi="Calibri" w:cs="Times New Roman"/>
          <w:color w:val="002F5D"/>
        </w:rPr>
        <w:t xml:space="preserve">national average in </w:t>
      </w:r>
      <w:r w:rsidRPr="00242EBF">
        <w:rPr>
          <w:rFonts w:ascii="Calibri" w:eastAsia="Calibri" w:hAnsi="Calibri" w:cs="Times New Roman"/>
          <w:b/>
          <w:color w:val="002F5D"/>
        </w:rPr>
        <w:t>Cambridgeshire</w:t>
      </w:r>
      <w:r w:rsidRPr="00242EBF">
        <w:rPr>
          <w:rFonts w:ascii="Calibri" w:eastAsia="Calibri" w:hAnsi="Calibri" w:cs="Times New Roman"/>
          <w:color w:val="002F5D"/>
        </w:rPr>
        <w:t xml:space="preserve"> and </w:t>
      </w:r>
      <w:r w:rsidRPr="00242EBF">
        <w:rPr>
          <w:rFonts w:ascii="Calibri" w:eastAsia="Calibri" w:hAnsi="Calibri" w:cs="Times New Roman"/>
          <w:b/>
          <w:color w:val="002F5D"/>
        </w:rPr>
        <w:t>Peterborough</w:t>
      </w:r>
      <w:r w:rsidRPr="00242EBF">
        <w:rPr>
          <w:rFonts w:ascii="Calibri" w:eastAsia="Calibri" w:hAnsi="Calibri" w:cs="Times New Roman"/>
          <w:color w:val="002F5D"/>
        </w:rPr>
        <w:t xml:space="preserve"> and rates have been </w:t>
      </w:r>
      <w:r w:rsidRPr="00242EBF">
        <w:rPr>
          <w:rFonts w:ascii="Calibri" w:eastAsia="Calibri" w:hAnsi="Calibri" w:cs="Times New Roman"/>
          <w:b/>
          <w:color w:val="002F5D"/>
        </w:rPr>
        <w:t>maintained</w:t>
      </w:r>
      <w:r w:rsidRPr="00242EBF">
        <w:rPr>
          <w:rFonts w:ascii="Calibri" w:eastAsia="Calibri" w:hAnsi="Calibri" w:cs="Times New Roman"/>
          <w:color w:val="002F5D"/>
        </w:rPr>
        <w:t xml:space="preserve"> at a relatively </w:t>
      </w:r>
      <w:r w:rsidRPr="00242EBF">
        <w:rPr>
          <w:rFonts w:ascii="Calibri" w:eastAsia="Calibri" w:hAnsi="Calibri" w:cs="Times New Roman"/>
          <w:b/>
          <w:color w:val="002F5D"/>
        </w:rPr>
        <w:t>high</w:t>
      </w:r>
      <w:r w:rsidRPr="00242EBF">
        <w:rPr>
          <w:rFonts w:ascii="Calibri" w:eastAsia="Calibri" w:hAnsi="Calibri" w:cs="Times New Roman"/>
          <w:color w:val="002F5D"/>
        </w:rPr>
        <w:t xml:space="preserve"> level over time. Rates are significantly </w:t>
      </w:r>
      <w:r w:rsidRPr="00242EBF">
        <w:rPr>
          <w:rFonts w:ascii="Calibri" w:eastAsia="Calibri" w:hAnsi="Calibri" w:cs="Times New Roman"/>
          <w:b/>
          <w:color w:val="002F5D"/>
        </w:rPr>
        <w:t>high</w:t>
      </w:r>
      <w:r w:rsidRPr="00242EBF">
        <w:rPr>
          <w:rFonts w:ascii="Calibri" w:eastAsia="Calibri" w:hAnsi="Calibri" w:cs="Times New Roman"/>
          <w:color w:val="002F5D"/>
        </w:rPr>
        <w:t xml:space="preserve"> in </w:t>
      </w:r>
      <w:r w:rsidRPr="00242EBF">
        <w:rPr>
          <w:rFonts w:ascii="Calibri" w:eastAsia="Calibri" w:hAnsi="Calibri" w:cs="Times New Roman"/>
          <w:b/>
          <w:color w:val="002F5D"/>
        </w:rPr>
        <w:t>all areas</w:t>
      </w:r>
      <w:r w:rsidRPr="00242EBF">
        <w:rPr>
          <w:rFonts w:ascii="Calibri" w:eastAsia="Calibri" w:hAnsi="Calibri" w:cs="Times New Roman"/>
          <w:color w:val="002F5D"/>
        </w:rPr>
        <w:t xml:space="preserve"> other than Huntingdonshire. </w:t>
      </w:r>
      <w:r w:rsidRPr="00242EBF">
        <w:rPr>
          <w:rFonts w:ascii="Calibri" w:eastAsia="Calibri" w:hAnsi="Calibri" w:cs="Times New Roman"/>
          <w:b/>
          <w:color w:val="002F5D"/>
        </w:rPr>
        <w:t>Female</w:t>
      </w:r>
      <w:r w:rsidRPr="00242EBF">
        <w:rPr>
          <w:rFonts w:ascii="Calibri" w:eastAsia="Calibri" w:hAnsi="Calibri" w:cs="Times New Roman"/>
          <w:color w:val="002F5D"/>
        </w:rPr>
        <w:t xml:space="preserve"> rates tend to be </w:t>
      </w:r>
      <w:r w:rsidRPr="00242EBF">
        <w:rPr>
          <w:rFonts w:ascii="Calibri" w:eastAsia="Calibri" w:hAnsi="Calibri" w:cs="Times New Roman"/>
          <w:b/>
          <w:color w:val="002F5D"/>
        </w:rPr>
        <w:t>higher</w:t>
      </w:r>
      <w:r w:rsidRPr="00242EBF">
        <w:rPr>
          <w:rFonts w:ascii="Calibri" w:eastAsia="Calibri" w:hAnsi="Calibri" w:cs="Times New Roman"/>
          <w:color w:val="002F5D"/>
        </w:rPr>
        <w:t xml:space="preserve"> than male rates. </w:t>
      </w:r>
    </w:p>
    <w:p w14:paraId="1B212F25" w14:textId="77777777" w:rsidR="009810FA" w:rsidRPr="00242EBF" w:rsidRDefault="009810FA" w:rsidP="009810FA">
      <w:pPr>
        <w:numPr>
          <w:ilvl w:val="0"/>
          <w:numId w:val="14"/>
        </w:numPr>
        <w:spacing w:line="240" w:lineRule="auto"/>
        <w:ind w:left="714" w:hanging="357"/>
        <w:contextualSpacing/>
        <w:rPr>
          <w:rFonts w:ascii="Calibri" w:eastAsia="Times New Roman" w:hAnsi="Calibri" w:cs="Arial"/>
          <w:color w:val="002F5D"/>
          <w:sz w:val="24"/>
          <w:szCs w:val="26"/>
        </w:rPr>
      </w:pPr>
      <w:r w:rsidRPr="00242EBF">
        <w:rPr>
          <w:rFonts w:ascii="Calibri" w:eastAsia="Calibri" w:hAnsi="Calibri" w:cs="Arial"/>
          <w:b/>
          <w:color w:val="002F5D"/>
        </w:rPr>
        <w:t xml:space="preserve">Suicide </w:t>
      </w:r>
      <w:r w:rsidRPr="00242EBF">
        <w:rPr>
          <w:rFonts w:ascii="Calibri" w:eastAsia="Calibri" w:hAnsi="Calibri" w:cs="Arial"/>
          <w:color w:val="002F5D"/>
        </w:rPr>
        <w:t xml:space="preserve">rates in </w:t>
      </w:r>
      <w:r w:rsidRPr="00242EBF">
        <w:rPr>
          <w:rFonts w:ascii="Calibri" w:eastAsia="Calibri" w:hAnsi="Calibri" w:cs="Arial"/>
          <w:b/>
          <w:color w:val="002F5D"/>
        </w:rPr>
        <w:t>Cambridgeshire and Peterborough</w:t>
      </w:r>
      <w:r w:rsidRPr="00242EBF">
        <w:rPr>
          <w:rFonts w:ascii="Calibri" w:eastAsia="Calibri" w:hAnsi="Calibri" w:cs="Arial"/>
          <w:color w:val="002F5D"/>
        </w:rPr>
        <w:t xml:space="preserve"> as a whole are </w:t>
      </w:r>
      <w:r w:rsidRPr="00242EBF">
        <w:rPr>
          <w:rFonts w:ascii="Calibri" w:eastAsia="Calibri" w:hAnsi="Calibri" w:cs="Arial"/>
          <w:b/>
          <w:color w:val="002F5D"/>
        </w:rPr>
        <w:t>similar</w:t>
      </w:r>
      <w:r w:rsidRPr="00242EBF">
        <w:rPr>
          <w:rFonts w:ascii="Calibri" w:eastAsia="Calibri" w:hAnsi="Calibri" w:cs="Arial"/>
          <w:color w:val="002F5D"/>
        </w:rPr>
        <w:t xml:space="preserve"> to those found nationally, though </w:t>
      </w:r>
      <w:r w:rsidRPr="00242EBF">
        <w:rPr>
          <w:rFonts w:ascii="Calibri" w:eastAsia="Calibri" w:hAnsi="Calibri" w:cs="Arial"/>
          <w:b/>
          <w:color w:val="002F5D"/>
        </w:rPr>
        <w:t>Cambridgeshire’s</w:t>
      </w:r>
      <w:r w:rsidRPr="00242EBF">
        <w:rPr>
          <w:rFonts w:ascii="Calibri" w:eastAsia="Calibri" w:hAnsi="Calibri" w:cs="Arial"/>
          <w:color w:val="002F5D"/>
        </w:rPr>
        <w:t xml:space="preserve"> rate is significantly </w:t>
      </w:r>
      <w:r w:rsidRPr="00242EBF">
        <w:rPr>
          <w:rFonts w:ascii="Calibri" w:eastAsia="Calibri" w:hAnsi="Calibri" w:cs="Arial"/>
          <w:b/>
          <w:color w:val="002F5D"/>
        </w:rPr>
        <w:t>lower</w:t>
      </w:r>
      <w:r w:rsidRPr="00242EBF">
        <w:rPr>
          <w:rFonts w:ascii="Calibri" w:eastAsia="Calibri" w:hAnsi="Calibri" w:cs="Arial"/>
          <w:color w:val="002F5D"/>
        </w:rPr>
        <w:t xml:space="preserve">. Numerically, Peterborough, Fenland, and South Cambridgeshire have the highest rates. </w:t>
      </w:r>
      <w:r w:rsidRPr="00242EBF">
        <w:rPr>
          <w:rFonts w:ascii="Calibri" w:eastAsia="Calibri" w:hAnsi="Calibri" w:cs="Arial"/>
          <w:b/>
          <w:color w:val="002F5D"/>
        </w:rPr>
        <w:t>Male rates</w:t>
      </w:r>
      <w:r w:rsidRPr="00242EBF">
        <w:rPr>
          <w:rFonts w:ascii="Calibri" w:eastAsia="Calibri" w:hAnsi="Calibri" w:cs="Arial"/>
          <w:color w:val="002F5D"/>
        </w:rPr>
        <w:t xml:space="preserve"> tend to be </w:t>
      </w:r>
      <w:r w:rsidRPr="00242EBF">
        <w:rPr>
          <w:rFonts w:ascii="Calibri" w:eastAsia="Calibri" w:hAnsi="Calibri" w:cs="Arial"/>
          <w:b/>
          <w:color w:val="002F5D"/>
        </w:rPr>
        <w:t>higher</w:t>
      </w:r>
      <w:r w:rsidRPr="00242EBF">
        <w:rPr>
          <w:rFonts w:ascii="Calibri" w:eastAsia="Calibri" w:hAnsi="Calibri" w:cs="Arial"/>
          <w:color w:val="002F5D"/>
        </w:rPr>
        <w:t xml:space="preserve"> than female rates.</w:t>
      </w:r>
    </w:p>
    <w:p w14:paraId="631A58A9" w14:textId="77777777" w:rsidR="009810FA" w:rsidRDefault="009810FA" w:rsidP="009810FA">
      <w:pPr>
        <w:spacing w:line="240" w:lineRule="auto"/>
        <w:contextualSpacing/>
        <w:rPr>
          <w:rFonts w:ascii="Calibri" w:eastAsia="Calibri" w:hAnsi="Calibri" w:cs="Arial"/>
          <w:b/>
          <w:color w:val="002F5D"/>
        </w:rPr>
      </w:pPr>
    </w:p>
    <w:p w14:paraId="04C82A68" w14:textId="77777777" w:rsidR="009810FA" w:rsidRPr="005800B5" w:rsidRDefault="009810FA" w:rsidP="009810FA">
      <w:pPr>
        <w:spacing w:line="240" w:lineRule="auto"/>
        <w:contextualSpacing/>
        <w:rPr>
          <w:rFonts w:ascii="Calibri" w:eastAsia="Times New Roman" w:hAnsi="Calibri" w:cs="Arial"/>
          <w:color w:val="002F5D"/>
        </w:rPr>
      </w:pPr>
      <w:r w:rsidRPr="005800B5">
        <w:rPr>
          <w:rFonts w:ascii="Calibri" w:eastAsia="Times New Roman" w:hAnsi="Calibri" w:cs="Arial"/>
          <w:b/>
          <w:color w:val="002F5D"/>
        </w:rPr>
        <w:t>Learning disability</w:t>
      </w:r>
    </w:p>
    <w:p w14:paraId="0E0F978C" w14:textId="77777777" w:rsidR="009810FA" w:rsidRPr="005800B5" w:rsidRDefault="009810FA" w:rsidP="009810FA">
      <w:pPr>
        <w:numPr>
          <w:ilvl w:val="0"/>
          <w:numId w:val="77"/>
        </w:numPr>
        <w:spacing w:line="240" w:lineRule="auto"/>
        <w:contextualSpacing/>
        <w:rPr>
          <w:rFonts w:ascii="Calibri" w:eastAsia="Times New Roman" w:hAnsi="Calibri" w:cs="Arial"/>
          <w:color w:val="002F5D"/>
        </w:rPr>
      </w:pPr>
      <w:r w:rsidRPr="005800B5">
        <w:rPr>
          <w:rFonts w:ascii="Calibri" w:eastAsia="Times New Roman" w:hAnsi="Calibri" w:cs="Arial"/>
          <w:color w:val="002F5D"/>
        </w:rPr>
        <w:t xml:space="preserve">The GP recorded prevalence of learning disability is significantly </w:t>
      </w:r>
      <w:r w:rsidRPr="005800B5">
        <w:rPr>
          <w:rFonts w:ascii="Calibri" w:eastAsia="Times New Roman" w:hAnsi="Calibri" w:cs="Arial"/>
          <w:b/>
          <w:color w:val="002F5D"/>
        </w:rPr>
        <w:t>low</w:t>
      </w:r>
      <w:r w:rsidRPr="005800B5">
        <w:rPr>
          <w:rFonts w:ascii="Calibri" w:eastAsia="Times New Roman" w:hAnsi="Calibri" w:cs="Arial"/>
          <w:color w:val="002F5D"/>
        </w:rPr>
        <w:t xml:space="preserve"> in </w:t>
      </w:r>
      <w:r w:rsidRPr="005800B5">
        <w:rPr>
          <w:rFonts w:ascii="Calibri" w:eastAsia="Times New Roman" w:hAnsi="Calibri" w:cs="Arial"/>
          <w:b/>
          <w:color w:val="002F5D"/>
        </w:rPr>
        <w:t xml:space="preserve">Cambridgeshire and Peterborough </w:t>
      </w:r>
      <w:r w:rsidRPr="005800B5">
        <w:rPr>
          <w:rFonts w:ascii="Calibri" w:eastAsia="Times New Roman" w:hAnsi="Calibri" w:cs="Arial"/>
          <w:color w:val="002F5D"/>
        </w:rPr>
        <w:t xml:space="preserve">combined, and in most constituent areas, but is significantly </w:t>
      </w:r>
      <w:r w:rsidRPr="005800B5">
        <w:rPr>
          <w:rFonts w:ascii="Calibri" w:eastAsia="Times New Roman" w:hAnsi="Calibri" w:cs="Arial"/>
          <w:b/>
          <w:color w:val="002F5D"/>
        </w:rPr>
        <w:t>high in Fenland</w:t>
      </w:r>
      <w:r w:rsidRPr="005800B5">
        <w:rPr>
          <w:rFonts w:ascii="Calibri" w:eastAsia="Times New Roman" w:hAnsi="Calibri" w:cs="Arial"/>
          <w:color w:val="002F5D"/>
        </w:rPr>
        <w:t>.</w:t>
      </w:r>
    </w:p>
    <w:p w14:paraId="07359F71" w14:textId="77777777" w:rsidR="009810FA" w:rsidRDefault="009810FA" w:rsidP="009810FA">
      <w:pPr>
        <w:spacing w:line="240" w:lineRule="auto"/>
        <w:ind w:left="720"/>
        <w:contextualSpacing/>
        <w:rPr>
          <w:rFonts w:ascii="Calibri" w:eastAsia="Times New Roman" w:hAnsi="Calibri" w:cs="Arial"/>
          <w:color w:val="FF0000"/>
        </w:rPr>
      </w:pPr>
    </w:p>
    <w:p w14:paraId="2F3273C4" w14:textId="77777777" w:rsidR="009810FA" w:rsidRPr="006C2D25" w:rsidRDefault="009810FA" w:rsidP="009810FA">
      <w:pPr>
        <w:pStyle w:val="NoSpacing"/>
        <w:rPr>
          <w:b/>
          <w:color w:val="002F5D"/>
        </w:rPr>
      </w:pPr>
      <w:r w:rsidRPr="006C2D25">
        <w:rPr>
          <w:b/>
          <w:color w:val="002F5D"/>
        </w:rPr>
        <w:t>Estimates of child mental health</w:t>
      </w:r>
    </w:p>
    <w:p w14:paraId="3D8FE525" w14:textId="77777777" w:rsidR="009810FA" w:rsidRPr="006C2D25" w:rsidRDefault="009810FA" w:rsidP="009810FA">
      <w:pPr>
        <w:pStyle w:val="NoSpacing"/>
        <w:numPr>
          <w:ilvl w:val="0"/>
          <w:numId w:val="93"/>
        </w:numPr>
        <w:rPr>
          <w:rFonts w:ascii="Calibri" w:eastAsia="Calibri" w:hAnsi="Calibri" w:cs="Arial"/>
          <w:color w:val="002F5D"/>
        </w:rPr>
      </w:pPr>
      <w:r w:rsidRPr="006C2D25">
        <w:rPr>
          <w:rFonts w:ascii="Calibri" w:eastAsia="Calibri" w:hAnsi="Calibri" w:cs="Arial"/>
          <w:color w:val="002F5D"/>
        </w:rPr>
        <w:t xml:space="preserve">Modelled estimates of </w:t>
      </w:r>
      <w:r w:rsidRPr="006C2D25">
        <w:rPr>
          <w:rFonts w:ascii="Calibri" w:eastAsia="Calibri" w:hAnsi="Calibri" w:cs="Arial"/>
          <w:color w:val="002F5D"/>
          <w:shd w:val="clear" w:color="auto" w:fill="FFFFFF"/>
        </w:rPr>
        <w:t xml:space="preserve">emotional, behavioural, hyperactivity and other less common mental disorders have been applied to population numbers in </w:t>
      </w:r>
      <w:r w:rsidRPr="006C2D25">
        <w:rPr>
          <w:rFonts w:ascii="Calibri" w:eastAsia="Calibri" w:hAnsi="Calibri" w:cs="Arial"/>
          <w:b/>
          <w:color w:val="002F5D"/>
          <w:shd w:val="clear" w:color="auto" w:fill="FFFFFF"/>
        </w:rPr>
        <w:t>Cambridgeshire and Peterborough</w:t>
      </w:r>
      <w:r w:rsidRPr="006C2D25">
        <w:rPr>
          <w:rFonts w:ascii="Calibri" w:eastAsia="Calibri" w:hAnsi="Calibri" w:cs="Arial"/>
          <w:color w:val="002F5D"/>
          <w:shd w:val="clear" w:color="auto" w:fill="FFFFFF"/>
        </w:rPr>
        <w:t>.</w:t>
      </w:r>
    </w:p>
    <w:p w14:paraId="54568618" w14:textId="77777777" w:rsidR="009810FA" w:rsidRDefault="009810FA" w:rsidP="009810FA">
      <w:pPr>
        <w:pStyle w:val="ListParagraph"/>
        <w:numPr>
          <w:ilvl w:val="0"/>
          <w:numId w:val="92"/>
        </w:numPr>
        <w:spacing w:after="160" w:line="256" w:lineRule="auto"/>
        <w:rPr>
          <w:rFonts w:ascii="Calibri" w:eastAsia="Calibri" w:hAnsi="Calibri" w:cs="Arial"/>
          <w:color w:val="002F5D"/>
        </w:rPr>
      </w:pPr>
      <w:r>
        <w:rPr>
          <w:rFonts w:ascii="Calibri" w:eastAsia="Calibri" w:hAnsi="Calibri" w:cs="Arial"/>
          <w:color w:val="002F5D"/>
          <w:shd w:val="clear" w:color="auto" w:fill="FFFFFF"/>
        </w:rPr>
        <w:t>An estimated</w:t>
      </w:r>
      <w:r>
        <w:rPr>
          <w:rFonts w:ascii="Calibri" w:eastAsia="Calibri" w:hAnsi="Calibri" w:cs="Arial"/>
          <w:b/>
          <w:color w:val="002F5D"/>
          <w:shd w:val="clear" w:color="auto" w:fill="FFFFFF"/>
        </w:rPr>
        <w:t xml:space="preserve"> one in eight (12.8%)</w:t>
      </w:r>
      <w:r>
        <w:rPr>
          <w:rFonts w:ascii="Calibri" w:eastAsia="Calibri" w:hAnsi="Calibri" w:cs="Arial"/>
          <w:color w:val="002F5D"/>
          <w:shd w:val="clear" w:color="auto" w:fill="FFFFFF"/>
        </w:rPr>
        <w:t xml:space="preserve"> 5 to 19 year olds had a least </w:t>
      </w:r>
      <w:r>
        <w:rPr>
          <w:rFonts w:ascii="Calibri" w:eastAsia="Calibri" w:hAnsi="Calibri" w:cs="Arial"/>
          <w:b/>
          <w:color w:val="002F5D"/>
          <w:shd w:val="clear" w:color="auto" w:fill="FFFFFF"/>
        </w:rPr>
        <w:t xml:space="preserve">one mental disorder. </w:t>
      </w:r>
      <w:r>
        <w:rPr>
          <w:rFonts w:ascii="Calibri" w:eastAsia="Calibri" w:hAnsi="Calibri" w:cs="Arial"/>
          <w:color w:val="002F5D"/>
          <w:shd w:val="clear" w:color="auto" w:fill="FFFFFF"/>
        </w:rPr>
        <w:t xml:space="preserve">This is estimated to be around </w:t>
      </w:r>
      <w:r>
        <w:rPr>
          <w:rFonts w:ascii="Calibri" w:eastAsia="Calibri" w:hAnsi="Calibri" w:cs="Arial"/>
          <w:b/>
          <w:color w:val="002F5D"/>
          <w:shd w:val="clear" w:color="auto" w:fill="FFFFFF"/>
        </w:rPr>
        <w:t>19,340 children and young people</w:t>
      </w:r>
      <w:r>
        <w:rPr>
          <w:rFonts w:ascii="Calibri" w:eastAsia="Calibri" w:hAnsi="Calibri" w:cs="Arial"/>
          <w:color w:val="002F5D"/>
          <w:shd w:val="clear" w:color="auto" w:fill="FFFFFF"/>
        </w:rPr>
        <w:t xml:space="preserve"> in Cambridgeshire and Peterborough combined. This includes around 12,240 (8.1%) children and young people with an emotional disorder, around 6,950 (4.6%) of children and young people with behavioural disorders, around 1,810 (1.2%)</w:t>
      </w:r>
      <w:r>
        <w:rPr>
          <w:rFonts w:ascii="Calibri" w:eastAsia="Calibri" w:hAnsi="Calibri" w:cs="Arial"/>
          <w:color w:val="FF0000"/>
          <w:shd w:val="clear" w:color="auto" w:fill="FFFFFF"/>
        </w:rPr>
        <w:t xml:space="preserve"> </w:t>
      </w:r>
      <w:r>
        <w:rPr>
          <w:rFonts w:ascii="Calibri" w:eastAsia="Calibri" w:hAnsi="Calibri" w:cs="Arial"/>
          <w:color w:val="002F5D"/>
          <w:shd w:val="clear" w:color="auto" w:fill="FFFFFF"/>
        </w:rPr>
        <w:t xml:space="preserve">of children and young people with Pervasive Developmental Disorder/Autism Spectrum Disorder (ASD), and around 600 (0.4%) of children and young people with an eating disorder. </w:t>
      </w:r>
    </w:p>
    <w:p w14:paraId="166335C4" w14:textId="77777777" w:rsidR="009810FA" w:rsidRDefault="009810FA" w:rsidP="009810FA">
      <w:pPr>
        <w:pStyle w:val="ListParagraph"/>
        <w:numPr>
          <w:ilvl w:val="0"/>
          <w:numId w:val="92"/>
        </w:numPr>
        <w:spacing w:after="160" w:line="240" w:lineRule="auto"/>
        <w:rPr>
          <w:rFonts w:ascii="Calibri" w:eastAsia="Calibri" w:hAnsi="Calibri" w:cs="Arial"/>
          <w:color w:val="002F5D"/>
          <w:shd w:val="clear" w:color="auto" w:fill="FFFFFF"/>
        </w:rPr>
      </w:pPr>
      <w:r>
        <w:rPr>
          <w:rFonts w:ascii="Calibri" w:eastAsia="Calibri" w:hAnsi="Calibri" w:cs="Arial"/>
          <w:color w:val="002F5D"/>
          <w:shd w:val="clear" w:color="auto" w:fill="FFFFFF"/>
        </w:rPr>
        <w:t xml:space="preserve">Rates of mental disorders increased with age; </w:t>
      </w:r>
      <w:r>
        <w:rPr>
          <w:rFonts w:ascii="Calibri" w:eastAsia="Calibri" w:hAnsi="Calibri" w:cs="Arial"/>
          <w:b/>
          <w:color w:val="002F5D"/>
          <w:shd w:val="clear" w:color="auto" w:fill="FFFFFF"/>
        </w:rPr>
        <w:t>9.5% of 5 to 10 year olds</w:t>
      </w:r>
      <w:r>
        <w:rPr>
          <w:rFonts w:ascii="Calibri" w:eastAsia="Calibri" w:hAnsi="Calibri" w:cs="Arial"/>
          <w:color w:val="002F5D"/>
          <w:shd w:val="clear" w:color="auto" w:fill="FFFFFF"/>
        </w:rPr>
        <w:t xml:space="preserve"> experienced a mental disorder, compared to </w:t>
      </w:r>
      <w:r>
        <w:rPr>
          <w:rFonts w:ascii="Calibri" w:eastAsia="Calibri" w:hAnsi="Calibri" w:cs="Arial"/>
          <w:b/>
          <w:color w:val="002F5D"/>
          <w:shd w:val="clear" w:color="auto" w:fill="FFFFFF"/>
        </w:rPr>
        <w:t>16.9% of 17 to 19 year olds</w:t>
      </w:r>
      <w:r>
        <w:rPr>
          <w:rFonts w:ascii="Calibri" w:eastAsia="Calibri" w:hAnsi="Calibri" w:cs="Arial"/>
          <w:color w:val="002F5D"/>
          <w:shd w:val="clear" w:color="auto" w:fill="FFFFFF"/>
        </w:rPr>
        <w:t xml:space="preserve">.  </w:t>
      </w:r>
    </w:p>
    <w:p w14:paraId="77125B05" w14:textId="77777777" w:rsidR="009810FA" w:rsidRDefault="009810FA" w:rsidP="009810FA">
      <w:pPr>
        <w:pStyle w:val="ListParagraph"/>
        <w:numPr>
          <w:ilvl w:val="0"/>
          <w:numId w:val="92"/>
        </w:numPr>
        <w:spacing w:after="160" w:line="240" w:lineRule="auto"/>
        <w:rPr>
          <w:rFonts w:ascii="Calibri" w:eastAsia="Calibri" w:hAnsi="Calibri" w:cs="Arial"/>
          <w:color w:val="002F5D"/>
          <w:shd w:val="clear" w:color="auto" w:fill="FFFFFF"/>
        </w:rPr>
      </w:pPr>
      <w:r>
        <w:rPr>
          <w:rFonts w:ascii="Calibri" w:eastAsia="Calibri" w:hAnsi="Calibri" w:cs="Arial"/>
          <w:color w:val="002F5D"/>
          <w:shd w:val="clear" w:color="auto" w:fill="FFFFFF"/>
        </w:rPr>
        <w:t xml:space="preserve">Different disorders were prominent at different stages of childhood.  </w:t>
      </w:r>
    </w:p>
    <w:p w14:paraId="163ABF36" w14:textId="77777777" w:rsidR="009810FA" w:rsidRDefault="009810FA" w:rsidP="009810FA">
      <w:pPr>
        <w:pStyle w:val="ListParagraph"/>
        <w:numPr>
          <w:ilvl w:val="0"/>
          <w:numId w:val="92"/>
        </w:numPr>
        <w:spacing w:after="160" w:line="240" w:lineRule="auto"/>
        <w:rPr>
          <w:rFonts w:ascii="Calibri" w:eastAsia="Calibri" w:hAnsi="Calibri" w:cs="Arial"/>
          <w:color w:val="002F5D"/>
          <w:shd w:val="clear" w:color="auto" w:fill="FFFFFF"/>
        </w:rPr>
      </w:pPr>
      <w:r>
        <w:rPr>
          <w:rFonts w:ascii="Calibri" w:eastAsia="Calibri" w:hAnsi="Calibri" w:cs="Arial"/>
          <w:color w:val="002F5D"/>
          <w:shd w:val="clear" w:color="auto" w:fill="FFFFFF"/>
        </w:rPr>
        <w:t xml:space="preserve">Rates of </w:t>
      </w:r>
      <w:r>
        <w:rPr>
          <w:rFonts w:ascii="Calibri" w:eastAsia="Calibri" w:hAnsi="Calibri" w:cs="Arial"/>
          <w:b/>
          <w:color w:val="002F5D"/>
          <w:shd w:val="clear" w:color="auto" w:fill="FFFFFF"/>
        </w:rPr>
        <w:t>emotional disorder</w:t>
      </w:r>
      <w:r>
        <w:rPr>
          <w:rFonts w:ascii="Calibri" w:eastAsia="Calibri" w:hAnsi="Calibri" w:cs="Arial"/>
          <w:color w:val="002F5D"/>
          <w:shd w:val="clear" w:color="auto" w:fill="FFFFFF"/>
        </w:rPr>
        <w:t xml:space="preserve"> were particularly high in </w:t>
      </w:r>
      <w:r>
        <w:rPr>
          <w:rFonts w:ascii="Calibri" w:eastAsia="Calibri" w:hAnsi="Calibri" w:cs="Arial"/>
          <w:b/>
          <w:color w:val="002F5D"/>
          <w:shd w:val="clear" w:color="auto" w:fill="FFFFFF"/>
        </w:rPr>
        <w:t>17 to 19 year olds</w:t>
      </w:r>
      <w:r>
        <w:rPr>
          <w:rFonts w:ascii="Calibri" w:eastAsia="Calibri" w:hAnsi="Calibri" w:cs="Arial"/>
          <w:color w:val="002F5D"/>
          <w:shd w:val="clear" w:color="auto" w:fill="FFFFFF"/>
        </w:rPr>
        <w:t xml:space="preserve">, especially girls, at 22.4%, for Cambridgeshire and Peterborough combined this is estimated to be around </w:t>
      </w:r>
      <w:r>
        <w:rPr>
          <w:rFonts w:ascii="Calibri" w:eastAsia="Calibri" w:hAnsi="Calibri" w:cs="Arial"/>
          <w:b/>
          <w:color w:val="002F5D"/>
          <w:shd w:val="clear" w:color="auto" w:fill="FFFFFF"/>
        </w:rPr>
        <w:t>4,430 young</w:t>
      </w:r>
      <w:r>
        <w:rPr>
          <w:rFonts w:ascii="Calibri" w:eastAsia="Calibri" w:hAnsi="Calibri" w:cs="Arial"/>
          <w:color w:val="002F5D"/>
          <w:shd w:val="clear" w:color="auto" w:fill="FFFFFF"/>
        </w:rPr>
        <w:t xml:space="preserve"> </w:t>
      </w:r>
      <w:r>
        <w:rPr>
          <w:rFonts w:ascii="Calibri" w:eastAsia="Calibri" w:hAnsi="Calibri" w:cs="Arial"/>
          <w:b/>
          <w:color w:val="002F5D"/>
          <w:shd w:val="clear" w:color="auto" w:fill="FFFFFF"/>
        </w:rPr>
        <w:t>adults,</w:t>
      </w:r>
      <w:r>
        <w:rPr>
          <w:rFonts w:ascii="Calibri" w:eastAsia="Calibri" w:hAnsi="Calibri" w:cs="Arial"/>
          <w:color w:val="002F5D"/>
          <w:shd w:val="clear" w:color="auto" w:fill="FFFFFF"/>
        </w:rPr>
        <w:t xml:space="preserve"> around </w:t>
      </w:r>
      <w:r w:rsidRPr="000E690C">
        <w:rPr>
          <w:rFonts w:ascii="Calibri" w:eastAsia="Calibri" w:hAnsi="Calibri" w:cs="Arial"/>
          <w:b/>
          <w:color w:val="002F5D"/>
          <w:shd w:val="clear" w:color="auto" w:fill="FFFFFF"/>
        </w:rPr>
        <w:t>3,240</w:t>
      </w:r>
      <w:r>
        <w:rPr>
          <w:rFonts w:ascii="Calibri" w:eastAsia="Calibri" w:hAnsi="Calibri" w:cs="Arial"/>
          <w:color w:val="002F5D"/>
          <w:shd w:val="clear" w:color="auto" w:fill="FFFFFF"/>
        </w:rPr>
        <w:t xml:space="preserve"> of which are </w:t>
      </w:r>
      <w:r w:rsidRPr="000E690C">
        <w:rPr>
          <w:rFonts w:ascii="Calibri" w:eastAsia="Calibri" w:hAnsi="Calibri" w:cs="Arial"/>
          <w:b/>
          <w:color w:val="002F5D"/>
          <w:shd w:val="clear" w:color="auto" w:fill="FFFFFF"/>
        </w:rPr>
        <w:t>17-19 years old girls</w:t>
      </w:r>
      <w:r>
        <w:rPr>
          <w:rFonts w:ascii="Calibri" w:eastAsia="Calibri" w:hAnsi="Calibri" w:cs="Arial"/>
          <w:color w:val="002F5D"/>
          <w:shd w:val="clear" w:color="auto" w:fill="FFFFFF"/>
        </w:rPr>
        <w:t xml:space="preserve">. </w:t>
      </w:r>
    </w:p>
    <w:p w14:paraId="66C63FC6" w14:textId="77777777" w:rsidR="009810FA" w:rsidRPr="006C2D25" w:rsidRDefault="009810FA" w:rsidP="009810FA">
      <w:pPr>
        <w:spacing w:line="240" w:lineRule="auto"/>
        <w:contextualSpacing/>
        <w:rPr>
          <w:rFonts w:ascii="Calibri" w:eastAsia="Calibri" w:hAnsi="Calibri" w:cs="Arial"/>
          <w:b/>
          <w:color w:val="FF0000"/>
        </w:rPr>
      </w:pPr>
    </w:p>
    <w:p w14:paraId="5E8981DE" w14:textId="77777777" w:rsidR="009810FA" w:rsidRPr="00063CE8" w:rsidRDefault="009810FA" w:rsidP="009810FA">
      <w:pPr>
        <w:spacing w:line="240" w:lineRule="auto"/>
        <w:contextualSpacing/>
        <w:rPr>
          <w:rFonts w:ascii="Calibri" w:eastAsia="Times New Roman" w:hAnsi="Calibri" w:cs="Arial"/>
          <w:color w:val="002F5D"/>
        </w:rPr>
      </w:pPr>
      <w:r w:rsidRPr="00063CE8">
        <w:rPr>
          <w:rFonts w:ascii="Calibri" w:eastAsia="Calibri" w:hAnsi="Calibri" w:cs="Arial"/>
          <w:b/>
          <w:color w:val="002F5D"/>
        </w:rPr>
        <w:t>Inpatient hospital admissions</w:t>
      </w:r>
    </w:p>
    <w:p w14:paraId="5C4813EA" w14:textId="77777777" w:rsidR="009810FA" w:rsidRPr="00063CE8" w:rsidRDefault="009810FA" w:rsidP="009810FA">
      <w:pPr>
        <w:numPr>
          <w:ilvl w:val="0"/>
          <w:numId w:val="8"/>
        </w:numPr>
        <w:spacing w:line="240" w:lineRule="auto"/>
        <w:ind w:left="714" w:hanging="357"/>
        <w:contextualSpacing/>
        <w:rPr>
          <w:rFonts w:ascii="Calibri" w:eastAsia="Calibri" w:hAnsi="Calibri" w:cs="Arial"/>
          <w:color w:val="002F5D"/>
        </w:rPr>
      </w:pPr>
      <w:r w:rsidRPr="00063CE8">
        <w:rPr>
          <w:rFonts w:ascii="Calibri" w:eastAsia="Calibri" w:hAnsi="Calibri" w:cs="Arial"/>
          <w:b/>
          <w:color w:val="002F5D"/>
        </w:rPr>
        <w:t>Numbers</w:t>
      </w:r>
      <w:r w:rsidRPr="00063CE8">
        <w:rPr>
          <w:rFonts w:ascii="Calibri" w:eastAsia="Calibri" w:hAnsi="Calibri" w:cs="Arial"/>
          <w:color w:val="002F5D"/>
        </w:rPr>
        <w:t xml:space="preserve"> of </w:t>
      </w:r>
      <w:r w:rsidRPr="00063CE8">
        <w:rPr>
          <w:rFonts w:ascii="Calibri" w:eastAsia="Calibri" w:hAnsi="Calibri" w:cs="Arial"/>
          <w:b/>
          <w:color w:val="002F5D"/>
        </w:rPr>
        <w:t>inpatient hospital admission episodes</w:t>
      </w:r>
      <w:r w:rsidRPr="00063CE8">
        <w:rPr>
          <w:rFonts w:ascii="Calibri" w:eastAsia="Calibri" w:hAnsi="Calibri" w:cs="Arial"/>
          <w:color w:val="002F5D"/>
        </w:rPr>
        <w:t xml:space="preserve"> have generally </w:t>
      </w:r>
      <w:r w:rsidRPr="00063CE8">
        <w:rPr>
          <w:rFonts w:ascii="Calibri" w:eastAsia="Calibri" w:hAnsi="Calibri" w:cs="Arial"/>
          <w:b/>
          <w:color w:val="002F5D"/>
        </w:rPr>
        <w:t>increased</w:t>
      </w:r>
      <w:r w:rsidRPr="00063CE8">
        <w:rPr>
          <w:rFonts w:ascii="Calibri" w:eastAsia="Calibri" w:hAnsi="Calibri" w:cs="Arial"/>
          <w:color w:val="002F5D"/>
        </w:rPr>
        <w:t xml:space="preserve"> among residents of Cambridgeshire and Peterborough between 201</w:t>
      </w:r>
      <w:r>
        <w:rPr>
          <w:rFonts w:ascii="Calibri" w:eastAsia="Calibri" w:hAnsi="Calibri" w:cs="Arial"/>
          <w:color w:val="002F5D"/>
        </w:rPr>
        <w:t>2</w:t>
      </w:r>
      <w:r w:rsidRPr="00063CE8">
        <w:rPr>
          <w:rFonts w:ascii="Calibri" w:eastAsia="Calibri" w:hAnsi="Calibri" w:cs="Arial"/>
          <w:color w:val="002F5D"/>
        </w:rPr>
        <w:t>/1</w:t>
      </w:r>
      <w:r>
        <w:rPr>
          <w:rFonts w:ascii="Calibri" w:eastAsia="Calibri" w:hAnsi="Calibri" w:cs="Arial"/>
          <w:color w:val="002F5D"/>
        </w:rPr>
        <w:t>3</w:t>
      </w:r>
      <w:r w:rsidRPr="00063CE8">
        <w:rPr>
          <w:rFonts w:ascii="Calibri" w:eastAsia="Calibri" w:hAnsi="Calibri" w:cs="Arial"/>
          <w:color w:val="002F5D"/>
        </w:rPr>
        <w:t xml:space="preserve"> and 2016/17, but 2017/18 has seen a slight decrease (216,000 admissions in 2017/18 compared to 221,000 admissions in 2016/17).</w:t>
      </w:r>
    </w:p>
    <w:p w14:paraId="5430D1EC" w14:textId="77777777" w:rsidR="009810FA" w:rsidRDefault="009810FA" w:rsidP="009810FA">
      <w:pPr>
        <w:numPr>
          <w:ilvl w:val="0"/>
          <w:numId w:val="8"/>
        </w:numPr>
        <w:spacing w:line="240" w:lineRule="auto"/>
        <w:ind w:left="714" w:hanging="357"/>
        <w:contextualSpacing/>
        <w:rPr>
          <w:rFonts w:ascii="Calibri" w:eastAsia="Calibri" w:hAnsi="Calibri" w:cs="Arial"/>
          <w:color w:val="002F5D"/>
        </w:rPr>
      </w:pPr>
      <w:r w:rsidRPr="001E045F">
        <w:rPr>
          <w:rFonts w:ascii="Calibri" w:eastAsia="Calibri" w:hAnsi="Calibri" w:cs="Arial"/>
          <w:color w:val="002F5D"/>
        </w:rPr>
        <w:t xml:space="preserve">In 2017/18, age-standardised rates of </w:t>
      </w:r>
      <w:r w:rsidRPr="001E045F">
        <w:rPr>
          <w:rFonts w:ascii="Calibri" w:eastAsia="Calibri" w:hAnsi="Calibri" w:cs="Arial"/>
          <w:b/>
          <w:color w:val="002F5D"/>
        </w:rPr>
        <w:t>total</w:t>
      </w:r>
      <w:r w:rsidRPr="001E045F">
        <w:rPr>
          <w:rFonts w:ascii="Calibri" w:eastAsia="Calibri" w:hAnsi="Calibri" w:cs="Arial"/>
          <w:color w:val="002F5D"/>
        </w:rPr>
        <w:t xml:space="preserve"> </w:t>
      </w:r>
      <w:r w:rsidRPr="001E045F">
        <w:rPr>
          <w:rFonts w:ascii="Calibri" w:eastAsia="Calibri" w:hAnsi="Calibri" w:cs="Arial"/>
          <w:b/>
          <w:color w:val="002F5D"/>
        </w:rPr>
        <w:t xml:space="preserve">inpatient hospital admission episodes </w:t>
      </w:r>
      <w:r>
        <w:rPr>
          <w:rFonts w:ascii="Calibri" w:eastAsia="Calibri" w:hAnsi="Calibri" w:cs="Arial"/>
          <w:b/>
          <w:color w:val="002F5D"/>
        </w:rPr>
        <w:t xml:space="preserve">and elective hospital admission episodes </w:t>
      </w:r>
      <w:r w:rsidRPr="00F12363">
        <w:rPr>
          <w:rFonts w:ascii="Calibri" w:eastAsia="Calibri" w:hAnsi="Calibri" w:cs="Arial"/>
          <w:color w:val="002F5D"/>
        </w:rPr>
        <w:t>were statistically significantly</w:t>
      </w:r>
      <w:r w:rsidRPr="001E045F">
        <w:rPr>
          <w:rFonts w:ascii="Calibri" w:eastAsia="Calibri" w:hAnsi="Calibri" w:cs="Arial"/>
          <w:b/>
          <w:color w:val="002F5D"/>
        </w:rPr>
        <w:t xml:space="preserve"> </w:t>
      </w:r>
      <w:r w:rsidRPr="000E690C">
        <w:rPr>
          <w:rFonts w:ascii="Calibri" w:eastAsia="Calibri" w:hAnsi="Calibri" w:cs="Arial"/>
          <w:b/>
          <w:color w:val="002F5D"/>
        </w:rPr>
        <w:t>higher</w:t>
      </w:r>
      <w:r>
        <w:rPr>
          <w:rFonts w:ascii="Calibri" w:eastAsia="Calibri" w:hAnsi="Calibri" w:cs="Arial"/>
          <w:color w:val="002F5D"/>
        </w:rPr>
        <w:t xml:space="preserve"> in </w:t>
      </w:r>
      <w:r w:rsidRPr="001E045F">
        <w:rPr>
          <w:rFonts w:ascii="Calibri" w:eastAsia="Calibri" w:hAnsi="Calibri" w:cs="Arial"/>
          <w:b/>
          <w:color w:val="002F5D"/>
        </w:rPr>
        <w:t>Cambridgeshire</w:t>
      </w:r>
      <w:r w:rsidRPr="001E045F">
        <w:rPr>
          <w:rFonts w:ascii="Calibri" w:eastAsia="Calibri" w:hAnsi="Calibri" w:cs="Arial"/>
          <w:color w:val="002F5D"/>
        </w:rPr>
        <w:t xml:space="preserve"> than the average for Cambridgeshire and Peterborough combined. </w:t>
      </w:r>
      <w:r w:rsidRPr="00D7756B">
        <w:rPr>
          <w:rFonts w:ascii="Calibri" w:eastAsia="Calibri" w:hAnsi="Calibri" w:cs="Arial"/>
          <w:b/>
          <w:color w:val="002F5D"/>
        </w:rPr>
        <w:t>Peterborough’s</w:t>
      </w:r>
      <w:r w:rsidRPr="001E045F">
        <w:rPr>
          <w:rFonts w:ascii="Calibri" w:eastAsia="Calibri" w:hAnsi="Calibri" w:cs="Arial"/>
          <w:color w:val="002F5D"/>
        </w:rPr>
        <w:t xml:space="preserve"> </w:t>
      </w:r>
      <w:r>
        <w:rPr>
          <w:rFonts w:ascii="Calibri" w:eastAsia="Calibri" w:hAnsi="Calibri" w:cs="Arial"/>
          <w:color w:val="002F5D"/>
        </w:rPr>
        <w:t xml:space="preserve">rates </w:t>
      </w:r>
      <w:r w:rsidRPr="001E045F">
        <w:rPr>
          <w:rFonts w:ascii="Calibri" w:eastAsia="Calibri" w:hAnsi="Calibri" w:cs="Arial"/>
          <w:color w:val="002F5D"/>
        </w:rPr>
        <w:t xml:space="preserve">were statistically significantly </w:t>
      </w:r>
      <w:r w:rsidRPr="000E690C">
        <w:rPr>
          <w:rFonts w:ascii="Calibri" w:eastAsia="Calibri" w:hAnsi="Calibri" w:cs="Arial"/>
          <w:b/>
          <w:color w:val="002F5D"/>
        </w:rPr>
        <w:t>lower</w:t>
      </w:r>
      <w:r w:rsidRPr="00F12363">
        <w:rPr>
          <w:rFonts w:ascii="Calibri" w:eastAsia="Calibri" w:hAnsi="Calibri" w:cs="Arial"/>
          <w:color w:val="002F5D"/>
        </w:rPr>
        <w:t>. For</w:t>
      </w:r>
      <w:r>
        <w:rPr>
          <w:rFonts w:ascii="Calibri" w:eastAsia="Calibri" w:hAnsi="Calibri" w:cs="Arial"/>
          <w:color w:val="002F5D"/>
        </w:rPr>
        <w:t xml:space="preserve"> all areas, r</w:t>
      </w:r>
      <w:r w:rsidRPr="001E045F">
        <w:rPr>
          <w:rFonts w:ascii="Calibri" w:eastAsia="Calibri" w:hAnsi="Calibri" w:cs="Arial"/>
          <w:color w:val="002F5D"/>
        </w:rPr>
        <w:t xml:space="preserve">ates in those aged 75 and over are higher than those aged </w:t>
      </w:r>
      <w:r>
        <w:rPr>
          <w:rFonts w:ascii="Calibri" w:eastAsia="Calibri" w:hAnsi="Calibri" w:cs="Arial"/>
          <w:color w:val="002F5D"/>
        </w:rPr>
        <w:t xml:space="preserve">Under </w:t>
      </w:r>
      <w:r w:rsidRPr="001E045F">
        <w:rPr>
          <w:rFonts w:ascii="Calibri" w:eastAsia="Calibri" w:hAnsi="Calibri" w:cs="Arial"/>
          <w:color w:val="002F5D"/>
        </w:rPr>
        <w:t>75.</w:t>
      </w:r>
      <w:r>
        <w:rPr>
          <w:rFonts w:ascii="Calibri" w:eastAsia="Calibri" w:hAnsi="Calibri" w:cs="Arial"/>
          <w:color w:val="002F5D"/>
        </w:rPr>
        <w:t xml:space="preserve"> </w:t>
      </w:r>
    </w:p>
    <w:p w14:paraId="6FF2235F" w14:textId="77777777" w:rsidR="009810FA" w:rsidRPr="000E690C" w:rsidRDefault="009810FA" w:rsidP="009810FA">
      <w:pPr>
        <w:numPr>
          <w:ilvl w:val="0"/>
          <w:numId w:val="8"/>
        </w:numPr>
        <w:spacing w:line="240" w:lineRule="auto"/>
        <w:ind w:left="714" w:hanging="357"/>
        <w:contextualSpacing/>
        <w:rPr>
          <w:rFonts w:ascii="Calibri" w:eastAsia="Calibri" w:hAnsi="Calibri" w:cs="Arial"/>
          <w:color w:val="002F5D"/>
        </w:rPr>
      </w:pPr>
      <w:r w:rsidRPr="001E045F">
        <w:rPr>
          <w:rFonts w:ascii="Calibri" w:eastAsia="Calibri" w:hAnsi="Calibri" w:cs="Arial"/>
          <w:color w:val="002F5D"/>
        </w:rPr>
        <w:t xml:space="preserve">Conversely, </w:t>
      </w:r>
      <w:r w:rsidRPr="001E045F">
        <w:rPr>
          <w:rFonts w:ascii="Calibri" w:eastAsia="Calibri" w:hAnsi="Calibri" w:cs="Arial"/>
          <w:b/>
          <w:color w:val="002F5D"/>
        </w:rPr>
        <w:t xml:space="preserve">emergency admission </w:t>
      </w:r>
      <w:r w:rsidRPr="001E045F">
        <w:rPr>
          <w:rFonts w:ascii="Calibri" w:eastAsia="Calibri" w:hAnsi="Calibri" w:cs="Arial"/>
          <w:color w:val="002F5D"/>
        </w:rPr>
        <w:t>rates are statistically significantly</w:t>
      </w:r>
      <w:r>
        <w:rPr>
          <w:rFonts w:ascii="Calibri" w:eastAsia="Calibri" w:hAnsi="Calibri" w:cs="Arial"/>
          <w:color w:val="002F5D"/>
        </w:rPr>
        <w:t xml:space="preserve"> </w:t>
      </w:r>
      <w:r w:rsidRPr="000E690C">
        <w:rPr>
          <w:rFonts w:ascii="Calibri" w:eastAsia="Calibri" w:hAnsi="Calibri" w:cs="Arial"/>
          <w:b/>
          <w:color w:val="002F5D"/>
        </w:rPr>
        <w:t>higher</w:t>
      </w:r>
      <w:r w:rsidRPr="00F12363">
        <w:rPr>
          <w:rFonts w:ascii="Calibri" w:eastAsia="Calibri" w:hAnsi="Calibri" w:cs="Arial"/>
          <w:color w:val="002F5D"/>
        </w:rPr>
        <w:t xml:space="preserve"> in</w:t>
      </w:r>
      <w:r w:rsidRPr="001E045F">
        <w:rPr>
          <w:rFonts w:ascii="Calibri" w:eastAsia="Calibri" w:hAnsi="Calibri" w:cs="Arial"/>
          <w:b/>
          <w:color w:val="002F5D"/>
        </w:rPr>
        <w:t xml:space="preserve"> Peterborough</w:t>
      </w:r>
      <w:r w:rsidRPr="001E045F">
        <w:rPr>
          <w:rFonts w:ascii="Calibri" w:eastAsia="Calibri" w:hAnsi="Calibri" w:cs="Arial"/>
          <w:color w:val="002F5D"/>
        </w:rPr>
        <w:t xml:space="preserve"> and statistically significantly </w:t>
      </w:r>
      <w:r>
        <w:rPr>
          <w:rFonts w:ascii="Calibri" w:eastAsia="Calibri" w:hAnsi="Calibri" w:cs="Arial"/>
          <w:b/>
          <w:color w:val="002F5D"/>
        </w:rPr>
        <w:t>l</w:t>
      </w:r>
      <w:r w:rsidRPr="000E690C">
        <w:rPr>
          <w:rFonts w:ascii="Calibri" w:eastAsia="Calibri" w:hAnsi="Calibri" w:cs="Arial"/>
          <w:b/>
          <w:color w:val="002F5D"/>
        </w:rPr>
        <w:t>ower</w:t>
      </w:r>
      <w:r w:rsidRPr="000E690C">
        <w:rPr>
          <w:rFonts w:ascii="Calibri" w:eastAsia="Calibri" w:hAnsi="Calibri" w:cs="Arial"/>
          <w:color w:val="002F5D"/>
        </w:rPr>
        <w:t xml:space="preserve"> in </w:t>
      </w:r>
      <w:r w:rsidRPr="000E690C">
        <w:rPr>
          <w:rFonts w:ascii="Calibri" w:eastAsia="Calibri" w:hAnsi="Calibri" w:cs="Arial"/>
          <w:b/>
          <w:color w:val="002F5D"/>
        </w:rPr>
        <w:t>Cambridgeshire</w:t>
      </w:r>
      <w:r w:rsidRPr="000E690C">
        <w:rPr>
          <w:rFonts w:ascii="Calibri" w:eastAsia="Calibri" w:hAnsi="Calibri" w:cs="Arial"/>
          <w:color w:val="002F5D"/>
        </w:rPr>
        <w:t>, than the combined Cambridgeshire and Peterborough average.</w:t>
      </w:r>
    </w:p>
    <w:p w14:paraId="3743EF25" w14:textId="77777777" w:rsidR="009810FA" w:rsidRPr="001E045F" w:rsidRDefault="009810FA" w:rsidP="009810FA">
      <w:pPr>
        <w:numPr>
          <w:ilvl w:val="0"/>
          <w:numId w:val="8"/>
        </w:numPr>
        <w:spacing w:line="240" w:lineRule="auto"/>
        <w:ind w:left="714" w:hanging="357"/>
        <w:contextualSpacing/>
        <w:rPr>
          <w:rFonts w:ascii="Calibri" w:eastAsia="Calibri" w:hAnsi="Calibri" w:cs="Arial"/>
          <w:color w:val="002F5D"/>
        </w:rPr>
      </w:pPr>
      <w:r w:rsidRPr="001E045F">
        <w:rPr>
          <w:rFonts w:ascii="Calibri" w:eastAsia="Calibri" w:hAnsi="Calibri" w:cs="Arial"/>
          <w:color w:val="002F5D"/>
        </w:rPr>
        <w:t xml:space="preserve">In 2017/18, age-standardised rates of total </w:t>
      </w:r>
      <w:r w:rsidRPr="001E045F">
        <w:rPr>
          <w:rFonts w:ascii="Calibri" w:eastAsia="Calibri" w:hAnsi="Calibri" w:cs="Arial"/>
          <w:b/>
          <w:color w:val="002F5D"/>
        </w:rPr>
        <w:t xml:space="preserve">inpatient hospital admission episodes </w:t>
      </w:r>
      <w:r w:rsidRPr="001E045F">
        <w:rPr>
          <w:rFonts w:ascii="Calibri" w:eastAsia="Calibri" w:hAnsi="Calibri" w:cs="Arial"/>
          <w:color w:val="002F5D"/>
        </w:rPr>
        <w:t xml:space="preserve">were statistically significantly </w:t>
      </w:r>
      <w:r w:rsidRPr="001E045F">
        <w:rPr>
          <w:rFonts w:ascii="Calibri" w:eastAsia="Calibri" w:hAnsi="Calibri" w:cs="Arial"/>
          <w:b/>
          <w:color w:val="002F5D"/>
        </w:rPr>
        <w:t>higher</w:t>
      </w:r>
      <w:r w:rsidRPr="001E045F">
        <w:rPr>
          <w:rFonts w:ascii="Calibri" w:eastAsia="Calibri" w:hAnsi="Calibri" w:cs="Arial"/>
          <w:color w:val="002F5D"/>
        </w:rPr>
        <w:t xml:space="preserve"> than the Cambridgeshire average in the districts of </w:t>
      </w:r>
      <w:r w:rsidRPr="001E045F">
        <w:rPr>
          <w:rFonts w:ascii="Calibri" w:eastAsia="Calibri" w:hAnsi="Calibri" w:cs="Arial"/>
          <w:b/>
          <w:color w:val="002F5D"/>
        </w:rPr>
        <w:t>Fenland</w:t>
      </w:r>
      <w:r w:rsidRPr="001E045F">
        <w:rPr>
          <w:rFonts w:ascii="Calibri" w:eastAsia="Calibri" w:hAnsi="Calibri" w:cs="Arial"/>
          <w:color w:val="002F5D"/>
        </w:rPr>
        <w:t xml:space="preserve"> and </w:t>
      </w:r>
      <w:r w:rsidRPr="001E045F">
        <w:rPr>
          <w:rFonts w:ascii="Calibri" w:eastAsia="Calibri" w:hAnsi="Calibri" w:cs="Arial"/>
          <w:b/>
          <w:color w:val="002F5D"/>
        </w:rPr>
        <w:t>Huntingdonshire</w:t>
      </w:r>
      <w:r w:rsidRPr="001E045F">
        <w:rPr>
          <w:rFonts w:ascii="Calibri" w:eastAsia="Calibri" w:hAnsi="Calibri" w:cs="Arial"/>
          <w:color w:val="002F5D"/>
        </w:rPr>
        <w:t xml:space="preserve"> for all ages, in those aged under 75 and those aged 75 years and over. </w:t>
      </w:r>
    </w:p>
    <w:p w14:paraId="443A2D31" w14:textId="77777777" w:rsidR="009810FA" w:rsidRPr="00E719A5" w:rsidRDefault="009810FA" w:rsidP="009810FA">
      <w:pPr>
        <w:numPr>
          <w:ilvl w:val="0"/>
          <w:numId w:val="8"/>
        </w:numPr>
        <w:spacing w:line="240" w:lineRule="auto"/>
        <w:ind w:left="714" w:hanging="357"/>
        <w:contextualSpacing/>
        <w:rPr>
          <w:rFonts w:ascii="Calibri" w:eastAsia="Calibri" w:hAnsi="Calibri" w:cs="Arial"/>
          <w:color w:val="002F5D"/>
        </w:rPr>
      </w:pPr>
      <w:r w:rsidRPr="00E719A5">
        <w:rPr>
          <w:rFonts w:ascii="Calibri" w:eastAsia="Calibri" w:hAnsi="Calibri" w:cs="Arial"/>
          <w:color w:val="002F5D"/>
        </w:rPr>
        <w:t xml:space="preserve">All types of admission rates are much </w:t>
      </w:r>
      <w:r w:rsidRPr="00E719A5">
        <w:rPr>
          <w:rFonts w:ascii="Calibri" w:eastAsia="Calibri" w:hAnsi="Calibri" w:cs="Arial"/>
          <w:b/>
          <w:color w:val="002F5D"/>
        </w:rPr>
        <w:t>higher</w:t>
      </w:r>
      <w:r w:rsidRPr="00E719A5">
        <w:rPr>
          <w:rFonts w:ascii="Calibri" w:eastAsia="Calibri" w:hAnsi="Calibri" w:cs="Arial"/>
          <w:color w:val="002F5D"/>
        </w:rPr>
        <w:t xml:space="preserve"> in people aged </w:t>
      </w:r>
      <w:r w:rsidRPr="00E719A5">
        <w:rPr>
          <w:rFonts w:ascii="Calibri" w:eastAsia="Calibri" w:hAnsi="Calibri" w:cs="Arial"/>
          <w:b/>
          <w:color w:val="002F5D"/>
        </w:rPr>
        <w:t xml:space="preserve">75 years and over </w:t>
      </w:r>
      <w:r w:rsidRPr="00E719A5">
        <w:rPr>
          <w:rFonts w:ascii="Calibri" w:eastAsia="Calibri" w:hAnsi="Calibri" w:cs="Arial"/>
          <w:color w:val="002F5D"/>
        </w:rPr>
        <w:t xml:space="preserve">and, compared with lower and more stable rates in the under 75s and it is this </w:t>
      </w:r>
      <w:r w:rsidRPr="00E719A5">
        <w:rPr>
          <w:rFonts w:ascii="Calibri" w:eastAsia="Calibri" w:hAnsi="Calibri" w:cs="Arial"/>
          <w:b/>
          <w:color w:val="002F5D"/>
        </w:rPr>
        <w:t>older group</w:t>
      </w:r>
      <w:r w:rsidRPr="00E719A5">
        <w:rPr>
          <w:rFonts w:ascii="Calibri" w:eastAsia="Calibri" w:hAnsi="Calibri" w:cs="Arial"/>
          <w:color w:val="002F5D"/>
        </w:rPr>
        <w:t xml:space="preserve"> where there has been a </w:t>
      </w:r>
      <w:r w:rsidRPr="00E719A5">
        <w:rPr>
          <w:rFonts w:ascii="Calibri" w:eastAsia="Calibri" w:hAnsi="Calibri" w:cs="Arial"/>
          <w:b/>
          <w:color w:val="002F5D"/>
        </w:rPr>
        <w:t>greater rate of increase</w:t>
      </w:r>
      <w:r w:rsidRPr="00E719A5">
        <w:rPr>
          <w:rFonts w:ascii="Calibri" w:eastAsia="Calibri" w:hAnsi="Calibri" w:cs="Arial"/>
          <w:color w:val="002F5D"/>
        </w:rPr>
        <w:t xml:space="preserve"> over time. This </w:t>
      </w:r>
      <w:r w:rsidRPr="00E719A5">
        <w:rPr>
          <w:rFonts w:ascii="Calibri" w:eastAsia="Calibri" w:hAnsi="Calibri" w:cs="Arial"/>
          <w:b/>
          <w:color w:val="002F5D"/>
        </w:rPr>
        <w:t>difference</w:t>
      </w:r>
      <w:r w:rsidRPr="00E719A5">
        <w:rPr>
          <w:rFonts w:ascii="Calibri" w:eastAsia="Calibri" w:hAnsi="Calibri" w:cs="Arial"/>
          <w:color w:val="002F5D"/>
        </w:rPr>
        <w:t xml:space="preserve"> between the under 75s and this aged over 75 </w:t>
      </w:r>
      <w:r w:rsidRPr="00E719A5">
        <w:rPr>
          <w:rFonts w:ascii="Calibri" w:eastAsia="Calibri" w:hAnsi="Calibri" w:cs="Arial"/>
          <w:color w:val="002F5D"/>
        </w:rPr>
        <w:lastRenderedPageBreak/>
        <w:t xml:space="preserve">and the </w:t>
      </w:r>
      <w:r w:rsidRPr="00E719A5">
        <w:rPr>
          <w:rFonts w:ascii="Calibri" w:eastAsia="Calibri" w:hAnsi="Calibri" w:cs="Arial"/>
          <w:b/>
          <w:color w:val="002F5D"/>
        </w:rPr>
        <w:t>increasing</w:t>
      </w:r>
      <w:r w:rsidRPr="00E719A5">
        <w:rPr>
          <w:rFonts w:ascii="Calibri" w:eastAsia="Calibri" w:hAnsi="Calibri" w:cs="Arial"/>
          <w:color w:val="002F5D"/>
        </w:rPr>
        <w:t xml:space="preserve"> trend is </w:t>
      </w:r>
      <w:r w:rsidRPr="00E719A5">
        <w:rPr>
          <w:rFonts w:ascii="Calibri" w:eastAsia="Calibri" w:hAnsi="Calibri" w:cs="Arial"/>
          <w:b/>
          <w:color w:val="002F5D"/>
        </w:rPr>
        <w:t>much less marked</w:t>
      </w:r>
      <w:r w:rsidRPr="00E719A5">
        <w:rPr>
          <w:rFonts w:ascii="Calibri" w:eastAsia="Calibri" w:hAnsi="Calibri" w:cs="Arial"/>
          <w:color w:val="002F5D"/>
        </w:rPr>
        <w:t xml:space="preserve"> for </w:t>
      </w:r>
      <w:r w:rsidRPr="00E719A5">
        <w:rPr>
          <w:rFonts w:ascii="Calibri" w:eastAsia="Calibri" w:hAnsi="Calibri" w:cs="Arial"/>
          <w:b/>
          <w:color w:val="002F5D"/>
        </w:rPr>
        <w:t>elective</w:t>
      </w:r>
      <w:r w:rsidRPr="00E719A5">
        <w:rPr>
          <w:rFonts w:ascii="Calibri" w:eastAsia="Calibri" w:hAnsi="Calibri" w:cs="Arial"/>
          <w:color w:val="002F5D"/>
        </w:rPr>
        <w:t xml:space="preserve"> admissions compared with total and emergency admissions.</w:t>
      </w:r>
    </w:p>
    <w:p w14:paraId="06E486F9" w14:textId="77777777" w:rsidR="009810FA" w:rsidRPr="0022024E" w:rsidRDefault="009810FA" w:rsidP="009810FA">
      <w:pPr>
        <w:spacing w:line="276" w:lineRule="auto"/>
        <w:rPr>
          <w:rFonts w:ascii="Calibri" w:eastAsia="Calibri" w:hAnsi="Calibri" w:cs="Arial"/>
          <w:b/>
          <w:color w:val="FF0000"/>
        </w:rPr>
      </w:pPr>
    </w:p>
    <w:p w14:paraId="081AAD97" w14:textId="77777777" w:rsidR="009810FA" w:rsidRPr="005800B5" w:rsidRDefault="009810FA" w:rsidP="009810FA">
      <w:pPr>
        <w:spacing w:before="120" w:line="240" w:lineRule="auto"/>
        <w:rPr>
          <w:rFonts w:ascii="Calibri" w:eastAsia="Calibri" w:hAnsi="Calibri" w:cs="Arial"/>
          <w:b/>
          <w:color w:val="002F5D"/>
        </w:rPr>
      </w:pPr>
      <w:r w:rsidRPr="005800B5">
        <w:rPr>
          <w:rFonts w:ascii="Calibri" w:eastAsia="Calibri" w:hAnsi="Calibri" w:cs="Arial"/>
          <w:b/>
          <w:color w:val="002F5D"/>
        </w:rPr>
        <w:t>Accident and emergency attendances</w:t>
      </w:r>
    </w:p>
    <w:p w14:paraId="02823700" w14:textId="77777777" w:rsidR="009810FA" w:rsidRPr="005800B5" w:rsidRDefault="009810FA" w:rsidP="009810FA">
      <w:pPr>
        <w:numPr>
          <w:ilvl w:val="0"/>
          <w:numId w:val="10"/>
        </w:numPr>
        <w:spacing w:line="240" w:lineRule="auto"/>
        <w:contextualSpacing/>
        <w:rPr>
          <w:rFonts w:ascii="Calibri" w:eastAsia="Calibri" w:hAnsi="Calibri" w:cs="Arial"/>
          <w:b/>
          <w:color w:val="002F5D"/>
        </w:rPr>
      </w:pPr>
      <w:r w:rsidRPr="005800B5">
        <w:rPr>
          <w:rFonts w:ascii="Calibri" w:eastAsia="Calibri" w:hAnsi="Calibri" w:cs="Arial"/>
          <w:color w:val="002F5D"/>
        </w:rPr>
        <w:t xml:space="preserve">Numbers and rates of attendances have a generally </w:t>
      </w:r>
      <w:r w:rsidRPr="005800B5">
        <w:rPr>
          <w:rFonts w:ascii="Calibri" w:eastAsia="Calibri" w:hAnsi="Calibri" w:cs="Arial"/>
          <w:b/>
          <w:color w:val="002F5D"/>
        </w:rPr>
        <w:t>increasing</w:t>
      </w:r>
      <w:r w:rsidRPr="005800B5">
        <w:rPr>
          <w:rFonts w:ascii="Calibri" w:eastAsia="Calibri" w:hAnsi="Calibri" w:cs="Arial"/>
          <w:color w:val="002F5D"/>
        </w:rPr>
        <w:t xml:space="preserve"> time trend among residents of </w:t>
      </w:r>
      <w:r w:rsidRPr="005800B5">
        <w:rPr>
          <w:rFonts w:ascii="Calibri" w:eastAsia="Calibri" w:hAnsi="Calibri" w:cs="Arial"/>
          <w:b/>
          <w:color w:val="002F5D"/>
        </w:rPr>
        <w:t>all areas</w:t>
      </w:r>
      <w:r w:rsidRPr="005800B5">
        <w:rPr>
          <w:rFonts w:ascii="Calibri" w:eastAsia="Calibri" w:hAnsi="Calibri" w:cs="Arial"/>
          <w:color w:val="002F5D"/>
        </w:rPr>
        <w:t xml:space="preserve"> of Cambridgeshire and Peterborough, at both 24-hour consultant-led A&amp;E and minor injuries units. Overall rates are higher in 24-hour consultant-led A&amp;E than minor injuries units.</w:t>
      </w:r>
    </w:p>
    <w:p w14:paraId="5884B6DE" w14:textId="77777777" w:rsidR="009810FA" w:rsidRPr="005800B5" w:rsidRDefault="009810FA" w:rsidP="009810FA">
      <w:pPr>
        <w:numPr>
          <w:ilvl w:val="0"/>
          <w:numId w:val="10"/>
        </w:numPr>
        <w:spacing w:line="240" w:lineRule="auto"/>
        <w:contextualSpacing/>
        <w:rPr>
          <w:rFonts w:ascii="Calibri" w:eastAsia="Calibri" w:hAnsi="Calibri" w:cs="Arial"/>
          <w:b/>
          <w:color w:val="002F5D"/>
        </w:rPr>
      </w:pPr>
      <w:r w:rsidRPr="005800B5">
        <w:rPr>
          <w:rFonts w:ascii="Calibri" w:eastAsia="Calibri" w:hAnsi="Calibri" w:cs="Arial"/>
          <w:color w:val="002F5D"/>
        </w:rPr>
        <w:t>By locality, patterns of attendance tend to reflect the underlying configuration of services.</w:t>
      </w:r>
    </w:p>
    <w:p w14:paraId="76684182" w14:textId="77777777" w:rsidR="009810FA" w:rsidRPr="005800B5" w:rsidRDefault="009810FA" w:rsidP="009810FA">
      <w:pPr>
        <w:numPr>
          <w:ilvl w:val="0"/>
          <w:numId w:val="10"/>
        </w:numPr>
        <w:spacing w:line="240" w:lineRule="auto"/>
        <w:contextualSpacing/>
        <w:rPr>
          <w:rFonts w:ascii="Calibri" w:eastAsia="Calibri" w:hAnsi="Calibri" w:cs="Arial"/>
          <w:b/>
          <w:color w:val="002F5D"/>
        </w:rPr>
      </w:pPr>
      <w:r w:rsidRPr="005800B5">
        <w:rPr>
          <w:rFonts w:ascii="Calibri" w:eastAsia="Calibri" w:hAnsi="Calibri" w:cs="Arial"/>
          <w:b/>
          <w:color w:val="002F5D"/>
        </w:rPr>
        <w:t xml:space="preserve">Peterborough </w:t>
      </w:r>
      <w:r w:rsidRPr="005800B5">
        <w:rPr>
          <w:rFonts w:ascii="Calibri" w:eastAsia="Calibri" w:hAnsi="Calibri" w:cs="Arial"/>
          <w:color w:val="002F5D"/>
        </w:rPr>
        <w:t xml:space="preserve">rates are </w:t>
      </w:r>
      <w:r w:rsidRPr="005800B5">
        <w:rPr>
          <w:rFonts w:ascii="Calibri" w:eastAsia="Calibri" w:hAnsi="Calibri" w:cs="Arial"/>
          <w:b/>
          <w:color w:val="002F5D"/>
        </w:rPr>
        <w:t>higher</w:t>
      </w:r>
      <w:r w:rsidRPr="005800B5">
        <w:rPr>
          <w:rFonts w:ascii="Calibri" w:eastAsia="Calibri" w:hAnsi="Calibri" w:cs="Arial"/>
          <w:color w:val="002F5D"/>
        </w:rPr>
        <w:t xml:space="preserve"> than Cambridgeshire rates and are statistically significantly </w:t>
      </w:r>
      <w:r w:rsidRPr="005800B5">
        <w:rPr>
          <w:rFonts w:ascii="Calibri" w:eastAsia="Calibri" w:hAnsi="Calibri" w:cs="Arial"/>
          <w:b/>
          <w:color w:val="002F5D"/>
        </w:rPr>
        <w:t>higher</w:t>
      </w:r>
      <w:r w:rsidRPr="005800B5">
        <w:rPr>
          <w:rFonts w:ascii="Calibri" w:eastAsia="Calibri" w:hAnsi="Calibri" w:cs="Arial"/>
          <w:color w:val="002F5D"/>
        </w:rPr>
        <w:t xml:space="preserve"> than Cambridgeshire and Peterborough’s rates. </w:t>
      </w:r>
      <w:r w:rsidRPr="005800B5">
        <w:rPr>
          <w:rFonts w:ascii="Calibri" w:eastAsia="Calibri" w:hAnsi="Calibri" w:cs="Arial"/>
          <w:b/>
          <w:color w:val="002F5D"/>
        </w:rPr>
        <w:t>Cambridgeshire’s</w:t>
      </w:r>
      <w:r w:rsidRPr="005800B5">
        <w:rPr>
          <w:rFonts w:ascii="Calibri" w:eastAsia="Calibri" w:hAnsi="Calibri" w:cs="Arial"/>
          <w:color w:val="002F5D"/>
        </w:rPr>
        <w:t xml:space="preserve"> rates are significantly </w:t>
      </w:r>
      <w:r w:rsidRPr="005800B5">
        <w:rPr>
          <w:rFonts w:ascii="Calibri" w:eastAsia="Calibri" w:hAnsi="Calibri" w:cs="Arial"/>
          <w:b/>
          <w:color w:val="002F5D"/>
        </w:rPr>
        <w:t>lower</w:t>
      </w:r>
      <w:r w:rsidRPr="005800B5">
        <w:rPr>
          <w:rFonts w:ascii="Calibri" w:eastAsia="Calibri" w:hAnsi="Calibri" w:cs="Arial"/>
          <w:color w:val="002F5D"/>
        </w:rPr>
        <w:t xml:space="preserve"> than the Cambridgeshire and Peterborough average. These patterns are </w:t>
      </w:r>
      <w:r w:rsidRPr="005800B5">
        <w:rPr>
          <w:rFonts w:ascii="Calibri" w:eastAsia="Calibri" w:hAnsi="Calibri" w:cs="Arial"/>
          <w:b/>
          <w:color w:val="002F5D"/>
        </w:rPr>
        <w:t>maintained over-time</w:t>
      </w:r>
      <w:r w:rsidRPr="005800B5">
        <w:rPr>
          <w:rFonts w:ascii="Calibri" w:eastAsia="Calibri" w:hAnsi="Calibri" w:cs="Arial"/>
          <w:color w:val="002F5D"/>
        </w:rPr>
        <w:t xml:space="preserve"> and </w:t>
      </w:r>
      <w:r w:rsidRPr="005800B5">
        <w:rPr>
          <w:rFonts w:ascii="Calibri" w:eastAsia="Calibri" w:hAnsi="Calibri" w:cs="Arial"/>
          <w:b/>
          <w:color w:val="002F5D"/>
        </w:rPr>
        <w:t>Peterborough</w:t>
      </w:r>
      <w:r w:rsidRPr="005800B5">
        <w:rPr>
          <w:rFonts w:ascii="Calibri" w:eastAsia="Calibri" w:hAnsi="Calibri" w:cs="Arial"/>
          <w:color w:val="002F5D"/>
        </w:rPr>
        <w:t xml:space="preserve"> is the </w:t>
      </w:r>
      <w:r w:rsidRPr="005800B5">
        <w:rPr>
          <w:rFonts w:ascii="Calibri" w:eastAsia="Calibri" w:hAnsi="Calibri" w:cs="Arial"/>
          <w:b/>
          <w:color w:val="002F5D"/>
        </w:rPr>
        <w:t>only locality in Cambridgeshire and Peterborough</w:t>
      </w:r>
      <w:r w:rsidRPr="005800B5">
        <w:rPr>
          <w:rFonts w:ascii="Calibri" w:eastAsia="Calibri" w:hAnsi="Calibri" w:cs="Arial"/>
          <w:color w:val="002F5D"/>
        </w:rPr>
        <w:t xml:space="preserve"> to have </w:t>
      </w:r>
      <w:r w:rsidRPr="005800B5">
        <w:rPr>
          <w:rFonts w:ascii="Calibri" w:eastAsia="Calibri" w:hAnsi="Calibri" w:cs="Arial"/>
          <w:b/>
          <w:color w:val="002F5D"/>
        </w:rPr>
        <w:t>statistically significantly higher A&amp;E attendance</w:t>
      </w:r>
      <w:r w:rsidRPr="005800B5">
        <w:rPr>
          <w:rFonts w:ascii="Calibri" w:eastAsia="Calibri" w:hAnsi="Calibri" w:cs="Arial"/>
          <w:color w:val="002F5D"/>
        </w:rPr>
        <w:t xml:space="preserve"> rates across </w:t>
      </w:r>
      <w:r w:rsidRPr="005800B5">
        <w:rPr>
          <w:rFonts w:ascii="Calibri" w:eastAsia="Calibri" w:hAnsi="Calibri" w:cs="Arial"/>
          <w:b/>
          <w:color w:val="002F5D"/>
        </w:rPr>
        <w:t>all service delivery settings</w:t>
      </w:r>
      <w:r w:rsidRPr="005800B5">
        <w:rPr>
          <w:rFonts w:ascii="Calibri" w:eastAsia="Calibri" w:hAnsi="Calibri" w:cs="Arial"/>
          <w:color w:val="002F5D"/>
        </w:rPr>
        <w:t>.</w:t>
      </w:r>
    </w:p>
    <w:p w14:paraId="18A6076C" w14:textId="77777777" w:rsidR="009810FA" w:rsidRPr="00996925" w:rsidRDefault="009810FA" w:rsidP="009810FA">
      <w:pPr>
        <w:numPr>
          <w:ilvl w:val="0"/>
          <w:numId w:val="10"/>
        </w:numPr>
        <w:spacing w:line="240" w:lineRule="auto"/>
        <w:contextualSpacing/>
        <w:rPr>
          <w:rFonts w:ascii="Calibri" w:eastAsia="Calibri" w:hAnsi="Calibri" w:cs="Arial"/>
          <w:b/>
          <w:color w:val="002F5D"/>
        </w:rPr>
      </w:pPr>
      <w:r w:rsidRPr="005800B5">
        <w:rPr>
          <w:rFonts w:ascii="Calibri" w:eastAsia="Calibri" w:hAnsi="Calibri" w:cs="Arial"/>
          <w:color w:val="002F5D"/>
        </w:rPr>
        <w:t>Rates are</w:t>
      </w:r>
      <w:r w:rsidRPr="005800B5">
        <w:rPr>
          <w:rFonts w:ascii="Calibri" w:eastAsia="Calibri" w:hAnsi="Calibri" w:cs="Arial"/>
          <w:b/>
          <w:color w:val="002F5D"/>
        </w:rPr>
        <w:t xml:space="preserve"> generally higher in 24-hour consultant led units </w:t>
      </w:r>
      <w:r w:rsidRPr="005800B5">
        <w:rPr>
          <w:rFonts w:ascii="Calibri" w:eastAsia="Calibri" w:hAnsi="Calibri" w:cs="Arial"/>
          <w:color w:val="002F5D"/>
        </w:rPr>
        <w:t xml:space="preserve">for young children, young adults and older people and higher in </w:t>
      </w:r>
      <w:r w:rsidRPr="005800B5">
        <w:rPr>
          <w:rFonts w:ascii="Calibri" w:eastAsia="Calibri" w:hAnsi="Calibri" w:cs="Arial"/>
          <w:b/>
          <w:color w:val="002F5D"/>
        </w:rPr>
        <w:t>minor injuries units</w:t>
      </w:r>
      <w:r w:rsidRPr="005800B5">
        <w:rPr>
          <w:rFonts w:ascii="Calibri" w:eastAsia="Calibri" w:hAnsi="Calibri" w:cs="Arial"/>
          <w:color w:val="002F5D"/>
        </w:rPr>
        <w:t xml:space="preserve"> for young children and young adults, but not older </w:t>
      </w:r>
      <w:r w:rsidRPr="00996925">
        <w:rPr>
          <w:rFonts w:ascii="Calibri" w:eastAsia="Calibri" w:hAnsi="Calibri" w:cs="Arial"/>
          <w:color w:val="002F5D"/>
        </w:rPr>
        <w:t>people.</w:t>
      </w:r>
    </w:p>
    <w:p w14:paraId="347782FE" w14:textId="60C65C98" w:rsidR="009810FA" w:rsidRPr="004A6349" w:rsidRDefault="009810FA" w:rsidP="009810FA">
      <w:pPr>
        <w:spacing w:before="120" w:line="240" w:lineRule="auto"/>
        <w:rPr>
          <w:rFonts w:ascii="Calibri" w:eastAsia="Calibri" w:hAnsi="Calibri" w:cs="Arial"/>
          <w:b/>
          <w:color w:val="002F5D"/>
        </w:rPr>
      </w:pPr>
      <w:r w:rsidRPr="004A6349">
        <w:rPr>
          <w:rFonts w:ascii="Calibri" w:eastAsia="Calibri" w:hAnsi="Calibri" w:cs="Arial"/>
          <w:b/>
          <w:color w:val="002F5D"/>
        </w:rPr>
        <w:t>Social care services</w:t>
      </w:r>
    </w:p>
    <w:p w14:paraId="34DB245D" w14:textId="77777777" w:rsidR="00B263C7" w:rsidRPr="0022024E" w:rsidRDefault="00B263C7" w:rsidP="009810FA">
      <w:pPr>
        <w:spacing w:before="120" w:line="240" w:lineRule="auto"/>
        <w:rPr>
          <w:rFonts w:ascii="Calibri" w:eastAsia="Calibri" w:hAnsi="Calibri" w:cs="Arial"/>
          <w:b/>
          <w:color w:val="FF0000"/>
        </w:rPr>
      </w:pPr>
    </w:p>
    <w:p w14:paraId="3340034E" w14:textId="77777777" w:rsidR="00B263C7" w:rsidRPr="004A6349" w:rsidRDefault="00B263C7" w:rsidP="00B263C7">
      <w:pPr>
        <w:numPr>
          <w:ilvl w:val="0"/>
          <w:numId w:val="59"/>
        </w:numPr>
        <w:spacing w:line="240" w:lineRule="auto"/>
        <w:ind w:left="714" w:hanging="357"/>
        <w:contextualSpacing/>
        <w:rPr>
          <w:rFonts w:ascii="Calibri" w:eastAsia="Calibri" w:hAnsi="Calibri" w:cs="Arial"/>
          <w:color w:val="002F5D"/>
        </w:rPr>
      </w:pPr>
      <w:r w:rsidRPr="004A6349">
        <w:rPr>
          <w:rFonts w:ascii="Calibri" w:eastAsia="Calibri" w:hAnsi="Calibri" w:cs="Arial"/>
          <w:color w:val="002F5D"/>
        </w:rPr>
        <w:t xml:space="preserve">The </w:t>
      </w:r>
      <w:r w:rsidRPr="004A6349">
        <w:rPr>
          <w:rFonts w:ascii="Calibri" w:eastAsia="Calibri" w:hAnsi="Calibri" w:cs="Arial"/>
          <w:b/>
          <w:color w:val="002F5D"/>
        </w:rPr>
        <w:t>Adult Social Care Outcomes Framework</w:t>
      </w:r>
      <w:r w:rsidRPr="004A6349">
        <w:rPr>
          <w:rFonts w:ascii="Calibri" w:eastAsia="Calibri" w:hAnsi="Calibri" w:cs="Arial"/>
          <w:color w:val="002F5D"/>
        </w:rPr>
        <w:t xml:space="preserve"> indicates that Cambridgeshire and Peterborough both have a </w:t>
      </w:r>
      <w:r w:rsidRPr="004A6349">
        <w:rPr>
          <w:rFonts w:ascii="Calibri" w:eastAsia="Calibri" w:hAnsi="Calibri" w:cs="Arial"/>
          <w:b/>
          <w:color w:val="002F5D"/>
        </w:rPr>
        <w:t>quality of life</w:t>
      </w:r>
      <w:r w:rsidRPr="004A6349">
        <w:rPr>
          <w:rFonts w:ascii="Calibri" w:eastAsia="Calibri" w:hAnsi="Calibri" w:cs="Arial"/>
          <w:color w:val="002F5D"/>
        </w:rPr>
        <w:t xml:space="preserve"> score that is statistically significantly better than England.   Peterborough also has a statistically significantly higher proportion of people who use services who have control of their daily life. Other indicators, where local values differ from national averages but where the differences are not formally statistically significant, may warrant some attention.</w:t>
      </w:r>
    </w:p>
    <w:p w14:paraId="671355AB" w14:textId="77777777" w:rsidR="00B263C7" w:rsidRPr="0022024E" w:rsidRDefault="00B263C7" w:rsidP="009810FA">
      <w:pPr>
        <w:spacing w:line="240" w:lineRule="auto"/>
        <w:ind w:left="720" w:hanging="294"/>
        <w:rPr>
          <w:rFonts w:ascii="Calibri" w:eastAsia="Calibri" w:hAnsi="Calibri" w:cs="Arial"/>
          <w:color w:val="FF0000"/>
        </w:rPr>
      </w:pPr>
    </w:p>
    <w:p w14:paraId="728087B8" w14:textId="77777777" w:rsidR="009810FA" w:rsidRPr="0022024E" w:rsidRDefault="00E80CFE" w:rsidP="009810FA">
      <w:pPr>
        <w:spacing w:line="240" w:lineRule="auto"/>
        <w:ind w:left="720" w:hanging="294"/>
        <w:rPr>
          <w:rFonts w:ascii="Calibri" w:eastAsia="Calibri" w:hAnsi="Calibri" w:cs="Arial"/>
          <w:b/>
          <w:color w:val="FF0000"/>
        </w:rPr>
      </w:pPr>
      <w:r>
        <w:rPr>
          <w:rFonts w:ascii="Calibri" w:eastAsia="Calibri" w:hAnsi="Calibri" w:cs="Arial"/>
          <w:b/>
          <w:color w:val="FF0000"/>
        </w:rPr>
        <w:pict w14:anchorId="32EE9214">
          <v:rect id="_x0000_i1029" style="width:0;height:1.5pt" o:hralign="center" o:hrstd="t" o:hr="t" fillcolor="#a0a0a0" stroked="f"/>
        </w:pict>
      </w:r>
    </w:p>
    <w:p w14:paraId="47E389BE" w14:textId="77777777" w:rsidR="009810FA" w:rsidRDefault="009810FA" w:rsidP="009810FA">
      <w:pPr>
        <w:spacing w:line="276" w:lineRule="auto"/>
        <w:rPr>
          <w:rFonts w:ascii="Calibri" w:eastAsia="Calibri" w:hAnsi="Calibri" w:cs="Arial"/>
          <w:b/>
          <w:color w:val="FF0000"/>
        </w:rPr>
      </w:pPr>
    </w:p>
    <w:p w14:paraId="7F280713" w14:textId="77777777" w:rsidR="009810FA" w:rsidRPr="0022024E" w:rsidRDefault="009810FA" w:rsidP="009810FA">
      <w:pPr>
        <w:spacing w:line="276" w:lineRule="auto"/>
        <w:rPr>
          <w:rFonts w:ascii="Calibri" w:eastAsia="Calibri" w:hAnsi="Calibri" w:cs="Arial"/>
          <w:b/>
          <w:color w:val="FF0000"/>
        </w:rPr>
      </w:pPr>
    </w:p>
    <w:p w14:paraId="3DA467ED" w14:textId="77777777" w:rsidR="009810FA" w:rsidRPr="00834EAE" w:rsidRDefault="009810FA" w:rsidP="009810FA">
      <w:pPr>
        <w:spacing w:line="276" w:lineRule="auto"/>
        <w:rPr>
          <w:rFonts w:ascii="Calibri" w:eastAsia="Calibri" w:hAnsi="Calibri" w:cs="Arial"/>
          <w:b/>
          <w:color w:val="002F5D"/>
        </w:rPr>
      </w:pPr>
      <w:r w:rsidRPr="00834EAE">
        <w:rPr>
          <w:rFonts w:ascii="Calibri" w:eastAsia="Calibri" w:hAnsi="Calibri" w:cs="Arial"/>
          <w:b/>
          <w:color w:val="002F5D"/>
        </w:rPr>
        <w:t>LIFE EXPECTANCY AND MORTALITY</w:t>
      </w:r>
    </w:p>
    <w:p w14:paraId="6733CB08" w14:textId="77777777" w:rsidR="009810FA" w:rsidRDefault="009810FA" w:rsidP="009810FA">
      <w:pPr>
        <w:spacing w:before="120" w:line="240" w:lineRule="auto"/>
        <w:rPr>
          <w:rFonts w:ascii="Calibri" w:eastAsia="Calibri" w:hAnsi="Calibri" w:cs="Arial"/>
          <w:b/>
          <w:color w:val="002F5D"/>
        </w:rPr>
      </w:pPr>
      <w:r w:rsidRPr="00834EAE">
        <w:rPr>
          <w:rFonts w:ascii="Calibri" w:eastAsia="Calibri" w:hAnsi="Calibri" w:cs="Arial"/>
          <w:b/>
          <w:color w:val="002F5D"/>
        </w:rPr>
        <w:t>Life expectancy</w:t>
      </w:r>
    </w:p>
    <w:p w14:paraId="4900ED3D" w14:textId="77777777" w:rsidR="009810FA" w:rsidRPr="00242EBF" w:rsidRDefault="009810FA" w:rsidP="009810FA">
      <w:pPr>
        <w:pStyle w:val="ListParagraph"/>
        <w:numPr>
          <w:ilvl w:val="0"/>
          <w:numId w:val="88"/>
        </w:numPr>
        <w:spacing w:line="276" w:lineRule="auto"/>
        <w:rPr>
          <w:rFonts w:cs="Arial"/>
          <w:b/>
          <w:color w:val="002F5D"/>
        </w:rPr>
      </w:pPr>
      <w:r w:rsidRPr="00242EBF">
        <w:rPr>
          <w:b/>
          <w:color w:val="002F5D"/>
        </w:rPr>
        <w:t>Life expectancy at birth</w:t>
      </w:r>
      <w:r w:rsidRPr="00242EBF">
        <w:rPr>
          <w:color w:val="002F5D"/>
        </w:rPr>
        <w:t xml:space="preserve"> is statistically significantly </w:t>
      </w:r>
      <w:r w:rsidRPr="00242EBF">
        <w:rPr>
          <w:b/>
          <w:color w:val="002F5D"/>
        </w:rPr>
        <w:t>lower</w:t>
      </w:r>
      <w:r w:rsidRPr="00242EBF">
        <w:rPr>
          <w:color w:val="002F5D"/>
        </w:rPr>
        <w:t xml:space="preserve"> than the England average in men and women in </w:t>
      </w:r>
      <w:r w:rsidRPr="00242EBF">
        <w:rPr>
          <w:b/>
          <w:color w:val="002F5D"/>
        </w:rPr>
        <w:t>Peterborough</w:t>
      </w:r>
      <w:r w:rsidRPr="00242EBF">
        <w:rPr>
          <w:color w:val="002F5D"/>
        </w:rPr>
        <w:t xml:space="preserve"> and </w:t>
      </w:r>
      <w:r w:rsidRPr="00242EBF">
        <w:rPr>
          <w:b/>
          <w:color w:val="002F5D"/>
        </w:rPr>
        <w:t>Fenland</w:t>
      </w:r>
      <w:r w:rsidRPr="00242EBF">
        <w:rPr>
          <w:color w:val="002F5D"/>
        </w:rPr>
        <w:t xml:space="preserve">. Life expectancy in </w:t>
      </w:r>
      <w:r w:rsidRPr="00242EBF">
        <w:rPr>
          <w:b/>
          <w:color w:val="002F5D"/>
        </w:rPr>
        <w:t>all other areas</w:t>
      </w:r>
      <w:r w:rsidRPr="00242EBF">
        <w:rPr>
          <w:color w:val="002F5D"/>
        </w:rPr>
        <w:t xml:space="preserve"> is significantly </w:t>
      </w:r>
      <w:r w:rsidRPr="00242EBF">
        <w:rPr>
          <w:b/>
          <w:color w:val="002F5D"/>
        </w:rPr>
        <w:t>higher</w:t>
      </w:r>
      <w:r w:rsidRPr="00242EBF">
        <w:rPr>
          <w:color w:val="002F5D"/>
        </w:rPr>
        <w:t xml:space="preserve"> than national averages. </w:t>
      </w:r>
      <w:r w:rsidRPr="00242EBF">
        <w:rPr>
          <w:b/>
          <w:color w:val="002F5D"/>
        </w:rPr>
        <w:t>Healthy</w:t>
      </w:r>
      <w:r w:rsidRPr="00242EBF">
        <w:rPr>
          <w:color w:val="002F5D"/>
        </w:rPr>
        <w:t xml:space="preserve"> </w:t>
      </w:r>
      <w:r w:rsidRPr="00242EBF">
        <w:rPr>
          <w:b/>
          <w:color w:val="002F5D"/>
        </w:rPr>
        <w:t xml:space="preserve">life expectancy at birth </w:t>
      </w:r>
      <w:r w:rsidRPr="00242EBF">
        <w:rPr>
          <w:color w:val="002F5D"/>
        </w:rPr>
        <w:t xml:space="preserve">in </w:t>
      </w:r>
      <w:r w:rsidRPr="00242EBF">
        <w:rPr>
          <w:b/>
          <w:color w:val="002F5D"/>
        </w:rPr>
        <w:t>Cambridgeshire and</w:t>
      </w:r>
      <w:r w:rsidRPr="00242EBF">
        <w:rPr>
          <w:color w:val="002F5D"/>
        </w:rPr>
        <w:t xml:space="preserve"> </w:t>
      </w:r>
      <w:r w:rsidRPr="00242EBF">
        <w:rPr>
          <w:b/>
          <w:color w:val="002F5D"/>
        </w:rPr>
        <w:t>Peterborough</w:t>
      </w:r>
      <w:r w:rsidRPr="00242EBF">
        <w:rPr>
          <w:color w:val="002F5D"/>
        </w:rPr>
        <w:t>,</w:t>
      </w:r>
      <w:r w:rsidRPr="00242EBF">
        <w:rPr>
          <w:b/>
          <w:color w:val="002F5D"/>
        </w:rPr>
        <w:t xml:space="preserve"> </w:t>
      </w:r>
      <w:r w:rsidRPr="00242EBF">
        <w:rPr>
          <w:color w:val="002F5D"/>
        </w:rPr>
        <w:t>independently,</w:t>
      </w:r>
      <w:r w:rsidRPr="00242EBF">
        <w:rPr>
          <w:b/>
          <w:color w:val="002F5D"/>
        </w:rPr>
        <w:t xml:space="preserve"> </w:t>
      </w:r>
      <w:r w:rsidRPr="00242EBF">
        <w:rPr>
          <w:color w:val="002F5D"/>
        </w:rPr>
        <w:t xml:space="preserve">is </w:t>
      </w:r>
      <w:r w:rsidRPr="00242EBF">
        <w:rPr>
          <w:b/>
          <w:color w:val="002F5D"/>
        </w:rPr>
        <w:t>similar</w:t>
      </w:r>
      <w:r w:rsidRPr="00242EBF">
        <w:rPr>
          <w:color w:val="002F5D"/>
        </w:rPr>
        <w:t xml:space="preserve"> to the national averages in men. In women it is statistically significantly </w:t>
      </w:r>
      <w:r w:rsidRPr="00242EBF">
        <w:rPr>
          <w:b/>
          <w:color w:val="002F5D"/>
        </w:rPr>
        <w:t>higher</w:t>
      </w:r>
      <w:r w:rsidRPr="00242EBF">
        <w:rPr>
          <w:color w:val="002F5D"/>
        </w:rPr>
        <w:t xml:space="preserve"> (better) in </w:t>
      </w:r>
      <w:r w:rsidRPr="00242EBF">
        <w:rPr>
          <w:b/>
          <w:color w:val="002F5D"/>
        </w:rPr>
        <w:t xml:space="preserve">Cambridgeshire </w:t>
      </w:r>
      <w:r w:rsidRPr="00242EBF">
        <w:rPr>
          <w:color w:val="002F5D"/>
        </w:rPr>
        <w:t>and significantly</w:t>
      </w:r>
      <w:r w:rsidRPr="00242EBF">
        <w:rPr>
          <w:b/>
          <w:color w:val="002F5D"/>
        </w:rPr>
        <w:t xml:space="preserve"> lower </w:t>
      </w:r>
      <w:r w:rsidRPr="00242EBF">
        <w:rPr>
          <w:color w:val="002F5D"/>
        </w:rPr>
        <w:t>(worse) in</w:t>
      </w:r>
      <w:r w:rsidRPr="00242EBF">
        <w:rPr>
          <w:b/>
          <w:color w:val="002F5D"/>
        </w:rPr>
        <w:t xml:space="preserve"> Peterborough.</w:t>
      </w:r>
    </w:p>
    <w:p w14:paraId="439A1640" w14:textId="77777777" w:rsidR="009810FA" w:rsidRDefault="009810FA" w:rsidP="009810FA">
      <w:pPr>
        <w:numPr>
          <w:ilvl w:val="0"/>
          <w:numId w:val="49"/>
        </w:numPr>
        <w:spacing w:line="240" w:lineRule="auto"/>
        <w:contextualSpacing/>
        <w:rPr>
          <w:rFonts w:ascii="Calibri" w:eastAsia="Calibri" w:hAnsi="Calibri" w:cs="Times New Roman"/>
          <w:color w:val="002F5D"/>
        </w:rPr>
      </w:pPr>
      <w:r w:rsidRPr="00834EAE">
        <w:rPr>
          <w:rFonts w:ascii="Calibri" w:eastAsia="Calibri" w:hAnsi="Calibri" w:cs="Times New Roman"/>
          <w:color w:val="002F5D"/>
        </w:rPr>
        <w:t xml:space="preserve">The </w:t>
      </w:r>
      <w:r w:rsidRPr="00834EAE">
        <w:rPr>
          <w:rFonts w:ascii="Calibri" w:eastAsia="Calibri" w:hAnsi="Calibri" w:cs="Times New Roman"/>
          <w:b/>
          <w:color w:val="002F5D"/>
        </w:rPr>
        <w:t>gap in life expectancy</w:t>
      </w:r>
      <w:r w:rsidRPr="00834EAE">
        <w:rPr>
          <w:rFonts w:ascii="Calibri" w:eastAsia="Calibri" w:hAnsi="Calibri" w:cs="Times New Roman"/>
          <w:color w:val="002F5D"/>
        </w:rPr>
        <w:t xml:space="preserve"> between the least and most deprived is relatively </w:t>
      </w:r>
      <w:r w:rsidRPr="00834EAE">
        <w:rPr>
          <w:rFonts w:ascii="Calibri" w:eastAsia="Calibri" w:hAnsi="Calibri" w:cs="Times New Roman"/>
          <w:b/>
          <w:color w:val="002F5D"/>
        </w:rPr>
        <w:t>high</w:t>
      </w:r>
      <w:r w:rsidRPr="00834EAE">
        <w:rPr>
          <w:rFonts w:ascii="Calibri" w:eastAsia="Calibri" w:hAnsi="Calibri" w:cs="Times New Roman"/>
          <w:color w:val="002F5D"/>
        </w:rPr>
        <w:t xml:space="preserve"> in </w:t>
      </w:r>
      <w:r w:rsidRPr="00834EAE">
        <w:rPr>
          <w:rFonts w:ascii="Calibri" w:eastAsia="Calibri" w:hAnsi="Calibri" w:cs="Times New Roman"/>
          <w:b/>
          <w:color w:val="002F5D"/>
        </w:rPr>
        <w:t>Cambridge</w:t>
      </w:r>
      <w:r>
        <w:rPr>
          <w:rFonts w:ascii="Calibri" w:eastAsia="Calibri" w:hAnsi="Calibri" w:cs="Times New Roman"/>
          <w:b/>
          <w:color w:val="002F5D"/>
        </w:rPr>
        <w:t xml:space="preserve"> City</w:t>
      </w:r>
      <w:r w:rsidRPr="00834EAE">
        <w:rPr>
          <w:rFonts w:ascii="Calibri" w:eastAsia="Calibri" w:hAnsi="Calibri" w:cs="Times New Roman"/>
          <w:color w:val="002F5D"/>
        </w:rPr>
        <w:t xml:space="preserve"> and </w:t>
      </w:r>
      <w:r w:rsidRPr="00834EAE">
        <w:rPr>
          <w:rFonts w:ascii="Calibri" w:eastAsia="Calibri" w:hAnsi="Calibri" w:cs="Times New Roman"/>
          <w:b/>
          <w:color w:val="002F5D"/>
        </w:rPr>
        <w:t>Peterborough</w:t>
      </w:r>
      <w:r w:rsidRPr="00834EAE">
        <w:rPr>
          <w:rFonts w:ascii="Calibri" w:eastAsia="Calibri" w:hAnsi="Calibri" w:cs="Times New Roman"/>
          <w:color w:val="002F5D"/>
        </w:rPr>
        <w:t xml:space="preserve"> in both men and women, but this varies at a district level.</w:t>
      </w:r>
    </w:p>
    <w:p w14:paraId="09546DF8" w14:textId="77777777" w:rsidR="009810FA" w:rsidRDefault="009810FA" w:rsidP="009810FA">
      <w:pPr>
        <w:spacing w:line="240" w:lineRule="auto"/>
        <w:contextualSpacing/>
        <w:rPr>
          <w:rFonts w:ascii="Calibri" w:eastAsia="Calibri" w:hAnsi="Calibri" w:cs="Times New Roman"/>
          <w:color w:val="002F5D"/>
        </w:rPr>
      </w:pPr>
    </w:p>
    <w:p w14:paraId="070B78F9" w14:textId="77777777" w:rsidR="009810FA" w:rsidRPr="00242EBF" w:rsidRDefault="009810FA" w:rsidP="009810FA">
      <w:pPr>
        <w:spacing w:line="240" w:lineRule="auto"/>
        <w:contextualSpacing/>
        <w:rPr>
          <w:rFonts w:ascii="Calibri" w:eastAsia="Calibri" w:hAnsi="Calibri" w:cs="Times New Roman"/>
          <w:color w:val="002F5D"/>
        </w:rPr>
      </w:pPr>
      <w:r w:rsidRPr="00242EBF">
        <w:rPr>
          <w:rFonts w:ascii="Calibri" w:eastAsia="Calibri" w:hAnsi="Calibri" w:cs="Arial"/>
          <w:b/>
          <w:color w:val="002F5D"/>
        </w:rPr>
        <w:t>All-cause mortality</w:t>
      </w:r>
    </w:p>
    <w:p w14:paraId="5E2C8C92" w14:textId="77777777" w:rsidR="009810FA" w:rsidRPr="00834EAE" w:rsidRDefault="009810FA" w:rsidP="009810FA">
      <w:pPr>
        <w:numPr>
          <w:ilvl w:val="0"/>
          <w:numId w:val="11"/>
        </w:numPr>
        <w:spacing w:line="240" w:lineRule="auto"/>
        <w:ind w:left="714" w:hanging="357"/>
        <w:contextualSpacing/>
        <w:rPr>
          <w:rFonts w:ascii="Calibri" w:eastAsia="Calibri" w:hAnsi="Calibri" w:cs="Times New Roman"/>
          <w:color w:val="002F5D"/>
        </w:rPr>
      </w:pPr>
      <w:r w:rsidRPr="00834EAE">
        <w:rPr>
          <w:rFonts w:ascii="Calibri" w:eastAsia="Calibri" w:hAnsi="Calibri" w:cs="Times New Roman"/>
          <w:b/>
          <w:color w:val="002F5D"/>
        </w:rPr>
        <w:t>Peterborough’s</w:t>
      </w:r>
      <w:r w:rsidRPr="00834EAE">
        <w:rPr>
          <w:rFonts w:ascii="Calibri" w:eastAsia="Calibri" w:hAnsi="Calibri" w:cs="Times New Roman"/>
          <w:color w:val="002F5D"/>
        </w:rPr>
        <w:t xml:space="preserve"> all-age and under-75 all-cause death rates are statistically significantly </w:t>
      </w:r>
      <w:r w:rsidRPr="00834EAE">
        <w:rPr>
          <w:rFonts w:ascii="Calibri" w:eastAsia="Calibri" w:hAnsi="Calibri" w:cs="Times New Roman"/>
          <w:b/>
          <w:color w:val="002F5D"/>
        </w:rPr>
        <w:t>higher</w:t>
      </w:r>
      <w:r w:rsidRPr="00834EAE">
        <w:rPr>
          <w:rFonts w:ascii="Calibri" w:eastAsia="Calibri" w:hAnsi="Calibri" w:cs="Times New Roman"/>
          <w:color w:val="002F5D"/>
        </w:rPr>
        <w:t xml:space="preserve"> than the Cambridgeshire and Peterborough combined average. </w:t>
      </w:r>
      <w:r w:rsidRPr="00834EAE">
        <w:rPr>
          <w:rFonts w:ascii="Calibri" w:eastAsia="Calibri" w:hAnsi="Calibri" w:cs="Times New Roman"/>
          <w:b/>
          <w:color w:val="002F5D"/>
        </w:rPr>
        <w:t>Cambridgeshire’s</w:t>
      </w:r>
      <w:r w:rsidRPr="00834EAE">
        <w:rPr>
          <w:rFonts w:ascii="Calibri" w:eastAsia="Calibri" w:hAnsi="Calibri" w:cs="Times New Roman"/>
          <w:color w:val="002F5D"/>
        </w:rPr>
        <w:t xml:space="preserve"> rates are significantly </w:t>
      </w:r>
      <w:r w:rsidRPr="00834EAE">
        <w:rPr>
          <w:rFonts w:ascii="Calibri" w:eastAsia="Calibri" w:hAnsi="Calibri" w:cs="Times New Roman"/>
          <w:b/>
          <w:color w:val="002F5D"/>
        </w:rPr>
        <w:t>lower</w:t>
      </w:r>
      <w:r w:rsidRPr="00834EAE">
        <w:rPr>
          <w:rFonts w:ascii="Calibri" w:eastAsia="Calibri" w:hAnsi="Calibri" w:cs="Times New Roman"/>
          <w:color w:val="002F5D"/>
        </w:rPr>
        <w:t>.</w:t>
      </w:r>
    </w:p>
    <w:p w14:paraId="6E19AC01" w14:textId="77777777" w:rsidR="009810FA" w:rsidRPr="00834EAE" w:rsidRDefault="009810FA" w:rsidP="009810FA">
      <w:pPr>
        <w:numPr>
          <w:ilvl w:val="0"/>
          <w:numId w:val="11"/>
        </w:numPr>
        <w:spacing w:line="240" w:lineRule="auto"/>
        <w:ind w:left="714" w:hanging="357"/>
        <w:contextualSpacing/>
        <w:rPr>
          <w:rFonts w:ascii="Calibri" w:eastAsia="Calibri" w:hAnsi="Calibri" w:cs="Times New Roman"/>
          <w:color w:val="002F5D"/>
        </w:rPr>
      </w:pPr>
      <w:r w:rsidRPr="00834EAE">
        <w:rPr>
          <w:rFonts w:ascii="Calibri" w:eastAsia="Calibri" w:hAnsi="Calibri" w:cs="Times New Roman"/>
          <w:color w:val="002F5D"/>
        </w:rPr>
        <w:t xml:space="preserve">Rates in </w:t>
      </w:r>
      <w:r w:rsidRPr="00834EAE">
        <w:rPr>
          <w:rFonts w:ascii="Calibri" w:eastAsia="Calibri" w:hAnsi="Calibri" w:cs="Times New Roman"/>
          <w:b/>
          <w:color w:val="002F5D"/>
        </w:rPr>
        <w:t>Fenland</w:t>
      </w:r>
      <w:r w:rsidRPr="00834EAE">
        <w:rPr>
          <w:rFonts w:ascii="Calibri" w:eastAsia="Calibri" w:hAnsi="Calibri" w:cs="Times New Roman"/>
          <w:color w:val="002F5D"/>
        </w:rPr>
        <w:t xml:space="preserve"> are </w:t>
      </w:r>
      <w:r w:rsidRPr="00834EAE">
        <w:rPr>
          <w:rFonts w:ascii="Calibri" w:eastAsia="Calibri" w:hAnsi="Calibri" w:cs="Times New Roman"/>
          <w:b/>
          <w:color w:val="002F5D"/>
        </w:rPr>
        <w:t>higher</w:t>
      </w:r>
      <w:r w:rsidRPr="00834EAE">
        <w:rPr>
          <w:rFonts w:ascii="Calibri" w:eastAsia="Calibri" w:hAnsi="Calibri" w:cs="Times New Roman"/>
          <w:color w:val="002F5D"/>
        </w:rPr>
        <w:t xml:space="preserve"> than the Cambridgeshire equivalents in each age group.</w:t>
      </w:r>
    </w:p>
    <w:p w14:paraId="69E8A2F0" w14:textId="77777777" w:rsidR="009810FA" w:rsidRDefault="009810FA" w:rsidP="009810FA">
      <w:pPr>
        <w:numPr>
          <w:ilvl w:val="0"/>
          <w:numId w:val="11"/>
        </w:numPr>
        <w:spacing w:line="240" w:lineRule="auto"/>
        <w:ind w:left="714" w:hanging="357"/>
        <w:contextualSpacing/>
        <w:rPr>
          <w:rFonts w:ascii="Calibri" w:eastAsia="Calibri" w:hAnsi="Calibri" w:cs="Times New Roman"/>
          <w:color w:val="002F5D"/>
        </w:rPr>
      </w:pPr>
      <w:r w:rsidRPr="00834EAE">
        <w:rPr>
          <w:rFonts w:ascii="Calibri" w:eastAsia="Calibri" w:hAnsi="Calibri" w:cs="Times New Roman"/>
          <w:color w:val="002F5D"/>
        </w:rPr>
        <w:t xml:space="preserve">Rates of all-cause mortality are generally </w:t>
      </w:r>
      <w:r w:rsidRPr="00834EAE">
        <w:rPr>
          <w:rFonts w:ascii="Calibri" w:eastAsia="Calibri" w:hAnsi="Calibri" w:cs="Times New Roman"/>
          <w:b/>
          <w:color w:val="002F5D"/>
        </w:rPr>
        <w:t>higher</w:t>
      </w:r>
      <w:r w:rsidRPr="00834EAE">
        <w:rPr>
          <w:rFonts w:ascii="Calibri" w:eastAsia="Calibri" w:hAnsi="Calibri" w:cs="Times New Roman"/>
          <w:color w:val="002F5D"/>
        </w:rPr>
        <w:t xml:space="preserve"> in relatively </w:t>
      </w:r>
      <w:r w:rsidRPr="00834EAE">
        <w:rPr>
          <w:rFonts w:ascii="Calibri" w:eastAsia="Calibri" w:hAnsi="Calibri" w:cs="Times New Roman"/>
          <w:b/>
          <w:color w:val="002F5D"/>
        </w:rPr>
        <w:t>more deprived areas</w:t>
      </w:r>
      <w:r w:rsidRPr="00834EAE">
        <w:rPr>
          <w:rFonts w:ascii="Calibri" w:eastAsia="Calibri" w:hAnsi="Calibri" w:cs="Times New Roman"/>
          <w:color w:val="002F5D"/>
        </w:rPr>
        <w:t xml:space="preserve"> of </w:t>
      </w:r>
      <w:r w:rsidRPr="00834EAE">
        <w:rPr>
          <w:rFonts w:ascii="Calibri" w:eastAsia="Calibri" w:hAnsi="Calibri" w:cs="Times New Roman"/>
          <w:b/>
          <w:color w:val="002F5D"/>
        </w:rPr>
        <w:t>Cambridgeshire</w:t>
      </w:r>
      <w:r w:rsidRPr="00834EAE">
        <w:rPr>
          <w:rFonts w:ascii="Calibri" w:eastAsia="Calibri" w:hAnsi="Calibri" w:cs="Times New Roman"/>
          <w:color w:val="002F5D"/>
        </w:rPr>
        <w:t xml:space="preserve"> compared with the average for the County. The </w:t>
      </w:r>
      <w:r w:rsidRPr="00834EAE">
        <w:rPr>
          <w:rFonts w:ascii="Calibri" w:eastAsia="Calibri" w:hAnsi="Calibri" w:cs="Times New Roman"/>
          <w:b/>
          <w:color w:val="002F5D"/>
        </w:rPr>
        <w:t>same</w:t>
      </w:r>
      <w:r w:rsidRPr="00834EAE">
        <w:rPr>
          <w:rFonts w:ascii="Calibri" w:eastAsia="Calibri" w:hAnsi="Calibri" w:cs="Times New Roman"/>
          <w:color w:val="002F5D"/>
        </w:rPr>
        <w:t xml:space="preserve"> is also </w:t>
      </w:r>
      <w:r w:rsidRPr="00834EAE">
        <w:rPr>
          <w:rFonts w:ascii="Calibri" w:eastAsia="Calibri" w:hAnsi="Calibri" w:cs="Times New Roman"/>
          <w:b/>
          <w:color w:val="002F5D"/>
        </w:rPr>
        <w:t>true</w:t>
      </w:r>
      <w:r w:rsidRPr="00834EAE">
        <w:rPr>
          <w:rFonts w:ascii="Calibri" w:eastAsia="Calibri" w:hAnsi="Calibri" w:cs="Times New Roman"/>
          <w:color w:val="002F5D"/>
        </w:rPr>
        <w:t xml:space="preserve"> for </w:t>
      </w:r>
      <w:r w:rsidRPr="00834EAE">
        <w:rPr>
          <w:rFonts w:ascii="Calibri" w:eastAsia="Calibri" w:hAnsi="Calibri" w:cs="Times New Roman"/>
          <w:b/>
          <w:color w:val="002F5D"/>
        </w:rPr>
        <w:t>Peterborough</w:t>
      </w:r>
      <w:r w:rsidRPr="00834EAE">
        <w:rPr>
          <w:rFonts w:ascii="Calibri" w:eastAsia="Calibri" w:hAnsi="Calibri" w:cs="Times New Roman"/>
          <w:color w:val="002F5D"/>
        </w:rPr>
        <w:t xml:space="preserve"> compared with the City Council average. Death rates are </w:t>
      </w:r>
      <w:r w:rsidRPr="00834EAE">
        <w:rPr>
          <w:rFonts w:ascii="Calibri" w:eastAsia="Calibri" w:hAnsi="Calibri" w:cs="Times New Roman"/>
          <w:b/>
          <w:color w:val="002F5D"/>
        </w:rPr>
        <w:t>lower</w:t>
      </w:r>
      <w:r w:rsidRPr="00834EAE">
        <w:rPr>
          <w:rFonts w:ascii="Calibri" w:eastAsia="Calibri" w:hAnsi="Calibri" w:cs="Times New Roman"/>
          <w:color w:val="002F5D"/>
        </w:rPr>
        <w:t xml:space="preserve"> in the more </w:t>
      </w:r>
      <w:r w:rsidRPr="00834EAE">
        <w:rPr>
          <w:rFonts w:ascii="Calibri" w:eastAsia="Calibri" w:hAnsi="Calibri" w:cs="Times New Roman"/>
          <w:b/>
          <w:color w:val="002F5D"/>
        </w:rPr>
        <w:t>affluent areas</w:t>
      </w:r>
      <w:r w:rsidRPr="00834EAE">
        <w:rPr>
          <w:rFonts w:ascii="Calibri" w:eastAsia="Calibri" w:hAnsi="Calibri" w:cs="Times New Roman"/>
          <w:color w:val="002F5D"/>
        </w:rPr>
        <w:t xml:space="preserve"> of </w:t>
      </w:r>
      <w:r w:rsidRPr="00834EAE">
        <w:rPr>
          <w:rFonts w:ascii="Calibri" w:eastAsia="Calibri" w:hAnsi="Calibri" w:cs="Times New Roman"/>
          <w:b/>
          <w:color w:val="002F5D"/>
        </w:rPr>
        <w:t>Cambridgeshire and Peterborough</w:t>
      </w:r>
      <w:r w:rsidRPr="00834EAE">
        <w:rPr>
          <w:rFonts w:ascii="Calibri" w:eastAsia="Calibri" w:hAnsi="Calibri" w:cs="Times New Roman"/>
          <w:color w:val="002F5D"/>
        </w:rPr>
        <w:t>.</w:t>
      </w:r>
    </w:p>
    <w:p w14:paraId="1CBFC5B4" w14:textId="75594D62" w:rsidR="009810FA" w:rsidRDefault="009810FA" w:rsidP="009810FA">
      <w:pPr>
        <w:spacing w:line="240" w:lineRule="auto"/>
        <w:ind w:left="714"/>
        <w:contextualSpacing/>
        <w:rPr>
          <w:rFonts w:ascii="Calibri" w:eastAsia="Calibri" w:hAnsi="Calibri" w:cs="Times New Roman"/>
          <w:color w:val="002F5D"/>
        </w:rPr>
      </w:pPr>
    </w:p>
    <w:p w14:paraId="7DFAA774" w14:textId="090BAE9B" w:rsidR="00996925" w:rsidRDefault="00996925" w:rsidP="009810FA">
      <w:pPr>
        <w:spacing w:line="240" w:lineRule="auto"/>
        <w:ind w:left="714"/>
        <w:contextualSpacing/>
        <w:rPr>
          <w:rFonts w:ascii="Calibri" w:eastAsia="Calibri" w:hAnsi="Calibri" w:cs="Times New Roman"/>
          <w:color w:val="002F5D"/>
        </w:rPr>
      </w:pPr>
    </w:p>
    <w:p w14:paraId="20362702" w14:textId="77777777" w:rsidR="00996925" w:rsidRPr="00242EBF" w:rsidRDefault="00996925" w:rsidP="009810FA">
      <w:pPr>
        <w:spacing w:line="240" w:lineRule="auto"/>
        <w:ind w:left="714"/>
        <w:contextualSpacing/>
        <w:rPr>
          <w:rFonts w:ascii="Calibri" w:eastAsia="Calibri" w:hAnsi="Calibri" w:cs="Times New Roman"/>
          <w:color w:val="002F5D"/>
        </w:rPr>
      </w:pPr>
    </w:p>
    <w:p w14:paraId="04104F2E" w14:textId="77777777" w:rsidR="009810FA" w:rsidRPr="00A31253" w:rsidRDefault="009810FA" w:rsidP="009810FA">
      <w:pPr>
        <w:pStyle w:val="NoSpacing"/>
        <w:rPr>
          <w:b/>
          <w:color w:val="002F5D"/>
        </w:rPr>
      </w:pPr>
      <w:r w:rsidRPr="00A31253">
        <w:rPr>
          <w:b/>
          <w:color w:val="002F5D"/>
        </w:rPr>
        <w:lastRenderedPageBreak/>
        <w:t>Overall health status and levels of disability</w:t>
      </w:r>
    </w:p>
    <w:p w14:paraId="00BA4173" w14:textId="77777777" w:rsidR="009810FA" w:rsidRPr="00834EAE" w:rsidRDefault="009810FA" w:rsidP="009810FA">
      <w:pPr>
        <w:numPr>
          <w:ilvl w:val="0"/>
          <w:numId w:val="41"/>
        </w:numPr>
        <w:spacing w:after="200" w:line="240" w:lineRule="auto"/>
        <w:contextualSpacing/>
        <w:rPr>
          <w:rFonts w:ascii="Calibri" w:eastAsia="Calibri" w:hAnsi="Calibri" w:cs="Times New Roman"/>
          <w:color w:val="002F5D"/>
        </w:rPr>
      </w:pPr>
      <w:r w:rsidRPr="00834EAE">
        <w:rPr>
          <w:rFonts w:ascii="Calibri" w:eastAsia="Calibri" w:hAnsi="Calibri" w:cs="Times New Roman"/>
          <w:color w:val="002F5D"/>
        </w:rPr>
        <w:t xml:space="preserve">At the 2011 Census, the age-standardised percentage of household residents reporting </w:t>
      </w:r>
      <w:r w:rsidRPr="00834EAE">
        <w:rPr>
          <w:rFonts w:ascii="Calibri" w:eastAsia="Calibri" w:hAnsi="Calibri" w:cs="Times New Roman"/>
          <w:b/>
          <w:color w:val="002F5D"/>
        </w:rPr>
        <w:t>good or very good health</w:t>
      </w:r>
      <w:r w:rsidRPr="00834EAE">
        <w:rPr>
          <w:rFonts w:ascii="Calibri" w:eastAsia="Calibri" w:hAnsi="Calibri" w:cs="Times New Roman"/>
          <w:color w:val="002F5D"/>
        </w:rPr>
        <w:t xml:space="preserve"> was statistically significantly </w:t>
      </w:r>
      <w:r w:rsidRPr="00834EAE">
        <w:rPr>
          <w:rFonts w:ascii="Calibri" w:eastAsia="Calibri" w:hAnsi="Calibri" w:cs="Times New Roman"/>
          <w:b/>
          <w:color w:val="002F5D"/>
        </w:rPr>
        <w:t>lower</w:t>
      </w:r>
      <w:r w:rsidRPr="00834EAE">
        <w:rPr>
          <w:rFonts w:ascii="Calibri" w:eastAsia="Calibri" w:hAnsi="Calibri" w:cs="Times New Roman"/>
          <w:color w:val="002F5D"/>
        </w:rPr>
        <w:t xml:space="preserve"> than the England average in </w:t>
      </w:r>
      <w:r w:rsidRPr="00834EAE">
        <w:rPr>
          <w:rFonts w:ascii="Calibri" w:eastAsia="Calibri" w:hAnsi="Calibri" w:cs="Times New Roman"/>
          <w:b/>
          <w:color w:val="002F5D"/>
        </w:rPr>
        <w:t>Fenland</w:t>
      </w:r>
      <w:r w:rsidRPr="00834EAE">
        <w:rPr>
          <w:rFonts w:ascii="Calibri" w:eastAsia="Calibri" w:hAnsi="Calibri" w:cs="Times New Roman"/>
          <w:color w:val="002F5D"/>
        </w:rPr>
        <w:t xml:space="preserve"> and </w:t>
      </w:r>
      <w:r w:rsidRPr="00834EAE">
        <w:rPr>
          <w:rFonts w:ascii="Calibri" w:eastAsia="Calibri" w:hAnsi="Calibri" w:cs="Times New Roman"/>
          <w:b/>
          <w:color w:val="002F5D"/>
        </w:rPr>
        <w:t xml:space="preserve">Peterborough </w:t>
      </w:r>
      <w:r w:rsidRPr="00834EAE">
        <w:rPr>
          <w:rFonts w:ascii="Calibri" w:eastAsia="Calibri" w:hAnsi="Calibri" w:cs="Times New Roman"/>
          <w:color w:val="002F5D"/>
        </w:rPr>
        <w:t>in both men and women.</w:t>
      </w:r>
    </w:p>
    <w:p w14:paraId="046D92ED" w14:textId="77777777" w:rsidR="009810FA" w:rsidRDefault="009810FA" w:rsidP="009810FA">
      <w:pPr>
        <w:numPr>
          <w:ilvl w:val="0"/>
          <w:numId w:val="41"/>
        </w:numPr>
        <w:spacing w:line="240" w:lineRule="auto"/>
        <w:contextualSpacing/>
        <w:rPr>
          <w:rFonts w:ascii="Calibri" w:eastAsia="Calibri" w:hAnsi="Calibri" w:cs="Times New Roman"/>
          <w:color w:val="002F5D"/>
        </w:rPr>
      </w:pPr>
      <w:r w:rsidRPr="00834EAE">
        <w:rPr>
          <w:rFonts w:ascii="Calibri" w:eastAsia="Calibri" w:hAnsi="Calibri" w:cs="Times New Roman"/>
          <w:color w:val="002F5D"/>
        </w:rPr>
        <w:t xml:space="preserve">The age-standardised percentage reporting a </w:t>
      </w:r>
      <w:r w:rsidRPr="00834EAE">
        <w:rPr>
          <w:rFonts w:ascii="Calibri" w:eastAsia="Calibri" w:hAnsi="Calibri" w:cs="Times New Roman"/>
          <w:b/>
          <w:color w:val="002F5D"/>
        </w:rPr>
        <w:t>long-term activity-limiting illness</w:t>
      </w:r>
      <w:r w:rsidRPr="00834EAE">
        <w:rPr>
          <w:rFonts w:ascii="Calibri" w:eastAsia="Calibri" w:hAnsi="Calibri" w:cs="Times New Roman"/>
          <w:color w:val="002F5D"/>
        </w:rPr>
        <w:t xml:space="preserve"> was statistically significantly higher than the England average in </w:t>
      </w:r>
      <w:r w:rsidRPr="00834EAE">
        <w:rPr>
          <w:rFonts w:ascii="Calibri" w:eastAsia="Calibri" w:hAnsi="Calibri" w:cs="Times New Roman"/>
          <w:b/>
          <w:color w:val="002F5D"/>
        </w:rPr>
        <w:t>Fenland</w:t>
      </w:r>
      <w:r w:rsidRPr="00834EAE">
        <w:rPr>
          <w:rFonts w:ascii="Calibri" w:eastAsia="Calibri" w:hAnsi="Calibri" w:cs="Times New Roman"/>
          <w:color w:val="002F5D"/>
        </w:rPr>
        <w:t xml:space="preserve"> and </w:t>
      </w:r>
      <w:r w:rsidRPr="00834EAE">
        <w:rPr>
          <w:rFonts w:ascii="Calibri" w:eastAsia="Calibri" w:hAnsi="Calibri" w:cs="Times New Roman"/>
          <w:b/>
          <w:color w:val="002F5D"/>
        </w:rPr>
        <w:t xml:space="preserve">Peterborough </w:t>
      </w:r>
      <w:r w:rsidRPr="00834EAE">
        <w:rPr>
          <w:rFonts w:ascii="Calibri" w:eastAsia="Calibri" w:hAnsi="Calibri" w:cs="Times New Roman"/>
          <w:color w:val="002F5D"/>
        </w:rPr>
        <w:t>in both men and women.</w:t>
      </w:r>
    </w:p>
    <w:p w14:paraId="7AAA3FC6" w14:textId="77777777" w:rsidR="009810FA" w:rsidRDefault="009810FA" w:rsidP="009810FA">
      <w:pPr>
        <w:spacing w:line="240" w:lineRule="auto"/>
        <w:contextualSpacing/>
        <w:rPr>
          <w:color w:val="002F5D"/>
        </w:rPr>
      </w:pPr>
    </w:p>
    <w:p w14:paraId="705D84AC" w14:textId="77777777" w:rsidR="009810FA" w:rsidRPr="00F03581" w:rsidRDefault="009810FA" w:rsidP="009810FA">
      <w:pPr>
        <w:spacing w:line="240" w:lineRule="auto"/>
        <w:contextualSpacing/>
        <w:rPr>
          <w:b/>
          <w:color w:val="002F5D"/>
        </w:rPr>
      </w:pPr>
      <w:r w:rsidRPr="00F03581">
        <w:rPr>
          <w:b/>
          <w:color w:val="002F5D"/>
        </w:rPr>
        <w:t>Future prevalence</w:t>
      </w:r>
    </w:p>
    <w:p w14:paraId="4EB7B118" w14:textId="77777777" w:rsidR="009810FA" w:rsidRPr="00F03581" w:rsidRDefault="009810FA" w:rsidP="009810FA">
      <w:pPr>
        <w:pStyle w:val="ListParagraph"/>
        <w:numPr>
          <w:ilvl w:val="0"/>
          <w:numId w:val="91"/>
        </w:numPr>
        <w:spacing w:line="240" w:lineRule="auto"/>
        <w:rPr>
          <w:rFonts w:ascii="Calibri" w:eastAsia="Calibri" w:hAnsi="Calibri" w:cs="Times New Roman"/>
          <w:color w:val="002F5D"/>
        </w:rPr>
      </w:pPr>
      <w:r w:rsidRPr="00F03581">
        <w:rPr>
          <w:color w:val="002F5D"/>
        </w:rPr>
        <w:t xml:space="preserve">The </w:t>
      </w:r>
      <w:r w:rsidRPr="00F03581">
        <w:rPr>
          <w:b/>
          <w:color w:val="002F5D"/>
        </w:rPr>
        <w:t>number of people</w:t>
      </w:r>
      <w:r w:rsidRPr="00F03581">
        <w:rPr>
          <w:color w:val="002F5D"/>
        </w:rPr>
        <w:t xml:space="preserve"> predicted to have </w:t>
      </w:r>
      <w:r w:rsidRPr="00F03581">
        <w:rPr>
          <w:b/>
          <w:color w:val="002F5D"/>
        </w:rPr>
        <w:t>additional needs</w:t>
      </w:r>
      <w:r w:rsidRPr="00F03581">
        <w:rPr>
          <w:color w:val="002F5D"/>
        </w:rPr>
        <w:t xml:space="preserve"> such as a moderate/serious physical disability, moderate/serious personal care disability, common mental disorder, people predicted to have a fall and people predicted to have dementia are </w:t>
      </w:r>
      <w:r w:rsidRPr="00F03581">
        <w:rPr>
          <w:b/>
          <w:color w:val="002F5D"/>
        </w:rPr>
        <w:t xml:space="preserve">expected to increase in Cambridgeshire and Peterborough </w:t>
      </w:r>
      <w:r w:rsidRPr="00F03581">
        <w:rPr>
          <w:color w:val="002F5D"/>
        </w:rPr>
        <w:t xml:space="preserve">over coming years. </w:t>
      </w:r>
      <w:r>
        <w:rPr>
          <w:color w:val="002F5D"/>
        </w:rPr>
        <w:t>Different conditions are expected to increase at different rates. There is variation in levels of increase across the d</w:t>
      </w:r>
      <w:r w:rsidRPr="00F03581">
        <w:rPr>
          <w:color w:val="002F5D"/>
        </w:rPr>
        <w:t>istricts.</w:t>
      </w:r>
    </w:p>
    <w:p w14:paraId="7811D43C" w14:textId="77777777" w:rsidR="009810FA" w:rsidRPr="00242EBF" w:rsidRDefault="009810FA" w:rsidP="009810FA">
      <w:pPr>
        <w:spacing w:line="240" w:lineRule="auto"/>
        <w:contextualSpacing/>
        <w:rPr>
          <w:rFonts w:ascii="Calibri" w:eastAsia="Calibri" w:hAnsi="Calibri" w:cs="Times New Roman"/>
          <w:color w:val="002F5D"/>
        </w:rPr>
      </w:pPr>
    </w:p>
    <w:p w14:paraId="5F07FEED" w14:textId="77777777" w:rsidR="009810FA" w:rsidRPr="00242EBF" w:rsidRDefault="009810FA" w:rsidP="009810FA">
      <w:pPr>
        <w:spacing w:line="240" w:lineRule="auto"/>
        <w:contextualSpacing/>
        <w:rPr>
          <w:rFonts w:ascii="Calibri" w:eastAsia="Calibri" w:hAnsi="Calibri" w:cs="Arial"/>
          <w:b/>
          <w:color w:val="002F5D"/>
        </w:rPr>
      </w:pPr>
      <w:r w:rsidRPr="00834EAE">
        <w:rPr>
          <w:rFonts w:ascii="Calibri" w:eastAsia="Calibri" w:hAnsi="Calibri" w:cs="Arial"/>
          <w:b/>
          <w:color w:val="002F5D"/>
        </w:rPr>
        <w:t xml:space="preserve">Main </w:t>
      </w:r>
      <w:r w:rsidRPr="00242EBF">
        <w:rPr>
          <w:rFonts w:ascii="Calibri" w:eastAsia="Calibri" w:hAnsi="Calibri" w:cs="Arial"/>
          <w:b/>
          <w:color w:val="002F5D"/>
        </w:rPr>
        <w:t>causes of death</w:t>
      </w:r>
    </w:p>
    <w:p w14:paraId="50CBB120" w14:textId="77777777" w:rsidR="009810FA" w:rsidRPr="00A31253" w:rsidRDefault="009810FA" w:rsidP="009810FA">
      <w:pPr>
        <w:pStyle w:val="ListParagraph"/>
        <w:numPr>
          <w:ilvl w:val="0"/>
          <w:numId w:val="89"/>
        </w:numPr>
        <w:spacing w:line="276" w:lineRule="auto"/>
        <w:rPr>
          <w:b/>
          <w:color w:val="002F5D"/>
        </w:rPr>
      </w:pPr>
      <w:r w:rsidRPr="00242EBF">
        <w:rPr>
          <w:color w:val="002F5D"/>
        </w:rPr>
        <w:t xml:space="preserve">The </w:t>
      </w:r>
      <w:r w:rsidRPr="00242EBF">
        <w:rPr>
          <w:b/>
          <w:color w:val="002F5D"/>
        </w:rPr>
        <w:t>main causes of death</w:t>
      </w:r>
      <w:r w:rsidRPr="00242EBF">
        <w:rPr>
          <w:color w:val="002F5D"/>
        </w:rPr>
        <w:t xml:space="preserve"> in Cambridgeshire and Peterborough residents are cancer (28%), cardiovascular disease (25%), respiratory disease (13%) and dementia and Alzheimer’s (12%).</w:t>
      </w:r>
    </w:p>
    <w:p w14:paraId="3156E919" w14:textId="77777777" w:rsidR="009810FA" w:rsidRDefault="009810FA" w:rsidP="009810FA">
      <w:pPr>
        <w:pStyle w:val="NoSpacing"/>
        <w:rPr>
          <w:b/>
          <w:color w:val="002F5D"/>
        </w:rPr>
      </w:pPr>
    </w:p>
    <w:p w14:paraId="6E394111" w14:textId="77777777" w:rsidR="009810FA" w:rsidRPr="00A31253" w:rsidRDefault="009810FA" w:rsidP="009810FA">
      <w:pPr>
        <w:pStyle w:val="NoSpacing"/>
        <w:rPr>
          <w:b/>
          <w:color w:val="002F5D"/>
        </w:rPr>
      </w:pPr>
      <w:r w:rsidRPr="00A31253">
        <w:rPr>
          <w:b/>
          <w:color w:val="002F5D"/>
        </w:rPr>
        <w:t>Cardiovascular disease (CVD) mortality</w:t>
      </w:r>
    </w:p>
    <w:p w14:paraId="258212FA" w14:textId="77777777" w:rsidR="009810FA" w:rsidRPr="00A31253" w:rsidRDefault="009810FA" w:rsidP="009810FA">
      <w:pPr>
        <w:pStyle w:val="NoSpacing"/>
        <w:numPr>
          <w:ilvl w:val="0"/>
          <w:numId w:val="90"/>
        </w:numPr>
        <w:rPr>
          <w:b/>
          <w:color w:val="002F5D"/>
        </w:rPr>
      </w:pPr>
      <w:r w:rsidRPr="00A31253">
        <w:rPr>
          <w:b/>
          <w:color w:val="002F5D"/>
        </w:rPr>
        <w:t>Peterborough’s</w:t>
      </w:r>
      <w:r w:rsidRPr="00A31253">
        <w:rPr>
          <w:color w:val="002F5D"/>
        </w:rPr>
        <w:t xml:space="preserve"> all-age and under-75 CVD death rates are statistically significantly </w:t>
      </w:r>
      <w:r w:rsidRPr="00A31253">
        <w:rPr>
          <w:b/>
          <w:color w:val="002F5D"/>
        </w:rPr>
        <w:t xml:space="preserve">higher </w:t>
      </w:r>
      <w:r w:rsidRPr="00A31253">
        <w:rPr>
          <w:color w:val="002F5D"/>
        </w:rPr>
        <w:t xml:space="preserve">than the Cambridgeshire and Peterborough combined averages. </w:t>
      </w:r>
      <w:r w:rsidRPr="00A31253">
        <w:rPr>
          <w:b/>
          <w:color w:val="002F5D"/>
        </w:rPr>
        <w:t>Cambridgeshire’s</w:t>
      </w:r>
      <w:r w:rsidRPr="00A31253">
        <w:rPr>
          <w:color w:val="002F5D"/>
        </w:rPr>
        <w:t xml:space="preserve"> rates are </w:t>
      </w:r>
      <w:r w:rsidRPr="00A31253">
        <w:rPr>
          <w:b/>
          <w:color w:val="002F5D"/>
        </w:rPr>
        <w:t>similar.</w:t>
      </w:r>
    </w:p>
    <w:p w14:paraId="0A1EC695" w14:textId="77777777" w:rsidR="009810FA" w:rsidRPr="00A207BC"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All-age Rates in </w:t>
      </w:r>
      <w:r w:rsidRPr="00A207BC">
        <w:rPr>
          <w:rFonts w:ascii="Calibri" w:eastAsia="Calibri" w:hAnsi="Calibri" w:cs="Times New Roman"/>
          <w:b/>
          <w:color w:val="002F5D"/>
        </w:rPr>
        <w:t>Cambridge</w:t>
      </w:r>
      <w:r w:rsidRPr="00A207BC">
        <w:rPr>
          <w:rFonts w:ascii="Calibri" w:eastAsia="Calibri" w:hAnsi="Calibri" w:cs="Times New Roman"/>
          <w:color w:val="002F5D"/>
        </w:rPr>
        <w:t xml:space="preserve"> and under-75 rates in </w:t>
      </w:r>
      <w:r w:rsidRPr="00A207BC">
        <w:rPr>
          <w:rFonts w:ascii="Calibri" w:eastAsia="Calibri" w:hAnsi="Calibri" w:cs="Times New Roman"/>
          <w:b/>
          <w:color w:val="002F5D"/>
        </w:rPr>
        <w:t>Fenland</w:t>
      </w:r>
      <w:r w:rsidRPr="00A207BC">
        <w:rPr>
          <w:rFonts w:ascii="Calibri" w:eastAsia="Calibri" w:hAnsi="Calibri" w:cs="Times New Roman"/>
          <w:color w:val="002F5D"/>
        </w:rPr>
        <w:t xml:space="preserve"> are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equivalents in each age group.</w:t>
      </w:r>
    </w:p>
    <w:p w14:paraId="59B4F9B9" w14:textId="77777777" w:rsidR="009810FA" w:rsidRDefault="009810FA" w:rsidP="009810FA">
      <w:pPr>
        <w:numPr>
          <w:ilvl w:val="0"/>
          <w:numId w:val="11"/>
        </w:numPr>
        <w:spacing w:after="120"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There is a </w:t>
      </w:r>
      <w:r w:rsidRPr="00A207BC">
        <w:rPr>
          <w:rFonts w:ascii="Calibri" w:eastAsia="Calibri" w:hAnsi="Calibri" w:cs="Times New Roman"/>
          <w:b/>
          <w:color w:val="002F5D"/>
        </w:rPr>
        <w:t>relatively clear gradient</w:t>
      </w:r>
      <w:r w:rsidRPr="00A207BC">
        <w:rPr>
          <w:rFonts w:ascii="Calibri" w:eastAsia="Calibri" w:hAnsi="Calibri" w:cs="Times New Roman"/>
          <w:color w:val="002F5D"/>
        </w:rPr>
        <w:t xml:space="preserve"> in </w:t>
      </w:r>
      <w:r w:rsidRPr="00A207BC">
        <w:rPr>
          <w:rFonts w:ascii="Calibri" w:eastAsia="Calibri" w:hAnsi="Calibri" w:cs="Times New Roman"/>
          <w:b/>
          <w:color w:val="002F5D"/>
        </w:rPr>
        <w:t>premature</w:t>
      </w:r>
      <w:r w:rsidRPr="00A207BC">
        <w:rPr>
          <w:rFonts w:ascii="Calibri" w:eastAsia="Calibri" w:hAnsi="Calibri" w:cs="Times New Roman"/>
          <w:color w:val="002F5D"/>
        </w:rPr>
        <w:t xml:space="preserve"> </w:t>
      </w:r>
      <w:r w:rsidRPr="00A207BC">
        <w:rPr>
          <w:rFonts w:ascii="Calibri" w:eastAsia="Calibri" w:hAnsi="Calibri" w:cs="Times New Roman"/>
          <w:b/>
          <w:color w:val="002F5D"/>
        </w:rPr>
        <w:t>CVD mortality</w:t>
      </w:r>
      <w:r w:rsidRPr="00A207BC">
        <w:rPr>
          <w:rFonts w:ascii="Calibri" w:eastAsia="Calibri" w:hAnsi="Calibri" w:cs="Times New Roman"/>
          <w:color w:val="002F5D"/>
        </w:rPr>
        <w:t xml:space="preserve"> in both Cambridgeshire and Peterborough </w:t>
      </w:r>
      <w:r w:rsidRPr="00A207BC">
        <w:rPr>
          <w:rFonts w:ascii="Calibri" w:eastAsia="Calibri" w:hAnsi="Calibri" w:cs="Times New Roman"/>
          <w:b/>
          <w:color w:val="002F5D"/>
        </w:rPr>
        <w:t>between</w:t>
      </w:r>
      <w:r w:rsidRPr="00A207BC">
        <w:rPr>
          <w:rFonts w:ascii="Calibri" w:eastAsia="Calibri" w:hAnsi="Calibri" w:cs="Times New Roman"/>
          <w:color w:val="002F5D"/>
        </w:rPr>
        <w:t xml:space="preserve"> relatively </w:t>
      </w:r>
      <w:r w:rsidRPr="00A207BC">
        <w:rPr>
          <w:rFonts w:ascii="Calibri" w:eastAsia="Calibri" w:hAnsi="Calibri" w:cs="Times New Roman"/>
          <w:b/>
          <w:color w:val="002F5D"/>
        </w:rPr>
        <w:t>more</w:t>
      </w:r>
      <w:r w:rsidRPr="00A207BC">
        <w:rPr>
          <w:rFonts w:ascii="Calibri" w:eastAsia="Calibri" w:hAnsi="Calibri" w:cs="Times New Roman"/>
          <w:color w:val="002F5D"/>
        </w:rPr>
        <w:t xml:space="preserve"> and </w:t>
      </w:r>
      <w:r w:rsidRPr="00A207BC">
        <w:rPr>
          <w:rFonts w:ascii="Calibri" w:eastAsia="Calibri" w:hAnsi="Calibri" w:cs="Times New Roman"/>
          <w:b/>
          <w:color w:val="002F5D"/>
        </w:rPr>
        <w:t>less</w:t>
      </w:r>
      <w:r w:rsidRPr="00A207BC">
        <w:rPr>
          <w:rFonts w:ascii="Calibri" w:eastAsia="Calibri" w:hAnsi="Calibri" w:cs="Times New Roman"/>
          <w:color w:val="002F5D"/>
        </w:rPr>
        <w:t xml:space="preserve"> </w:t>
      </w:r>
      <w:r w:rsidRPr="00A207BC">
        <w:rPr>
          <w:rFonts w:ascii="Calibri" w:eastAsia="Calibri" w:hAnsi="Calibri" w:cs="Times New Roman"/>
          <w:b/>
          <w:color w:val="002F5D"/>
        </w:rPr>
        <w:t>deprived</w:t>
      </w:r>
      <w:r w:rsidRPr="00A207BC">
        <w:rPr>
          <w:rFonts w:ascii="Calibri" w:eastAsia="Calibri" w:hAnsi="Calibri" w:cs="Times New Roman"/>
          <w:color w:val="002F5D"/>
        </w:rPr>
        <w:t xml:space="preserve"> areas. </w:t>
      </w:r>
    </w:p>
    <w:p w14:paraId="0EDD25DF" w14:textId="77777777" w:rsidR="009810FA" w:rsidRPr="00242EBF" w:rsidRDefault="009810FA" w:rsidP="009810FA">
      <w:pPr>
        <w:spacing w:after="120" w:line="240" w:lineRule="auto"/>
        <w:ind w:left="714"/>
        <w:contextualSpacing/>
        <w:rPr>
          <w:rFonts w:ascii="Calibri" w:eastAsia="Calibri" w:hAnsi="Calibri" w:cs="Times New Roman"/>
          <w:color w:val="002F5D"/>
        </w:rPr>
      </w:pPr>
    </w:p>
    <w:p w14:paraId="5502928F" w14:textId="77777777" w:rsidR="009810FA" w:rsidRPr="00A207BC" w:rsidRDefault="009810FA" w:rsidP="009810FA">
      <w:pPr>
        <w:spacing w:line="276" w:lineRule="auto"/>
        <w:rPr>
          <w:rFonts w:ascii="Calibri" w:eastAsia="Calibri" w:hAnsi="Calibri" w:cs="Arial"/>
          <w:b/>
          <w:color w:val="002F5D"/>
        </w:rPr>
      </w:pPr>
      <w:r w:rsidRPr="00A207BC">
        <w:rPr>
          <w:rFonts w:ascii="Calibri" w:eastAsia="Calibri" w:hAnsi="Calibri" w:cs="Arial"/>
          <w:b/>
          <w:color w:val="002F5D"/>
        </w:rPr>
        <w:t>Cancer</w:t>
      </w:r>
      <w:r w:rsidRPr="00A207BC">
        <w:rPr>
          <w:rFonts w:ascii="Calibri" w:eastAsia="Calibri" w:hAnsi="Calibri" w:cs="Arial"/>
          <w:b/>
          <w:color w:val="002F5D"/>
        </w:rPr>
        <w:tab/>
        <w:t>mortality</w:t>
      </w:r>
    </w:p>
    <w:p w14:paraId="5EBD5AC7" w14:textId="77777777" w:rsidR="009810FA" w:rsidRPr="00A207BC"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b/>
          <w:color w:val="002F5D"/>
        </w:rPr>
        <w:t>Peterborough's</w:t>
      </w:r>
      <w:r w:rsidRPr="00A207BC">
        <w:rPr>
          <w:rFonts w:ascii="Calibri" w:eastAsia="Calibri" w:hAnsi="Calibri" w:cs="Times New Roman"/>
          <w:color w:val="002F5D"/>
        </w:rPr>
        <w:t xml:space="preserve"> all-age and under-75 cancer death rates 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and Peterborough combined averages. </w:t>
      </w:r>
      <w:r w:rsidRPr="00A207BC">
        <w:rPr>
          <w:rFonts w:ascii="Calibri" w:eastAsia="Calibri" w:hAnsi="Calibri" w:cs="Times New Roman"/>
          <w:b/>
          <w:color w:val="002F5D"/>
        </w:rPr>
        <w:t xml:space="preserve">Cambridgeshire and most of the districts </w:t>
      </w:r>
      <w:r w:rsidRPr="00A207BC">
        <w:rPr>
          <w:rFonts w:ascii="Calibri" w:eastAsia="Calibri" w:hAnsi="Calibri" w:cs="Times New Roman"/>
          <w:color w:val="002F5D"/>
        </w:rPr>
        <w:t xml:space="preserve">rates are </w:t>
      </w:r>
      <w:r w:rsidRPr="00A207BC">
        <w:rPr>
          <w:rFonts w:ascii="Calibri" w:eastAsia="Calibri" w:hAnsi="Calibri" w:cs="Times New Roman"/>
          <w:b/>
          <w:color w:val="002F5D"/>
        </w:rPr>
        <w:t>similar</w:t>
      </w:r>
      <w:r w:rsidRPr="00A207BC">
        <w:rPr>
          <w:rFonts w:ascii="Calibri" w:eastAsia="Calibri" w:hAnsi="Calibri" w:cs="Times New Roman"/>
          <w:color w:val="002F5D"/>
        </w:rPr>
        <w:t>.</w:t>
      </w:r>
    </w:p>
    <w:p w14:paraId="2150748A" w14:textId="77777777" w:rsidR="009810FA" w:rsidRPr="00A207BC"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Rates in </w:t>
      </w:r>
      <w:r w:rsidRPr="00A207BC">
        <w:rPr>
          <w:rFonts w:ascii="Calibri" w:eastAsia="Calibri" w:hAnsi="Calibri" w:cs="Times New Roman"/>
          <w:b/>
          <w:color w:val="002F5D"/>
        </w:rPr>
        <w:t>Fenland</w:t>
      </w:r>
      <w:r w:rsidRPr="00A207BC">
        <w:rPr>
          <w:rFonts w:ascii="Calibri" w:eastAsia="Calibri" w:hAnsi="Calibri" w:cs="Times New Roman"/>
          <w:color w:val="002F5D"/>
        </w:rPr>
        <w:t xml:space="preserve"> are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equivalents in each age group.</w:t>
      </w:r>
    </w:p>
    <w:p w14:paraId="2693895B" w14:textId="77777777" w:rsidR="009810FA" w:rsidRPr="00A207BC"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Cancer death rates at all-ages and ages under 75 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average in the </w:t>
      </w:r>
      <w:r w:rsidRPr="00A207BC">
        <w:rPr>
          <w:rFonts w:ascii="Calibri" w:eastAsia="Calibri" w:hAnsi="Calibri" w:cs="Times New Roman"/>
          <w:b/>
          <w:color w:val="002F5D"/>
        </w:rPr>
        <w:t>most deprived 20% of wards</w:t>
      </w:r>
      <w:r w:rsidRPr="00A207BC">
        <w:rPr>
          <w:rFonts w:ascii="Calibri" w:eastAsia="Calibri" w:hAnsi="Calibri" w:cs="Times New Roman"/>
          <w:color w:val="002F5D"/>
        </w:rPr>
        <w:t xml:space="preserve">. Compared to the Peterborough average </w:t>
      </w:r>
      <w:r w:rsidRPr="00A207BC">
        <w:rPr>
          <w:rFonts w:ascii="Calibri" w:eastAsia="Calibri" w:hAnsi="Calibri" w:cs="Times New Roman"/>
          <w:b/>
          <w:color w:val="002F5D"/>
        </w:rPr>
        <w:t>Peterborough’s</w:t>
      </w:r>
      <w:r w:rsidRPr="00A207BC">
        <w:rPr>
          <w:rFonts w:ascii="Calibri" w:eastAsia="Calibri" w:hAnsi="Calibri" w:cs="Times New Roman"/>
          <w:color w:val="002F5D"/>
        </w:rPr>
        <w:t xml:space="preserve"> cancer death rate is </w:t>
      </w:r>
      <w:r w:rsidRPr="00A207BC">
        <w:rPr>
          <w:rFonts w:ascii="Calibri" w:eastAsia="Calibri" w:hAnsi="Calibri" w:cs="Times New Roman"/>
          <w:b/>
          <w:color w:val="002F5D"/>
        </w:rPr>
        <w:t>similar</w:t>
      </w:r>
      <w:r w:rsidRPr="00A207BC">
        <w:rPr>
          <w:rFonts w:ascii="Calibri" w:eastAsia="Calibri" w:hAnsi="Calibri" w:cs="Times New Roman"/>
          <w:color w:val="002F5D"/>
        </w:rPr>
        <w:t xml:space="preserve"> across all the deprivation quintiles.</w:t>
      </w:r>
    </w:p>
    <w:p w14:paraId="05093CE2" w14:textId="77777777" w:rsidR="009810FA"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There is a relatively clear </w:t>
      </w:r>
      <w:r w:rsidRPr="00A207BC">
        <w:rPr>
          <w:rFonts w:ascii="Calibri" w:eastAsia="Calibri" w:hAnsi="Calibri" w:cs="Times New Roman"/>
          <w:b/>
          <w:color w:val="002F5D"/>
        </w:rPr>
        <w:t>pattern</w:t>
      </w:r>
      <w:r w:rsidRPr="00A207BC">
        <w:rPr>
          <w:rFonts w:ascii="Calibri" w:eastAsia="Calibri" w:hAnsi="Calibri" w:cs="Times New Roman"/>
          <w:color w:val="002F5D"/>
        </w:rPr>
        <w:t xml:space="preserve"> of </w:t>
      </w:r>
      <w:r w:rsidRPr="00A207BC">
        <w:rPr>
          <w:rFonts w:ascii="Calibri" w:eastAsia="Calibri" w:hAnsi="Calibri" w:cs="Times New Roman"/>
          <w:b/>
          <w:color w:val="002F5D"/>
        </w:rPr>
        <w:t>diminishing death rates</w:t>
      </w:r>
      <w:r w:rsidRPr="00A207BC">
        <w:rPr>
          <w:rFonts w:ascii="Calibri" w:eastAsia="Calibri" w:hAnsi="Calibri" w:cs="Times New Roman"/>
          <w:color w:val="002F5D"/>
        </w:rPr>
        <w:t xml:space="preserve"> according to </w:t>
      </w:r>
      <w:r w:rsidRPr="00A207BC">
        <w:rPr>
          <w:rFonts w:ascii="Calibri" w:eastAsia="Calibri" w:hAnsi="Calibri" w:cs="Times New Roman"/>
          <w:b/>
          <w:color w:val="002F5D"/>
        </w:rPr>
        <w:t>relative deprivation</w:t>
      </w:r>
      <w:r w:rsidRPr="00A207BC">
        <w:rPr>
          <w:rFonts w:ascii="Calibri" w:eastAsia="Calibri" w:hAnsi="Calibri" w:cs="Times New Roman"/>
          <w:color w:val="002F5D"/>
        </w:rPr>
        <w:t xml:space="preserve"> in </w:t>
      </w:r>
      <w:r w:rsidRPr="00A207BC">
        <w:rPr>
          <w:rFonts w:ascii="Calibri" w:eastAsia="Calibri" w:hAnsi="Calibri" w:cs="Times New Roman"/>
          <w:b/>
          <w:color w:val="002F5D"/>
        </w:rPr>
        <w:t>premature cancer deaths</w:t>
      </w:r>
      <w:r w:rsidRPr="00A207BC">
        <w:rPr>
          <w:rFonts w:ascii="Calibri" w:eastAsia="Calibri" w:hAnsi="Calibri" w:cs="Times New Roman"/>
          <w:color w:val="002F5D"/>
        </w:rPr>
        <w:t xml:space="preserve"> at ages under 75, with </w:t>
      </w:r>
      <w:r w:rsidRPr="00A207BC">
        <w:rPr>
          <w:rFonts w:ascii="Calibri" w:eastAsia="Calibri" w:hAnsi="Calibri" w:cs="Times New Roman"/>
          <w:b/>
          <w:color w:val="002F5D"/>
        </w:rPr>
        <w:t>more deprived</w:t>
      </w:r>
      <w:r w:rsidRPr="00A207BC">
        <w:rPr>
          <w:rFonts w:ascii="Calibri" w:eastAsia="Calibri" w:hAnsi="Calibri" w:cs="Times New Roman"/>
          <w:color w:val="002F5D"/>
        </w:rPr>
        <w:t xml:space="preserve"> groups having </w:t>
      </w:r>
      <w:r w:rsidRPr="00A207BC">
        <w:rPr>
          <w:rFonts w:ascii="Calibri" w:eastAsia="Calibri" w:hAnsi="Calibri" w:cs="Times New Roman"/>
          <w:b/>
          <w:color w:val="002F5D"/>
        </w:rPr>
        <w:t>higher levels of mortality</w:t>
      </w:r>
      <w:r w:rsidRPr="00A207BC">
        <w:rPr>
          <w:rFonts w:ascii="Calibri" w:eastAsia="Calibri" w:hAnsi="Calibri" w:cs="Times New Roman"/>
          <w:color w:val="002F5D"/>
        </w:rPr>
        <w:t>. Rates are more similar according to deprivation for all-age cancer deaths.</w:t>
      </w:r>
    </w:p>
    <w:p w14:paraId="4E714EE4" w14:textId="77777777" w:rsidR="009810FA" w:rsidRPr="00242EBF" w:rsidRDefault="009810FA" w:rsidP="009810FA">
      <w:pPr>
        <w:spacing w:line="240" w:lineRule="auto"/>
        <w:ind w:left="714"/>
        <w:contextualSpacing/>
        <w:rPr>
          <w:rFonts w:ascii="Calibri" w:eastAsia="Calibri" w:hAnsi="Calibri" w:cs="Times New Roman"/>
          <w:color w:val="002F5D"/>
        </w:rPr>
      </w:pPr>
    </w:p>
    <w:p w14:paraId="6BEC61C8" w14:textId="77777777" w:rsidR="009810FA" w:rsidRPr="00A207BC" w:rsidRDefault="009810FA" w:rsidP="009810FA">
      <w:pPr>
        <w:spacing w:before="120" w:line="240" w:lineRule="auto"/>
        <w:rPr>
          <w:rFonts w:ascii="Calibri" w:eastAsia="Calibri" w:hAnsi="Calibri" w:cs="Arial"/>
          <w:b/>
          <w:color w:val="002F5D"/>
        </w:rPr>
      </w:pPr>
      <w:r w:rsidRPr="00A207BC">
        <w:rPr>
          <w:rFonts w:ascii="Calibri" w:eastAsia="Calibri" w:hAnsi="Calibri" w:cs="Arial"/>
          <w:b/>
          <w:color w:val="002F5D"/>
        </w:rPr>
        <w:t>Respiratory disease mortality</w:t>
      </w:r>
    </w:p>
    <w:p w14:paraId="66703781" w14:textId="77777777" w:rsidR="009810FA" w:rsidRPr="00A207BC" w:rsidRDefault="009810FA" w:rsidP="009810FA">
      <w:pPr>
        <w:numPr>
          <w:ilvl w:val="0"/>
          <w:numId w:val="11"/>
        </w:numPr>
        <w:spacing w:line="240" w:lineRule="auto"/>
        <w:contextualSpacing/>
        <w:rPr>
          <w:rFonts w:ascii="Calibri" w:eastAsia="Calibri" w:hAnsi="Calibri" w:cs="Times New Roman"/>
          <w:b/>
          <w:color w:val="002F5D"/>
        </w:rPr>
      </w:pPr>
      <w:r w:rsidRPr="00A207BC">
        <w:rPr>
          <w:rFonts w:ascii="Calibri" w:eastAsia="Calibri" w:hAnsi="Calibri" w:cs="Times New Roman"/>
          <w:color w:val="002F5D"/>
        </w:rPr>
        <w:t xml:space="preserve">Rates of </w:t>
      </w:r>
      <w:r w:rsidRPr="00A207BC">
        <w:rPr>
          <w:rFonts w:ascii="Calibri" w:eastAsia="Calibri" w:hAnsi="Calibri" w:cs="Times New Roman"/>
          <w:b/>
          <w:color w:val="002F5D"/>
        </w:rPr>
        <w:t>all-age and under-75 mortality from respiratory disease</w:t>
      </w:r>
      <w:r w:rsidRPr="00A207BC">
        <w:rPr>
          <w:rFonts w:ascii="Calibri" w:eastAsia="Calibri" w:hAnsi="Calibri" w:cs="Times New Roman"/>
          <w:color w:val="002F5D"/>
        </w:rPr>
        <w:t xml:space="preserve"> 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in </w:t>
      </w:r>
      <w:r w:rsidRPr="00A207BC">
        <w:rPr>
          <w:rFonts w:ascii="Calibri" w:eastAsia="Calibri" w:hAnsi="Calibri" w:cs="Times New Roman"/>
          <w:b/>
          <w:color w:val="002F5D"/>
        </w:rPr>
        <w:t>Peterborough</w:t>
      </w:r>
      <w:r w:rsidRPr="00A207BC">
        <w:rPr>
          <w:rFonts w:ascii="Calibri" w:eastAsia="Calibri" w:hAnsi="Calibri" w:cs="Times New Roman"/>
          <w:color w:val="002F5D"/>
        </w:rPr>
        <w:t xml:space="preserve"> and significantly </w:t>
      </w:r>
      <w:r w:rsidRPr="00A207BC">
        <w:rPr>
          <w:rFonts w:ascii="Calibri" w:eastAsia="Calibri" w:hAnsi="Calibri" w:cs="Times New Roman"/>
          <w:b/>
          <w:color w:val="002F5D"/>
        </w:rPr>
        <w:t>similar</w:t>
      </w:r>
      <w:r w:rsidRPr="00A207BC">
        <w:rPr>
          <w:rFonts w:ascii="Calibri" w:eastAsia="Calibri" w:hAnsi="Calibri" w:cs="Times New Roman"/>
          <w:color w:val="002F5D"/>
        </w:rPr>
        <w:t xml:space="preserve"> in </w:t>
      </w:r>
      <w:r w:rsidRPr="00A207BC">
        <w:rPr>
          <w:rFonts w:ascii="Calibri" w:eastAsia="Calibri" w:hAnsi="Calibri" w:cs="Times New Roman"/>
          <w:b/>
          <w:color w:val="002F5D"/>
        </w:rPr>
        <w:t>Cambridgeshire</w:t>
      </w:r>
      <w:r w:rsidRPr="00A207BC">
        <w:rPr>
          <w:rFonts w:ascii="Calibri" w:eastAsia="Calibri" w:hAnsi="Calibri" w:cs="Times New Roman"/>
          <w:color w:val="002F5D"/>
        </w:rPr>
        <w:t xml:space="preserve"> compared with the Cambridgeshire and Peterborough averages.</w:t>
      </w:r>
    </w:p>
    <w:p w14:paraId="7A0E47D2" w14:textId="77777777" w:rsidR="009810FA" w:rsidRPr="00A207BC"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Rates in </w:t>
      </w:r>
      <w:r w:rsidRPr="00A207BC">
        <w:rPr>
          <w:rFonts w:ascii="Calibri" w:eastAsia="Calibri" w:hAnsi="Calibri" w:cs="Times New Roman"/>
          <w:b/>
          <w:color w:val="002F5D"/>
        </w:rPr>
        <w:t>Fenland</w:t>
      </w:r>
      <w:r w:rsidRPr="00A207BC">
        <w:rPr>
          <w:rFonts w:ascii="Calibri" w:eastAsia="Calibri" w:hAnsi="Calibri" w:cs="Times New Roman"/>
          <w:color w:val="002F5D"/>
        </w:rPr>
        <w:t xml:space="preserve"> are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equivalents in both </w:t>
      </w:r>
      <w:r w:rsidRPr="00A207BC">
        <w:rPr>
          <w:rFonts w:ascii="Calibri" w:eastAsia="Calibri" w:hAnsi="Calibri" w:cs="Times New Roman"/>
          <w:b/>
          <w:color w:val="002F5D"/>
        </w:rPr>
        <w:t xml:space="preserve">all-age and under-75 age </w:t>
      </w:r>
      <w:r w:rsidRPr="00A207BC">
        <w:rPr>
          <w:rFonts w:ascii="Calibri" w:eastAsia="Calibri" w:hAnsi="Calibri" w:cs="Times New Roman"/>
          <w:color w:val="002F5D"/>
        </w:rPr>
        <w:t xml:space="preserve">groups, as is the rate for </w:t>
      </w:r>
      <w:r w:rsidRPr="00A207BC">
        <w:rPr>
          <w:rFonts w:ascii="Calibri" w:eastAsia="Calibri" w:hAnsi="Calibri" w:cs="Times New Roman"/>
          <w:b/>
          <w:color w:val="002F5D"/>
        </w:rPr>
        <w:t>Huntingdonshire</w:t>
      </w:r>
      <w:r w:rsidRPr="00A207BC">
        <w:rPr>
          <w:rFonts w:ascii="Calibri" w:eastAsia="Calibri" w:hAnsi="Calibri" w:cs="Times New Roman"/>
          <w:color w:val="002F5D"/>
        </w:rPr>
        <w:t xml:space="preserve"> in the </w:t>
      </w:r>
      <w:r w:rsidRPr="00A207BC">
        <w:rPr>
          <w:rFonts w:ascii="Calibri" w:eastAsia="Calibri" w:hAnsi="Calibri" w:cs="Times New Roman"/>
          <w:b/>
          <w:color w:val="002F5D"/>
        </w:rPr>
        <w:t>all-age group</w:t>
      </w:r>
      <w:r w:rsidRPr="00A207BC">
        <w:rPr>
          <w:rFonts w:ascii="Calibri" w:eastAsia="Calibri" w:hAnsi="Calibri" w:cs="Times New Roman"/>
          <w:color w:val="002F5D"/>
        </w:rPr>
        <w:t>.</w:t>
      </w:r>
    </w:p>
    <w:p w14:paraId="10E63C14" w14:textId="77777777" w:rsidR="009810FA" w:rsidRDefault="009810FA" w:rsidP="009810FA">
      <w:pPr>
        <w:numPr>
          <w:ilvl w:val="0"/>
          <w:numId w:val="11"/>
        </w:numPr>
        <w:spacing w:line="240" w:lineRule="auto"/>
        <w:ind w:left="714" w:hanging="357"/>
        <w:contextualSpacing/>
        <w:rPr>
          <w:rFonts w:ascii="Calibri" w:eastAsia="Calibri" w:hAnsi="Calibri" w:cs="Times New Roman"/>
          <w:color w:val="002F5D"/>
        </w:rPr>
      </w:pPr>
      <w:r w:rsidRPr="00A207BC">
        <w:rPr>
          <w:rFonts w:ascii="Calibri" w:eastAsia="Calibri" w:hAnsi="Calibri" w:cs="Times New Roman"/>
          <w:color w:val="002F5D"/>
        </w:rPr>
        <w:t xml:space="preserve">In </w:t>
      </w:r>
      <w:r w:rsidRPr="00A207BC">
        <w:rPr>
          <w:rFonts w:ascii="Calibri" w:eastAsia="Calibri" w:hAnsi="Calibri" w:cs="Times New Roman"/>
          <w:b/>
          <w:color w:val="002F5D"/>
        </w:rPr>
        <w:t>Cambridgeshire</w:t>
      </w:r>
      <w:r w:rsidRPr="00A207BC">
        <w:rPr>
          <w:rFonts w:ascii="Calibri" w:eastAsia="Calibri" w:hAnsi="Calibri" w:cs="Times New Roman"/>
          <w:color w:val="002F5D"/>
        </w:rPr>
        <w:t xml:space="preserve"> rates of </w:t>
      </w:r>
      <w:r w:rsidRPr="00A207BC">
        <w:rPr>
          <w:rFonts w:ascii="Calibri" w:eastAsia="Calibri" w:hAnsi="Calibri" w:cs="Times New Roman"/>
          <w:b/>
          <w:color w:val="002F5D"/>
        </w:rPr>
        <w:t>all-age and under-75 mortality from respiratory disease</w:t>
      </w:r>
      <w:r w:rsidRPr="00A207BC">
        <w:rPr>
          <w:rFonts w:ascii="Calibri" w:eastAsia="Calibri" w:hAnsi="Calibri" w:cs="Times New Roman"/>
          <w:color w:val="002F5D"/>
        </w:rPr>
        <w:t xml:space="preserve"> 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in the </w:t>
      </w:r>
      <w:r w:rsidRPr="00A207BC">
        <w:rPr>
          <w:rFonts w:ascii="Calibri" w:eastAsia="Calibri" w:hAnsi="Calibri" w:cs="Times New Roman"/>
          <w:b/>
          <w:color w:val="002F5D"/>
        </w:rPr>
        <w:t>most deprived</w:t>
      </w:r>
      <w:r w:rsidRPr="00A207BC">
        <w:rPr>
          <w:rFonts w:ascii="Calibri" w:eastAsia="Calibri" w:hAnsi="Calibri" w:cs="Times New Roman"/>
          <w:color w:val="002F5D"/>
        </w:rPr>
        <w:t xml:space="preserve"> area compared with the Cambridgeshire average and there is a relatively clear gradient in mortality according to deprivation. In </w:t>
      </w:r>
      <w:r w:rsidRPr="00A207BC">
        <w:rPr>
          <w:rFonts w:ascii="Calibri" w:eastAsia="Calibri" w:hAnsi="Calibri" w:cs="Times New Roman"/>
          <w:b/>
          <w:color w:val="002F5D"/>
        </w:rPr>
        <w:t>Peterborough</w:t>
      </w:r>
      <w:r w:rsidRPr="00A207BC">
        <w:rPr>
          <w:rFonts w:ascii="Calibri" w:eastAsia="Calibri" w:hAnsi="Calibri" w:cs="Times New Roman"/>
          <w:color w:val="002F5D"/>
        </w:rPr>
        <w:t xml:space="preserve"> </w:t>
      </w:r>
      <w:r w:rsidRPr="00A207BC">
        <w:rPr>
          <w:rFonts w:ascii="Calibri" w:eastAsia="Calibri" w:hAnsi="Calibri" w:cs="Times New Roman"/>
          <w:b/>
          <w:color w:val="002F5D"/>
        </w:rPr>
        <w:t>none</w:t>
      </w:r>
      <w:r w:rsidRPr="00A207BC">
        <w:rPr>
          <w:rFonts w:ascii="Calibri" w:eastAsia="Calibri" w:hAnsi="Calibri" w:cs="Times New Roman"/>
          <w:color w:val="002F5D"/>
        </w:rPr>
        <w:t xml:space="preserve"> of the rates by </w:t>
      </w:r>
      <w:r w:rsidRPr="00A207BC">
        <w:rPr>
          <w:rFonts w:ascii="Calibri" w:eastAsia="Calibri" w:hAnsi="Calibri" w:cs="Times New Roman"/>
          <w:b/>
          <w:color w:val="002F5D"/>
        </w:rPr>
        <w:t>deprivation</w:t>
      </w:r>
      <w:r w:rsidRPr="00A207BC">
        <w:rPr>
          <w:rFonts w:ascii="Calibri" w:eastAsia="Calibri" w:hAnsi="Calibri" w:cs="Times New Roman"/>
          <w:color w:val="002F5D"/>
        </w:rPr>
        <w:t xml:space="preserve"> group </w:t>
      </w:r>
      <w:r w:rsidRPr="00A207BC">
        <w:rPr>
          <w:rFonts w:ascii="Calibri" w:eastAsia="Calibri" w:hAnsi="Calibri" w:cs="Times New Roman"/>
          <w:b/>
          <w:color w:val="002F5D"/>
        </w:rPr>
        <w:t>differ</w:t>
      </w:r>
      <w:r w:rsidRPr="00A207BC">
        <w:rPr>
          <w:rFonts w:ascii="Calibri" w:eastAsia="Calibri" w:hAnsi="Calibri" w:cs="Times New Roman"/>
          <w:color w:val="002F5D"/>
        </w:rPr>
        <w:t xml:space="preserve"> from the </w:t>
      </w:r>
      <w:r w:rsidRPr="00A207BC">
        <w:rPr>
          <w:rFonts w:ascii="Calibri" w:eastAsia="Calibri" w:hAnsi="Calibri" w:cs="Times New Roman"/>
          <w:b/>
          <w:color w:val="002F5D"/>
        </w:rPr>
        <w:t>Peterborough</w:t>
      </w:r>
      <w:r w:rsidRPr="00A207BC">
        <w:rPr>
          <w:rFonts w:ascii="Calibri" w:eastAsia="Calibri" w:hAnsi="Calibri" w:cs="Times New Roman"/>
          <w:color w:val="002F5D"/>
        </w:rPr>
        <w:t xml:space="preserve"> average, though a relatively </w:t>
      </w:r>
      <w:r w:rsidRPr="00A207BC">
        <w:rPr>
          <w:rFonts w:ascii="Calibri" w:eastAsia="Calibri" w:hAnsi="Calibri" w:cs="Times New Roman"/>
          <w:b/>
          <w:color w:val="002F5D"/>
        </w:rPr>
        <w:t>clear gradient</w:t>
      </w:r>
      <w:r w:rsidRPr="00A207BC">
        <w:rPr>
          <w:rFonts w:ascii="Calibri" w:eastAsia="Calibri" w:hAnsi="Calibri" w:cs="Times New Roman"/>
          <w:color w:val="002F5D"/>
        </w:rPr>
        <w:t xml:space="preserve"> in death rates is apparent according to </w:t>
      </w:r>
      <w:r w:rsidRPr="00A207BC">
        <w:rPr>
          <w:rFonts w:ascii="Calibri" w:eastAsia="Calibri" w:hAnsi="Calibri" w:cs="Times New Roman"/>
          <w:b/>
          <w:color w:val="002F5D"/>
        </w:rPr>
        <w:t>levels of deprivation</w:t>
      </w:r>
      <w:r w:rsidRPr="00A207BC">
        <w:rPr>
          <w:rFonts w:ascii="Calibri" w:eastAsia="Calibri" w:hAnsi="Calibri" w:cs="Times New Roman"/>
          <w:color w:val="002F5D"/>
        </w:rPr>
        <w:t>.</w:t>
      </w:r>
    </w:p>
    <w:p w14:paraId="6B9B773F" w14:textId="77777777" w:rsidR="009810FA" w:rsidRPr="00242EBF" w:rsidRDefault="009810FA" w:rsidP="009810FA">
      <w:pPr>
        <w:spacing w:line="240" w:lineRule="auto"/>
        <w:ind w:left="714"/>
        <w:contextualSpacing/>
        <w:rPr>
          <w:rFonts w:ascii="Calibri" w:eastAsia="Calibri" w:hAnsi="Calibri" w:cs="Times New Roman"/>
          <w:color w:val="002F5D"/>
        </w:rPr>
      </w:pPr>
    </w:p>
    <w:p w14:paraId="463A9DA1" w14:textId="77777777" w:rsidR="009810FA" w:rsidRPr="00A207BC" w:rsidRDefault="009810FA" w:rsidP="009810FA">
      <w:pPr>
        <w:spacing w:before="120" w:line="240" w:lineRule="auto"/>
        <w:rPr>
          <w:rFonts w:ascii="Calibri" w:eastAsia="Calibri" w:hAnsi="Calibri" w:cs="Arial"/>
          <w:b/>
          <w:color w:val="002F5D"/>
        </w:rPr>
      </w:pPr>
      <w:r w:rsidRPr="00A207BC">
        <w:rPr>
          <w:rFonts w:ascii="Calibri" w:eastAsia="Calibri" w:hAnsi="Calibri" w:cs="Arial"/>
          <w:b/>
          <w:color w:val="002F5D"/>
        </w:rPr>
        <w:lastRenderedPageBreak/>
        <w:t>Dementia and Alzheimer’s mortality</w:t>
      </w:r>
    </w:p>
    <w:p w14:paraId="51BDF923" w14:textId="77777777" w:rsidR="009810FA" w:rsidRPr="00A207BC" w:rsidRDefault="009810FA" w:rsidP="009810FA">
      <w:pPr>
        <w:numPr>
          <w:ilvl w:val="0"/>
          <w:numId w:val="11"/>
        </w:numPr>
        <w:spacing w:line="240" w:lineRule="auto"/>
        <w:contextualSpacing/>
        <w:rPr>
          <w:rFonts w:ascii="Calibri" w:eastAsia="Calibri" w:hAnsi="Calibri" w:cs="Times New Roman"/>
          <w:color w:val="002F5D"/>
        </w:rPr>
      </w:pPr>
      <w:r w:rsidRPr="00A207BC">
        <w:rPr>
          <w:rFonts w:ascii="Calibri" w:eastAsia="Calibri" w:hAnsi="Calibri" w:cs="Times New Roman"/>
          <w:color w:val="002F5D"/>
        </w:rPr>
        <w:t xml:space="preserve">The rates of </w:t>
      </w:r>
      <w:r w:rsidRPr="00A207BC">
        <w:rPr>
          <w:rFonts w:ascii="Calibri" w:eastAsia="Calibri" w:hAnsi="Calibri" w:cs="Times New Roman"/>
          <w:b/>
          <w:color w:val="002F5D"/>
        </w:rPr>
        <w:t>mortality from dementia and Alzheimer’s</w:t>
      </w:r>
      <w:r w:rsidRPr="00A207BC">
        <w:rPr>
          <w:rFonts w:ascii="Calibri" w:eastAsia="Calibri" w:hAnsi="Calibri" w:cs="Times New Roman"/>
          <w:color w:val="002F5D"/>
        </w:rPr>
        <w:t xml:space="preserve"> 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than the Cambridgeshire and Peterborough average in </w:t>
      </w:r>
      <w:r w:rsidRPr="00A207BC">
        <w:rPr>
          <w:rFonts w:ascii="Calibri" w:eastAsia="Calibri" w:hAnsi="Calibri" w:cs="Times New Roman"/>
          <w:b/>
          <w:color w:val="002F5D"/>
        </w:rPr>
        <w:t>Cambridge</w:t>
      </w:r>
      <w:r w:rsidRPr="00A207BC">
        <w:rPr>
          <w:rFonts w:ascii="Calibri" w:eastAsia="Calibri" w:hAnsi="Calibri" w:cs="Times New Roman"/>
          <w:color w:val="002F5D"/>
        </w:rPr>
        <w:t xml:space="preserve"> in all-ages as are </w:t>
      </w:r>
      <w:r w:rsidRPr="00A207BC">
        <w:rPr>
          <w:rFonts w:ascii="Calibri" w:eastAsia="Calibri" w:hAnsi="Calibri" w:cs="Times New Roman"/>
          <w:b/>
          <w:color w:val="002F5D"/>
        </w:rPr>
        <w:t>premature deaths</w:t>
      </w:r>
      <w:r w:rsidRPr="00A207BC">
        <w:rPr>
          <w:rFonts w:ascii="Calibri" w:eastAsia="Calibri" w:hAnsi="Calibri" w:cs="Times New Roman"/>
          <w:color w:val="002F5D"/>
        </w:rPr>
        <w:t xml:space="preserve"> at ages under 75 in </w:t>
      </w:r>
      <w:r w:rsidRPr="00A207BC">
        <w:rPr>
          <w:rFonts w:ascii="Calibri" w:eastAsia="Calibri" w:hAnsi="Calibri" w:cs="Times New Roman"/>
          <w:b/>
          <w:color w:val="002F5D"/>
        </w:rPr>
        <w:t>Fenland</w:t>
      </w:r>
      <w:r w:rsidRPr="00A207BC">
        <w:rPr>
          <w:rFonts w:ascii="Calibri" w:eastAsia="Calibri" w:hAnsi="Calibri" w:cs="Times New Roman"/>
          <w:color w:val="002F5D"/>
        </w:rPr>
        <w:t>.</w:t>
      </w:r>
    </w:p>
    <w:p w14:paraId="000B90C8" w14:textId="77777777" w:rsidR="009810FA" w:rsidRPr="00A207BC" w:rsidRDefault="009810FA" w:rsidP="009810FA">
      <w:pPr>
        <w:numPr>
          <w:ilvl w:val="0"/>
          <w:numId w:val="11"/>
        </w:numPr>
        <w:spacing w:line="240" w:lineRule="auto"/>
        <w:contextualSpacing/>
        <w:rPr>
          <w:rFonts w:ascii="Calibri" w:eastAsia="Calibri" w:hAnsi="Calibri" w:cs="Times New Roman"/>
          <w:color w:val="002F5D"/>
        </w:rPr>
      </w:pPr>
      <w:r w:rsidRPr="00A207BC">
        <w:rPr>
          <w:rFonts w:ascii="Calibri" w:eastAsia="Calibri" w:hAnsi="Calibri" w:cs="Times New Roman"/>
          <w:color w:val="002F5D"/>
        </w:rPr>
        <w:t xml:space="preserve">In </w:t>
      </w:r>
      <w:r w:rsidRPr="00A207BC">
        <w:rPr>
          <w:rFonts w:ascii="Calibri" w:eastAsia="Calibri" w:hAnsi="Calibri" w:cs="Times New Roman"/>
          <w:b/>
          <w:color w:val="002F5D"/>
        </w:rPr>
        <w:t>Cambridgeshire</w:t>
      </w:r>
      <w:r w:rsidRPr="00A207BC">
        <w:rPr>
          <w:rFonts w:ascii="Calibri" w:eastAsia="Calibri" w:hAnsi="Calibri" w:cs="Times New Roman"/>
          <w:color w:val="002F5D"/>
        </w:rPr>
        <w:t xml:space="preserve"> death rates from </w:t>
      </w:r>
      <w:r w:rsidRPr="00A207BC">
        <w:rPr>
          <w:rFonts w:ascii="Calibri" w:eastAsia="Calibri" w:hAnsi="Calibri" w:cs="Times New Roman"/>
          <w:b/>
          <w:color w:val="002F5D"/>
        </w:rPr>
        <w:t xml:space="preserve">dementia and Alzheimer’s </w:t>
      </w:r>
      <w:r w:rsidRPr="00A207BC">
        <w:rPr>
          <w:rFonts w:ascii="Calibri" w:eastAsia="Calibri" w:hAnsi="Calibri" w:cs="Times New Roman"/>
          <w:color w:val="002F5D"/>
        </w:rPr>
        <w:t xml:space="preserve">are statistically significantly </w:t>
      </w:r>
      <w:r w:rsidRPr="00A207BC">
        <w:rPr>
          <w:rFonts w:ascii="Calibri" w:eastAsia="Calibri" w:hAnsi="Calibri" w:cs="Times New Roman"/>
          <w:b/>
          <w:color w:val="002F5D"/>
        </w:rPr>
        <w:t>higher</w:t>
      </w:r>
      <w:r w:rsidRPr="00A207BC">
        <w:rPr>
          <w:rFonts w:ascii="Calibri" w:eastAsia="Calibri" w:hAnsi="Calibri" w:cs="Times New Roman"/>
          <w:color w:val="002F5D"/>
        </w:rPr>
        <w:t xml:space="preserve"> in the </w:t>
      </w:r>
      <w:r w:rsidRPr="00A207BC">
        <w:rPr>
          <w:rFonts w:ascii="Calibri" w:eastAsia="Calibri" w:hAnsi="Calibri" w:cs="Times New Roman"/>
          <w:b/>
          <w:color w:val="002F5D"/>
        </w:rPr>
        <w:t>most deprived</w:t>
      </w:r>
      <w:r w:rsidRPr="00A207BC">
        <w:rPr>
          <w:rFonts w:ascii="Calibri" w:eastAsia="Calibri" w:hAnsi="Calibri" w:cs="Times New Roman"/>
          <w:color w:val="002F5D"/>
        </w:rPr>
        <w:t xml:space="preserve"> area in both all-age and under 75 groups. There is a </w:t>
      </w:r>
      <w:r w:rsidRPr="00A207BC">
        <w:rPr>
          <w:rFonts w:ascii="Calibri" w:eastAsia="Calibri" w:hAnsi="Calibri" w:cs="Times New Roman"/>
          <w:b/>
          <w:color w:val="002F5D"/>
        </w:rPr>
        <w:t>relatively clear gradient</w:t>
      </w:r>
      <w:r w:rsidRPr="00A207BC">
        <w:rPr>
          <w:rFonts w:ascii="Calibri" w:eastAsia="Calibri" w:hAnsi="Calibri" w:cs="Times New Roman"/>
          <w:color w:val="002F5D"/>
        </w:rPr>
        <w:t xml:space="preserve"> in death rates according to </w:t>
      </w:r>
      <w:r w:rsidRPr="00A207BC">
        <w:rPr>
          <w:rFonts w:ascii="Calibri" w:eastAsia="Calibri" w:hAnsi="Calibri" w:cs="Times New Roman"/>
          <w:b/>
          <w:color w:val="002F5D"/>
        </w:rPr>
        <w:t>deprivation</w:t>
      </w:r>
      <w:r w:rsidRPr="00A207BC">
        <w:rPr>
          <w:rFonts w:ascii="Calibri" w:eastAsia="Calibri" w:hAnsi="Calibri" w:cs="Times New Roman"/>
          <w:color w:val="002F5D"/>
        </w:rPr>
        <w:t>.</w:t>
      </w:r>
    </w:p>
    <w:p w14:paraId="56BDECB2" w14:textId="77777777" w:rsidR="009810FA" w:rsidRPr="00B04738" w:rsidRDefault="009810FA" w:rsidP="009810FA">
      <w:pPr>
        <w:numPr>
          <w:ilvl w:val="0"/>
          <w:numId w:val="11"/>
        </w:numPr>
        <w:spacing w:line="240" w:lineRule="auto"/>
        <w:contextualSpacing/>
        <w:rPr>
          <w:rFonts w:ascii="Calibri" w:eastAsia="Calibri" w:hAnsi="Calibri" w:cs="Times New Roman"/>
          <w:color w:val="002F5D"/>
        </w:rPr>
      </w:pPr>
      <w:r w:rsidRPr="00A207BC">
        <w:rPr>
          <w:rFonts w:ascii="Calibri" w:eastAsia="Calibri" w:hAnsi="Calibri" w:cs="Times New Roman"/>
          <w:color w:val="002F5D"/>
        </w:rPr>
        <w:t xml:space="preserve">In </w:t>
      </w:r>
      <w:r w:rsidRPr="00A207BC">
        <w:rPr>
          <w:rFonts w:ascii="Calibri" w:eastAsia="Calibri" w:hAnsi="Calibri" w:cs="Times New Roman"/>
          <w:b/>
          <w:color w:val="002F5D"/>
        </w:rPr>
        <w:t>Peterborough</w:t>
      </w:r>
      <w:r w:rsidRPr="00A207BC">
        <w:rPr>
          <w:rFonts w:ascii="Calibri" w:eastAsia="Calibri" w:hAnsi="Calibri" w:cs="Times New Roman"/>
          <w:color w:val="002F5D"/>
        </w:rPr>
        <w:t xml:space="preserve"> </w:t>
      </w:r>
      <w:r w:rsidRPr="00A207BC">
        <w:rPr>
          <w:rFonts w:ascii="Calibri" w:eastAsia="Calibri" w:hAnsi="Calibri" w:cs="Times New Roman"/>
          <w:b/>
          <w:color w:val="002F5D"/>
        </w:rPr>
        <w:t xml:space="preserve">all-age </w:t>
      </w:r>
      <w:r w:rsidRPr="00A207BC">
        <w:rPr>
          <w:rFonts w:ascii="Calibri" w:eastAsia="Calibri" w:hAnsi="Calibri" w:cs="Times New Roman"/>
          <w:color w:val="002F5D"/>
        </w:rPr>
        <w:t xml:space="preserve">death rates from </w:t>
      </w:r>
      <w:r w:rsidRPr="00A207BC">
        <w:rPr>
          <w:rFonts w:ascii="Calibri" w:eastAsia="Calibri" w:hAnsi="Calibri" w:cs="Times New Roman"/>
          <w:b/>
          <w:color w:val="002F5D"/>
        </w:rPr>
        <w:t xml:space="preserve">dementia and Alzheimer’s </w:t>
      </w:r>
      <w:r w:rsidRPr="00A207BC">
        <w:rPr>
          <w:rFonts w:ascii="Calibri" w:eastAsia="Calibri" w:hAnsi="Calibri" w:cs="Times New Roman"/>
          <w:color w:val="002F5D"/>
        </w:rPr>
        <w:t xml:space="preserve">are statistically significantly </w:t>
      </w:r>
      <w:r w:rsidRPr="00A207BC">
        <w:rPr>
          <w:rFonts w:ascii="Calibri" w:eastAsia="Calibri" w:hAnsi="Calibri" w:cs="Times New Roman"/>
          <w:b/>
          <w:color w:val="002F5D"/>
        </w:rPr>
        <w:t xml:space="preserve">higher </w:t>
      </w:r>
      <w:r w:rsidRPr="00B04738">
        <w:rPr>
          <w:rFonts w:ascii="Calibri" w:eastAsia="Calibri" w:hAnsi="Calibri" w:cs="Times New Roman"/>
          <w:color w:val="002F5D"/>
        </w:rPr>
        <w:t xml:space="preserve">than the Peterborough average in the second </w:t>
      </w:r>
      <w:r w:rsidRPr="00B04738">
        <w:rPr>
          <w:rFonts w:ascii="Calibri" w:eastAsia="Calibri" w:hAnsi="Calibri" w:cs="Times New Roman"/>
          <w:b/>
          <w:color w:val="002F5D"/>
        </w:rPr>
        <w:t>most deprived</w:t>
      </w:r>
      <w:r w:rsidRPr="00B04738">
        <w:rPr>
          <w:rFonts w:ascii="Calibri" w:eastAsia="Calibri" w:hAnsi="Calibri" w:cs="Times New Roman"/>
          <w:color w:val="002F5D"/>
        </w:rPr>
        <w:t xml:space="preserve"> 20% of wards according to deprivation. A</w:t>
      </w:r>
      <w:r w:rsidRPr="00B04738">
        <w:rPr>
          <w:rFonts w:ascii="Calibri" w:eastAsia="Calibri" w:hAnsi="Calibri" w:cs="Times New Roman"/>
          <w:b/>
          <w:color w:val="002F5D"/>
        </w:rPr>
        <w:t xml:space="preserve"> gradient</w:t>
      </w:r>
      <w:r w:rsidRPr="00B04738">
        <w:rPr>
          <w:rFonts w:ascii="Calibri" w:eastAsia="Calibri" w:hAnsi="Calibri" w:cs="Times New Roman"/>
          <w:color w:val="002F5D"/>
        </w:rPr>
        <w:t xml:space="preserve"> in death rates according to </w:t>
      </w:r>
      <w:r w:rsidRPr="00B04738">
        <w:rPr>
          <w:rFonts w:ascii="Calibri" w:eastAsia="Calibri" w:hAnsi="Calibri" w:cs="Times New Roman"/>
          <w:b/>
          <w:color w:val="002F5D"/>
        </w:rPr>
        <w:t xml:space="preserve">deprivation </w:t>
      </w:r>
      <w:r w:rsidRPr="00B04738">
        <w:rPr>
          <w:rFonts w:ascii="Calibri" w:eastAsia="Calibri" w:hAnsi="Calibri" w:cs="Times New Roman"/>
          <w:color w:val="002F5D"/>
        </w:rPr>
        <w:t xml:space="preserve">is </w:t>
      </w:r>
      <w:r w:rsidRPr="00B04738">
        <w:rPr>
          <w:rFonts w:ascii="Calibri" w:eastAsia="Calibri" w:hAnsi="Calibri" w:cs="Times New Roman"/>
          <w:b/>
          <w:color w:val="002F5D"/>
        </w:rPr>
        <w:t>less clear</w:t>
      </w:r>
      <w:r w:rsidRPr="00B04738">
        <w:rPr>
          <w:rFonts w:ascii="Calibri" w:eastAsia="Calibri" w:hAnsi="Calibri" w:cs="Times New Roman"/>
          <w:color w:val="002F5D"/>
        </w:rPr>
        <w:t>.</w:t>
      </w:r>
    </w:p>
    <w:p w14:paraId="4F2E50AA" w14:textId="77777777" w:rsidR="009810FA" w:rsidRPr="00B04738" w:rsidRDefault="009810FA" w:rsidP="009810FA">
      <w:pPr>
        <w:numPr>
          <w:ilvl w:val="0"/>
          <w:numId w:val="11"/>
        </w:numPr>
        <w:spacing w:line="240" w:lineRule="auto"/>
        <w:contextualSpacing/>
        <w:rPr>
          <w:rFonts w:ascii="Calibri" w:eastAsia="Calibri" w:hAnsi="Calibri" w:cs="Times New Roman"/>
          <w:color w:val="002F5D"/>
        </w:rPr>
      </w:pPr>
      <w:r w:rsidRPr="00B04738">
        <w:rPr>
          <w:rFonts w:ascii="Calibri" w:eastAsia="Calibri" w:hAnsi="Calibri" w:cs="Times New Roman"/>
          <w:color w:val="002F5D"/>
        </w:rPr>
        <w:t xml:space="preserve">The </w:t>
      </w:r>
      <w:r w:rsidRPr="00B04738">
        <w:rPr>
          <w:rFonts w:ascii="Calibri" w:eastAsia="Calibri" w:hAnsi="Calibri" w:cs="Times New Roman"/>
          <w:b/>
          <w:color w:val="002F5D"/>
        </w:rPr>
        <w:t>numbers</w:t>
      </w:r>
      <w:r w:rsidRPr="00B04738">
        <w:rPr>
          <w:rFonts w:ascii="Calibri" w:eastAsia="Calibri" w:hAnsi="Calibri" w:cs="Times New Roman"/>
          <w:color w:val="002F5D"/>
        </w:rPr>
        <w:t xml:space="preserve"> of </w:t>
      </w:r>
      <w:r w:rsidRPr="00B04738">
        <w:rPr>
          <w:rFonts w:ascii="Calibri" w:eastAsia="Calibri" w:hAnsi="Calibri" w:cs="Times New Roman"/>
          <w:b/>
          <w:color w:val="002F5D"/>
        </w:rPr>
        <w:t>premature deaths</w:t>
      </w:r>
      <w:r w:rsidRPr="00B04738">
        <w:rPr>
          <w:rFonts w:ascii="Calibri" w:eastAsia="Calibri" w:hAnsi="Calibri" w:cs="Times New Roman"/>
          <w:color w:val="002F5D"/>
        </w:rPr>
        <w:t xml:space="preserve"> from dementia and Alzheimer’s are relatively </w:t>
      </w:r>
      <w:r w:rsidRPr="00B04738">
        <w:rPr>
          <w:rFonts w:ascii="Calibri" w:eastAsia="Calibri" w:hAnsi="Calibri" w:cs="Times New Roman"/>
          <w:b/>
          <w:color w:val="002F5D"/>
        </w:rPr>
        <w:t>few</w:t>
      </w:r>
      <w:r w:rsidRPr="00B04738">
        <w:rPr>
          <w:rFonts w:ascii="Calibri" w:eastAsia="Calibri" w:hAnsi="Calibri" w:cs="Times New Roman"/>
          <w:color w:val="002F5D"/>
        </w:rPr>
        <w:t>, especially in Peterborough.</w:t>
      </w:r>
    </w:p>
    <w:p w14:paraId="3ED975BB" w14:textId="77777777" w:rsidR="009810FA" w:rsidRDefault="009810FA" w:rsidP="009810FA"/>
    <w:p w14:paraId="1D24EA1A" w14:textId="4535B355" w:rsidR="00132F63" w:rsidRDefault="00132F63" w:rsidP="004A6349">
      <w:pPr>
        <w:spacing w:line="240" w:lineRule="auto"/>
        <w:contextualSpacing/>
        <w:rPr>
          <w:rFonts w:ascii="Calibri" w:eastAsia="Calibri" w:hAnsi="Calibri" w:cs="Times New Roman"/>
          <w:color w:val="002F5D"/>
        </w:rPr>
      </w:pPr>
    </w:p>
    <w:p w14:paraId="382DA357" w14:textId="2537C144" w:rsidR="009810FA" w:rsidRDefault="009810FA" w:rsidP="004A6349">
      <w:pPr>
        <w:spacing w:line="240" w:lineRule="auto"/>
        <w:contextualSpacing/>
        <w:rPr>
          <w:rFonts w:ascii="Calibri" w:eastAsia="Calibri" w:hAnsi="Calibri" w:cs="Times New Roman"/>
          <w:color w:val="002F5D"/>
        </w:rPr>
      </w:pPr>
    </w:p>
    <w:p w14:paraId="66FE1302" w14:textId="72E37527" w:rsidR="009810FA" w:rsidRDefault="009810FA" w:rsidP="004A6349">
      <w:pPr>
        <w:spacing w:line="240" w:lineRule="auto"/>
        <w:contextualSpacing/>
        <w:rPr>
          <w:rFonts w:ascii="Calibri" w:eastAsia="Calibri" w:hAnsi="Calibri" w:cs="Times New Roman"/>
          <w:color w:val="002F5D"/>
        </w:rPr>
      </w:pPr>
    </w:p>
    <w:p w14:paraId="1B1251BB" w14:textId="19DAC8A9" w:rsidR="009810FA" w:rsidRDefault="009810FA" w:rsidP="004A6349">
      <w:pPr>
        <w:spacing w:line="240" w:lineRule="auto"/>
        <w:contextualSpacing/>
        <w:rPr>
          <w:rFonts w:ascii="Calibri" w:eastAsia="Calibri" w:hAnsi="Calibri" w:cs="Times New Roman"/>
          <w:color w:val="002F5D"/>
        </w:rPr>
      </w:pPr>
    </w:p>
    <w:p w14:paraId="7950BCF4" w14:textId="44BDB2F0" w:rsidR="009810FA" w:rsidRDefault="009810FA" w:rsidP="004A6349">
      <w:pPr>
        <w:spacing w:line="240" w:lineRule="auto"/>
        <w:contextualSpacing/>
        <w:rPr>
          <w:rFonts w:ascii="Calibri" w:eastAsia="Calibri" w:hAnsi="Calibri" w:cs="Times New Roman"/>
          <w:color w:val="002F5D"/>
        </w:rPr>
      </w:pPr>
    </w:p>
    <w:p w14:paraId="3C867B1A" w14:textId="1B44CFB9" w:rsidR="009810FA" w:rsidRDefault="009810FA" w:rsidP="004A6349">
      <w:pPr>
        <w:spacing w:line="240" w:lineRule="auto"/>
        <w:contextualSpacing/>
        <w:rPr>
          <w:rFonts w:ascii="Calibri" w:eastAsia="Calibri" w:hAnsi="Calibri" w:cs="Times New Roman"/>
          <w:color w:val="002F5D"/>
        </w:rPr>
      </w:pPr>
    </w:p>
    <w:p w14:paraId="39E1BCC1" w14:textId="5071C209" w:rsidR="009810FA" w:rsidRDefault="009810FA" w:rsidP="004A6349">
      <w:pPr>
        <w:spacing w:line="240" w:lineRule="auto"/>
        <w:contextualSpacing/>
        <w:rPr>
          <w:rFonts w:ascii="Calibri" w:eastAsia="Calibri" w:hAnsi="Calibri" w:cs="Times New Roman"/>
          <w:color w:val="002F5D"/>
        </w:rPr>
      </w:pPr>
    </w:p>
    <w:p w14:paraId="372DB401" w14:textId="625EBE75" w:rsidR="009810FA" w:rsidRDefault="009810FA" w:rsidP="004A6349">
      <w:pPr>
        <w:spacing w:line="240" w:lineRule="auto"/>
        <w:contextualSpacing/>
        <w:rPr>
          <w:rFonts w:ascii="Calibri" w:eastAsia="Calibri" w:hAnsi="Calibri" w:cs="Times New Roman"/>
          <w:color w:val="002F5D"/>
        </w:rPr>
      </w:pPr>
    </w:p>
    <w:p w14:paraId="67BD73CE" w14:textId="162D4718" w:rsidR="009810FA" w:rsidRDefault="009810FA" w:rsidP="004A6349">
      <w:pPr>
        <w:spacing w:line="240" w:lineRule="auto"/>
        <w:contextualSpacing/>
        <w:rPr>
          <w:rFonts w:ascii="Calibri" w:eastAsia="Calibri" w:hAnsi="Calibri" w:cs="Times New Roman"/>
          <w:color w:val="002F5D"/>
        </w:rPr>
      </w:pPr>
    </w:p>
    <w:p w14:paraId="620D3397" w14:textId="4DB1CBB7" w:rsidR="009810FA" w:rsidRDefault="009810FA" w:rsidP="004A6349">
      <w:pPr>
        <w:spacing w:line="240" w:lineRule="auto"/>
        <w:contextualSpacing/>
        <w:rPr>
          <w:rFonts w:ascii="Calibri" w:eastAsia="Calibri" w:hAnsi="Calibri" w:cs="Times New Roman"/>
          <w:color w:val="002F5D"/>
        </w:rPr>
      </w:pPr>
    </w:p>
    <w:p w14:paraId="38E0FCDA" w14:textId="3D520281" w:rsidR="009810FA" w:rsidRDefault="009810FA" w:rsidP="004A6349">
      <w:pPr>
        <w:spacing w:line="240" w:lineRule="auto"/>
        <w:contextualSpacing/>
        <w:rPr>
          <w:rFonts w:ascii="Calibri" w:eastAsia="Calibri" w:hAnsi="Calibri" w:cs="Times New Roman"/>
          <w:color w:val="002F5D"/>
        </w:rPr>
      </w:pPr>
    </w:p>
    <w:p w14:paraId="0E36F1D9" w14:textId="341A17AE" w:rsidR="009810FA" w:rsidRDefault="009810FA" w:rsidP="004A6349">
      <w:pPr>
        <w:spacing w:line="240" w:lineRule="auto"/>
        <w:contextualSpacing/>
        <w:rPr>
          <w:rFonts w:ascii="Calibri" w:eastAsia="Calibri" w:hAnsi="Calibri" w:cs="Times New Roman"/>
          <w:color w:val="002F5D"/>
        </w:rPr>
      </w:pPr>
    </w:p>
    <w:p w14:paraId="680B3D1C" w14:textId="2B424D18" w:rsidR="009810FA" w:rsidRDefault="009810FA" w:rsidP="004A6349">
      <w:pPr>
        <w:spacing w:line="240" w:lineRule="auto"/>
        <w:contextualSpacing/>
        <w:rPr>
          <w:rFonts w:ascii="Calibri" w:eastAsia="Calibri" w:hAnsi="Calibri" w:cs="Times New Roman"/>
          <w:color w:val="002F5D"/>
        </w:rPr>
      </w:pPr>
    </w:p>
    <w:p w14:paraId="29945AC7" w14:textId="04DD7973" w:rsidR="009810FA" w:rsidRDefault="009810FA" w:rsidP="004A6349">
      <w:pPr>
        <w:spacing w:line="240" w:lineRule="auto"/>
        <w:contextualSpacing/>
        <w:rPr>
          <w:rFonts w:ascii="Calibri" w:eastAsia="Calibri" w:hAnsi="Calibri" w:cs="Times New Roman"/>
          <w:color w:val="002F5D"/>
        </w:rPr>
      </w:pPr>
    </w:p>
    <w:p w14:paraId="3F88F1BE" w14:textId="039FCA59" w:rsidR="009810FA" w:rsidRDefault="009810FA" w:rsidP="004A6349">
      <w:pPr>
        <w:spacing w:line="240" w:lineRule="auto"/>
        <w:contextualSpacing/>
        <w:rPr>
          <w:rFonts w:ascii="Calibri" w:eastAsia="Calibri" w:hAnsi="Calibri" w:cs="Times New Roman"/>
          <w:color w:val="002F5D"/>
        </w:rPr>
      </w:pPr>
    </w:p>
    <w:p w14:paraId="24227C72" w14:textId="359C4A5F" w:rsidR="009810FA" w:rsidRDefault="009810FA" w:rsidP="004A6349">
      <w:pPr>
        <w:spacing w:line="240" w:lineRule="auto"/>
        <w:contextualSpacing/>
        <w:rPr>
          <w:rFonts w:ascii="Calibri" w:eastAsia="Calibri" w:hAnsi="Calibri" w:cs="Times New Roman"/>
          <w:color w:val="002F5D"/>
        </w:rPr>
      </w:pPr>
    </w:p>
    <w:p w14:paraId="47DDED56" w14:textId="721CD305" w:rsidR="009810FA" w:rsidRDefault="009810FA" w:rsidP="004A6349">
      <w:pPr>
        <w:spacing w:line="240" w:lineRule="auto"/>
        <w:contextualSpacing/>
        <w:rPr>
          <w:rFonts w:ascii="Calibri" w:eastAsia="Calibri" w:hAnsi="Calibri" w:cs="Times New Roman"/>
          <w:color w:val="002F5D"/>
        </w:rPr>
      </w:pPr>
    </w:p>
    <w:p w14:paraId="56D84A3F" w14:textId="13F1A168" w:rsidR="009810FA" w:rsidRDefault="009810FA" w:rsidP="004A6349">
      <w:pPr>
        <w:spacing w:line="240" w:lineRule="auto"/>
        <w:contextualSpacing/>
        <w:rPr>
          <w:rFonts w:ascii="Calibri" w:eastAsia="Calibri" w:hAnsi="Calibri" w:cs="Times New Roman"/>
          <w:color w:val="002F5D"/>
        </w:rPr>
      </w:pPr>
    </w:p>
    <w:p w14:paraId="37C9C429" w14:textId="0D4CF50E" w:rsidR="009810FA" w:rsidRDefault="009810FA" w:rsidP="004A6349">
      <w:pPr>
        <w:spacing w:line="240" w:lineRule="auto"/>
        <w:contextualSpacing/>
        <w:rPr>
          <w:rFonts w:ascii="Calibri" w:eastAsia="Calibri" w:hAnsi="Calibri" w:cs="Times New Roman"/>
          <w:color w:val="002F5D"/>
        </w:rPr>
      </w:pPr>
    </w:p>
    <w:p w14:paraId="5C61CB03" w14:textId="20A894E2" w:rsidR="009810FA" w:rsidRDefault="009810FA" w:rsidP="004A6349">
      <w:pPr>
        <w:spacing w:line="240" w:lineRule="auto"/>
        <w:contextualSpacing/>
        <w:rPr>
          <w:rFonts w:ascii="Calibri" w:eastAsia="Calibri" w:hAnsi="Calibri" w:cs="Times New Roman"/>
          <w:color w:val="002F5D"/>
        </w:rPr>
      </w:pPr>
    </w:p>
    <w:p w14:paraId="7E646C47" w14:textId="2E947F90" w:rsidR="009810FA" w:rsidRDefault="009810FA" w:rsidP="004A6349">
      <w:pPr>
        <w:spacing w:line="240" w:lineRule="auto"/>
        <w:contextualSpacing/>
        <w:rPr>
          <w:rFonts w:ascii="Calibri" w:eastAsia="Calibri" w:hAnsi="Calibri" w:cs="Times New Roman"/>
          <w:color w:val="002F5D"/>
        </w:rPr>
      </w:pPr>
    </w:p>
    <w:p w14:paraId="11EE7D13" w14:textId="1341BA9E" w:rsidR="009810FA" w:rsidRDefault="009810FA" w:rsidP="004A6349">
      <w:pPr>
        <w:spacing w:line="240" w:lineRule="auto"/>
        <w:contextualSpacing/>
        <w:rPr>
          <w:rFonts w:ascii="Calibri" w:eastAsia="Calibri" w:hAnsi="Calibri" w:cs="Times New Roman"/>
          <w:color w:val="002F5D"/>
        </w:rPr>
      </w:pPr>
    </w:p>
    <w:p w14:paraId="5BA10CF3" w14:textId="74022FBD" w:rsidR="009810FA" w:rsidRDefault="009810FA" w:rsidP="004A6349">
      <w:pPr>
        <w:spacing w:line="240" w:lineRule="auto"/>
        <w:contextualSpacing/>
        <w:rPr>
          <w:rFonts w:ascii="Calibri" w:eastAsia="Calibri" w:hAnsi="Calibri" w:cs="Times New Roman"/>
          <w:color w:val="002F5D"/>
        </w:rPr>
      </w:pPr>
    </w:p>
    <w:p w14:paraId="12EE5A54" w14:textId="7E95AB9B" w:rsidR="009810FA" w:rsidRDefault="009810FA" w:rsidP="004A6349">
      <w:pPr>
        <w:spacing w:line="240" w:lineRule="auto"/>
        <w:contextualSpacing/>
        <w:rPr>
          <w:rFonts w:ascii="Calibri" w:eastAsia="Calibri" w:hAnsi="Calibri" w:cs="Times New Roman"/>
          <w:color w:val="002F5D"/>
        </w:rPr>
      </w:pPr>
    </w:p>
    <w:p w14:paraId="4EE54821" w14:textId="71BC16BA" w:rsidR="009810FA" w:rsidRDefault="009810FA" w:rsidP="004A6349">
      <w:pPr>
        <w:spacing w:line="240" w:lineRule="auto"/>
        <w:contextualSpacing/>
        <w:rPr>
          <w:rFonts w:ascii="Calibri" w:eastAsia="Calibri" w:hAnsi="Calibri" w:cs="Times New Roman"/>
          <w:color w:val="002F5D"/>
        </w:rPr>
      </w:pPr>
    </w:p>
    <w:p w14:paraId="57C0DB00" w14:textId="15F8E1FA" w:rsidR="009810FA" w:rsidRDefault="009810FA" w:rsidP="004A6349">
      <w:pPr>
        <w:spacing w:line="240" w:lineRule="auto"/>
        <w:contextualSpacing/>
        <w:rPr>
          <w:rFonts w:ascii="Calibri" w:eastAsia="Calibri" w:hAnsi="Calibri" w:cs="Times New Roman"/>
          <w:color w:val="002F5D"/>
        </w:rPr>
      </w:pPr>
    </w:p>
    <w:p w14:paraId="0801E880" w14:textId="2C72A30A" w:rsidR="009810FA" w:rsidRDefault="009810FA" w:rsidP="004A6349">
      <w:pPr>
        <w:spacing w:line="240" w:lineRule="auto"/>
        <w:contextualSpacing/>
        <w:rPr>
          <w:rFonts w:ascii="Calibri" w:eastAsia="Calibri" w:hAnsi="Calibri" w:cs="Times New Roman"/>
          <w:color w:val="002F5D"/>
        </w:rPr>
      </w:pPr>
    </w:p>
    <w:p w14:paraId="44E56E4E" w14:textId="12A54B61" w:rsidR="009810FA" w:rsidRDefault="009810FA" w:rsidP="004A6349">
      <w:pPr>
        <w:spacing w:line="240" w:lineRule="auto"/>
        <w:contextualSpacing/>
        <w:rPr>
          <w:rFonts w:ascii="Calibri" w:eastAsia="Calibri" w:hAnsi="Calibri" w:cs="Times New Roman"/>
          <w:color w:val="002F5D"/>
        </w:rPr>
      </w:pPr>
    </w:p>
    <w:p w14:paraId="6A49751E" w14:textId="5DE03BA7" w:rsidR="009810FA" w:rsidRDefault="009810FA" w:rsidP="004A6349">
      <w:pPr>
        <w:spacing w:line="240" w:lineRule="auto"/>
        <w:contextualSpacing/>
        <w:rPr>
          <w:rFonts w:ascii="Calibri" w:eastAsia="Calibri" w:hAnsi="Calibri" w:cs="Times New Roman"/>
          <w:color w:val="002F5D"/>
        </w:rPr>
      </w:pPr>
    </w:p>
    <w:p w14:paraId="7E5D6010" w14:textId="6E1C2079" w:rsidR="009810FA" w:rsidRDefault="009810FA" w:rsidP="004A6349">
      <w:pPr>
        <w:spacing w:line="240" w:lineRule="auto"/>
        <w:contextualSpacing/>
        <w:rPr>
          <w:rFonts w:ascii="Calibri" w:eastAsia="Calibri" w:hAnsi="Calibri" w:cs="Times New Roman"/>
          <w:color w:val="002F5D"/>
        </w:rPr>
      </w:pPr>
    </w:p>
    <w:p w14:paraId="4816B007" w14:textId="3C05B9CB" w:rsidR="009810FA" w:rsidRDefault="009810FA" w:rsidP="004A6349">
      <w:pPr>
        <w:spacing w:line="240" w:lineRule="auto"/>
        <w:contextualSpacing/>
        <w:rPr>
          <w:rFonts w:ascii="Calibri" w:eastAsia="Calibri" w:hAnsi="Calibri" w:cs="Times New Roman"/>
          <w:color w:val="002F5D"/>
        </w:rPr>
      </w:pPr>
    </w:p>
    <w:p w14:paraId="42B57CE8" w14:textId="07832CA8" w:rsidR="009810FA" w:rsidRDefault="009810FA" w:rsidP="004A6349">
      <w:pPr>
        <w:spacing w:line="240" w:lineRule="auto"/>
        <w:contextualSpacing/>
        <w:rPr>
          <w:rFonts w:ascii="Calibri" w:eastAsia="Calibri" w:hAnsi="Calibri" w:cs="Times New Roman"/>
          <w:color w:val="002F5D"/>
        </w:rPr>
      </w:pPr>
    </w:p>
    <w:p w14:paraId="4E54D696" w14:textId="52B4F2A0" w:rsidR="009810FA" w:rsidRDefault="009810FA" w:rsidP="004A6349">
      <w:pPr>
        <w:spacing w:line="240" w:lineRule="auto"/>
        <w:contextualSpacing/>
        <w:rPr>
          <w:rFonts w:ascii="Calibri" w:eastAsia="Calibri" w:hAnsi="Calibri" w:cs="Times New Roman"/>
          <w:color w:val="002F5D"/>
        </w:rPr>
      </w:pPr>
    </w:p>
    <w:p w14:paraId="02CCC696" w14:textId="1269B720" w:rsidR="009810FA" w:rsidRDefault="009810FA" w:rsidP="004A6349">
      <w:pPr>
        <w:spacing w:line="240" w:lineRule="auto"/>
        <w:contextualSpacing/>
        <w:rPr>
          <w:rFonts w:ascii="Calibri" w:eastAsia="Calibri" w:hAnsi="Calibri" w:cs="Times New Roman"/>
          <w:color w:val="002F5D"/>
        </w:rPr>
      </w:pPr>
    </w:p>
    <w:p w14:paraId="7CA308EF" w14:textId="4115783E" w:rsidR="009810FA" w:rsidRDefault="009810FA" w:rsidP="004A6349">
      <w:pPr>
        <w:spacing w:line="240" w:lineRule="auto"/>
        <w:contextualSpacing/>
        <w:rPr>
          <w:rFonts w:ascii="Calibri" w:eastAsia="Calibri" w:hAnsi="Calibri" w:cs="Times New Roman"/>
          <w:color w:val="002F5D"/>
        </w:rPr>
      </w:pPr>
    </w:p>
    <w:p w14:paraId="6FB2C281" w14:textId="1F49098D" w:rsidR="009810FA" w:rsidRDefault="009810FA" w:rsidP="004A6349">
      <w:pPr>
        <w:spacing w:line="240" w:lineRule="auto"/>
        <w:contextualSpacing/>
        <w:rPr>
          <w:rFonts w:ascii="Calibri" w:eastAsia="Calibri" w:hAnsi="Calibri" w:cs="Times New Roman"/>
          <w:color w:val="002F5D"/>
        </w:rPr>
      </w:pPr>
    </w:p>
    <w:p w14:paraId="500016B3" w14:textId="756BD59C" w:rsidR="009810FA" w:rsidRDefault="009810FA" w:rsidP="004A6349">
      <w:pPr>
        <w:spacing w:line="240" w:lineRule="auto"/>
        <w:contextualSpacing/>
        <w:rPr>
          <w:rFonts w:ascii="Calibri" w:eastAsia="Calibri" w:hAnsi="Calibri" w:cs="Times New Roman"/>
          <w:color w:val="002F5D"/>
        </w:rPr>
      </w:pPr>
    </w:p>
    <w:p w14:paraId="44EEAB52" w14:textId="4829DA13" w:rsidR="009810FA" w:rsidRDefault="009810FA" w:rsidP="004A6349">
      <w:pPr>
        <w:spacing w:line="240" w:lineRule="auto"/>
        <w:contextualSpacing/>
        <w:rPr>
          <w:rFonts w:ascii="Calibri" w:eastAsia="Calibri" w:hAnsi="Calibri" w:cs="Times New Roman"/>
          <w:color w:val="002F5D"/>
        </w:rPr>
      </w:pPr>
    </w:p>
    <w:p w14:paraId="398BF5CF" w14:textId="3B3A98F8" w:rsidR="00132F63" w:rsidRDefault="00132F63" w:rsidP="004A6349">
      <w:pPr>
        <w:spacing w:line="240" w:lineRule="auto"/>
        <w:contextualSpacing/>
        <w:rPr>
          <w:rFonts w:ascii="Calibri" w:eastAsia="Calibri" w:hAnsi="Calibri" w:cs="Times New Roman"/>
          <w:color w:val="002F5D"/>
        </w:rPr>
      </w:pPr>
    </w:p>
    <w:p w14:paraId="127E69E1" w14:textId="44F8B585" w:rsidR="00132F63" w:rsidRPr="00B04738" w:rsidRDefault="00132F63" w:rsidP="004A6349">
      <w:pPr>
        <w:spacing w:line="240" w:lineRule="auto"/>
        <w:contextualSpacing/>
        <w:rPr>
          <w:rFonts w:ascii="Calibri" w:eastAsia="Calibri" w:hAnsi="Calibri" w:cs="Times New Roman"/>
          <w:color w:val="002F5D"/>
        </w:rPr>
      </w:pPr>
    </w:p>
    <w:p w14:paraId="6FE209DF" w14:textId="5594E0D2" w:rsidR="001C7524" w:rsidRPr="006923FC" w:rsidRDefault="001C7524" w:rsidP="001C7524">
      <w:pPr>
        <w:pStyle w:val="JSNA2"/>
      </w:pPr>
      <w:bookmarkStart w:id="4" w:name="_Toc3376201"/>
      <w:bookmarkStart w:id="5" w:name="_Toc3444816"/>
      <w:bookmarkStart w:id="6" w:name="_Toc3457121"/>
      <w:bookmarkStart w:id="7" w:name="_Toc3983872"/>
      <w:bookmarkStart w:id="8" w:name="_Toc3984610"/>
      <w:bookmarkStart w:id="9" w:name="_Toc4396225"/>
      <w:bookmarkStart w:id="10" w:name="_Toc3376203"/>
      <w:bookmarkStart w:id="11" w:name="_Toc3444818"/>
      <w:bookmarkStart w:id="12" w:name="_Toc3457123"/>
      <w:bookmarkStart w:id="13" w:name="_Toc3983874"/>
      <w:bookmarkStart w:id="14" w:name="_Toc3984612"/>
      <w:bookmarkStart w:id="15" w:name="_Toc4396227"/>
      <w:bookmarkStart w:id="16" w:name="_Toc3376204"/>
      <w:bookmarkStart w:id="17" w:name="_Toc3444819"/>
      <w:bookmarkStart w:id="18" w:name="_Toc3457124"/>
      <w:bookmarkStart w:id="19" w:name="_Toc3983875"/>
      <w:bookmarkStart w:id="20" w:name="_Toc3984613"/>
      <w:bookmarkStart w:id="21" w:name="_Toc4396228"/>
      <w:bookmarkStart w:id="22" w:name="_Toc3376205"/>
      <w:bookmarkStart w:id="23" w:name="_Toc3444820"/>
      <w:bookmarkStart w:id="24" w:name="_Toc3457125"/>
      <w:bookmarkStart w:id="25" w:name="_Toc3983876"/>
      <w:bookmarkStart w:id="26" w:name="_Toc3984614"/>
      <w:bookmarkStart w:id="27" w:name="_Toc4396229"/>
      <w:bookmarkStart w:id="28" w:name="_Toc3376206"/>
      <w:bookmarkStart w:id="29" w:name="_Toc3444821"/>
      <w:bookmarkStart w:id="30" w:name="_Toc3457126"/>
      <w:bookmarkStart w:id="31" w:name="_Toc3983877"/>
      <w:bookmarkStart w:id="32" w:name="_Toc3984615"/>
      <w:bookmarkStart w:id="33" w:name="_Toc4396230"/>
      <w:bookmarkStart w:id="34" w:name="_Toc3376207"/>
      <w:bookmarkStart w:id="35" w:name="_Toc3444822"/>
      <w:bookmarkStart w:id="36" w:name="_Toc3457127"/>
      <w:bookmarkStart w:id="37" w:name="_Toc3983878"/>
      <w:bookmarkStart w:id="38" w:name="_Toc3984616"/>
      <w:bookmarkStart w:id="39" w:name="_Toc4396231"/>
      <w:bookmarkStart w:id="40" w:name="_Toc3376208"/>
      <w:bookmarkStart w:id="41" w:name="_Toc3444823"/>
      <w:bookmarkStart w:id="42" w:name="_Toc3457128"/>
      <w:bookmarkStart w:id="43" w:name="_Toc3983879"/>
      <w:bookmarkStart w:id="44" w:name="_Toc3984617"/>
      <w:bookmarkStart w:id="45" w:name="_Toc4396232"/>
      <w:bookmarkStart w:id="46" w:name="_Toc3376209"/>
      <w:bookmarkStart w:id="47" w:name="_Toc3444824"/>
      <w:bookmarkStart w:id="48" w:name="_Toc3457129"/>
      <w:bookmarkStart w:id="49" w:name="_Toc3983880"/>
      <w:bookmarkStart w:id="50" w:name="_Toc3984618"/>
      <w:bookmarkStart w:id="51" w:name="_Toc4396233"/>
      <w:bookmarkStart w:id="52" w:name="_Toc3376210"/>
      <w:bookmarkStart w:id="53" w:name="_Toc3444825"/>
      <w:bookmarkStart w:id="54" w:name="_Toc3457130"/>
      <w:bookmarkStart w:id="55" w:name="_Toc3983881"/>
      <w:bookmarkStart w:id="56" w:name="_Toc3984619"/>
      <w:bookmarkStart w:id="57" w:name="_Toc4396234"/>
      <w:bookmarkStart w:id="58" w:name="_Toc3376211"/>
      <w:bookmarkStart w:id="59" w:name="_Toc3444826"/>
      <w:bookmarkStart w:id="60" w:name="_Toc3457131"/>
      <w:bookmarkStart w:id="61" w:name="_Toc3983882"/>
      <w:bookmarkStart w:id="62" w:name="_Toc3984620"/>
      <w:bookmarkStart w:id="63" w:name="_Toc4396235"/>
      <w:bookmarkStart w:id="64" w:name="_Toc3376212"/>
      <w:bookmarkStart w:id="65" w:name="_Toc3444827"/>
      <w:bookmarkStart w:id="66" w:name="_Toc3457132"/>
      <w:bookmarkStart w:id="67" w:name="_Toc3983883"/>
      <w:bookmarkStart w:id="68" w:name="_Toc3984621"/>
      <w:bookmarkStart w:id="69" w:name="_Toc4396236"/>
      <w:bookmarkStart w:id="70" w:name="_Toc3376213"/>
      <w:bookmarkStart w:id="71" w:name="_Toc3444828"/>
      <w:bookmarkStart w:id="72" w:name="_Toc3457133"/>
      <w:bookmarkStart w:id="73" w:name="_Toc3983884"/>
      <w:bookmarkStart w:id="74" w:name="_Toc3984622"/>
      <w:bookmarkStart w:id="75" w:name="_Toc4396237"/>
      <w:bookmarkStart w:id="76" w:name="_Toc3376214"/>
      <w:bookmarkStart w:id="77" w:name="_Toc3444829"/>
      <w:bookmarkStart w:id="78" w:name="_Toc3457134"/>
      <w:bookmarkStart w:id="79" w:name="_Toc3983885"/>
      <w:bookmarkStart w:id="80" w:name="_Toc3984623"/>
      <w:bookmarkStart w:id="81" w:name="_Toc4396238"/>
      <w:bookmarkStart w:id="82" w:name="_Toc3376215"/>
      <w:bookmarkStart w:id="83" w:name="_Toc3444830"/>
      <w:bookmarkStart w:id="84" w:name="_Toc3457135"/>
      <w:bookmarkStart w:id="85" w:name="_Toc3983886"/>
      <w:bookmarkStart w:id="86" w:name="_Toc3984624"/>
      <w:bookmarkStart w:id="87" w:name="_Toc4396239"/>
      <w:bookmarkStart w:id="88" w:name="_Toc3376217"/>
      <w:bookmarkStart w:id="89" w:name="_Toc3444832"/>
      <w:bookmarkStart w:id="90" w:name="_Toc3457137"/>
      <w:bookmarkStart w:id="91" w:name="_Toc3983888"/>
      <w:bookmarkStart w:id="92" w:name="_Toc3984626"/>
      <w:bookmarkStart w:id="93" w:name="_Toc4396241"/>
      <w:bookmarkStart w:id="94" w:name="_Toc3376221"/>
      <w:bookmarkStart w:id="95" w:name="_Toc3444836"/>
      <w:bookmarkStart w:id="96" w:name="_Toc3457141"/>
      <w:bookmarkStart w:id="97" w:name="_Toc3983892"/>
      <w:bookmarkStart w:id="98" w:name="_Toc3984630"/>
      <w:bookmarkStart w:id="99" w:name="_Toc4396245"/>
      <w:bookmarkStart w:id="100" w:name="_Toc3376223"/>
      <w:bookmarkStart w:id="101" w:name="_Toc3444838"/>
      <w:bookmarkStart w:id="102" w:name="_Toc3457143"/>
      <w:bookmarkStart w:id="103" w:name="_Toc3983894"/>
      <w:bookmarkStart w:id="104" w:name="_Toc3984632"/>
      <w:bookmarkStart w:id="105" w:name="_Toc4396247"/>
      <w:bookmarkStart w:id="106" w:name="_Toc3376225"/>
      <w:bookmarkStart w:id="107" w:name="_Toc3444840"/>
      <w:bookmarkStart w:id="108" w:name="_Toc3457145"/>
      <w:bookmarkStart w:id="109" w:name="_Toc3983896"/>
      <w:bookmarkStart w:id="110" w:name="_Toc3984634"/>
      <w:bookmarkStart w:id="111" w:name="_Toc4396249"/>
      <w:bookmarkStart w:id="112" w:name="_Toc3376226"/>
      <w:bookmarkStart w:id="113" w:name="_Toc3444841"/>
      <w:bookmarkStart w:id="114" w:name="_Toc3457146"/>
      <w:bookmarkStart w:id="115" w:name="_Toc3983897"/>
      <w:bookmarkStart w:id="116" w:name="_Toc3984635"/>
      <w:bookmarkStart w:id="117" w:name="_Toc4396250"/>
      <w:bookmarkStart w:id="118" w:name="_Toc3376227"/>
      <w:bookmarkStart w:id="119" w:name="_Toc3444842"/>
      <w:bookmarkStart w:id="120" w:name="_Toc3457147"/>
      <w:bookmarkStart w:id="121" w:name="_Toc3983898"/>
      <w:bookmarkStart w:id="122" w:name="_Toc3984636"/>
      <w:bookmarkStart w:id="123" w:name="_Toc4396251"/>
      <w:bookmarkStart w:id="124" w:name="_Toc3376231"/>
      <w:bookmarkStart w:id="125" w:name="_Toc3444846"/>
      <w:bookmarkStart w:id="126" w:name="_Toc3457151"/>
      <w:bookmarkStart w:id="127" w:name="_Toc3983902"/>
      <w:bookmarkStart w:id="128" w:name="_Toc3984640"/>
      <w:bookmarkStart w:id="129" w:name="_Toc4396255"/>
      <w:bookmarkStart w:id="130" w:name="_Toc3376232"/>
      <w:bookmarkStart w:id="131" w:name="_Toc3444847"/>
      <w:bookmarkStart w:id="132" w:name="_Toc3457152"/>
      <w:bookmarkStart w:id="133" w:name="_Toc3983903"/>
      <w:bookmarkStart w:id="134" w:name="_Toc3984641"/>
      <w:bookmarkStart w:id="135" w:name="_Toc4396256"/>
      <w:bookmarkStart w:id="136" w:name="_Toc3376233"/>
      <w:bookmarkStart w:id="137" w:name="_Toc3444848"/>
      <w:bookmarkStart w:id="138" w:name="_Toc3457153"/>
      <w:bookmarkStart w:id="139" w:name="_Toc3983904"/>
      <w:bookmarkStart w:id="140" w:name="_Toc3984642"/>
      <w:bookmarkStart w:id="141" w:name="_Toc4396257"/>
      <w:bookmarkStart w:id="142" w:name="_Toc3376234"/>
      <w:bookmarkStart w:id="143" w:name="_Toc3444849"/>
      <w:bookmarkStart w:id="144" w:name="_Toc3457154"/>
      <w:bookmarkStart w:id="145" w:name="_Toc3983905"/>
      <w:bookmarkStart w:id="146" w:name="_Toc3984643"/>
      <w:bookmarkStart w:id="147" w:name="_Toc4396258"/>
      <w:bookmarkStart w:id="148" w:name="_Toc3376235"/>
      <w:bookmarkStart w:id="149" w:name="_Toc3444850"/>
      <w:bookmarkStart w:id="150" w:name="_Toc3457155"/>
      <w:bookmarkStart w:id="151" w:name="_Toc3983906"/>
      <w:bookmarkStart w:id="152" w:name="_Toc3984644"/>
      <w:bookmarkStart w:id="153" w:name="_Toc4396259"/>
      <w:bookmarkStart w:id="154" w:name="_Toc3376236"/>
      <w:bookmarkStart w:id="155" w:name="_Toc3444851"/>
      <w:bookmarkStart w:id="156" w:name="_Toc3457156"/>
      <w:bookmarkStart w:id="157" w:name="_Toc3983907"/>
      <w:bookmarkStart w:id="158" w:name="_Toc3984645"/>
      <w:bookmarkStart w:id="159" w:name="_Toc4396260"/>
      <w:bookmarkStart w:id="160" w:name="_Toc3376238"/>
      <w:bookmarkStart w:id="161" w:name="_Toc3444853"/>
      <w:bookmarkStart w:id="162" w:name="_Toc3457158"/>
      <w:bookmarkStart w:id="163" w:name="_Toc3983909"/>
      <w:bookmarkStart w:id="164" w:name="_Toc3984647"/>
      <w:bookmarkStart w:id="165" w:name="_Toc4396262"/>
      <w:bookmarkStart w:id="166" w:name="_Toc3376240"/>
      <w:bookmarkStart w:id="167" w:name="_Toc3444855"/>
      <w:bookmarkStart w:id="168" w:name="_Toc3457160"/>
      <w:bookmarkStart w:id="169" w:name="_Toc3983911"/>
      <w:bookmarkStart w:id="170" w:name="_Toc3984649"/>
      <w:bookmarkStart w:id="171" w:name="_Toc4396264"/>
      <w:bookmarkStart w:id="172" w:name="_Toc3376243"/>
      <w:bookmarkStart w:id="173" w:name="_Toc3444858"/>
      <w:bookmarkStart w:id="174" w:name="_Toc3457163"/>
      <w:bookmarkStart w:id="175" w:name="_Toc3983914"/>
      <w:bookmarkStart w:id="176" w:name="_Toc3984652"/>
      <w:bookmarkStart w:id="177" w:name="_Toc4396267"/>
      <w:bookmarkStart w:id="178" w:name="_Toc3376245"/>
      <w:bookmarkStart w:id="179" w:name="_Toc3444860"/>
      <w:bookmarkStart w:id="180" w:name="_Toc3457165"/>
      <w:bookmarkStart w:id="181" w:name="_Toc3983916"/>
      <w:bookmarkStart w:id="182" w:name="_Toc3984654"/>
      <w:bookmarkStart w:id="183" w:name="_Toc4396269"/>
      <w:bookmarkStart w:id="184" w:name="_Toc3376246"/>
      <w:bookmarkStart w:id="185" w:name="_Toc3444861"/>
      <w:bookmarkStart w:id="186" w:name="_Toc3457166"/>
      <w:bookmarkStart w:id="187" w:name="_Toc3983917"/>
      <w:bookmarkStart w:id="188" w:name="_Toc3984655"/>
      <w:bookmarkStart w:id="189" w:name="_Toc4396270"/>
      <w:bookmarkStart w:id="190" w:name="_Toc3376247"/>
      <w:bookmarkStart w:id="191" w:name="_Toc3444862"/>
      <w:bookmarkStart w:id="192" w:name="_Toc3457167"/>
      <w:bookmarkStart w:id="193" w:name="_Toc3983918"/>
      <w:bookmarkStart w:id="194" w:name="_Toc3984656"/>
      <w:bookmarkStart w:id="195" w:name="_Toc4396271"/>
      <w:bookmarkStart w:id="196" w:name="_Toc3376248"/>
      <w:bookmarkStart w:id="197" w:name="_Toc3444863"/>
      <w:bookmarkStart w:id="198" w:name="_Toc3457168"/>
      <w:bookmarkStart w:id="199" w:name="_Toc3983919"/>
      <w:bookmarkStart w:id="200" w:name="_Toc3984657"/>
      <w:bookmarkStart w:id="201" w:name="_Toc4396272"/>
      <w:bookmarkStart w:id="202" w:name="_Toc3376249"/>
      <w:bookmarkStart w:id="203" w:name="_Toc3444864"/>
      <w:bookmarkStart w:id="204" w:name="_Toc3457169"/>
      <w:bookmarkStart w:id="205" w:name="_Toc3983920"/>
      <w:bookmarkStart w:id="206" w:name="_Toc3984658"/>
      <w:bookmarkStart w:id="207" w:name="_Toc4396273"/>
      <w:bookmarkStart w:id="208" w:name="_Toc3376250"/>
      <w:bookmarkStart w:id="209" w:name="_Toc3444865"/>
      <w:bookmarkStart w:id="210" w:name="_Toc3457170"/>
      <w:bookmarkStart w:id="211" w:name="_Toc3983921"/>
      <w:bookmarkStart w:id="212" w:name="_Toc3984659"/>
      <w:bookmarkStart w:id="213" w:name="_Toc4396274"/>
      <w:bookmarkStart w:id="214" w:name="_Toc3376251"/>
      <w:bookmarkStart w:id="215" w:name="_Toc3444866"/>
      <w:bookmarkStart w:id="216" w:name="_Toc3457171"/>
      <w:bookmarkStart w:id="217" w:name="_Toc3983922"/>
      <w:bookmarkStart w:id="218" w:name="_Toc3984660"/>
      <w:bookmarkStart w:id="219" w:name="_Toc4396275"/>
      <w:bookmarkStart w:id="220" w:name="_Toc3376252"/>
      <w:bookmarkStart w:id="221" w:name="_Toc3444867"/>
      <w:bookmarkStart w:id="222" w:name="_Toc3457172"/>
      <w:bookmarkStart w:id="223" w:name="_Toc3983923"/>
      <w:bookmarkStart w:id="224" w:name="_Toc3984661"/>
      <w:bookmarkStart w:id="225" w:name="_Toc4396276"/>
      <w:bookmarkStart w:id="226" w:name="_Toc3376253"/>
      <w:bookmarkStart w:id="227" w:name="_Toc3444868"/>
      <w:bookmarkStart w:id="228" w:name="_Toc3457173"/>
      <w:bookmarkStart w:id="229" w:name="_Toc3983924"/>
      <w:bookmarkStart w:id="230" w:name="_Toc3984662"/>
      <w:bookmarkStart w:id="231" w:name="_Toc4396277"/>
      <w:bookmarkStart w:id="232" w:name="_Toc3376254"/>
      <w:bookmarkStart w:id="233" w:name="_Toc3444869"/>
      <w:bookmarkStart w:id="234" w:name="_Toc3457174"/>
      <w:bookmarkStart w:id="235" w:name="_Toc3983925"/>
      <w:bookmarkStart w:id="236" w:name="_Toc3984663"/>
      <w:bookmarkStart w:id="237" w:name="_Toc4396278"/>
      <w:bookmarkStart w:id="238" w:name="_Toc3376255"/>
      <w:bookmarkStart w:id="239" w:name="_Toc3444870"/>
      <w:bookmarkStart w:id="240" w:name="_Toc3457175"/>
      <w:bookmarkStart w:id="241" w:name="_Toc3983926"/>
      <w:bookmarkStart w:id="242" w:name="_Toc3984664"/>
      <w:bookmarkStart w:id="243" w:name="_Toc4396279"/>
      <w:bookmarkStart w:id="244" w:name="_Toc3376256"/>
      <w:bookmarkStart w:id="245" w:name="_Toc3444871"/>
      <w:bookmarkStart w:id="246" w:name="_Toc3457176"/>
      <w:bookmarkStart w:id="247" w:name="_Toc3983927"/>
      <w:bookmarkStart w:id="248" w:name="_Toc3984665"/>
      <w:bookmarkStart w:id="249" w:name="_Toc4396280"/>
      <w:bookmarkStart w:id="250" w:name="_Toc3376257"/>
      <w:bookmarkStart w:id="251" w:name="_Toc3444872"/>
      <w:bookmarkStart w:id="252" w:name="_Toc3457177"/>
      <w:bookmarkStart w:id="253" w:name="_Toc3983928"/>
      <w:bookmarkStart w:id="254" w:name="_Toc3984666"/>
      <w:bookmarkStart w:id="255" w:name="_Toc4396281"/>
      <w:bookmarkStart w:id="256" w:name="_Toc3376259"/>
      <w:bookmarkStart w:id="257" w:name="_Toc3444874"/>
      <w:bookmarkStart w:id="258" w:name="_Toc3457179"/>
      <w:bookmarkStart w:id="259" w:name="_Toc3983930"/>
      <w:bookmarkStart w:id="260" w:name="_Toc3984668"/>
      <w:bookmarkStart w:id="261" w:name="_Toc4396283"/>
      <w:bookmarkStart w:id="262" w:name="_Toc3376260"/>
      <w:bookmarkStart w:id="263" w:name="_Toc3444875"/>
      <w:bookmarkStart w:id="264" w:name="_Toc3457180"/>
      <w:bookmarkStart w:id="265" w:name="_Toc3983931"/>
      <w:bookmarkStart w:id="266" w:name="_Toc3984669"/>
      <w:bookmarkStart w:id="267" w:name="_Toc4396284"/>
      <w:bookmarkStart w:id="268" w:name="_Toc3376261"/>
      <w:bookmarkStart w:id="269" w:name="_Toc3444876"/>
      <w:bookmarkStart w:id="270" w:name="_Toc3457181"/>
      <w:bookmarkStart w:id="271" w:name="_Toc3983932"/>
      <w:bookmarkStart w:id="272" w:name="_Toc3984670"/>
      <w:bookmarkStart w:id="273" w:name="_Toc4396285"/>
      <w:bookmarkStart w:id="274" w:name="_Toc3376262"/>
      <w:bookmarkStart w:id="275" w:name="_Toc3444877"/>
      <w:bookmarkStart w:id="276" w:name="_Toc3457182"/>
      <w:bookmarkStart w:id="277" w:name="_Toc3983933"/>
      <w:bookmarkStart w:id="278" w:name="_Toc3984671"/>
      <w:bookmarkStart w:id="279" w:name="_Toc4396286"/>
      <w:bookmarkStart w:id="280" w:name="_Toc3376264"/>
      <w:bookmarkStart w:id="281" w:name="_Toc3444879"/>
      <w:bookmarkStart w:id="282" w:name="_Toc3457184"/>
      <w:bookmarkStart w:id="283" w:name="_Toc3983935"/>
      <w:bookmarkStart w:id="284" w:name="_Toc3984673"/>
      <w:bookmarkStart w:id="285" w:name="_Toc4396288"/>
      <w:bookmarkStart w:id="286" w:name="_Toc3376265"/>
      <w:bookmarkStart w:id="287" w:name="_Toc3444880"/>
      <w:bookmarkStart w:id="288" w:name="_Toc3457185"/>
      <w:bookmarkStart w:id="289" w:name="_Toc3983936"/>
      <w:bookmarkStart w:id="290" w:name="_Toc3984674"/>
      <w:bookmarkStart w:id="291" w:name="_Toc4396289"/>
      <w:bookmarkStart w:id="292" w:name="_Toc3376267"/>
      <w:bookmarkStart w:id="293" w:name="_Toc3444882"/>
      <w:bookmarkStart w:id="294" w:name="_Toc3457187"/>
      <w:bookmarkStart w:id="295" w:name="_Toc3983938"/>
      <w:bookmarkStart w:id="296" w:name="_Toc3984676"/>
      <w:bookmarkStart w:id="297" w:name="_Toc4396291"/>
      <w:bookmarkStart w:id="298" w:name="_Toc3376272"/>
      <w:bookmarkStart w:id="299" w:name="_Toc3444887"/>
      <w:bookmarkStart w:id="300" w:name="_Toc3457192"/>
      <w:bookmarkStart w:id="301" w:name="_Toc3983943"/>
      <w:bookmarkStart w:id="302" w:name="_Toc3984681"/>
      <w:bookmarkStart w:id="303" w:name="_Toc4396296"/>
      <w:bookmarkStart w:id="304" w:name="_Toc3376274"/>
      <w:bookmarkStart w:id="305" w:name="_Toc3444889"/>
      <w:bookmarkStart w:id="306" w:name="_Toc3457194"/>
      <w:bookmarkStart w:id="307" w:name="_Toc3983945"/>
      <w:bookmarkStart w:id="308" w:name="_Toc3984683"/>
      <w:bookmarkStart w:id="309" w:name="_Toc4396298"/>
      <w:bookmarkStart w:id="310" w:name="_Toc3376280"/>
      <w:bookmarkStart w:id="311" w:name="_Toc3444895"/>
      <w:bookmarkStart w:id="312" w:name="_Toc3457200"/>
      <w:bookmarkStart w:id="313" w:name="_Toc3983951"/>
      <w:bookmarkStart w:id="314" w:name="_Toc3984689"/>
      <w:bookmarkStart w:id="315" w:name="_Toc4396304"/>
      <w:bookmarkStart w:id="316" w:name="_Toc3376283"/>
      <w:bookmarkStart w:id="317" w:name="_Toc3444898"/>
      <w:bookmarkStart w:id="318" w:name="_Toc3457203"/>
      <w:bookmarkStart w:id="319" w:name="_Toc3983954"/>
      <w:bookmarkStart w:id="320" w:name="_Toc3984692"/>
      <w:bookmarkStart w:id="321" w:name="_Toc4396307"/>
      <w:bookmarkStart w:id="322" w:name="_Toc3376296"/>
      <w:bookmarkStart w:id="323" w:name="_Toc3444911"/>
      <w:bookmarkStart w:id="324" w:name="_Toc3457216"/>
      <w:bookmarkStart w:id="325" w:name="_Toc3983967"/>
      <w:bookmarkStart w:id="326" w:name="_Toc3984705"/>
      <w:bookmarkStart w:id="327" w:name="_Toc4396320"/>
      <w:bookmarkStart w:id="328" w:name="_Toc3376297"/>
      <w:bookmarkStart w:id="329" w:name="_Toc3444912"/>
      <w:bookmarkStart w:id="330" w:name="_Toc3457217"/>
      <w:bookmarkStart w:id="331" w:name="_Toc3983968"/>
      <w:bookmarkStart w:id="332" w:name="_Toc3984706"/>
      <w:bookmarkStart w:id="333" w:name="_Toc4396321"/>
      <w:bookmarkStart w:id="334" w:name="_Toc3376299"/>
      <w:bookmarkStart w:id="335" w:name="_Toc3444914"/>
      <w:bookmarkStart w:id="336" w:name="_Toc3457219"/>
      <w:bookmarkStart w:id="337" w:name="_Toc3983970"/>
      <w:bookmarkStart w:id="338" w:name="_Toc3984708"/>
      <w:bookmarkStart w:id="339" w:name="_Toc4396323"/>
      <w:bookmarkStart w:id="340" w:name="_Toc3376300"/>
      <w:bookmarkStart w:id="341" w:name="_Toc3444915"/>
      <w:bookmarkStart w:id="342" w:name="_Toc3457220"/>
      <w:bookmarkStart w:id="343" w:name="_Toc3983971"/>
      <w:bookmarkStart w:id="344" w:name="_Toc3984709"/>
      <w:bookmarkStart w:id="345" w:name="_Toc4396324"/>
      <w:bookmarkStart w:id="346" w:name="_Toc3376301"/>
      <w:bookmarkStart w:id="347" w:name="_Toc3444916"/>
      <w:bookmarkStart w:id="348" w:name="_Toc3457221"/>
      <w:bookmarkStart w:id="349" w:name="_Toc3983972"/>
      <w:bookmarkStart w:id="350" w:name="_Toc3984710"/>
      <w:bookmarkStart w:id="351" w:name="_Toc4396325"/>
      <w:bookmarkStart w:id="352" w:name="_Toc3376302"/>
      <w:bookmarkStart w:id="353" w:name="_Toc3444917"/>
      <w:bookmarkStart w:id="354" w:name="_Toc3457222"/>
      <w:bookmarkStart w:id="355" w:name="_Toc3983973"/>
      <w:bookmarkStart w:id="356" w:name="_Toc3984711"/>
      <w:bookmarkStart w:id="357" w:name="_Toc4396326"/>
      <w:bookmarkStart w:id="358" w:name="_Toc3376304"/>
      <w:bookmarkStart w:id="359" w:name="_Toc3444919"/>
      <w:bookmarkStart w:id="360" w:name="_Toc3457224"/>
      <w:bookmarkStart w:id="361" w:name="_Toc3983975"/>
      <w:bookmarkStart w:id="362" w:name="_Toc3984713"/>
      <w:bookmarkStart w:id="363" w:name="_Toc4396328"/>
      <w:bookmarkStart w:id="364" w:name="_Toc3376305"/>
      <w:bookmarkStart w:id="365" w:name="_Toc3444920"/>
      <w:bookmarkStart w:id="366" w:name="_Toc3457225"/>
      <w:bookmarkStart w:id="367" w:name="_Toc3983976"/>
      <w:bookmarkStart w:id="368" w:name="_Toc3984714"/>
      <w:bookmarkStart w:id="369" w:name="_Toc4396329"/>
      <w:bookmarkStart w:id="370" w:name="_Toc3376308"/>
      <w:bookmarkStart w:id="371" w:name="_Toc3444923"/>
      <w:bookmarkStart w:id="372" w:name="_Toc3457228"/>
      <w:bookmarkStart w:id="373" w:name="_Toc3983979"/>
      <w:bookmarkStart w:id="374" w:name="_Toc3984717"/>
      <w:bookmarkStart w:id="375" w:name="_Toc4396332"/>
      <w:bookmarkStart w:id="376" w:name="_Toc3376309"/>
      <w:bookmarkStart w:id="377" w:name="_Toc3444924"/>
      <w:bookmarkStart w:id="378" w:name="_Toc3457229"/>
      <w:bookmarkStart w:id="379" w:name="_Toc3983980"/>
      <w:bookmarkStart w:id="380" w:name="_Toc3984718"/>
      <w:bookmarkStart w:id="381" w:name="_Toc4396333"/>
      <w:bookmarkStart w:id="382" w:name="_Toc3376312"/>
      <w:bookmarkStart w:id="383" w:name="_Toc3444927"/>
      <w:bookmarkStart w:id="384" w:name="_Toc3457232"/>
      <w:bookmarkStart w:id="385" w:name="_Toc3983983"/>
      <w:bookmarkStart w:id="386" w:name="_Toc3984721"/>
      <w:bookmarkStart w:id="387" w:name="_Toc4396336"/>
      <w:bookmarkStart w:id="388" w:name="_Toc3376314"/>
      <w:bookmarkStart w:id="389" w:name="_Toc3444929"/>
      <w:bookmarkStart w:id="390" w:name="_Toc3457234"/>
      <w:bookmarkStart w:id="391" w:name="_Toc3983985"/>
      <w:bookmarkStart w:id="392" w:name="_Toc3984723"/>
      <w:bookmarkStart w:id="393" w:name="_Toc4396338"/>
      <w:bookmarkStart w:id="394" w:name="_Toc3376319"/>
      <w:bookmarkStart w:id="395" w:name="_Toc3444934"/>
      <w:bookmarkStart w:id="396" w:name="_Toc3457239"/>
      <w:bookmarkStart w:id="397" w:name="_Toc3983990"/>
      <w:bookmarkStart w:id="398" w:name="_Toc3984728"/>
      <w:bookmarkStart w:id="399" w:name="_Toc4396343"/>
      <w:bookmarkStart w:id="400" w:name="_Toc3376320"/>
      <w:bookmarkStart w:id="401" w:name="_Toc3444935"/>
      <w:bookmarkStart w:id="402" w:name="_Toc3457240"/>
      <w:bookmarkStart w:id="403" w:name="_Toc3983991"/>
      <w:bookmarkStart w:id="404" w:name="_Toc3984729"/>
      <w:bookmarkStart w:id="405" w:name="_Toc4396344"/>
      <w:bookmarkStart w:id="406" w:name="_Toc3376326"/>
      <w:bookmarkStart w:id="407" w:name="_Toc3444941"/>
      <w:bookmarkStart w:id="408" w:name="_Toc3457246"/>
      <w:bookmarkStart w:id="409" w:name="_Toc3983997"/>
      <w:bookmarkStart w:id="410" w:name="_Toc3984735"/>
      <w:bookmarkStart w:id="411" w:name="_Toc4396350"/>
      <w:bookmarkStart w:id="412" w:name="_Toc3376327"/>
      <w:bookmarkStart w:id="413" w:name="_Toc3444942"/>
      <w:bookmarkStart w:id="414" w:name="_Toc3457247"/>
      <w:bookmarkStart w:id="415" w:name="_Toc3983998"/>
      <w:bookmarkStart w:id="416" w:name="_Toc3984736"/>
      <w:bookmarkStart w:id="417" w:name="_Toc4396351"/>
      <w:bookmarkStart w:id="418" w:name="_Toc3376331"/>
      <w:bookmarkStart w:id="419" w:name="_Toc3444946"/>
      <w:bookmarkStart w:id="420" w:name="_Toc3457251"/>
      <w:bookmarkStart w:id="421" w:name="_Toc3984002"/>
      <w:bookmarkStart w:id="422" w:name="_Toc3984740"/>
      <w:bookmarkStart w:id="423" w:name="_Toc4396355"/>
      <w:bookmarkStart w:id="424" w:name="_Toc3376332"/>
      <w:bookmarkStart w:id="425" w:name="_Toc3444947"/>
      <w:bookmarkStart w:id="426" w:name="_Toc3457252"/>
      <w:bookmarkStart w:id="427" w:name="_Toc3984003"/>
      <w:bookmarkStart w:id="428" w:name="_Toc3984741"/>
      <w:bookmarkStart w:id="429" w:name="_Toc4396356"/>
      <w:bookmarkStart w:id="430" w:name="_Toc3376334"/>
      <w:bookmarkStart w:id="431" w:name="_Toc3444949"/>
      <w:bookmarkStart w:id="432" w:name="_Toc3457254"/>
      <w:bookmarkStart w:id="433" w:name="_Toc3984005"/>
      <w:bookmarkStart w:id="434" w:name="_Toc3984743"/>
      <w:bookmarkStart w:id="435" w:name="_Toc4396358"/>
      <w:bookmarkStart w:id="436" w:name="_Toc3376335"/>
      <w:bookmarkStart w:id="437" w:name="_Toc3444950"/>
      <w:bookmarkStart w:id="438" w:name="_Toc3457255"/>
      <w:bookmarkStart w:id="439" w:name="_Toc3984006"/>
      <w:bookmarkStart w:id="440" w:name="_Toc3984744"/>
      <w:bookmarkStart w:id="441" w:name="_Toc4396359"/>
      <w:bookmarkStart w:id="442" w:name="_Toc3376337"/>
      <w:bookmarkStart w:id="443" w:name="_Toc3444952"/>
      <w:bookmarkStart w:id="444" w:name="_Toc3457257"/>
      <w:bookmarkStart w:id="445" w:name="_Toc3984008"/>
      <w:bookmarkStart w:id="446" w:name="_Toc3984746"/>
      <w:bookmarkStart w:id="447" w:name="_Toc4396361"/>
      <w:bookmarkStart w:id="448" w:name="_Toc3376340"/>
      <w:bookmarkStart w:id="449" w:name="_Toc3444955"/>
      <w:bookmarkStart w:id="450" w:name="_Toc3457260"/>
      <w:bookmarkStart w:id="451" w:name="_Toc3984011"/>
      <w:bookmarkStart w:id="452" w:name="_Toc3984749"/>
      <w:bookmarkStart w:id="453" w:name="_Toc4396364"/>
      <w:bookmarkStart w:id="454" w:name="_Toc3376342"/>
      <w:bookmarkStart w:id="455" w:name="_Toc3444957"/>
      <w:bookmarkStart w:id="456" w:name="_Toc3457262"/>
      <w:bookmarkStart w:id="457" w:name="_Toc3984013"/>
      <w:bookmarkStart w:id="458" w:name="_Toc3984751"/>
      <w:bookmarkStart w:id="459" w:name="_Toc4396366"/>
      <w:bookmarkStart w:id="460" w:name="_Toc3376344"/>
      <w:bookmarkStart w:id="461" w:name="_Toc3444959"/>
      <w:bookmarkStart w:id="462" w:name="_Toc3457264"/>
      <w:bookmarkStart w:id="463" w:name="_Toc3984015"/>
      <w:bookmarkStart w:id="464" w:name="_Toc3984753"/>
      <w:bookmarkStart w:id="465" w:name="_Toc4396368"/>
      <w:bookmarkStart w:id="466" w:name="_Toc3376346"/>
      <w:bookmarkStart w:id="467" w:name="_Toc3444961"/>
      <w:bookmarkStart w:id="468" w:name="_Toc3457266"/>
      <w:bookmarkStart w:id="469" w:name="_Toc3984017"/>
      <w:bookmarkStart w:id="470" w:name="_Toc3984755"/>
      <w:bookmarkStart w:id="471" w:name="_Toc4396370"/>
      <w:bookmarkStart w:id="472" w:name="_Toc3376348"/>
      <w:bookmarkStart w:id="473" w:name="_Toc3444963"/>
      <w:bookmarkStart w:id="474" w:name="_Toc3457268"/>
      <w:bookmarkStart w:id="475" w:name="_Toc3984019"/>
      <w:bookmarkStart w:id="476" w:name="_Toc3984757"/>
      <w:bookmarkStart w:id="477" w:name="_Toc4396372"/>
      <w:bookmarkStart w:id="478" w:name="_Toc3376349"/>
      <w:bookmarkStart w:id="479" w:name="_Toc3444964"/>
      <w:bookmarkStart w:id="480" w:name="_Toc3457269"/>
      <w:bookmarkStart w:id="481" w:name="_Toc3984020"/>
      <w:bookmarkStart w:id="482" w:name="_Toc3984758"/>
      <w:bookmarkStart w:id="483" w:name="_Toc4396373"/>
      <w:bookmarkStart w:id="484" w:name="_Toc3376350"/>
      <w:bookmarkStart w:id="485" w:name="_Toc3444965"/>
      <w:bookmarkStart w:id="486" w:name="_Toc3457270"/>
      <w:bookmarkStart w:id="487" w:name="_Toc3984021"/>
      <w:bookmarkStart w:id="488" w:name="_Toc3984759"/>
      <w:bookmarkStart w:id="489" w:name="_Toc4396374"/>
      <w:bookmarkStart w:id="490" w:name="_Toc3376353"/>
      <w:bookmarkStart w:id="491" w:name="_Toc3444968"/>
      <w:bookmarkStart w:id="492" w:name="_Toc3457273"/>
      <w:bookmarkStart w:id="493" w:name="_Toc3984024"/>
      <w:bookmarkStart w:id="494" w:name="_Toc3984762"/>
      <w:bookmarkStart w:id="495" w:name="_Toc4396377"/>
      <w:bookmarkStart w:id="496" w:name="_Toc3376357"/>
      <w:bookmarkStart w:id="497" w:name="_Toc3444972"/>
      <w:bookmarkStart w:id="498" w:name="_Toc3457277"/>
      <w:bookmarkStart w:id="499" w:name="_Toc3984028"/>
      <w:bookmarkStart w:id="500" w:name="_Toc3984766"/>
      <w:bookmarkStart w:id="501" w:name="_Toc4396381"/>
      <w:bookmarkStart w:id="502" w:name="_Toc3376359"/>
      <w:bookmarkStart w:id="503" w:name="_Toc3444974"/>
      <w:bookmarkStart w:id="504" w:name="_Toc3457279"/>
      <w:bookmarkStart w:id="505" w:name="_Toc3984030"/>
      <w:bookmarkStart w:id="506" w:name="_Toc3984768"/>
      <w:bookmarkStart w:id="507" w:name="_Toc4396383"/>
      <w:bookmarkStart w:id="508" w:name="_Toc3376360"/>
      <w:bookmarkStart w:id="509" w:name="_Toc3444975"/>
      <w:bookmarkStart w:id="510" w:name="_Toc3457280"/>
      <w:bookmarkStart w:id="511" w:name="_Toc3984031"/>
      <w:bookmarkStart w:id="512" w:name="_Toc3984769"/>
      <w:bookmarkStart w:id="513" w:name="_Toc4396384"/>
      <w:bookmarkStart w:id="514" w:name="_Toc3376361"/>
      <w:bookmarkStart w:id="515" w:name="_Toc3444976"/>
      <w:bookmarkStart w:id="516" w:name="_Toc3457281"/>
      <w:bookmarkStart w:id="517" w:name="_Toc3984032"/>
      <w:bookmarkStart w:id="518" w:name="_Toc3984770"/>
      <w:bookmarkStart w:id="519" w:name="_Toc4396385"/>
      <w:bookmarkStart w:id="520" w:name="_Toc3376363"/>
      <w:bookmarkStart w:id="521" w:name="_Toc3444978"/>
      <w:bookmarkStart w:id="522" w:name="_Toc3457283"/>
      <w:bookmarkStart w:id="523" w:name="_Toc3984034"/>
      <w:bookmarkStart w:id="524" w:name="_Toc3984772"/>
      <w:bookmarkStart w:id="525" w:name="_Toc4396387"/>
      <w:bookmarkStart w:id="526" w:name="_Toc3376365"/>
      <w:bookmarkStart w:id="527" w:name="_Toc3444980"/>
      <w:bookmarkStart w:id="528" w:name="_Toc3457285"/>
      <w:bookmarkStart w:id="529" w:name="_Toc3984036"/>
      <w:bookmarkStart w:id="530" w:name="_Toc3984774"/>
      <w:bookmarkStart w:id="531" w:name="_Toc4396389"/>
      <w:bookmarkStart w:id="532" w:name="_Toc3376367"/>
      <w:bookmarkStart w:id="533" w:name="_Toc3444982"/>
      <w:bookmarkStart w:id="534" w:name="_Toc3457287"/>
      <w:bookmarkStart w:id="535" w:name="_Toc3984038"/>
      <w:bookmarkStart w:id="536" w:name="_Toc3984776"/>
      <w:bookmarkStart w:id="537" w:name="_Toc4396391"/>
      <w:bookmarkStart w:id="538" w:name="_Toc3376369"/>
      <w:bookmarkStart w:id="539" w:name="_Toc3444984"/>
      <w:bookmarkStart w:id="540" w:name="_Toc3457289"/>
      <w:bookmarkStart w:id="541" w:name="_Toc3984040"/>
      <w:bookmarkStart w:id="542" w:name="_Toc3984778"/>
      <w:bookmarkStart w:id="543" w:name="_Toc4396393"/>
      <w:bookmarkStart w:id="544" w:name="_Toc3376370"/>
      <w:bookmarkStart w:id="545" w:name="_Toc3444985"/>
      <w:bookmarkStart w:id="546" w:name="_Toc3457290"/>
      <w:bookmarkStart w:id="547" w:name="_Toc3984041"/>
      <w:bookmarkStart w:id="548" w:name="_Toc3984779"/>
      <w:bookmarkStart w:id="549" w:name="_Toc4396394"/>
      <w:bookmarkStart w:id="550" w:name="_Toc3376372"/>
      <w:bookmarkStart w:id="551" w:name="_Toc3444987"/>
      <w:bookmarkStart w:id="552" w:name="_Toc3457292"/>
      <w:bookmarkStart w:id="553" w:name="_Toc3984043"/>
      <w:bookmarkStart w:id="554" w:name="_Toc3984781"/>
      <w:bookmarkStart w:id="555" w:name="_Toc4396396"/>
      <w:bookmarkStart w:id="556" w:name="_Toc3376373"/>
      <w:bookmarkStart w:id="557" w:name="_Toc3444988"/>
      <w:bookmarkStart w:id="558" w:name="_Toc3457293"/>
      <w:bookmarkStart w:id="559" w:name="_Toc3984044"/>
      <w:bookmarkStart w:id="560" w:name="_Toc3984782"/>
      <w:bookmarkStart w:id="561" w:name="_Toc4396397"/>
      <w:bookmarkStart w:id="562" w:name="_Toc3376374"/>
      <w:bookmarkStart w:id="563" w:name="_Toc3444989"/>
      <w:bookmarkStart w:id="564" w:name="_Toc3457294"/>
      <w:bookmarkStart w:id="565" w:name="_Toc3984045"/>
      <w:bookmarkStart w:id="566" w:name="_Toc3984783"/>
      <w:bookmarkStart w:id="567" w:name="_Toc4396398"/>
      <w:bookmarkStart w:id="568" w:name="_Toc3376375"/>
      <w:bookmarkStart w:id="569" w:name="_Toc3444990"/>
      <w:bookmarkStart w:id="570" w:name="_Toc3457295"/>
      <w:bookmarkStart w:id="571" w:name="_Toc3984046"/>
      <w:bookmarkStart w:id="572" w:name="_Toc3984784"/>
      <w:bookmarkStart w:id="573" w:name="_Toc4396399"/>
      <w:bookmarkStart w:id="574" w:name="_Toc3376379"/>
      <w:bookmarkStart w:id="575" w:name="_Toc3444994"/>
      <w:bookmarkStart w:id="576" w:name="_Toc3457299"/>
      <w:bookmarkStart w:id="577" w:name="_Toc3984050"/>
      <w:bookmarkStart w:id="578" w:name="_Toc3984788"/>
      <w:bookmarkStart w:id="579" w:name="_Toc4396403"/>
      <w:bookmarkStart w:id="580" w:name="_Toc3376380"/>
      <w:bookmarkStart w:id="581" w:name="_Toc3444995"/>
      <w:bookmarkStart w:id="582" w:name="_Toc3457300"/>
      <w:bookmarkStart w:id="583" w:name="_Toc3984051"/>
      <w:bookmarkStart w:id="584" w:name="_Toc3984789"/>
      <w:bookmarkStart w:id="585" w:name="_Toc4396404"/>
      <w:bookmarkStart w:id="586" w:name="_Toc3376381"/>
      <w:bookmarkStart w:id="587" w:name="_Toc3444996"/>
      <w:bookmarkStart w:id="588" w:name="_Toc3457301"/>
      <w:bookmarkStart w:id="589" w:name="_Toc3984052"/>
      <w:bookmarkStart w:id="590" w:name="_Toc3984790"/>
      <w:bookmarkStart w:id="591" w:name="_Toc4396405"/>
      <w:bookmarkStart w:id="592" w:name="_Toc3376382"/>
      <w:bookmarkStart w:id="593" w:name="_Toc3444997"/>
      <w:bookmarkStart w:id="594" w:name="_Toc3457302"/>
      <w:bookmarkStart w:id="595" w:name="_Toc3984053"/>
      <w:bookmarkStart w:id="596" w:name="_Toc3984791"/>
      <w:bookmarkStart w:id="597" w:name="_Toc4396406"/>
      <w:bookmarkStart w:id="598" w:name="_Toc3376383"/>
      <w:bookmarkStart w:id="599" w:name="_Toc3444998"/>
      <w:bookmarkStart w:id="600" w:name="_Toc3457303"/>
      <w:bookmarkStart w:id="601" w:name="_Toc3984054"/>
      <w:bookmarkStart w:id="602" w:name="_Toc3984792"/>
      <w:bookmarkStart w:id="603" w:name="_Toc4396407"/>
      <w:bookmarkStart w:id="604" w:name="_Toc3376385"/>
      <w:bookmarkStart w:id="605" w:name="_Toc3445000"/>
      <w:bookmarkStart w:id="606" w:name="_Toc3457305"/>
      <w:bookmarkStart w:id="607" w:name="_Toc3984056"/>
      <w:bookmarkStart w:id="608" w:name="_Toc3984794"/>
      <w:bookmarkStart w:id="609" w:name="_Toc4396409"/>
      <w:bookmarkStart w:id="610" w:name="_Toc3376386"/>
      <w:bookmarkStart w:id="611" w:name="_Toc3445001"/>
      <w:bookmarkStart w:id="612" w:name="_Toc3457306"/>
      <w:bookmarkStart w:id="613" w:name="_Toc3984057"/>
      <w:bookmarkStart w:id="614" w:name="_Toc3984795"/>
      <w:bookmarkStart w:id="615" w:name="_Toc4396410"/>
      <w:bookmarkStart w:id="616" w:name="_Toc3376387"/>
      <w:bookmarkStart w:id="617" w:name="_Toc3445002"/>
      <w:bookmarkStart w:id="618" w:name="_Toc3457307"/>
      <w:bookmarkStart w:id="619" w:name="_Toc3984058"/>
      <w:bookmarkStart w:id="620" w:name="_Toc3984796"/>
      <w:bookmarkStart w:id="621" w:name="_Toc4396411"/>
      <w:bookmarkStart w:id="622" w:name="_Toc3376388"/>
      <w:bookmarkStart w:id="623" w:name="_Toc3445003"/>
      <w:bookmarkStart w:id="624" w:name="_Toc3457308"/>
      <w:bookmarkStart w:id="625" w:name="_Toc3984059"/>
      <w:bookmarkStart w:id="626" w:name="_Toc3984797"/>
      <w:bookmarkStart w:id="627" w:name="_Toc4396412"/>
      <w:bookmarkStart w:id="628" w:name="_Toc3376391"/>
      <w:bookmarkStart w:id="629" w:name="_Toc3445006"/>
      <w:bookmarkStart w:id="630" w:name="_Toc3457311"/>
      <w:bookmarkStart w:id="631" w:name="_Toc3984062"/>
      <w:bookmarkStart w:id="632" w:name="_Toc3984800"/>
      <w:bookmarkStart w:id="633" w:name="_Toc4396415"/>
      <w:bookmarkStart w:id="634" w:name="_Toc3376392"/>
      <w:bookmarkStart w:id="635" w:name="_Toc3445007"/>
      <w:bookmarkStart w:id="636" w:name="_Toc3457312"/>
      <w:bookmarkStart w:id="637" w:name="_Toc3984063"/>
      <w:bookmarkStart w:id="638" w:name="_Toc3984801"/>
      <w:bookmarkStart w:id="639" w:name="_Toc4396416"/>
      <w:bookmarkStart w:id="640" w:name="_Toc3376395"/>
      <w:bookmarkStart w:id="641" w:name="_Toc3445010"/>
      <w:bookmarkStart w:id="642" w:name="_Toc3457315"/>
      <w:bookmarkStart w:id="643" w:name="_Toc3984066"/>
      <w:bookmarkStart w:id="644" w:name="_Toc3984804"/>
      <w:bookmarkStart w:id="645" w:name="_Toc4396419"/>
      <w:bookmarkStart w:id="646" w:name="_Toc3376398"/>
      <w:bookmarkStart w:id="647" w:name="_Toc3445013"/>
      <w:bookmarkStart w:id="648" w:name="_Toc3457318"/>
      <w:bookmarkStart w:id="649" w:name="_Toc3984069"/>
      <w:bookmarkStart w:id="650" w:name="_Toc3984807"/>
      <w:bookmarkStart w:id="651" w:name="_Toc4396422"/>
      <w:bookmarkStart w:id="652" w:name="_Toc3376399"/>
      <w:bookmarkStart w:id="653" w:name="_Toc3445014"/>
      <w:bookmarkStart w:id="654" w:name="_Toc3457319"/>
      <w:bookmarkStart w:id="655" w:name="_Toc3984070"/>
      <w:bookmarkStart w:id="656" w:name="_Toc3984808"/>
      <w:bookmarkStart w:id="657" w:name="_Toc4396423"/>
      <w:bookmarkStart w:id="658" w:name="_Toc3376400"/>
      <w:bookmarkStart w:id="659" w:name="_Toc3445015"/>
      <w:bookmarkStart w:id="660" w:name="_Toc3457320"/>
      <w:bookmarkStart w:id="661" w:name="_Toc3984071"/>
      <w:bookmarkStart w:id="662" w:name="_Toc3984809"/>
      <w:bookmarkStart w:id="663" w:name="_Toc4396424"/>
      <w:bookmarkStart w:id="664" w:name="_Toc3376401"/>
      <w:bookmarkStart w:id="665" w:name="_Toc3445016"/>
      <w:bookmarkStart w:id="666" w:name="_Toc3457321"/>
      <w:bookmarkStart w:id="667" w:name="_Toc3984072"/>
      <w:bookmarkStart w:id="668" w:name="_Toc3984810"/>
      <w:bookmarkStart w:id="669" w:name="_Toc4396425"/>
      <w:bookmarkStart w:id="670" w:name="_Toc3376408"/>
      <w:bookmarkStart w:id="671" w:name="_Toc3445023"/>
      <w:bookmarkStart w:id="672" w:name="_Toc3457328"/>
      <w:bookmarkStart w:id="673" w:name="_Toc3984079"/>
      <w:bookmarkStart w:id="674" w:name="_Toc3984817"/>
      <w:bookmarkStart w:id="675" w:name="_Toc4396432"/>
      <w:bookmarkStart w:id="676" w:name="_Toc3376413"/>
      <w:bookmarkStart w:id="677" w:name="_Toc3445028"/>
      <w:bookmarkStart w:id="678" w:name="_Toc3457333"/>
      <w:bookmarkStart w:id="679" w:name="_Toc3984084"/>
      <w:bookmarkStart w:id="680" w:name="_Toc3984822"/>
      <w:bookmarkStart w:id="681" w:name="_Toc4396437"/>
      <w:bookmarkStart w:id="682" w:name="_Toc3376415"/>
      <w:bookmarkStart w:id="683" w:name="_Toc3445030"/>
      <w:bookmarkStart w:id="684" w:name="_Toc3457335"/>
      <w:bookmarkStart w:id="685" w:name="_Toc3984086"/>
      <w:bookmarkStart w:id="686" w:name="_Toc3984824"/>
      <w:bookmarkStart w:id="687" w:name="_Toc4396439"/>
      <w:bookmarkStart w:id="688" w:name="_Toc3376419"/>
      <w:bookmarkStart w:id="689" w:name="_Toc3445034"/>
      <w:bookmarkStart w:id="690" w:name="_Toc3457339"/>
      <w:bookmarkStart w:id="691" w:name="_Toc3984090"/>
      <w:bookmarkStart w:id="692" w:name="_Toc3984828"/>
      <w:bookmarkStart w:id="693" w:name="_Toc4396443"/>
      <w:bookmarkStart w:id="694" w:name="_Toc3376420"/>
      <w:bookmarkStart w:id="695" w:name="_Toc3445035"/>
      <w:bookmarkStart w:id="696" w:name="_Toc3457340"/>
      <w:bookmarkStart w:id="697" w:name="_Toc3984091"/>
      <w:bookmarkStart w:id="698" w:name="_Toc3984829"/>
      <w:bookmarkStart w:id="699" w:name="_Toc4396444"/>
      <w:bookmarkStart w:id="700" w:name="_Toc3376421"/>
      <w:bookmarkStart w:id="701" w:name="_Toc3445036"/>
      <w:bookmarkStart w:id="702" w:name="_Toc3457341"/>
      <w:bookmarkStart w:id="703" w:name="_Toc3984092"/>
      <w:bookmarkStart w:id="704" w:name="_Toc3984830"/>
      <w:bookmarkStart w:id="705" w:name="_Toc4396445"/>
      <w:bookmarkStart w:id="706" w:name="_Toc3376422"/>
      <w:bookmarkStart w:id="707" w:name="_Toc3445037"/>
      <w:bookmarkStart w:id="708" w:name="_Toc3457342"/>
      <w:bookmarkStart w:id="709" w:name="_Toc3984093"/>
      <w:bookmarkStart w:id="710" w:name="_Toc3984831"/>
      <w:bookmarkStart w:id="711" w:name="_Toc4396446"/>
      <w:bookmarkStart w:id="712" w:name="_Toc3376423"/>
      <w:bookmarkStart w:id="713" w:name="_Toc3445038"/>
      <w:bookmarkStart w:id="714" w:name="_Toc3457343"/>
      <w:bookmarkStart w:id="715" w:name="_Toc3984094"/>
      <w:bookmarkStart w:id="716" w:name="_Toc3984832"/>
      <w:bookmarkStart w:id="717" w:name="_Toc4396447"/>
      <w:bookmarkStart w:id="718" w:name="_Toc4407824"/>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r w:rsidRPr="006923FC">
        <w:t xml:space="preserve">Health Profile summary for </w:t>
      </w:r>
      <w:r w:rsidR="006963B4" w:rsidRPr="006923FC">
        <w:t xml:space="preserve">Peterborough, </w:t>
      </w:r>
      <w:r w:rsidRPr="006923FC">
        <w:t xml:space="preserve">Cambridgeshire and </w:t>
      </w:r>
      <w:r w:rsidR="006963B4" w:rsidRPr="006923FC">
        <w:t xml:space="preserve">the </w:t>
      </w:r>
      <w:r w:rsidRPr="006923FC">
        <w:t>districts</w:t>
      </w:r>
      <w:bookmarkEnd w:id="718"/>
    </w:p>
    <w:p w14:paraId="4DA19C48" w14:textId="77777777" w:rsidR="001C7524" w:rsidRPr="006923FC" w:rsidRDefault="001C7524" w:rsidP="00CD2743">
      <w:pPr>
        <w:spacing w:line="240" w:lineRule="auto"/>
        <w:rPr>
          <w:rFonts w:cs="Arial"/>
          <w:color w:val="002F5D"/>
        </w:rPr>
      </w:pPr>
    </w:p>
    <w:p w14:paraId="0DA26079" w14:textId="6B9CDF4B" w:rsidR="00C04C96" w:rsidRDefault="001C7524" w:rsidP="00977C29">
      <w:pPr>
        <w:spacing w:line="240" w:lineRule="auto"/>
        <w:rPr>
          <w:rFonts w:cs="Arial"/>
          <w:color w:val="002F5D"/>
        </w:rPr>
      </w:pPr>
      <w:r w:rsidRPr="006923FC">
        <w:rPr>
          <w:rFonts w:cs="Arial"/>
          <w:color w:val="002F5D"/>
        </w:rPr>
        <w:t xml:space="preserve">Public Health England’s </w:t>
      </w:r>
      <w:r w:rsidRPr="006923FC">
        <w:rPr>
          <w:rFonts w:cs="Arial"/>
          <w:b/>
          <w:color w:val="002F5D"/>
        </w:rPr>
        <w:t>Health Profiles</w:t>
      </w:r>
      <w:r w:rsidRPr="006923FC">
        <w:rPr>
          <w:rFonts w:cs="Arial"/>
          <w:color w:val="002F5D"/>
        </w:rPr>
        <w:t xml:space="preserve"> give a </w:t>
      </w:r>
      <w:r w:rsidRPr="006923FC">
        <w:rPr>
          <w:rFonts w:cs="Arial"/>
          <w:b/>
          <w:color w:val="002F5D"/>
        </w:rPr>
        <w:t>snapshot</w:t>
      </w:r>
      <w:r w:rsidRPr="006923FC">
        <w:rPr>
          <w:rFonts w:cs="Arial"/>
          <w:color w:val="002F5D"/>
        </w:rPr>
        <w:t xml:space="preserve"> of the overall health of each local authority in England. The profiles present a small set of some of the </w:t>
      </w:r>
      <w:r w:rsidRPr="006923FC">
        <w:rPr>
          <w:rFonts w:cs="Arial"/>
          <w:b/>
          <w:color w:val="002F5D"/>
        </w:rPr>
        <w:t>most important health indicators</w:t>
      </w:r>
      <w:r w:rsidRPr="006923FC">
        <w:rPr>
          <w:rFonts w:cs="Arial"/>
          <w:color w:val="002F5D"/>
        </w:rPr>
        <w:t xml:space="preserve"> that show how each area compares to the national average in order to highlight potential </w:t>
      </w:r>
      <w:r w:rsidR="004531D9" w:rsidRPr="006923FC">
        <w:rPr>
          <w:rFonts w:cs="Arial"/>
          <w:color w:val="002F5D"/>
        </w:rPr>
        <w:t>local issues</w:t>
      </w:r>
      <w:r w:rsidRPr="006923FC">
        <w:rPr>
          <w:rFonts w:cs="Arial"/>
          <w:color w:val="002F5D"/>
        </w:rPr>
        <w:t xml:space="preserve">.  In this section, we present a </w:t>
      </w:r>
      <w:r w:rsidRPr="006923FC">
        <w:rPr>
          <w:rFonts w:cs="Arial"/>
          <w:b/>
          <w:color w:val="002F5D"/>
        </w:rPr>
        <w:t>summary</w:t>
      </w:r>
      <w:r w:rsidRPr="006923FC">
        <w:rPr>
          <w:rFonts w:cs="Arial"/>
          <w:color w:val="002F5D"/>
        </w:rPr>
        <w:t xml:space="preserve"> of these key indicators to provide a rapid overview for Cambridgeshire</w:t>
      </w:r>
      <w:r w:rsidR="00543CB8">
        <w:rPr>
          <w:rFonts w:cs="Arial"/>
          <w:color w:val="002F5D"/>
        </w:rPr>
        <w:t>,</w:t>
      </w:r>
      <w:r w:rsidR="00872F58" w:rsidRPr="006923FC">
        <w:rPr>
          <w:rFonts w:cs="Arial"/>
          <w:color w:val="002F5D"/>
        </w:rPr>
        <w:t xml:space="preserve"> Peterborough, and the Cambridgeshire</w:t>
      </w:r>
      <w:r w:rsidR="007D59D2" w:rsidRPr="006923FC">
        <w:rPr>
          <w:rFonts w:cs="Arial"/>
          <w:color w:val="002F5D"/>
        </w:rPr>
        <w:t xml:space="preserve"> districts</w:t>
      </w:r>
      <w:r w:rsidRPr="006923FC">
        <w:rPr>
          <w:rFonts w:cs="Arial"/>
          <w:color w:val="002F5D"/>
        </w:rPr>
        <w:t>.</w:t>
      </w:r>
      <w:r w:rsidR="00E75CEB" w:rsidRPr="006923FC">
        <w:rPr>
          <w:rFonts w:cs="Arial"/>
          <w:color w:val="002F5D"/>
        </w:rPr>
        <w:t xml:space="preserve"> Many of these indicators are described in m</w:t>
      </w:r>
      <w:r w:rsidR="00C04C96" w:rsidRPr="006923FC">
        <w:rPr>
          <w:rFonts w:cs="Arial"/>
          <w:color w:val="002F5D"/>
        </w:rPr>
        <w:t>ore detail in the main report.</w:t>
      </w:r>
    </w:p>
    <w:p w14:paraId="0A594885" w14:textId="32254D17" w:rsidR="003C0DA7" w:rsidRDefault="003C0DA7" w:rsidP="00977C29">
      <w:pPr>
        <w:spacing w:line="240" w:lineRule="auto"/>
        <w:rPr>
          <w:rFonts w:cs="Arial"/>
          <w:color w:val="002F5D"/>
        </w:rPr>
      </w:pPr>
    </w:p>
    <w:p w14:paraId="28AD6F4B" w14:textId="77777777" w:rsidR="00656DEF" w:rsidRDefault="00656DEF" w:rsidP="00656DEF">
      <w:pPr>
        <w:rPr>
          <w:color w:val="002F5D"/>
          <w:shd w:val="clear" w:color="auto" w:fill="FFFFFF"/>
        </w:rPr>
      </w:pPr>
    </w:p>
    <w:p w14:paraId="5C0B2F8A" w14:textId="680D75CC" w:rsidR="003C0DA7" w:rsidRPr="008C3167" w:rsidRDefault="00656DEF" w:rsidP="004A6349">
      <w:pPr>
        <w:spacing w:line="240" w:lineRule="auto"/>
        <w:jc w:val="both"/>
        <w:rPr>
          <w:rFonts w:ascii="Calibri" w:eastAsia="Times New Roman" w:hAnsi="Calibri" w:cs="Times New Roman"/>
          <w:color w:val="002F5D"/>
          <w:lang w:eastAsia="en-GB"/>
        </w:rPr>
      </w:pPr>
      <w:r w:rsidRPr="007525E0">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Public Health England</w:t>
      </w:r>
      <w:r w:rsidRPr="00DA777F">
        <w:rPr>
          <w:rFonts w:ascii="Calibri" w:eastAsia="Times New Roman" w:hAnsi="Calibri" w:cs="Times New Roman"/>
          <w:color w:val="002F5D"/>
          <w:lang w:eastAsia="en-GB"/>
        </w:rPr>
        <w:t xml:space="preserve"> (PHE) </w:t>
      </w:r>
      <w:r>
        <w:rPr>
          <w:rFonts w:ascii="Calibri" w:eastAsia="Times New Roman" w:hAnsi="Calibri" w:cs="Times New Roman"/>
          <w:color w:val="002F5D"/>
          <w:lang w:eastAsia="en-GB"/>
        </w:rPr>
        <w:t xml:space="preserve">calculate statistical significance using comparator area confidence intervals compared with the area value for the benchmark. This method is used in the RAG rated tables in this section. </w:t>
      </w:r>
    </w:p>
    <w:p w14:paraId="3D71BED3" w14:textId="77777777" w:rsidR="00C04C96" w:rsidRPr="006923FC" w:rsidRDefault="00C04C96" w:rsidP="00977C29">
      <w:pPr>
        <w:spacing w:line="240" w:lineRule="auto"/>
        <w:rPr>
          <w:rFonts w:cs="Arial"/>
          <w:color w:val="002F5D"/>
        </w:rPr>
      </w:pPr>
    </w:p>
    <w:p w14:paraId="4BF56221" w14:textId="414BFA5C" w:rsidR="00FD4050" w:rsidRPr="006923FC" w:rsidRDefault="00C04C96" w:rsidP="00977C29">
      <w:pPr>
        <w:spacing w:line="240" w:lineRule="auto"/>
        <w:rPr>
          <w:color w:val="002F5D"/>
        </w:rPr>
        <w:sectPr w:rsidR="00FD4050" w:rsidRPr="006923FC" w:rsidSect="004C7797">
          <w:headerReference w:type="default" r:id="rId16"/>
          <w:footerReference w:type="default" r:id="rId17"/>
          <w:headerReference w:type="first" r:id="rId18"/>
          <w:footerReference w:type="first" r:id="rId19"/>
          <w:pgSz w:w="11906" w:h="16838"/>
          <w:pgMar w:top="1134" w:right="1134" w:bottom="1134" w:left="1134" w:header="709" w:footer="709" w:gutter="0"/>
          <w:cols w:space="708"/>
          <w:titlePg/>
          <w:docGrid w:linePitch="360"/>
        </w:sectPr>
      </w:pPr>
      <w:r w:rsidRPr="006923FC">
        <w:rPr>
          <w:rFonts w:cs="Arial"/>
          <w:color w:val="002F5D"/>
        </w:rPr>
        <w:t>The Health Profile summary follows overleaf.</w:t>
      </w:r>
    </w:p>
    <w:p w14:paraId="302F9966" w14:textId="1C34913B" w:rsidR="00AF1006" w:rsidRDefault="00315A9A">
      <w:pPr>
        <w:pStyle w:val="Caption"/>
        <w:rPr>
          <w:rFonts w:cs="Arial"/>
          <w:color w:val="002F5D"/>
        </w:rPr>
      </w:pPr>
      <w:r w:rsidRPr="00422B75">
        <w:rPr>
          <w:b/>
          <w:color w:val="002F5D"/>
        </w:rPr>
        <w:lastRenderedPageBreak/>
        <w:t xml:space="preserve">Table </w:t>
      </w:r>
      <w:r w:rsidR="00DF364C" w:rsidRPr="00422B75">
        <w:rPr>
          <w:b/>
          <w:color w:val="002F5D"/>
        </w:rPr>
        <w:fldChar w:fldCharType="begin"/>
      </w:r>
      <w:r w:rsidR="00DF364C" w:rsidRPr="00422B75">
        <w:rPr>
          <w:b/>
          <w:color w:val="002F5D"/>
        </w:rPr>
        <w:instrText xml:space="preserve"> SEQ Table \* ARABIC </w:instrText>
      </w:r>
      <w:r w:rsidR="00DF364C" w:rsidRPr="00422B75">
        <w:rPr>
          <w:b/>
          <w:color w:val="002F5D"/>
        </w:rPr>
        <w:fldChar w:fldCharType="separate"/>
      </w:r>
      <w:r w:rsidR="00E80CFE">
        <w:rPr>
          <w:b/>
          <w:noProof/>
          <w:color w:val="002F5D"/>
        </w:rPr>
        <w:t>1</w:t>
      </w:r>
      <w:r w:rsidR="00DF364C" w:rsidRPr="00422B75">
        <w:rPr>
          <w:b/>
          <w:noProof/>
          <w:color w:val="002F5D"/>
        </w:rPr>
        <w:fldChar w:fldCharType="end"/>
      </w:r>
      <w:r w:rsidRPr="00422B75">
        <w:rPr>
          <w:rFonts w:cs="Arial"/>
          <w:b/>
          <w:color w:val="002F5D"/>
        </w:rPr>
        <w:t xml:space="preserve">. </w:t>
      </w:r>
      <w:r w:rsidR="001C7524" w:rsidRPr="00422B75">
        <w:rPr>
          <w:rFonts w:cs="Arial"/>
          <w:color w:val="002F5D"/>
        </w:rPr>
        <w:t xml:space="preserve">Public Health England (PHE): health profile summary for </w:t>
      </w:r>
      <w:r w:rsidR="00565BC8" w:rsidRPr="00422B75">
        <w:rPr>
          <w:rFonts w:cs="Arial"/>
          <w:color w:val="002F5D"/>
        </w:rPr>
        <w:t xml:space="preserve">Peterborough, </w:t>
      </w:r>
      <w:r w:rsidR="001C7524" w:rsidRPr="00422B75">
        <w:rPr>
          <w:rFonts w:cs="Arial"/>
          <w:color w:val="002F5D"/>
        </w:rPr>
        <w:t>Cambridgeshire and the distr</w:t>
      </w:r>
      <w:r w:rsidR="00422B75">
        <w:rPr>
          <w:rFonts w:cs="Arial"/>
          <w:color w:val="002F5D"/>
        </w:rPr>
        <w:t>icts - selected indicators, 2018</w:t>
      </w:r>
    </w:p>
    <w:p w14:paraId="5B21AD32" w14:textId="2EFE7308" w:rsidR="002832B6" w:rsidRPr="002832B6" w:rsidRDefault="00C804EC" w:rsidP="008C3167">
      <w:r w:rsidRPr="00C804EC">
        <w:rPr>
          <w:noProof/>
          <w:lang w:eastAsia="en-GB"/>
        </w:rPr>
        <w:drawing>
          <wp:inline distT="0" distB="0" distL="0" distR="0" wp14:anchorId="072E4F53" wp14:editId="17DDDC78">
            <wp:extent cx="8414472" cy="5295900"/>
            <wp:effectExtent l="0" t="0" r="571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22310" cy="5300833"/>
                    </a:xfrm>
                    <a:prstGeom prst="rect">
                      <a:avLst/>
                    </a:prstGeom>
                    <a:noFill/>
                    <a:ln>
                      <a:noFill/>
                    </a:ln>
                  </pic:spPr>
                </pic:pic>
              </a:graphicData>
            </a:graphic>
          </wp:inline>
        </w:drawing>
      </w:r>
    </w:p>
    <w:p w14:paraId="3CCACF73" w14:textId="77777777" w:rsidR="00530F09" w:rsidRPr="00330B65" w:rsidRDefault="00530F09" w:rsidP="008C3167"/>
    <w:p w14:paraId="0235CE55" w14:textId="4A3EF97C" w:rsidR="00FD4050" w:rsidRPr="0037351D" w:rsidRDefault="001C7524" w:rsidP="008C3167">
      <w:pPr>
        <w:spacing w:line="276" w:lineRule="auto"/>
        <w:rPr>
          <w:rFonts w:cs="Arial"/>
          <w:b/>
          <w:color w:val="FF0000"/>
        </w:rPr>
        <w:sectPr w:rsidR="00FD4050" w:rsidRPr="0037351D" w:rsidSect="004C7797">
          <w:pgSz w:w="16838" w:h="11906" w:orient="landscape"/>
          <w:pgMar w:top="1134" w:right="1134" w:bottom="1134" w:left="1134" w:header="709" w:footer="709" w:gutter="0"/>
          <w:cols w:space="708"/>
          <w:titlePg/>
          <w:docGrid w:linePitch="360"/>
        </w:sectPr>
      </w:pPr>
      <w:r w:rsidRPr="00422B75">
        <w:rPr>
          <w:rFonts w:cs="Arial"/>
          <w:b/>
          <w:color w:val="002F5D"/>
        </w:rPr>
        <w:t>Source:</w:t>
      </w:r>
      <w:r w:rsidRPr="00422B75">
        <w:rPr>
          <w:rFonts w:cs="Arial"/>
          <w:color w:val="002F5D"/>
        </w:rPr>
        <w:t xml:space="preserve"> Public Health England Health Profiles </w:t>
      </w:r>
      <w:r w:rsidR="00B75927" w:rsidRPr="00422B75">
        <w:rPr>
          <w:rFonts w:cs="Arial"/>
          <w:color w:val="002F5D"/>
        </w:rPr>
        <w:t>at November</w:t>
      </w:r>
      <w:r w:rsidR="00422B75">
        <w:rPr>
          <w:rFonts w:cs="Arial"/>
          <w:color w:val="002F5D"/>
        </w:rPr>
        <w:t xml:space="preserve"> 2018</w:t>
      </w:r>
    </w:p>
    <w:p w14:paraId="65394740" w14:textId="77777777" w:rsidR="00AC680E" w:rsidRPr="00422B75" w:rsidRDefault="00AC680E" w:rsidP="0038179C">
      <w:pPr>
        <w:spacing w:line="240" w:lineRule="auto"/>
        <w:rPr>
          <w:rFonts w:cs="Arial"/>
          <w:b/>
          <w:color w:val="002F5D"/>
        </w:rPr>
      </w:pPr>
      <w:r w:rsidRPr="00422B75">
        <w:rPr>
          <w:rFonts w:cs="Arial"/>
          <w:b/>
          <w:color w:val="002F5D"/>
        </w:rPr>
        <w:lastRenderedPageBreak/>
        <w:t>Key points:</w:t>
      </w:r>
      <w:r w:rsidR="007B6DE9" w:rsidRPr="00422B75">
        <w:rPr>
          <w:rFonts w:cs="Arial"/>
          <w:b/>
          <w:color w:val="002F5D"/>
        </w:rPr>
        <w:t xml:space="preserve"> </w:t>
      </w:r>
    </w:p>
    <w:p w14:paraId="08F00705" w14:textId="6A57F271" w:rsidR="00C338F7" w:rsidRPr="00C72972" w:rsidRDefault="00C338F7" w:rsidP="00AB5D7B">
      <w:pPr>
        <w:pStyle w:val="ListParagraph"/>
        <w:numPr>
          <w:ilvl w:val="0"/>
          <w:numId w:val="17"/>
        </w:numPr>
        <w:spacing w:line="240" w:lineRule="auto"/>
        <w:ind w:left="714" w:hanging="357"/>
        <w:rPr>
          <w:rFonts w:cs="Arial"/>
          <w:color w:val="002F5D"/>
        </w:rPr>
      </w:pPr>
      <w:r w:rsidRPr="00C72972">
        <w:rPr>
          <w:rFonts w:cs="Arial"/>
          <w:color w:val="002F5D"/>
        </w:rPr>
        <w:t xml:space="preserve">For </w:t>
      </w:r>
      <w:r w:rsidRPr="00C72972">
        <w:rPr>
          <w:rFonts w:cs="Arial"/>
          <w:b/>
          <w:color w:val="002F5D"/>
        </w:rPr>
        <w:t>Cambridgeshire</w:t>
      </w:r>
      <w:r w:rsidRPr="00C72972">
        <w:rPr>
          <w:rFonts w:cs="Arial"/>
          <w:color w:val="002F5D"/>
        </w:rPr>
        <w:t xml:space="preserve"> as a whole</w:t>
      </w:r>
      <w:r w:rsidR="00196BC3">
        <w:rPr>
          <w:rFonts w:cs="Arial"/>
          <w:color w:val="002F5D"/>
        </w:rPr>
        <w:t>,</w:t>
      </w:r>
      <w:r w:rsidRPr="00C72972">
        <w:rPr>
          <w:rFonts w:cs="Arial"/>
          <w:color w:val="002F5D"/>
        </w:rPr>
        <w:t xml:space="preserve"> </w:t>
      </w:r>
      <w:r w:rsidRPr="00C72972">
        <w:rPr>
          <w:rFonts w:cs="Arial"/>
          <w:b/>
          <w:color w:val="002F5D"/>
        </w:rPr>
        <w:t>particular areas of concern</w:t>
      </w:r>
      <w:r w:rsidRPr="00C72972">
        <w:rPr>
          <w:rFonts w:cs="Arial"/>
          <w:color w:val="002F5D"/>
        </w:rPr>
        <w:t>, based on the local health profile, include: self-harm</w:t>
      </w:r>
      <w:r w:rsidR="00196BC3">
        <w:rPr>
          <w:rFonts w:cs="Arial"/>
          <w:color w:val="002F5D"/>
        </w:rPr>
        <w:t>,</w:t>
      </w:r>
      <w:r w:rsidRPr="00C72972">
        <w:rPr>
          <w:rFonts w:cs="Arial"/>
          <w:color w:val="002F5D"/>
        </w:rPr>
        <w:t xml:space="preserve"> where the rate of emergency hospital stays for self-harm</w:t>
      </w:r>
      <w:r w:rsidR="00196BC3">
        <w:rPr>
          <w:rFonts w:cs="Arial"/>
          <w:color w:val="002F5D"/>
        </w:rPr>
        <w:t xml:space="preserve"> is</w:t>
      </w:r>
      <w:r w:rsidR="00AB5D7B" w:rsidRPr="00C72972">
        <w:rPr>
          <w:rFonts w:cs="Arial"/>
          <w:color w:val="002F5D"/>
        </w:rPr>
        <w:t xml:space="preserve"> </w:t>
      </w:r>
      <w:r w:rsidR="00C72972" w:rsidRPr="00C72972">
        <w:rPr>
          <w:rFonts w:cs="Arial"/>
          <w:color w:val="002F5D"/>
        </w:rPr>
        <w:t>statistically significantly worse than in England a</w:t>
      </w:r>
      <w:r w:rsidR="00AB5D7B" w:rsidRPr="00C72972">
        <w:rPr>
          <w:rFonts w:cs="Arial"/>
          <w:color w:val="002F5D"/>
        </w:rPr>
        <w:t xml:space="preserve">nd </w:t>
      </w:r>
      <w:r w:rsidR="003A585A">
        <w:rPr>
          <w:rFonts w:cs="Arial"/>
          <w:color w:val="002F5D"/>
        </w:rPr>
        <w:t>the</w:t>
      </w:r>
      <w:r w:rsidR="00AB5D7B" w:rsidRPr="00C72972">
        <w:rPr>
          <w:rFonts w:cs="Arial"/>
          <w:color w:val="002F5D"/>
        </w:rPr>
        <w:t xml:space="preserve"> dementia diagnosis rate</w:t>
      </w:r>
      <w:r w:rsidR="009B3CE8">
        <w:rPr>
          <w:rFonts w:cs="Arial"/>
          <w:color w:val="002F5D"/>
        </w:rPr>
        <w:t>, which</w:t>
      </w:r>
      <w:r w:rsidR="00AB5D7B" w:rsidRPr="00C72972">
        <w:rPr>
          <w:rFonts w:cs="Arial"/>
          <w:color w:val="002F5D"/>
        </w:rPr>
        <w:t xml:space="preserve"> </w:t>
      </w:r>
      <w:r w:rsidR="00C72972" w:rsidRPr="00C72972">
        <w:rPr>
          <w:rFonts w:cs="Arial"/>
          <w:color w:val="002F5D"/>
        </w:rPr>
        <w:t>is</w:t>
      </w:r>
      <w:r w:rsidR="00AB5D7B" w:rsidRPr="00C72972">
        <w:rPr>
          <w:rFonts w:cs="Arial"/>
          <w:color w:val="002F5D"/>
        </w:rPr>
        <w:t xml:space="preserve"> </w:t>
      </w:r>
      <w:r w:rsidRPr="00C72972">
        <w:rPr>
          <w:rFonts w:cs="Arial"/>
          <w:color w:val="002F5D"/>
        </w:rPr>
        <w:t xml:space="preserve">statistically significantly worse than </w:t>
      </w:r>
      <w:r w:rsidR="005C407F" w:rsidRPr="00C72972">
        <w:rPr>
          <w:rFonts w:cs="Arial"/>
          <w:color w:val="002F5D"/>
        </w:rPr>
        <w:t xml:space="preserve">in </w:t>
      </w:r>
      <w:r w:rsidRPr="00C72972">
        <w:rPr>
          <w:rFonts w:cs="Arial"/>
          <w:color w:val="002F5D"/>
        </w:rPr>
        <w:t>England</w:t>
      </w:r>
      <w:r w:rsidR="00AB5D7B" w:rsidRPr="00C72972">
        <w:rPr>
          <w:rFonts w:cs="Arial"/>
          <w:color w:val="002F5D"/>
        </w:rPr>
        <w:t>.</w:t>
      </w:r>
    </w:p>
    <w:p w14:paraId="7B49EE1B" w14:textId="23EE45CB" w:rsidR="003377AE" w:rsidRPr="00C72972" w:rsidRDefault="003377AE" w:rsidP="00A938F7">
      <w:pPr>
        <w:pStyle w:val="ListParagraph"/>
        <w:numPr>
          <w:ilvl w:val="0"/>
          <w:numId w:val="17"/>
        </w:numPr>
        <w:spacing w:line="240" w:lineRule="auto"/>
        <w:ind w:left="714" w:hanging="357"/>
        <w:rPr>
          <w:rFonts w:cs="Arial"/>
          <w:color w:val="002F5D"/>
        </w:rPr>
      </w:pPr>
      <w:r w:rsidRPr="00C72972">
        <w:rPr>
          <w:rFonts w:cs="Arial"/>
          <w:color w:val="002F5D"/>
        </w:rPr>
        <w:t xml:space="preserve">For </w:t>
      </w:r>
      <w:r w:rsidRPr="00C72972">
        <w:rPr>
          <w:rFonts w:cs="Arial"/>
          <w:b/>
          <w:color w:val="002F5D"/>
        </w:rPr>
        <w:t>Peterborough</w:t>
      </w:r>
      <w:r w:rsidRPr="00C72972">
        <w:rPr>
          <w:rFonts w:cs="Arial"/>
          <w:color w:val="002F5D"/>
        </w:rPr>
        <w:t xml:space="preserve"> </w:t>
      </w:r>
      <w:r w:rsidRPr="00C72972">
        <w:rPr>
          <w:rFonts w:cs="Arial"/>
          <w:b/>
          <w:color w:val="002F5D"/>
        </w:rPr>
        <w:t>areas of concern</w:t>
      </w:r>
      <w:r w:rsidRPr="00C72972">
        <w:rPr>
          <w:rFonts w:cs="Arial"/>
          <w:color w:val="002F5D"/>
        </w:rPr>
        <w:t>, based on the local health profile, includ</w:t>
      </w:r>
      <w:r w:rsidR="00070AA3" w:rsidRPr="00C72972">
        <w:rPr>
          <w:rFonts w:cs="Arial"/>
          <w:color w:val="002F5D"/>
        </w:rPr>
        <w:t>e: general inequalities in health determinants and some outcomes across the life-course</w:t>
      </w:r>
      <w:r w:rsidR="00031059">
        <w:rPr>
          <w:rFonts w:cs="Arial"/>
          <w:color w:val="002F5D"/>
        </w:rPr>
        <w:t>,</w:t>
      </w:r>
      <w:r w:rsidR="00070AA3" w:rsidRPr="00C72972">
        <w:rPr>
          <w:rFonts w:cs="Arial"/>
          <w:color w:val="002F5D"/>
        </w:rPr>
        <w:t xml:space="preserve"> child poverty</w:t>
      </w:r>
      <w:r w:rsidR="00031059">
        <w:rPr>
          <w:rFonts w:cs="Arial"/>
          <w:color w:val="002F5D"/>
        </w:rPr>
        <w:t>,</w:t>
      </w:r>
      <w:r w:rsidR="00070AA3" w:rsidRPr="00C72972">
        <w:rPr>
          <w:rFonts w:cs="Arial"/>
          <w:color w:val="002F5D"/>
        </w:rPr>
        <w:t xml:space="preserve"> homelessness</w:t>
      </w:r>
      <w:r w:rsidR="00031059">
        <w:rPr>
          <w:rFonts w:cs="Arial"/>
          <w:color w:val="002F5D"/>
        </w:rPr>
        <w:t>,</w:t>
      </w:r>
      <w:r w:rsidR="00070AA3" w:rsidRPr="00C72972">
        <w:rPr>
          <w:rFonts w:cs="Arial"/>
          <w:color w:val="002F5D"/>
        </w:rPr>
        <w:t xml:space="preserve"> educational attainment</w:t>
      </w:r>
      <w:r w:rsidR="00031059">
        <w:rPr>
          <w:rFonts w:cs="Arial"/>
          <w:color w:val="002F5D"/>
        </w:rPr>
        <w:t>,</w:t>
      </w:r>
      <w:r w:rsidR="003A585A">
        <w:rPr>
          <w:rFonts w:cs="Arial"/>
          <w:color w:val="002F5D"/>
        </w:rPr>
        <w:t xml:space="preserve"> breastfeeding uptake</w:t>
      </w:r>
      <w:r w:rsidR="00031059">
        <w:rPr>
          <w:rFonts w:cs="Arial"/>
          <w:color w:val="002F5D"/>
        </w:rPr>
        <w:t>,</w:t>
      </w:r>
      <w:r w:rsidR="00C72972" w:rsidRPr="00C72972">
        <w:rPr>
          <w:rFonts w:cs="Arial"/>
          <w:color w:val="002F5D"/>
        </w:rPr>
        <w:t xml:space="preserve"> </w:t>
      </w:r>
      <w:r w:rsidR="00070AA3" w:rsidRPr="00C72972">
        <w:rPr>
          <w:rFonts w:cs="Arial"/>
          <w:color w:val="002F5D"/>
        </w:rPr>
        <w:t>teenage pregnancy</w:t>
      </w:r>
      <w:r w:rsidR="00031059">
        <w:rPr>
          <w:rFonts w:cs="Arial"/>
          <w:color w:val="002F5D"/>
        </w:rPr>
        <w:t>,</w:t>
      </w:r>
      <w:r w:rsidR="00070AA3" w:rsidRPr="00C72972">
        <w:rPr>
          <w:rFonts w:cs="Arial"/>
          <w:color w:val="002F5D"/>
        </w:rPr>
        <w:t xml:space="preserve"> physical activity</w:t>
      </w:r>
      <w:r w:rsidR="00031059">
        <w:rPr>
          <w:rFonts w:cs="Arial"/>
          <w:color w:val="002F5D"/>
        </w:rPr>
        <w:t>,</w:t>
      </w:r>
      <w:r w:rsidR="009E1627">
        <w:rPr>
          <w:rFonts w:cs="Arial"/>
          <w:color w:val="002F5D"/>
        </w:rPr>
        <w:t xml:space="preserve"> </w:t>
      </w:r>
      <w:r w:rsidR="00070AA3" w:rsidRPr="00C72972">
        <w:rPr>
          <w:rFonts w:cs="Arial"/>
          <w:color w:val="002F5D"/>
        </w:rPr>
        <w:t>self-harm</w:t>
      </w:r>
      <w:r w:rsidR="00031059">
        <w:rPr>
          <w:rFonts w:cs="Arial"/>
          <w:color w:val="002F5D"/>
        </w:rPr>
        <w:t>,</w:t>
      </w:r>
      <w:r w:rsidR="00070AA3" w:rsidRPr="00C72972">
        <w:rPr>
          <w:rFonts w:cs="Arial"/>
          <w:color w:val="002F5D"/>
        </w:rPr>
        <w:t xml:space="preserve"> </w:t>
      </w:r>
      <w:r w:rsidR="00C338F7" w:rsidRPr="00C72972">
        <w:rPr>
          <w:rFonts w:cs="Arial"/>
          <w:color w:val="002F5D"/>
        </w:rPr>
        <w:t>i</w:t>
      </w:r>
      <w:r w:rsidR="00C72972" w:rsidRPr="00C72972">
        <w:rPr>
          <w:rFonts w:cs="Arial"/>
          <w:color w:val="002F5D"/>
        </w:rPr>
        <w:t>ncidence of TB</w:t>
      </w:r>
      <w:r w:rsidR="005C407F" w:rsidRPr="00C72972">
        <w:rPr>
          <w:rFonts w:cs="Arial"/>
          <w:color w:val="002F5D"/>
        </w:rPr>
        <w:t>, life expectancy at birth</w:t>
      </w:r>
      <w:r w:rsidR="00820539">
        <w:rPr>
          <w:rFonts w:cs="Arial"/>
          <w:color w:val="002F5D"/>
        </w:rPr>
        <w:t xml:space="preserve">, </w:t>
      </w:r>
      <w:r w:rsidR="00530F09">
        <w:rPr>
          <w:rFonts w:cs="Arial"/>
          <w:color w:val="002F5D"/>
        </w:rPr>
        <w:t>smoking attributable</w:t>
      </w:r>
      <w:r w:rsidR="00820539">
        <w:rPr>
          <w:rFonts w:cs="Arial"/>
          <w:color w:val="002F5D"/>
        </w:rPr>
        <w:t xml:space="preserve"> mortality, cardiovascular mortality</w:t>
      </w:r>
      <w:r w:rsidR="005C407F" w:rsidRPr="00C72972">
        <w:rPr>
          <w:rFonts w:cs="Arial"/>
          <w:color w:val="002F5D"/>
        </w:rPr>
        <w:t xml:space="preserve"> and premature mortality.</w:t>
      </w:r>
    </w:p>
    <w:p w14:paraId="50B57D06" w14:textId="7C778C29" w:rsidR="00B8713A" w:rsidRPr="00B425DA" w:rsidRDefault="00B8713A" w:rsidP="00B8713A">
      <w:pPr>
        <w:pStyle w:val="ListParagraph"/>
        <w:numPr>
          <w:ilvl w:val="0"/>
          <w:numId w:val="17"/>
        </w:numPr>
        <w:spacing w:line="240" w:lineRule="auto"/>
        <w:rPr>
          <w:rFonts w:cs="Arial"/>
          <w:color w:val="002F5D"/>
        </w:rPr>
      </w:pPr>
      <w:r w:rsidRPr="00F82756">
        <w:rPr>
          <w:rFonts w:cs="Arial"/>
          <w:b/>
          <w:color w:val="002F5D"/>
        </w:rPr>
        <w:t>Fenland</w:t>
      </w:r>
      <w:r w:rsidRPr="005955CC">
        <w:rPr>
          <w:rFonts w:cs="Arial"/>
          <w:color w:val="002F5D"/>
        </w:rPr>
        <w:t xml:space="preserve"> continues to be</w:t>
      </w:r>
      <w:r>
        <w:rPr>
          <w:rFonts w:cs="Arial"/>
          <w:b/>
          <w:color w:val="002F5D"/>
        </w:rPr>
        <w:t xml:space="preserve"> </w:t>
      </w:r>
      <w:r>
        <w:rPr>
          <w:rFonts w:cs="Arial"/>
          <w:color w:val="002F5D"/>
        </w:rPr>
        <w:t>t</w:t>
      </w:r>
      <w:r w:rsidRPr="003A585A">
        <w:rPr>
          <w:rFonts w:cs="Arial"/>
          <w:color w:val="002F5D"/>
        </w:rPr>
        <w:t xml:space="preserve">he </w:t>
      </w:r>
      <w:r w:rsidRPr="003A585A">
        <w:rPr>
          <w:rFonts w:cs="Arial"/>
          <w:b/>
          <w:color w:val="002F5D"/>
        </w:rPr>
        <w:t xml:space="preserve">Cambridgeshire district </w:t>
      </w:r>
      <w:r w:rsidRPr="003A585A">
        <w:rPr>
          <w:rFonts w:cs="Arial"/>
          <w:color w:val="002F5D"/>
        </w:rPr>
        <w:t xml:space="preserve">with </w:t>
      </w:r>
      <w:r w:rsidR="00031059">
        <w:rPr>
          <w:rFonts w:cs="Arial"/>
          <w:color w:val="002F5D"/>
        </w:rPr>
        <w:t xml:space="preserve">the </w:t>
      </w:r>
      <w:r w:rsidRPr="003A585A">
        <w:rPr>
          <w:rFonts w:cs="Arial"/>
          <w:b/>
          <w:color w:val="002F5D"/>
        </w:rPr>
        <w:t>most adverse issues</w:t>
      </w:r>
      <w:r w:rsidRPr="003A585A">
        <w:rPr>
          <w:rFonts w:cs="Arial"/>
          <w:color w:val="002F5D"/>
        </w:rPr>
        <w:t xml:space="preserve">, where many indicators are more challenging than the county averages and sometimes when compared </w:t>
      </w:r>
      <w:r w:rsidR="00031059">
        <w:rPr>
          <w:rFonts w:cs="Arial"/>
          <w:color w:val="002F5D"/>
        </w:rPr>
        <w:t xml:space="preserve">to the </w:t>
      </w:r>
      <w:r w:rsidRPr="003A585A">
        <w:rPr>
          <w:rFonts w:cs="Arial"/>
          <w:color w:val="002F5D"/>
        </w:rPr>
        <w:t>national</w:t>
      </w:r>
      <w:r w:rsidR="00031059">
        <w:rPr>
          <w:rFonts w:cs="Arial"/>
          <w:color w:val="002F5D"/>
        </w:rPr>
        <w:t xml:space="preserve"> average</w:t>
      </w:r>
      <w:r w:rsidRPr="003A585A">
        <w:rPr>
          <w:rFonts w:cs="Arial"/>
          <w:color w:val="002F5D"/>
        </w:rPr>
        <w:t>. Areas of particular concern in Fenland are: general inequalities in health determinants and some outcomes across the life-course</w:t>
      </w:r>
      <w:r w:rsidR="00031059">
        <w:rPr>
          <w:rFonts w:cs="Arial"/>
          <w:color w:val="002F5D"/>
        </w:rPr>
        <w:t>,</w:t>
      </w:r>
      <w:r w:rsidRPr="003A585A">
        <w:rPr>
          <w:rFonts w:cs="Arial"/>
          <w:color w:val="002F5D"/>
        </w:rPr>
        <w:t xml:space="preserve"> child poverty</w:t>
      </w:r>
      <w:r w:rsidR="00031059">
        <w:rPr>
          <w:rFonts w:cs="Arial"/>
          <w:color w:val="002F5D"/>
        </w:rPr>
        <w:t>,</w:t>
      </w:r>
      <w:r w:rsidRPr="003A585A">
        <w:rPr>
          <w:rFonts w:cs="Arial"/>
          <w:color w:val="002F5D"/>
        </w:rPr>
        <w:t xml:space="preserve"> educational attainment</w:t>
      </w:r>
      <w:r w:rsidR="00031059">
        <w:rPr>
          <w:rFonts w:cs="Arial"/>
          <w:color w:val="002F5D"/>
        </w:rPr>
        <w:t>,</w:t>
      </w:r>
      <w:r w:rsidRPr="003A585A">
        <w:rPr>
          <w:rFonts w:cs="Arial"/>
          <w:color w:val="002F5D"/>
        </w:rPr>
        <w:t xml:space="preserve"> breastfeeding uptake</w:t>
      </w:r>
      <w:r w:rsidR="00031059">
        <w:rPr>
          <w:rFonts w:cs="Arial"/>
          <w:color w:val="002F5D"/>
        </w:rPr>
        <w:t>,</w:t>
      </w:r>
      <w:r w:rsidRPr="003A585A">
        <w:rPr>
          <w:rFonts w:cs="Arial"/>
          <w:color w:val="002F5D"/>
        </w:rPr>
        <w:t xml:space="preserve"> physical activity</w:t>
      </w:r>
      <w:r w:rsidR="00031059">
        <w:rPr>
          <w:rFonts w:cs="Arial"/>
          <w:color w:val="002F5D"/>
        </w:rPr>
        <w:t xml:space="preserve"> levels</w:t>
      </w:r>
      <w:r w:rsidRPr="003A585A">
        <w:rPr>
          <w:rFonts w:cs="Arial"/>
          <w:color w:val="002F5D"/>
        </w:rPr>
        <w:t xml:space="preserve"> and excess weight in adults</w:t>
      </w:r>
      <w:r w:rsidR="00031059">
        <w:rPr>
          <w:rFonts w:cs="Arial"/>
          <w:color w:val="002F5D"/>
        </w:rPr>
        <w:t>,</w:t>
      </w:r>
      <w:r w:rsidRPr="003A585A">
        <w:rPr>
          <w:rFonts w:cs="Arial"/>
          <w:color w:val="002F5D"/>
        </w:rPr>
        <w:t xml:space="preserve"> self-harm</w:t>
      </w:r>
      <w:r w:rsidR="00031059">
        <w:rPr>
          <w:rFonts w:cs="Arial"/>
          <w:color w:val="002F5D"/>
        </w:rPr>
        <w:t>,</w:t>
      </w:r>
      <w:r w:rsidRPr="003A585A">
        <w:rPr>
          <w:rFonts w:cs="Arial"/>
          <w:color w:val="002F5D"/>
        </w:rPr>
        <w:t xml:space="preserve"> alcohol abuse</w:t>
      </w:r>
      <w:r w:rsidR="00031059">
        <w:rPr>
          <w:rFonts w:cs="Arial"/>
          <w:color w:val="002F5D"/>
        </w:rPr>
        <w:t>,</w:t>
      </w:r>
      <w:r w:rsidRPr="003A585A">
        <w:rPr>
          <w:rFonts w:cs="Arial"/>
          <w:color w:val="002F5D"/>
        </w:rPr>
        <w:t xml:space="preserve"> dementia diagnosis rate and life expectancy at birth and female premature mortality. Many other important indicators are also closer to national, rather than county, averages and so remain areas of concern (see those measures assessed as ‘statistically similar’ to England averages in Table 1 </w:t>
      </w:r>
      <w:r w:rsidRPr="00B425DA">
        <w:rPr>
          <w:rFonts w:cs="Arial"/>
          <w:color w:val="002F5D"/>
        </w:rPr>
        <w:t>above).</w:t>
      </w:r>
    </w:p>
    <w:p w14:paraId="69363C86" w14:textId="0C2570F3" w:rsidR="00367185" w:rsidRPr="005133A0" w:rsidRDefault="0084438B" w:rsidP="00A938F7">
      <w:pPr>
        <w:pStyle w:val="ListParagraph"/>
        <w:numPr>
          <w:ilvl w:val="0"/>
          <w:numId w:val="17"/>
        </w:numPr>
        <w:spacing w:line="240" w:lineRule="auto"/>
        <w:rPr>
          <w:rFonts w:cs="Arial"/>
          <w:color w:val="002F5D"/>
        </w:rPr>
      </w:pPr>
      <w:r w:rsidRPr="00B425DA">
        <w:rPr>
          <w:rFonts w:cs="Arial"/>
          <w:b/>
          <w:color w:val="002F5D"/>
        </w:rPr>
        <w:t>Cambridge</w:t>
      </w:r>
      <w:r w:rsidR="003E4C35" w:rsidRPr="00B425DA">
        <w:rPr>
          <w:rFonts w:cs="Arial"/>
          <w:color w:val="002F5D"/>
        </w:rPr>
        <w:t xml:space="preserve"> has many health and wellbeing indicators that are better than national averages. </w:t>
      </w:r>
      <w:r w:rsidR="009F0D47" w:rsidRPr="00B425DA">
        <w:rPr>
          <w:rFonts w:cs="Arial"/>
          <w:color w:val="002F5D"/>
        </w:rPr>
        <w:t xml:space="preserve">  </w:t>
      </w:r>
      <w:r w:rsidR="00D5212F" w:rsidRPr="00B425DA">
        <w:rPr>
          <w:rFonts w:cs="Arial"/>
          <w:b/>
          <w:color w:val="002F5D"/>
        </w:rPr>
        <w:t>However</w:t>
      </w:r>
      <w:r w:rsidR="00D5212F" w:rsidRPr="00B425DA">
        <w:rPr>
          <w:rFonts w:cs="Arial"/>
          <w:color w:val="002F5D"/>
        </w:rPr>
        <w:t xml:space="preserve">, </w:t>
      </w:r>
      <w:r w:rsidR="004C72E5">
        <w:rPr>
          <w:rFonts w:cs="Arial"/>
          <w:color w:val="002F5D"/>
        </w:rPr>
        <w:t xml:space="preserve">levels of </w:t>
      </w:r>
      <w:r w:rsidR="00D5212F" w:rsidRPr="00B425DA">
        <w:rPr>
          <w:rFonts w:cs="Arial"/>
          <w:color w:val="002F5D"/>
        </w:rPr>
        <w:t>h</w:t>
      </w:r>
      <w:r w:rsidR="009F0D47" w:rsidRPr="00B425DA">
        <w:rPr>
          <w:rFonts w:cs="Arial"/>
          <w:color w:val="002F5D"/>
        </w:rPr>
        <w:t>omelessness</w:t>
      </w:r>
      <w:r w:rsidR="00031059">
        <w:rPr>
          <w:rFonts w:cs="Arial"/>
          <w:color w:val="002F5D"/>
        </w:rPr>
        <w:t>,</w:t>
      </w:r>
      <w:r w:rsidR="009F0D47" w:rsidRPr="00B425DA">
        <w:rPr>
          <w:rFonts w:cs="Arial"/>
          <w:color w:val="002F5D"/>
        </w:rPr>
        <w:t xml:space="preserve"> self-harm</w:t>
      </w:r>
      <w:r w:rsidR="00031059">
        <w:rPr>
          <w:rFonts w:cs="Arial"/>
          <w:color w:val="002F5D"/>
        </w:rPr>
        <w:t>,</w:t>
      </w:r>
      <w:r w:rsidR="009F0D47" w:rsidRPr="00B425DA">
        <w:rPr>
          <w:rFonts w:cs="Arial"/>
          <w:color w:val="002F5D"/>
        </w:rPr>
        <w:t xml:space="preserve"> alcohol related harm</w:t>
      </w:r>
      <w:r w:rsidR="009D1BD0" w:rsidRPr="00B425DA">
        <w:rPr>
          <w:rFonts w:cs="Arial"/>
          <w:color w:val="002F5D"/>
        </w:rPr>
        <w:t xml:space="preserve"> and diabetes diagnosis</w:t>
      </w:r>
      <w:r w:rsidR="009F0D47" w:rsidRPr="00B425DA">
        <w:rPr>
          <w:rFonts w:cs="Arial"/>
          <w:color w:val="002F5D"/>
        </w:rPr>
        <w:t xml:space="preserve"> are </w:t>
      </w:r>
      <w:r w:rsidR="009F0D47" w:rsidRPr="00B425DA">
        <w:rPr>
          <w:rFonts w:cs="Arial"/>
          <w:b/>
          <w:color w:val="002F5D"/>
        </w:rPr>
        <w:t xml:space="preserve">worse than national </w:t>
      </w:r>
      <w:r w:rsidR="000A2B16" w:rsidRPr="00B425DA">
        <w:rPr>
          <w:rFonts w:cs="Arial"/>
          <w:b/>
          <w:color w:val="002F5D"/>
        </w:rPr>
        <w:t>averages</w:t>
      </w:r>
      <w:r w:rsidR="000A2B16" w:rsidRPr="00B425DA">
        <w:rPr>
          <w:rFonts w:cs="Arial"/>
          <w:color w:val="002F5D"/>
        </w:rPr>
        <w:t>.</w:t>
      </w:r>
      <w:r w:rsidR="009F0D47" w:rsidRPr="00B425DA">
        <w:rPr>
          <w:rFonts w:cs="Arial"/>
          <w:color w:val="002F5D"/>
        </w:rPr>
        <w:t xml:space="preserve">  There</w:t>
      </w:r>
      <w:r w:rsidR="003E4C35" w:rsidRPr="00B425DA">
        <w:rPr>
          <w:rFonts w:cs="Arial"/>
          <w:color w:val="002F5D"/>
        </w:rPr>
        <w:t xml:space="preserve"> is </w:t>
      </w:r>
      <w:r w:rsidR="009F0D47" w:rsidRPr="00B425DA">
        <w:rPr>
          <w:rFonts w:cs="Arial"/>
          <w:color w:val="002F5D"/>
        </w:rPr>
        <w:t xml:space="preserve">also </w:t>
      </w:r>
      <w:r w:rsidR="003E4C35" w:rsidRPr="00B425DA">
        <w:rPr>
          <w:rFonts w:cs="Arial"/>
          <w:color w:val="002F5D"/>
        </w:rPr>
        <w:t xml:space="preserve">an </w:t>
      </w:r>
      <w:r w:rsidR="003E4C35" w:rsidRPr="00B425DA">
        <w:rPr>
          <w:rFonts w:cs="Arial"/>
          <w:b/>
          <w:color w:val="002F5D"/>
        </w:rPr>
        <w:t>increasing trend</w:t>
      </w:r>
      <w:r w:rsidR="003E4C35" w:rsidRPr="00B425DA">
        <w:rPr>
          <w:rFonts w:cs="Arial"/>
          <w:color w:val="002F5D"/>
        </w:rPr>
        <w:t xml:space="preserve"> of some indicators moving towards national, rather than</w:t>
      </w:r>
      <w:r w:rsidR="005A10C2">
        <w:rPr>
          <w:rFonts w:cs="Arial"/>
          <w:color w:val="002F5D"/>
        </w:rPr>
        <w:t xml:space="preserve"> county</w:t>
      </w:r>
      <w:r w:rsidR="003E4C35" w:rsidRPr="00B425DA">
        <w:rPr>
          <w:rFonts w:cs="Arial"/>
          <w:color w:val="002F5D"/>
        </w:rPr>
        <w:t xml:space="preserve"> averages and this is of some concern. Issues to consider further are</w:t>
      </w:r>
      <w:r w:rsidR="00D26228" w:rsidRPr="00D26228">
        <w:rPr>
          <w:rFonts w:cs="Arial"/>
          <w:color w:val="002F5D"/>
        </w:rPr>
        <w:t xml:space="preserve"> </w:t>
      </w:r>
      <w:r w:rsidR="00D26228" w:rsidRPr="00B425DA">
        <w:rPr>
          <w:rFonts w:cs="Arial"/>
          <w:color w:val="002F5D"/>
        </w:rPr>
        <w:t>alcohol abuse in young people</w:t>
      </w:r>
      <w:r w:rsidR="00031059">
        <w:rPr>
          <w:rFonts w:cs="Arial"/>
          <w:color w:val="002F5D"/>
        </w:rPr>
        <w:t>,</w:t>
      </w:r>
      <w:r w:rsidR="003E4C35" w:rsidRPr="00B425DA">
        <w:rPr>
          <w:rFonts w:cs="Arial"/>
          <w:color w:val="002F5D"/>
        </w:rPr>
        <w:t xml:space="preserve"> sm</w:t>
      </w:r>
      <w:r w:rsidR="00F21612" w:rsidRPr="00B425DA">
        <w:rPr>
          <w:rFonts w:cs="Arial"/>
          <w:color w:val="002F5D"/>
        </w:rPr>
        <w:t>oking</w:t>
      </w:r>
      <w:r w:rsidR="00031059">
        <w:rPr>
          <w:rFonts w:cs="Arial"/>
          <w:color w:val="002F5D"/>
        </w:rPr>
        <w:t>,</w:t>
      </w:r>
      <w:r w:rsidR="00F21612" w:rsidRPr="00B425DA">
        <w:rPr>
          <w:rFonts w:cs="Arial"/>
          <w:color w:val="002F5D"/>
        </w:rPr>
        <w:t xml:space="preserve"> </w:t>
      </w:r>
      <w:r w:rsidR="00EE4FC5" w:rsidRPr="00B425DA">
        <w:rPr>
          <w:rFonts w:cs="Arial"/>
          <w:color w:val="002F5D"/>
        </w:rPr>
        <w:t>TB incidence</w:t>
      </w:r>
      <w:r w:rsidR="00031059">
        <w:rPr>
          <w:rFonts w:cs="Arial"/>
          <w:color w:val="002F5D"/>
        </w:rPr>
        <w:t>,</w:t>
      </w:r>
      <w:r w:rsidR="00EE4FC5" w:rsidRPr="00B425DA">
        <w:rPr>
          <w:rFonts w:cs="Arial"/>
          <w:color w:val="002F5D"/>
        </w:rPr>
        <w:t xml:space="preserve"> sexual heal</w:t>
      </w:r>
      <w:r w:rsidR="003C7AA6" w:rsidRPr="00B425DA">
        <w:rPr>
          <w:rFonts w:cs="Arial"/>
          <w:color w:val="002F5D"/>
        </w:rPr>
        <w:t>th</w:t>
      </w:r>
      <w:r w:rsidR="00031059">
        <w:rPr>
          <w:rFonts w:cs="Arial"/>
          <w:color w:val="002F5D"/>
        </w:rPr>
        <w:t>,</w:t>
      </w:r>
      <w:r w:rsidR="003C7AA6" w:rsidRPr="00B425DA">
        <w:rPr>
          <w:rFonts w:cs="Arial"/>
          <w:color w:val="002F5D"/>
        </w:rPr>
        <w:t xml:space="preserve"> falls</w:t>
      </w:r>
      <w:r w:rsidR="004E68B5" w:rsidRPr="00B425DA">
        <w:rPr>
          <w:rFonts w:cs="Arial"/>
          <w:color w:val="002F5D"/>
        </w:rPr>
        <w:t xml:space="preserve"> and hip fractures in older people</w:t>
      </w:r>
      <w:r w:rsidR="003C7AA6" w:rsidRPr="00B425DA">
        <w:rPr>
          <w:rFonts w:cs="Arial"/>
          <w:color w:val="002F5D"/>
        </w:rPr>
        <w:t>;</w:t>
      </w:r>
      <w:r w:rsidR="00B425DA" w:rsidRPr="00B425DA">
        <w:rPr>
          <w:rFonts w:cs="Arial"/>
          <w:color w:val="002F5D"/>
        </w:rPr>
        <w:t xml:space="preserve"> dementia diagnosis rate</w:t>
      </w:r>
      <w:r w:rsidR="00031059">
        <w:rPr>
          <w:rFonts w:cs="Arial"/>
          <w:color w:val="002F5D"/>
        </w:rPr>
        <w:t>,</w:t>
      </w:r>
      <w:r w:rsidR="00B425DA" w:rsidRPr="00B425DA">
        <w:rPr>
          <w:rFonts w:cs="Arial"/>
          <w:color w:val="002F5D"/>
        </w:rPr>
        <w:t xml:space="preserve"> </w:t>
      </w:r>
      <w:r w:rsidR="00D26228">
        <w:rPr>
          <w:rFonts w:cs="Arial"/>
          <w:color w:val="002F5D"/>
        </w:rPr>
        <w:t>female life expectancy at birth</w:t>
      </w:r>
      <w:r w:rsidR="00031059">
        <w:rPr>
          <w:rFonts w:cs="Arial"/>
          <w:color w:val="002F5D"/>
        </w:rPr>
        <w:t>,</w:t>
      </w:r>
      <w:r w:rsidR="00D26228">
        <w:rPr>
          <w:rFonts w:cs="Arial"/>
          <w:color w:val="002F5D"/>
        </w:rPr>
        <w:t xml:space="preserve"> infant mortality</w:t>
      </w:r>
      <w:r w:rsidR="00031059">
        <w:rPr>
          <w:rFonts w:cs="Arial"/>
          <w:color w:val="002F5D"/>
        </w:rPr>
        <w:t>,</w:t>
      </w:r>
      <w:r w:rsidR="00D26228">
        <w:rPr>
          <w:rFonts w:cs="Arial"/>
          <w:color w:val="002F5D"/>
        </w:rPr>
        <w:t xml:space="preserve"> </w:t>
      </w:r>
      <w:r w:rsidR="00FB2FA0" w:rsidRPr="00B425DA">
        <w:rPr>
          <w:rFonts w:cs="Arial"/>
          <w:color w:val="002F5D"/>
        </w:rPr>
        <w:t>suicide</w:t>
      </w:r>
      <w:r w:rsidR="00031059">
        <w:rPr>
          <w:rFonts w:cs="Arial"/>
          <w:color w:val="002F5D"/>
        </w:rPr>
        <w:t>,</w:t>
      </w:r>
      <w:r w:rsidR="005B4975">
        <w:rPr>
          <w:rFonts w:cs="Arial"/>
          <w:color w:val="002F5D"/>
        </w:rPr>
        <w:t xml:space="preserve"> </w:t>
      </w:r>
      <w:r w:rsidR="00B425DA" w:rsidRPr="00B425DA">
        <w:rPr>
          <w:rFonts w:cs="Arial"/>
          <w:color w:val="002F5D"/>
        </w:rPr>
        <w:t xml:space="preserve">under 75 cardiovascular </w:t>
      </w:r>
      <w:r w:rsidR="00B425DA" w:rsidRPr="005133A0">
        <w:rPr>
          <w:rFonts w:cs="Arial"/>
          <w:color w:val="002F5D"/>
        </w:rPr>
        <w:t>disease mortalit</w:t>
      </w:r>
      <w:r w:rsidR="00031059">
        <w:rPr>
          <w:rFonts w:cs="Arial"/>
          <w:color w:val="002F5D"/>
        </w:rPr>
        <w:t>y,</w:t>
      </w:r>
      <w:r w:rsidR="00B425DA" w:rsidRPr="005133A0">
        <w:rPr>
          <w:rFonts w:cs="Arial"/>
          <w:color w:val="002F5D"/>
        </w:rPr>
        <w:t xml:space="preserve"> </w:t>
      </w:r>
      <w:r w:rsidR="000A2B16" w:rsidRPr="005133A0">
        <w:rPr>
          <w:rFonts w:cs="Arial"/>
          <w:color w:val="002F5D"/>
        </w:rPr>
        <w:t>excess</w:t>
      </w:r>
      <w:r w:rsidR="00FB2FA0" w:rsidRPr="005133A0">
        <w:rPr>
          <w:rFonts w:cs="Arial"/>
          <w:color w:val="002F5D"/>
        </w:rPr>
        <w:t xml:space="preserve"> winter death</w:t>
      </w:r>
      <w:r w:rsidR="00031059">
        <w:rPr>
          <w:rFonts w:cs="Arial"/>
          <w:color w:val="002F5D"/>
        </w:rPr>
        <w:t>s</w:t>
      </w:r>
      <w:r w:rsidR="00B425DA" w:rsidRPr="005133A0">
        <w:rPr>
          <w:rFonts w:cs="Arial"/>
          <w:color w:val="002F5D"/>
        </w:rPr>
        <w:t xml:space="preserve"> and female premature mortality</w:t>
      </w:r>
      <w:r w:rsidR="00FB2FA0" w:rsidRPr="005133A0">
        <w:rPr>
          <w:rFonts w:cs="Arial"/>
          <w:color w:val="002F5D"/>
        </w:rPr>
        <w:t>.</w:t>
      </w:r>
    </w:p>
    <w:p w14:paraId="60BCDF02" w14:textId="533644C2" w:rsidR="00FB2FA0" w:rsidRPr="0090610B" w:rsidRDefault="00FB2FA0" w:rsidP="00A938F7">
      <w:pPr>
        <w:pStyle w:val="ListParagraph"/>
        <w:numPr>
          <w:ilvl w:val="0"/>
          <w:numId w:val="17"/>
        </w:numPr>
        <w:spacing w:line="240" w:lineRule="auto"/>
        <w:rPr>
          <w:rFonts w:cs="Arial"/>
          <w:color w:val="002F5D"/>
        </w:rPr>
      </w:pPr>
      <w:r w:rsidRPr="0090610B">
        <w:rPr>
          <w:rFonts w:cs="Arial"/>
          <w:color w:val="002F5D"/>
        </w:rPr>
        <w:t xml:space="preserve">For the remaining districts of </w:t>
      </w:r>
      <w:r w:rsidRPr="0090610B">
        <w:rPr>
          <w:rFonts w:cs="Arial"/>
          <w:b/>
          <w:color w:val="002F5D"/>
        </w:rPr>
        <w:t>East Cambridgeshire</w:t>
      </w:r>
      <w:r w:rsidRPr="0090610B">
        <w:rPr>
          <w:rFonts w:cs="Arial"/>
          <w:color w:val="002F5D"/>
        </w:rPr>
        <w:t xml:space="preserve">, </w:t>
      </w:r>
      <w:r w:rsidRPr="0090610B">
        <w:rPr>
          <w:rFonts w:cs="Arial"/>
          <w:b/>
          <w:color w:val="002F5D"/>
        </w:rPr>
        <w:t>Huntingdonshire</w:t>
      </w:r>
      <w:r w:rsidRPr="0090610B">
        <w:rPr>
          <w:rFonts w:cs="Arial"/>
          <w:color w:val="002F5D"/>
        </w:rPr>
        <w:t xml:space="preserve"> and </w:t>
      </w:r>
      <w:r w:rsidRPr="0090610B">
        <w:rPr>
          <w:rFonts w:cs="Arial"/>
          <w:b/>
          <w:color w:val="002F5D"/>
        </w:rPr>
        <w:t>South Cambridgeshire</w:t>
      </w:r>
      <w:r w:rsidRPr="0090610B">
        <w:rPr>
          <w:rFonts w:cs="Arial"/>
          <w:color w:val="002F5D"/>
        </w:rPr>
        <w:t>, most indicators are relatively favourable when assessed against national comparators and, broadly, it is these districts that drive the Cambridgeshire position as a healthy place compared with England collectively.</w:t>
      </w:r>
      <w:r w:rsidR="001A06D1" w:rsidRPr="0090610B">
        <w:rPr>
          <w:rFonts w:cs="Arial"/>
          <w:color w:val="002F5D"/>
        </w:rPr>
        <w:t xml:space="preserve"> Particular areas of concern in </w:t>
      </w:r>
      <w:r w:rsidR="001A06D1" w:rsidRPr="0090610B">
        <w:rPr>
          <w:rFonts w:cs="Arial"/>
          <w:b/>
          <w:color w:val="002F5D"/>
        </w:rPr>
        <w:t>East Cambridgeshire</w:t>
      </w:r>
      <w:r w:rsidR="001A06D1" w:rsidRPr="0090610B">
        <w:rPr>
          <w:rFonts w:cs="Arial"/>
          <w:color w:val="002F5D"/>
        </w:rPr>
        <w:t xml:space="preserve"> are: self-harm</w:t>
      </w:r>
      <w:r w:rsidR="005A10C2">
        <w:rPr>
          <w:rFonts w:cs="Arial"/>
          <w:color w:val="002F5D"/>
        </w:rPr>
        <w:t xml:space="preserve"> </w:t>
      </w:r>
      <w:r w:rsidR="00835909" w:rsidRPr="0090610B">
        <w:rPr>
          <w:rFonts w:cs="Arial"/>
          <w:color w:val="002F5D"/>
        </w:rPr>
        <w:t xml:space="preserve">and a lower than expected </w:t>
      </w:r>
      <w:r w:rsidR="001A06D1" w:rsidRPr="0090610B">
        <w:rPr>
          <w:rFonts w:cs="Arial"/>
          <w:color w:val="002F5D"/>
        </w:rPr>
        <w:t xml:space="preserve">dementia diagnosis rate. In </w:t>
      </w:r>
      <w:r w:rsidR="001A06D1" w:rsidRPr="0090610B">
        <w:rPr>
          <w:rFonts w:cs="Arial"/>
          <w:b/>
          <w:color w:val="002F5D"/>
        </w:rPr>
        <w:t>Huntingdonshire</w:t>
      </w:r>
      <w:r w:rsidR="001A06D1" w:rsidRPr="0090610B">
        <w:rPr>
          <w:rFonts w:cs="Arial"/>
          <w:color w:val="002F5D"/>
        </w:rPr>
        <w:t>: alcohol abuse</w:t>
      </w:r>
      <w:r w:rsidR="009F0D47" w:rsidRPr="0090610B">
        <w:rPr>
          <w:rFonts w:cs="Arial"/>
          <w:color w:val="002F5D"/>
        </w:rPr>
        <w:t xml:space="preserve"> in young people</w:t>
      </w:r>
      <w:r w:rsidR="005B4975" w:rsidRPr="0090610B">
        <w:rPr>
          <w:rFonts w:cs="Arial"/>
          <w:color w:val="002F5D"/>
        </w:rPr>
        <w:t xml:space="preserve"> and excess weight in adults</w:t>
      </w:r>
      <w:r w:rsidR="001A06D1" w:rsidRPr="0090610B">
        <w:rPr>
          <w:rFonts w:cs="Arial"/>
          <w:color w:val="002F5D"/>
        </w:rPr>
        <w:t xml:space="preserve">. In </w:t>
      </w:r>
      <w:r w:rsidR="001A06D1" w:rsidRPr="0090610B">
        <w:rPr>
          <w:rFonts w:cs="Arial"/>
          <w:b/>
          <w:color w:val="002F5D"/>
        </w:rPr>
        <w:t>South Cambridgeshire</w:t>
      </w:r>
      <w:r w:rsidR="001A06D1" w:rsidRPr="0090610B">
        <w:rPr>
          <w:rFonts w:cs="Arial"/>
          <w:color w:val="002F5D"/>
        </w:rPr>
        <w:t xml:space="preserve">: </w:t>
      </w:r>
      <w:r w:rsidR="00BF7984">
        <w:rPr>
          <w:rFonts w:cs="Arial"/>
          <w:color w:val="002F5D"/>
        </w:rPr>
        <w:t xml:space="preserve"> self-harm</w:t>
      </w:r>
      <w:r w:rsidR="00031059">
        <w:rPr>
          <w:rFonts w:cs="Arial"/>
          <w:color w:val="002F5D"/>
        </w:rPr>
        <w:t>,</w:t>
      </w:r>
      <w:r w:rsidR="00BF7984">
        <w:rPr>
          <w:rFonts w:cs="Arial"/>
          <w:color w:val="002F5D"/>
        </w:rPr>
        <w:t xml:space="preserve"> </w:t>
      </w:r>
      <w:r w:rsidR="005B4975" w:rsidRPr="0090610B">
        <w:rPr>
          <w:rFonts w:cs="Arial"/>
          <w:color w:val="002F5D"/>
        </w:rPr>
        <w:t xml:space="preserve">diabetes diagnoses and a lower than expected </w:t>
      </w:r>
      <w:r w:rsidR="001A06D1" w:rsidRPr="0090610B">
        <w:rPr>
          <w:rFonts w:cs="Arial"/>
          <w:color w:val="002F5D"/>
        </w:rPr>
        <w:t xml:space="preserve">dementia diagnosis rate.  In these relatively healthy areas it is important to also have regard for those indicators that are similar to national averages or are also of concern more broadly in Cambridgeshire: in </w:t>
      </w:r>
      <w:r w:rsidR="001A06D1" w:rsidRPr="0090610B">
        <w:rPr>
          <w:rFonts w:cs="Arial"/>
          <w:b/>
          <w:color w:val="002F5D"/>
        </w:rPr>
        <w:t>East Cambridgeshire</w:t>
      </w:r>
      <w:r w:rsidR="001A06D1" w:rsidRPr="0090610B">
        <w:rPr>
          <w:rFonts w:cs="Arial"/>
          <w:color w:val="002F5D"/>
        </w:rPr>
        <w:t xml:space="preserve"> </w:t>
      </w:r>
      <w:r w:rsidR="00BF7984">
        <w:rPr>
          <w:rFonts w:cs="Arial"/>
          <w:color w:val="002F5D"/>
        </w:rPr>
        <w:t>homelessness</w:t>
      </w:r>
      <w:r w:rsidR="00031059">
        <w:rPr>
          <w:rFonts w:cs="Arial"/>
          <w:color w:val="002F5D"/>
        </w:rPr>
        <w:t>,</w:t>
      </w:r>
      <w:r w:rsidR="00BF7984">
        <w:rPr>
          <w:rFonts w:cs="Arial"/>
          <w:color w:val="002F5D"/>
        </w:rPr>
        <w:t xml:space="preserve"> </w:t>
      </w:r>
      <w:r w:rsidR="001A06D1" w:rsidRPr="0090610B">
        <w:rPr>
          <w:rFonts w:cs="Arial"/>
          <w:color w:val="002F5D"/>
        </w:rPr>
        <w:t>educational attainment</w:t>
      </w:r>
      <w:r w:rsidR="00031059">
        <w:rPr>
          <w:rFonts w:cs="Arial"/>
          <w:color w:val="002F5D"/>
        </w:rPr>
        <w:t>,</w:t>
      </w:r>
      <w:r w:rsidR="001A06D1" w:rsidRPr="0090610B">
        <w:rPr>
          <w:rFonts w:cs="Arial"/>
          <w:color w:val="002F5D"/>
        </w:rPr>
        <w:t xml:space="preserve"> </w:t>
      </w:r>
      <w:r w:rsidR="001710B2" w:rsidRPr="0090610B">
        <w:rPr>
          <w:rFonts w:cs="Arial"/>
          <w:color w:val="002F5D"/>
        </w:rPr>
        <w:t>alcohol abuse</w:t>
      </w:r>
      <w:r w:rsidR="009F0D47" w:rsidRPr="0090610B">
        <w:rPr>
          <w:rFonts w:cs="Arial"/>
          <w:color w:val="002F5D"/>
        </w:rPr>
        <w:t xml:space="preserve"> in young people</w:t>
      </w:r>
      <w:r w:rsidR="00031059">
        <w:rPr>
          <w:rFonts w:cs="Arial"/>
          <w:color w:val="002F5D"/>
        </w:rPr>
        <w:t>,</w:t>
      </w:r>
      <w:r w:rsidR="009629A0" w:rsidRPr="0090610B">
        <w:rPr>
          <w:rFonts w:cs="Arial"/>
          <w:color w:val="002F5D"/>
        </w:rPr>
        <w:t xml:space="preserve"> </w:t>
      </w:r>
      <w:r w:rsidR="001A06D1" w:rsidRPr="0090610B">
        <w:rPr>
          <w:rFonts w:cs="Arial"/>
          <w:color w:val="002F5D"/>
        </w:rPr>
        <w:t>smoking</w:t>
      </w:r>
      <w:r w:rsidR="00031059">
        <w:rPr>
          <w:rFonts w:cs="Arial"/>
          <w:color w:val="002F5D"/>
        </w:rPr>
        <w:t>,</w:t>
      </w:r>
      <w:r w:rsidR="001A06D1" w:rsidRPr="0090610B">
        <w:rPr>
          <w:rFonts w:cs="Arial"/>
          <w:color w:val="002F5D"/>
        </w:rPr>
        <w:t xml:space="preserve"> adult physical activity</w:t>
      </w:r>
      <w:r w:rsidR="00031059">
        <w:rPr>
          <w:rFonts w:cs="Arial"/>
          <w:color w:val="002F5D"/>
        </w:rPr>
        <w:t>,</w:t>
      </w:r>
      <w:r w:rsidR="00B172F2" w:rsidRPr="0090610B">
        <w:rPr>
          <w:rFonts w:cs="Arial"/>
          <w:color w:val="002F5D"/>
        </w:rPr>
        <w:t xml:space="preserve"> excess weight in adults</w:t>
      </w:r>
      <w:r w:rsidR="00031059">
        <w:rPr>
          <w:rFonts w:cs="Arial"/>
          <w:color w:val="002F5D"/>
        </w:rPr>
        <w:t>,</w:t>
      </w:r>
      <w:r w:rsidR="00BF7984">
        <w:rPr>
          <w:rFonts w:cs="Arial"/>
          <w:color w:val="002F5D"/>
        </w:rPr>
        <w:t xml:space="preserve"> alcohol-related harm</w:t>
      </w:r>
      <w:r w:rsidR="00031059">
        <w:rPr>
          <w:rFonts w:cs="Arial"/>
          <w:color w:val="002F5D"/>
        </w:rPr>
        <w:t>,</w:t>
      </w:r>
      <w:r w:rsidR="009629A0" w:rsidRPr="0090610B">
        <w:rPr>
          <w:rFonts w:cs="Arial"/>
          <w:color w:val="002F5D"/>
        </w:rPr>
        <w:t xml:space="preserve"> under</w:t>
      </w:r>
      <w:r w:rsidR="001710B2" w:rsidRPr="0090610B">
        <w:rPr>
          <w:rFonts w:cs="Arial"/>
          <w:color w:val="002F5D"/>
        </w:rPr>
        <w:t xml:space="preserve"> </w:t>
      </w:r>
      <w:r w:rsidR="009629A0" w:rsidRPr="0090610B">
        <w:rPr>
          <w:rFonts w:cs="Arial"/>
          <w:color w:val="002F5D"/>
        </w:rPr>
        <w:t xml:space="preserve">75 </w:t>
      </w:r>
      <w:r w:rsidR="00B172F2" w:rsidRPr="0090610B">
        <w:rPr>
          <w:rFonts w:cs="Arial"/>
          <w:color w:val="002F5D"/>
        </w:rPr>
        <w:t>cardiovascular disease mortality rate</w:t>
      </w:r>
      <w:r w:rsidR="00031059">
        <w:rPr>
          <w:rFonts w:cs="Arial"/>
          <w:color w:val="002F5D"/>
        </w:rPr>
        <w:t>,</w:t>
      </w:r>
      <w:r w:rsidR="009629A0" w:rsidRPr="0090610B">
        <w:rPr>
          <w:rFonts w:cs="Arial"/>
          <w:color w:val="002F5D"/>
        </w:rPr>
        <w:t xml:space="preserve"> </w:t>
      </w:r>
      <w:r w:rsidR="005A10C2">
        <w:rPr>
          <w:rFonts w:cs="Arial"/>
          <w:color w:val="002F5D"/>
        </w:rPr>
        <w:t xml:space="preserve">and </w:t>
      </w:r>
      <w:r w:rsidR="00031059">
        <w:rPr>
          <w:rFonts w:cs="Arial"/>
          <w:color w:val="002F5D"/>
        </w:rPr>
        <w:t>e</w:t>
      </w:r>
      <w:r w:rsidR="009629A0" w:rsidRPr="0090610B">
        <w:rPr>
          <w:rFonts w:cs="Arial"/>
          <w:color w:val="002F5D"/>
        </w:rPr>
        <w:t>xcess winter deaths</w:t>
      </w:r>
      <w:r w:rsidR="00031059">
        <w:rPr>
          <w:rFonts w:cs="Arial"/>
          <w:color w:val="002F5D"/>
        </w:rPr>
        <w:t>.</w:t>
      </w:r>
      <w:r w:rsidR="001A06D1" w:rsidRPr="0090610B">
        <w:rPr>
          <w:rFonts w:cs="Arial"/>
          <w:color w:val="002F5D"/>
        </w:rPr>
        <w:t xml:space="preserve"> </w:t>
      </w:r>
      <w:r w:rsidR="00031059">
        <w:rPr>
          <w:rFonts w:cs="Arial"/>
          <w:color w:val="002F5D"/>
        </w:rPr>
        <w:t>I</w:t>
      </w:r>
      <w:r w:rsidR="002E55EC" w:rsidRPr="0090610B">
        <w:rPr>
          <w:rFonts w:cs="Arial"/>
          <w:color w:val="002F5D"/>
        </w:rPr>
        <w:t xml:space="preserve">n </w:t>
      </w:r>
      <w:r w:rsidR="002E55EC" w:rsidRPr="0090610B">
        <w:rPr>
          <w:rFonts w:cs="Arial"/>
          <w:b/>
          <w:color w:val="002F5D"/>
        </w:rPr>
        <w:t>Huntingdonshire</w:t>
      </w:r>
      <w:r w:rsidR="003E6819">
        <w:rPr>
          <w:rFonts w:cs="Arial"/>
          <w:b/>
          <w:color w:val="002F5D"/>
        </w:rPr>
        <w:t>:</w:t>
      </w:r>
      <w:r w:rsidR="002E55EC" w:rsidRPr="0090610B">
        <w:rPr>
          <w:rFonts w:cs="Arial"/>
          <w:color w:val="002F5D"/>
        </w:rPr>
        <w:t xml:space="preserve"> educational attainment</w:t>
      </w:r>
      <w:r w:rsidR="003E6819">
        <w:rPr>
          <w:rFonts w:cs="Arial"/>
          <w:color w:val="002F5D"/>
        </w:rPr>
        <w:t>,</w:t>
      </w:r>
      <w:r w:rsidR="00B172F2" w:rsidRPr="0090610B">
        <w:rPr>
          <w:rFonts w:cs="Arial"/>
          <w:color w:val="002F5D"/>
        </w:rPr>
        <w:t xml:space="preserve"> teenage pregnancy</w:t>
      </w:r>
      <w:r w:rsidR="003E6819">
        <w:rPr>
          <w:rFonts w:cs="Arial"/>
          <w:color w:val="002F5D"/>
        </w:rPr>
        <w:t>,</w:t>
      </w:r>
      <w:r w:rsidR="002E55EC" w:rsidRPr="0090610B">
        <w:rPr>
          <w:rFonts w:cs="Arial"/>
          <w:color w:val="002F5D"/>
        </w:rPr>
        <w:t xml:space="preserve"> </w:t>
      </w:r>
      <w:r w:rsidR="009629A0" w:rsidRPr="0090610B">
        <w:rPr>
          <w:rFonts w:cs="Arial"/>
          <w:color w:val="002F5D"/>
        </w:rPr>
        <w:t>smoking</w:t>
      </w:r>
      <w:r w:rsidR="003E6819">
        <w:rPr>
          <w:rFonts w:cs="Arial"/>
          <w:color w:val="002F5D"/>
        </w:rPr>
        <w:t>,</w:t>
      </w:r>
      <w:r w:rsidR="00BF7984">
        <w:rPr>
          <w:rFonts w:cs="Arial"/>
          <w:color w:val="002F5D"/>
        </w:rPr>
        <w:t xml:space="preserve"> self-harm</w:t>
      </w:r>
      <w:r w:rsidR="003E6819">
        <w:rPr>
          <w:rFonts w:cs="Arial"/>
          <w:color w:val="002F5D"/>
        </w:rPr>
        <w:t>,</w:t>
      </w:r>
      <w:r w:rsidR="00B172F2" w:rsidRPr="0090610B">
        <w:rPr>
          <w:rFonts w:cs="Arial"/>
          <w:color w:val="002F5D"/>
        </w:rPr>
        <w:t xml:space="preserve"> diabetes diagnoses</w:t>
      </w:r>
      <w:r w:rsidR="003E6819">
        <w:rPr>
          <w:rFonts w:cs="Arial"/>
          <w:color w:val="002F5D"/>
        </w:rPr>
        <w:t>,</w:t>
      </w:r>
      <w:r w:rsidR="004E68B5" w:rsidRPr="0090610B">
        <w:rPr>
          <w:rFonts w:cs="Arial"/>
          <w:color w:val="002F5D"/>
        </w:rPr>
        <w:t xml:space="preserve"> falls and hip fractures in older people</w:t>
      </w:r>
      <w:r w:rsidR="003E6819">
        <w:rPr>
          <w:rFonts w:cs="Arial"/>
          <w:color w:val="002F5D"/>
        </w:rPr>
        <w:t>,</w:t>
      </w:r>
      <w:r w:rsidR="004E68B5" w:rsidRPr="0090610B">
        <w:rPr>
          <w:rFonts w:cs="Arial"/>
          <w:color w:val="002F5D"/>
        </w:rPr>
        <w:t xml:space="preserve"> </w:t>
      </w:r>
      <w:r w:rsidR="001710B2" w:rsidRPr="0090610B">
        <w:rPr>
          <w:rFonts w:cs="Arial"/>
          <w:color w:val="002F5D"/>
        </w:rPr>
        <w:t>dementia diagnosis rate</w:t>
      </w:r>
      <w:r w:rsidR="003E6819">
        <w:rPr>
          <w:rFonts w:cs="Arial"/>
          <w:color w:val="002F5D"/>
        </w:rPr>
        <w:t>,</w:t>
      </w:r>
      <w:r w:rsidR="00BF7984">
        <w:rPr>
          <w:rFonts w:cs="Arial"/>
          <w:color w:val="002F5D"/>
        </w:rPr>
        <w:t xml:space="preserve"> </w:t>
      </w:r>
      <w:r w:rsidR="004E68B5" w:rsidRPr="0090610B">
        <w:rPr>
          <w:rFonts w:cs="Arial"/>
          <w:color w:val="002F5D"/>
        </w:rPr>
        <w:t>suicide</w:t>
      </w:r>
      <w:r w:rsidR="00BF7984">
        <w:rPr>
          <w:rFonts w:cs="Arial"/>
          <w:color w:val="002F5D"/>
        </w:rPr>
        <w:t xml:space="preserve"> and excess winter deaths</w:t>
      </w:r>
      <w:r w:rsidR="003E6819">
        <w:rPr>
          <w:rFonts w:cs="Arial"/>
          <w:color w:val="002F5D"/>
        </w:rPr>
        <w:t>.</w:t>
      </w:r>
      <w:r w:rsidR="004E68B5" w:rsidRPr="0090610B">
        <w:rPr>
          <w:rFonts w:cs="Arial"/>
          <w:color w:val="002F5D"/>
        </w:rPr>
        <w:t xml:space="preserve"> </w:t>
      </w:r>
      <w:r w:rsidR="003E6819">
        <w:rPr>
          <w:rFonts w:cs="Arial"/>
          <w:color w:val="002F5D"/>
        </w:rPr>
        <w:t>I</w:t>
      </w:r>
      <w:r w:rsidR="004E68B5" w:rsidRPr="0090610B">
        <w:rPr>
          <w:rFonts w:cs="Arial"/>
          <w:color w:val="002F5D"/>
        </w:rPr>
        <w:t xml:space="preserve">n </w:t>
      </w:r>
      <w:r w:rsidR="004E68B5" w:rsidRPr="0090610B">
        <w:rPr>
          <w:rFonts w:cs="Arial"/>
          <w:b/>
          <w:color w:val="002F5D"/>
        </w:rPr>
        <w:t>South Cambridgeshire</w:t>
      </w:r>
      <w:r w:rsidR="003E6819">
        <w:rPr>
          <w:rFonts w:cs="Arial"/>
          <w:b/>
          <w:color w:val="002F5D"/>
        </w:rPr>
        <w:t>:</w:t>
      </w:r>
      <w:r w:rsidR="004E68B5" w:rsidRPr="0090610B">
        <w:rPr>
          <w:rFonts w:cs="Arial"/>
          <w:color w:val="002F5D"/>
        </w:rPr>
        <w:t xml:space="preserve"> </w:t>
      </w:r>
      <w:r w:rsidR="006427D9" w:rsidRPr="0090610B">
        <w:rPr>
          <w:rFonts w:cs="Arial"/>
          <w:color w:val="002F5D"/>
        </w:rPr>
        <w:t>alcohol abuse</w:t>
      </w:r>
      <w:r w:rsidR="00DC44FB" w:rsidRPr="0090610B">
        <w:rPr>
          <w:rFonts w:cs="Arial"/>
          <w:color w:val="002F5D"/>
        </w:rPr>
        <w:t xml:space="preserve"> in young people</w:t>
      </w:r>
      <w:r w:rsidR="003E6819">
        <w:rPr>
          <w:rFonts w:cs="Arial"/>
          <w:color w:val="002F5D"/>
        </w:rPr>
        <w:t>,</w:t>
      </w:r>
      <w:r w:rsidR="006427D9" w:rsidRPr="0090610B">
        <w:rPr>
          <w:rFonts w:cs="Arial"/>
          <w:color w:val="002F5D"/>
        </w:rPr>
        <w:t xml:space="preserve"> smoking</w:t>
      </w:r>
      <w:r w:rsidR="003E6819">
        <w:rPr>
          <w:rFonts w:cs="Arial"/>
          <w:color w:val="002F5D"/>
        </w:rPr>
        <w:t>,</w:t>
      </w:r>
      <w:r w:rsidR="00B172F2" w:rsidRPr="0090610B">
        <w:rPr>
          <w:rFonts w:cs="Arial"/>
          <w:color w:val="002F5D"/>
        </w:rPr>
        <w:t xml:space="preserve"> </w:t>
      </w:r>
      <w:r w:rsidR="00BF7984">
        <w:rPr>
          <w:rFonts w:cs="Arial"/>
          <w:color w:val="002F5D"/>
        </w:rPr>
        <w:t>alcohol-related harm</w:t>
      </w:r>
      <w:r w:rsidR="003E6819">
        <w:rPr>
          <w:rFonts w:cs="Arial"/>
          <w:color w:val="002F5D"/>
        </w:rPr>
        <w:t>,</w:t>
      </w:r>
      <w:r w:rsidR="00BF7984">
        <w:rPr>
          <w:rFonts w:cs="Arial"/>
          <w:color w:val="002F5D"/>
        </w:rPr>
        <w:t xml:space="preserve"> hip fractures, </w:t>
      </w:r>
      <w:r w:rsidR="00B172F2" w:rsidRPr="0090610B">
        <w:rPr>
          <w:rFonts w:cs="Arial"/>
          <w:color w:val="002F5D"/>
        </w:rPr>
        <w:t>suicide</w:t>
      </w:r>
      <w:r w:rsidR="003E6819">
        <w:rPr>
          <w:rFonts w:cs="Arial"/>
          <w:color w:val="002F5D"/>
        </w:rPr>
        <w:t>,</w:t>
      </w:r>
      <w:r w:rsidR="00B172F2" w:rsidRPr="0090610B">
        <w:rPr>
          <w:rFonts w:cs="Arial"/>
          <w:color w:val="002F5D"/>
        </w:rPr>
        <w:t xml:space="preserve"> smoking </w:t>
      </w:r>
      <w:r w:rsidR="00BF7984">
        <w:rPr>
          <w:rFonts w:cs="Arial"/>
          <w:color w:val="002F5D"/>
        </w:rPr>
        <w:t>attributable</w:t>
      </w:r>
      <w:r w:rsidR="00BF7984" w:rsidRPr="0090610B">
        <w:rPr>
          <w:rFonts w:cs="Arial"/>
          <w:color w:val="002F5D"/>
        </w:rPr>
        <w:t xml:space="preserve"> </w:t>
      </w:r>
      <w:r w:rsidR="00B172F2" w:rsidRPr="0090610B">
        <w:rPr>
          <w:rFonts w:cs="Arial"/>
          <w:color w:val="002F5D"/>
        </w:rPr>
        <w:t xml:space="preserve">deaths </w:t>
      </w:r>
      <w:r w:rsidR="001710B2" w:rsidRPr="0090610B">
        <w:rPr>
          <w:rFonts w:cs="Arial"/>
          <w:color w:val="002F5D"/>
        </w:rPr>
        <w:t>and</w:t>
      </w:r>
      <w:r w:rsidR="006427D9" w:rsidRPr="0090610B">
        <w:rPr>
          <w:rFonts w:cs="Arial"/>
          <w:color w:val="002F5D"/>
        </w:rPr>
        <w:t xml:space="preserve"> excess winter deaths.</w:t>
      </w:r>
    </w:p>
    <w:p w14:paraId="48C43302" w14:textId="04EED869" w:rsidR="00AB1351" w:rsidRPr="00B172F2" w:rsidRDefault="00AB1351" w:rsidP="00A938F7">
      <w:pPr>
        <w:pStyle w:val="ListParagraph"/>
        <w:numPr>
          <w:ilvl w:val="0"/>
          <w:numId w:val="17"/>
        </w:numPr>
        <w:spacing w:line="240" w:lineRule="auto"/>
        <w:rPr>
          <w:rFonts w:cs="Arial"/>
          <w:color w:val="002F5D"/>
        </w:rPr>
      </w:pPr>
      <w:r w:rsidRPr="00B172F2">
        <w:rPr>
          <w:rFonts w:cs="Arial"/>
          <w:color w:val="002F5D"/>
        </w:rPr>
        <w:t xml:space="preserve">It should be noted that </w:t>
      </w:r>
      <w:r w:rsidRPr="00B172F2">
        <w:rPr>
          <w:rFonts w:cs="Arial"/>
          <w:b/>
          <w:color w:val="002F5D"/>
        </w:rPr>
        <w:t>some measures may still be important</w:t>
      </w:r>
      <w:r w:rsidRPr="00B172F2">
        <w:rPr>
          <w:rFonts w:cs="Arial"/>
          <w:color w:val="002F5D"/>
        </w:rPr>
        <w:t xml:space="preserve">, even if they are not shown to be locally or nationally adverse – for example if significant numbers of people are involved, </w:t>
      </w:r>
      <w:r w:rsidR="003E6819">
        <w:rPr>
          <w:rFonts w:cs="Arial"/>
          <w:color w:val="002F5D"/>
        </w:rPr>
        <w:t>if the indicator(s)</w:t>
      </w:r>
      <w:r w:rsidRPr="00B172F2">
        <w:rPr>
          <w:rFonts w:cs="Arial"/>
          <w:color w:val="002F5D"/>
        </w:rPr>
        <w:t xml:space="preserve"> are good overall measures of population health status or </w:t>
      </w:r>
      <w:r w:rsidR="003E6819">
        <w:rPr>
          <w:rFonts w:cs="Arial"/>
          <w:color w:val="002F5D"/>
        </w:rPr>
        <w:t xml:space="preserve">recent </w:t>
      </w:r>
      <w:r w:rsidRPr="00B172F2">
        <w:rPr>
          <w:rFonts w:cs="Arial"/>
          <w:color w:val="002F5D"/>
        </w:rPr>
        <w:t xml:space="preserve">trends are adverse. </w:t>
      </w:r>
    </w:p>
    <w:p w14:paraId="29E5A10E" w14:textId="6E102406" w:rsidR="00FB2FA0" w:rsidRPr="006923FC" w:rsidRDefault="00AB1351" w:rsidP="00E172A0">
      <w:pPr>
        <w:pStyle w:val="ListParagraph"/>
        <w:numPr>
          <w:ilvl w:val="0"/>
          <w:numId w:val="17"/>
        </w:numPr>
        <w:spacing w:line="240" w:lineRule="auto"/>
        <w:rPr>
          <w:rFonts w:cs="Arial"/>
          <w:color w:val="002F5D"/>
        </w:rPr>
      </w:pPr>
      <w:r w:rsidRPr="006923FC">
        <w:rPr>
          <w:rFonts w:cs="Arial"/>
          <w:color w:val="002F5D"/>
        </w:rPr>
        <w:t>Similarly, some issues that are masked a</w:t>
      </w:r>
      <w:r w:rsidR="00DC44FB" w:rsidRPr="006923FC">
        <w:rPr>
          <w:rFonts w:cs="Arial"/>
          <w:color w:val="002F5D"/>
        </w:rPr>
        <w:t>t combined authority,</w:t>
      </w:r>
      <w:r w:rsidRPr="006923FC">
        <w:rPr>
          <w:rFonts w:cs="Arial"/>
          <w:color w:val="002F5D"/>
        </w:rPr>
        <w:t xml:space="preserve"> county</w:t>
      </w:r>
      <w:r w:rsidR="00DC44FB" w:rsidRPr="006923FC">
        <w:rPr>
          <w:rFonts w:cs="Arial"/>
          <w:color w:val="002F5D"/>
        </w:rPr>
        <w:t>, local authority</w:t>
      </w:r>
      <w:r w:rsidRPr="006923FC">
        <w:rPr>
          <w:rFonts w:cs="Arial"/>
          <w:color w:val="002F5D"/>
        </w:rPr>
        <w:t xml:space="preserve"> and district level may be important at a </w:t>
      </w:r>
      <w:r w:rsidRPr="006923FC">
        <w:rPr>
          <w:rFonts w:cs="Arial"/>
          <w:b/>
          <w:color w:val="002F5D"/>
        </w:rPr>
        <w:t>smaller area level</w:t>
      </w:r>
      <w:r w:rsidRPr="006923FC">
        <w:rPr>
          <w:rFonts w:cs="Arial"/>
          <w:color w:val="002F5D"/>
        </w:rPr>
        <w:t xml:space="preserve"> and smaller area analysis may highlight particular pockets of deprivation where there are relatively worse health determinants and outcomes.  Small area data can be found on </w:t>
      </w:r>
      <w:r w:rsidR="00E172A0" w:rsidRPr="006923FC">
        <w:rPr>
          <w:rFonts w:cs="Arial"/>
          <w:color w:val="002F5D"/>
        </w:rPr>
        <w:t xml:space="preserve">the </w:t>
      </w:r>
      <w:r w:rsidR="00E172A0" w:rsidRPr="006923FC">
        <w:rPr>
          <w:rFonts w:cs="Arial"/>
          <w:b/>
          <w:color w:val="002F5D"/>
        </w:rPr>
        <w:t>Peterborough Data Portal</w:t>
      </w:r>
      <w:r w:rsidR="00E172A0" w:rsidRPr="006923FC">
        <w:rPr>
          <w:rFonts w:cs="Arial"/>
          <w:color w:val="002F5D"/>
        </w:rPr>
        <w:t xml:space="preserve"> at </w:t>
      </w:r>
      <w:hyperlink r:id="rId21" w:history="1">
        <w:r w:rsidR="00E172A0" w:rsidRPr="003E6819">
          <w:rPr>
            <w:rStyle w:val="Hyperlink"/>
            <w:rFonts w:cs="Arial"/>
          </w:rPr>
          <w:t>http://pbdata.wpengine.com/</w:t>
        </w:r>
      </w:hyperlink>
      <w:r w:rsidR="002246EA" w:rsidRPr="006923FC">
        <w:rPr>
          <w:rFonts w:cs="Arial"/>
          <w:color w:val="002F5D"/>
        </w:rPr>
        <w:t>,</w:t>
      </w:r>
      <w:r w:rsidR="00E172A0" w:rsidRPr="006923FC">
        <w:rPr>
          <w:rFonts w:cs="Arial"/>
          <w:color w:val="002F5D"/>
        </w:rPr>
        <w:t xml:space="preserve"> </w:t>
      </w:r>
      <w:r w:rsidRPr="006923FC">
        <w:rPr>
          <w:rFonts w:cs="Arial"/>
          <w:b/>
          <w:color w:val="002F5D"/>
        </w:rPr>
        <w:t xml:space="preserve">Cambridgeshire Insight </w:t>
      </w:r>
      <w:r w:rsidRPr="006923FC">
        <w:rPr>
          <w:rFonts w:cs="Arial"/>
          <w:color w:val="002F5D"/>
        </w:rPr>
        <w:t>at</w:t>
      </w:r>
      <w:r w:rsidRPr="006923FC">
        <w:rPr>
          <w:rFonts w:cs="Arial"/>
          <w:b/>
          <w:color w:val="002F5D"/>
        </w:rPr>
        <w:t xml:space="preserve"> </w:t>
      </w:r>
      <w:hyperlink r:id="rId22" w:history="1">
        <w:r w:rsidR="0090610B" w:rsidRPr="00BC5A70">
          <w:rPr>
            <w:rStyle w:val="Hyperlink"/>
            <w:rFonts w:cs="Arial"/>
          </w:rPr>
          <w:t>http://cambridgeshireinsight.org.uk/</w:t>
        </w:r>
      </w:hyperlink>
      <w:r w:rsidR="00E172A0" w:rsidRPr="006923FC">
        <w:rPr>
          <w:rStyle w:val="Hyperlink"/>
          <w:rFonts w:cs="Arial"/>
          <w:color w:val="002F5D"/>
        </w:rPr>
        <w:t xml:space="preserve"> </w:t>
      </w:r>
      <w:r w:rsidRPr="006923FC">
        <w:rPr>
          <w:rFonts w:cs="Arial"/>
          <w:color w:val="002F5D"/>
        </w:rPr>
        <w:t xml:space="preserve">and within </w:t>
      </w:r>
      <w:r w:rsidR="00624567" w:rsidRPr="006923FC">
        <w:rPr>
          <w:rFonts w:cs="Arial"/>
          <w:color w:val="002F5D"/>
        </w:rPr>
        <w:t xml:space="preserve">Public Health England’s </w:t>
      </w:r>
      <w:r w:rsidRPr="006923FC">
        <w:rPr>
          <w:rFonts w:cs="Arial"/>
          <w:b/>
          <w:color w:val="002F5D"/>
        </w:rPr>
        <w:t xml:space="preserve">Local Health </w:t>
      </w:r>
      <w:r w:rsidRPr="006923FC">
        <w:rPr>
          <w:rFonts w:cs="Arial"/>
          <w:color w:val="002F5D"/>
        </w:rPr>
        <w:t>a</w:t>
      </w:r>
      <w:r w:rsidR="003E6819">
        <w:rPr>
          <w:rFonts w:cs="Arial"/>
          <w:color w:val="002F5D"/>
        </w:rPr>
        <w:t xml:space="preserve">t </w:t>
      </w:r>
      <w:hyperlink r:id="rId23" w:history="1">
        <w:r w:rsidR="003E6819" w:rsidRPr="003E6819">
          <w:rPr>
            <w:rStyle w:val="Hyperlink"/>
            <w:rFonts w:cs="Arial"/>
          </w:rPr>
          <w:t>http://www.localhealth.org.uk/</w:t>
        </w:r>
      </w:hyperlink>
    </w:p>
    <w:p w14:paraId="69605AF1" w14:textId="1495B431" w:rsidR="004E68B5" w:rsidRDefault="004E68B5" w:rsidP="0038179C">
      <w:pPr>
        <w:pStyle w:val="ListParagraph"/>
        <w:spacing w:line="240" w:lineRule="auto"/>
        <w:rPr>
          <w:rFonts w:cs="Arial"/>
          <w:color w:val="FF0000"/>
        </w:rPr>
      </w:pPr>
    </w:p>
    <w:p w14:paraId="4E2E7A5E" w14:textId="77777777" w:rsidR="00C804EC" w:rsidRPr="0037351D" w:rsidRDefault="00C804EC" w:rsidP="0038179C">
      <w:pPr>
        <w:pStyle w:val="ListParagraph"/>
        <w:spacing w:line="240" w:lineRule="auto"/>
        <w:rPr>
          <w:rFonts w:cs="Arial"/>
          <w:color w:val="FF0000"/>
        </w:rPr>
      </w:pPr>
    </w:p>
    <w:p w14:paraId="308DCCFB" w14:textId="77777777" w:rsidR="004E68B5" w:rsidRPr="005133A0" w:rsidRDefault="004E68B5" w:rsidP="00957A0B">
      <w:pPr>
        <w:spacing w:line="240" w:lineRule="auto"/>
        <w:rPr>
          <w:rFonts w:cs="Arial"/>
          <w:color w:val="002F5D"/>
        </w:rPr>
      </w:pPr>
      <w:r w:rsidRPr="005133A0">
        <w:rPr>
          <w:rFonts w:cs="Arial"/>
          <w:color w:val="002F5D"/>
        </w:rPr>
        <w:lastRenderedPageBreak/>
        <w:t xml:space="preserve">The list below </w:t>
      </w:r>
      <w:r w:rsidRPr="005133A0">
        <w:rPr>
          <w:rFonts w:cs="Arial"/>
          <w:b/>
          <w:color w:val="002F5D"/>
        </w:rPr>
        <w:t>summarises</w:t>
      </w:r>
      <w:r w:rsidRPr="005133A0">
        <w:rPr>
          <w:rFonts w:cs="Arial"/>
          <w:color w:val="002F5D"/>
        </w:rPr>
        <w:t xml:space="preserve"> </w:t>
      </w:r>
      <w:r w:rsidRPr="005133A0">
        <w:rPr>
          <w:rFonts w:cs="Arial"/>
          <w:b/>
          <w:color w:val="002F5D"/>
        </w:rPr>
        <w:t>areas of potential priority</w:t>
      </w:r>
      <w:r w:rsidRPr="005133A0">
        <w:rPr>
          <w:rFonts w:cs="Arial"/>
          <w:color w:val="002F5D"/>
        </w:rPr>
        <w:t>:</w:t>
      </w:r>
    </w:p>
    <w:p w14:paraId="4AFD9592" w14:textId="77777777" w:rsidR="00DC44FB" w:rsidRPr="005133A0" w:rsidRDefault="00DC44FB" w:rsidP="00957A0B">
      <w:pPr>
        <w:spacing w:line="240" w:lineRule="auto"/>
        <w:rPr>
          <w:rFonts w:cs="Arial"/>
          <w:color w:val="002F5D"/>
        </w:rPr>
      </w:pPr>
      <w:r w:rsidRPr="005133A0">
        <w:rPr>
          <w:rFonts w:cs="Arial"/>
          <w:color w:val="002F5D"/>
        </w:rPr>
        <w:tab/>
      </w:r>
    </w:p>
    <w:p w14:paraId="7D5FDA73" w14:textId="45EF9DCB" w:rsidR="00DC44FB" w:rsidRPr="005133A0" w:rsidRDefault="00DC44FB" w:rsidP="00F82756">
      <w:pPr>
        <w:pStyle w:val="ListParagraph"/>
        <w:numPr>
          <w:ilvl w:val="0"/>
          <w:numId w:val="18"/>
        </w:numPr>
        <w:spacing w:line="240" w:lineRule="auto"/>
        <w:ind w:left="714" w:hanging="357"/>
        <w:rPr>
          <w:rFonts w:cs="Arial"/>
          <w:color w:val="002F5D"/>
        </w:rPr>
      </w:pPr>
      <w:r w:rsidRPr="005133A0">
        <w:rPr>
          <w:rFonts w:cs="Arial"/>
          <w:color w:val="002F5D"/>
        </w:rPr>
        <w:t xml:space="preserve">Peterborough </w:t>
      </w:r>
      <w:r w:rsidR="0078386E">
        <w:rPr>
          <w:rFonts w:cs="Arial"/>
          <w:color w:val="002F5D"/>
        </w:rPr>
        <w:t>–</w:t>
      </w:r>
      <w:r w:rsidRPr="005133A0">
        <w:rPr>
          <w:rFonts w:cs="Arial"/>
          <w:color w:val="002F5D"/>
        </w:rPr>
        <w:t xml:space="preserve"> broadly</w:t>
      </w:r>
      <w:r w:rsidR="0078386E">
        <w:rPr>
          <w:rFonts w:cs="Arial"/>
          <w:color w:val="002F5D"/>
        </w:rPr>
        <w:t>,</w:t>
      </w:r>
      <w:r w:rsidRPr="005133A0">
        <w:rPr>
          <w:rFonts w:cs="Arial"/>
          <w:color w:val="002F5D"/>
        </w:rPr>
        <w:t xml:space="preserve"> improving heal</w:t>
      </w:r>
      <w:r w:rsidR="0098642F" w:rsidRPr="005133A0">
        <w:rPr>
          <w:rFonts w:cs="Arial"/>
          <w:color w:val="002F5D"/>
        </w:rPr>
        <w:t xml:space="preserve">th determinants and outcomes </w:t>
      </w:r>
      <w:r w:rsidRPr="005133A0">
        <w:rPr>
          <w:rFonts w:cs="Arial"/>
          <w:color w:val="002F5D"/>
        </w:rPr>
        <w:t>and reducing health inequalities.</w:t>
      </w:r>
    </w:p>
    <w:p w14:paraId="614C7ADE" w14:textId="388E5D93" w:rsidR="004E68B5" w:rsidRPr="00C35798" w:rsidRDefault="00FB139D" w:rsidP="00F82756">
      <w:pPr>
        <w:pStyle w:val="ListParagraph"/>
        <w:numPr>
          <w:ilvl w:val="0"/>
          <w:numId w:val="18"/>
        </w:numPr>
        <w:spacing w:line="240" w:lineRule="auto"/>
        <w:ind w:left="714" w:hanging="357"/>
        <w:rPr>
          <w:rFonts w:cs="Arial"/>
          <w:color w:val="002F5D"/>
        </w:rPr>
      </w:pPr>
      <w:r w:rsidRPr="005133A0">
        <w:rPr>
          <w:rFonts w:cs="Arial"/>
          <w:color w:val="002F5D"/>
        </w:rPr>
        <w:t xml:space="preserve">Fenland </w:t>
      </w:r>
      <w:r w:rsidR="0078386E">
        <w:rPr>
          <w:rFonts w:cs="Arial"/>
          <w:color w:val="002F5D"/>
        </w:rPr>
        <w:t>–</w:t>
      </w:r>
      <w:r w:rsidRPr="005133A0">
        <w:rPr>
          <w:rFonts w:cs="Arial"/>
          <w:color w:val="002F5D"/>
        </w:rPr>
        <w:t xml:space="preserve"> broadly</w:t>
      </w:r>
      <w:r w:rsidR="0078386E">
        <w:rPr>
          <w:rFonts w:cs="Arial"/>
          <w:color w:val="002F5D"/>
        </w:rPr>
        <w:t>,</w:t>
      </w:r>
      <w:r w:rsidRPr="005133A0">
        <w:rPr>
          <w:rFonts w:cs="Arial"/>
          <w:color w:val="002F5D"/>
        </w:rPr>
        <w:t xml:space="preserve"> improving health determinants and outcomes in this district and reducing health </w:t>
      </w:r>
      <w:r w:rsidRPr="00C35798">
        <w:rPr>
          <w:rFonts w:cs="Arial"/>
          <w:color w:val="002F5D"/>
        </w:rPr>
        <w:t>inequalities.</w:t>
      </w:r>
    </w:p>
    <w:p w14:paraId="4E1271B0" w14:textId="20B37082"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Cambridge</w:t>
      </w:r>
      <w:r w:rsidR="002C6C48">
        <w:rPr>
          <w:rFonts w:cs="Arial"/>
          <w:color w:val="002F5D"/>
        </w:rPr>
        <w:t xml:space="preserve"> - </w:t>
      </w:r>
      <w:r w:rsidRPr="00C35798">
        <w:rPr>
          <w:rFonts w:cs="Arial"/>
          <w:color w:val="002F5D"/>
        </w:rPr>
        <w:t>reducing health inequalities in this district and improving emerging adverse trends in some health determinants and outcomes.</w:t>
      </w:r>
    </w:p>
    <w:p w14:paraId="34A03B04" w14:textId="255F4459" w:rsidR="00845331" w:rsidRPr="00C35798" w:rsidRDefault="00845331" w:rsidP="00F82756">
      <w:pPr>
        <w:pStyle w:val="ListParagraph"/>
        <w:numPr>
          <w:ilvl w:val="0"/>
          <w:numId w:val="18"/>
        </w:numPr>
        <w:spacing w:line="240" w:lineRule="auto"/>
        <w:ind w:left="714" w:hanging="357"/>
        <w:rPr>
          <w:rFonts w:cs="Arial"/>
          <w:color w:val="002F5D"/>
        </w:rPr>
      </w:pPr>
      <w:r w:rsidRPr="00C35798">
        <w:rPr>
          <w:rFonts w:cs="Arial"/>
          <w:color w:val="002F5D"/>
        </w:rPr>
        <w:t>Educational attainment in Fenland a</w:t>
      </w:r>
      <w:r w:rsidR="00D5212F" w:rsidRPr="00C35798">
        <w:rPr>
          <w:rFonts w:cs="Arial"/>
          <w:color w:val="002F5D"/>
        </w:rPr>
        <w:t>nd</w:t>
      </w:r>
      <w:r w:rsidR="000A03FC">
        <w:rPr>
          <w:rFonts w:cs="Arial"/>
          <w:color w:val="002F5D"/>
        </w:rPr>
        <w:t xml:space="preserve"> </w:t>
      </w:r>
      <w:r w:rsidR="00D5212F" w:rsidRPr="00C35798">
        <w:rPr>
          <w:rFonts w:cs="Arial"/>
          <w:color w:val="002F5D"/>
        </w:rPr>
        <w:t>Peterborough.</w:t>
      </w:r>
    </w:p>
    <w:p w14:paraId="0204C646" w14:textId="46A275EC" w:rsidR="00FB139D" w:rsidRPr="00C35798" w:rsidRDefault="00D5212F" w:rsidP="00F82756">
      <w:pPr>
        <w:pStyle w:val="ListParagraph"/>
        <w:numPr>
          <w:ilvl w:val="0"/>
          <w:numId w:val="18"/>
        </w:numPr>
        <w:spacing w:line="240" w:lineRule="auto"/>
        <w:ind w:left="714" w:hanging="357"/>
        <w:rPr>
          <w:rFonts w:cs="Arial"/>
          <w:color w:val="002F5D"/>
        </w:rPr>
      </w:pPr>
      <w:r w:rsidRPr="00C35798">
        <w:rPr>
          <w:rFonts w:cs="Arial"/>
          <w:color w:val="002F5D"/>
        </w:rPr>
        <w:t>Alcohol abuse</w:t>
      </w:r>
      <w:r w:rsidR="00FA1260">
        <w:rPr>
          <w:rFonts w:cs="Arial"/>
          <w:color w:val="002F5D"/>
        </w:rPr>
        <w:t xml:space="preserve"> in Cambridge and Fenland</w:t>
      </w:r>
      <w:r w:rsidR="00323AB6">
        <w:rPr>
          <w:rFonts w:cs="Arial"/>
          <w:color w:val="002F5D"/>
        </w:rPr>
        <w:t>.</w:t>
      </w:r>
    </w:p>
    <w:p w14:paraId="0C37194A" w14:textId="77777777"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Mental health including self-harm and suicide.</w:t>
      </w:r>
    </w:p>
    <w:p w14:paraId="38D1E5A8" w14:textId="77777777"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Smoking.</w:t>
      </w:r>
    </w:p>
    <w:p w14:paraId="67642A39" w14:textId="79461F31"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Physical activity and weight management across the life-co</w:t>
      </w:r>
      <w:r w:rsidR="008C1530" w:rsidRPr="00C35798">
        <w:rPr>
          <w:rFonts w:cs="Arial"/>
          <w:color w:val="002F5D"/>
        </w:rPr>
        <w:t>urse, including diabetes</w:t>
      </w:r>
      <w:r w:rsidR="00C35798" w:rsidRPr="00C35798">
        <w:rPr>
          <w:rFonts w:cs="Arial"/>
          <w:color w:val="002F5D"/>
        </w:rPr>
        <w:t xml:space="preserve"> diagnosis</w:t>
      </w:r>
      <w:r w:rsidR="008C1530" w:rsidRPr="00C35798">
        <w:rPr>
          <w:rFonts w:cs="Arial"/>
          <w:color w:val="002F5D"/>
        </w:rPr>
        <w:t xml:space="preserve"> in </w:t>
      </w:r>
      <w:r w:rsidR="00C35798" w:rsidRPr="00C35798">
        <w:rPr>
          <w:rFonts w:cs="Arial"/>
          <w:color w:val="002F5D"/>
        </w:rPr>
        <w:t>Cambridge and South Cambridgeshire</w:t>
      </w:r>
    </w:p>
    <w:p w14:paraId="08B4B336" w14:textId="77777777"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Falls and hip fractures in older people.</w:t>
      </w:r>
    </w:p>
    <w:p w14:paraId="174BE4AE" w14:textId="4CA8F19A" w:rsidR="00FB139D" w:rsidRPr="00C35798" w:rsidRDefault="00FB139D" w:rsidP="00F82756">
      <w:pPr>
        <w:pStyle w:val="ListParagraph"/>
        <w:numPr>
          <w:ilvl w:val="0"/>
          <w:numId w:val="18"/>
        </w:numPr>
        <w:spacing w:line="240" w:lineRule="auto"/>
        <w:ind w:left="714" w:hanging="357"/>
        <w:rPr>
          <w:rFonts w:cs="Arial"/>
          <w:color w:val="002F5D"/>
        </w:rPr>
      </w:pPr>
      <w:r w:rsidRPr="00C35798">
        <w:rPr>
          <w:rFonts w:cs="Arial"/>
          <w:color w:val="002F5D"/>
        </w:rPr>
        <w:t>Dementia</w:t>
      </w:r>
      <w:r w:rsidR="00AD4BFD">
        <w:rPr>
          <w:rFonts w:cs="Arial"/>
          <w:color w:val="002F5D"/>
        </w:rPr>
        <w:t xml:space="preserve"> diagnosis rates.</w:t>
      </w:r>
    </w:p>
    <w:p w14:paraId="55909451" w14:textId="77777777" w:rsidR="0067547D" w:rsidRPr="00C35798" w:rsidRDefault="0067547D" w:rsidP="00F82756">
      <w:pPr>
        <w:pStyle w:val="ListParagraph"/>
        <w:numPr>
          <w:ilvl w:val="0"/>
          <w:numId w:val="18"/>
        </w:numPr>
        <w:spacing w:line="240" w:lineRule="auto"/>
        <w:ind w:left="714" w:hanging="357"/>
        <w:rPr>
          <w:rFonts w:cs="Arial"/>
          <w:color w:val="002F5D"/>
        </w:rPr>
      </w:pPr>
      <w:r w:rsidRPr="00C35798">
        <w:rPr>
          <w:rFonts w:cs="Arial"/>
          <w:color w:val="002F5D"/>
        </w:rPr>
        <w:t>Excess winter deaths.</w:t>
      </w:r>
    </w:p>
    <w:p w14:paraId="2696CE9B" w14:textId="77777777" w:rsidR="006F52B6" w:rsidRPr="0037351D" w:rsidRDefault="006F52B6" w:rsidP="0038179C">
      <w:pPr>
        <w:spacing w:line="240" w:lineRule="auto"/>
        <w:rPr>
          <w:rFonts w:cs="Arial"/>
          <w:color w:val="FF0000"/>
        </w:rPr>
      </w:pPr>
    </w:p>
    <w:p w14:paraId="0280C85C" w14:textId="77777777" w:rsidR="006F52B6" w:rsidRPr="006923FC" w:rsidRDefault="006F52B6" w:rsidP="0038179C">
      <w:pPr>
        <w:spacing w:line="240" w:lineRule="auto"/>
        <w:rPr>
          <w:rFonts w:cs="Arial"/>
          <w:color w:val="002F5D"/>
        </w:rPr>
      </w:pPr>
      <w:r w:rsidRPr="006923FC">
        <w:rPr>
          <w:rFonts w:cs="Arial"/>
          <w:b/>
          <w:color w:val="002F5D"/>
        </w:rPr>
        <w:t>Note</w:t>
      </w:r>
      <w:r w:rsidR="00DF55A6" w:rsidRPr="006923FC">
        <w:rPr>
          <w:rFonts w:cs="Arial"/>
          <w:b/>
          <w:color w:val="002F5D"/>
        </w:rPr>
        <w:t>s</w:t>
      </w:r>
      <w:r w:rsidR="00AE2FD5" w:rsidRPr="006923FC">
        <w:rPr>
          <w:rFonts w:cs="Arial"/>
          <w:b/>
          <w:color w:val="002F5D"/>
        </w:rPr>
        <w:t xml:space="preserve"> – N</w:t>
      </w:r>
      <w:r w:rsidR="00093F39" w:rsidRPr="006923FC">
        <w:rPr>
          <w:rFonts w:cs="Arial"/>
          <w:b/>
          <w:color w:val="002F5D"/>
        </w:rPr>
        <w:t>ational Health Profiles</w:t>
      </w:r>
      <w:r w:rsidR="00DF55A6" w:rsidRPr="006923FC">
        <w:rPr>
          <w:rFonts w:cs="Arial"/>
          <w:color w:val="002F5D"/>
        </w:rPr>
        <w:t>:</w:t>
      </w:r>
    </w:p>
    <w:p w14:paraId="21931FCE" w14:textId="77777777" w:rsidR="00B05977" w:rsidRPr="009311DF" w:rsidRDefault="00B05977" w:rsidP="00E61D24">
      <w:pPr>
        <w:spacing w:line="240" w:lineRule="auto"/>
        <w:rPr>
          <w:rFonts w:cs="Arial"/>
          <w:color w:val="002F5D"/>
        </w:rPr>
      </w:pPr>
      <w:r w:rsidRPr="009311DF">
        <w:rPr>
          <w:rFonts w:cs="Arial"/>
          <w:color w:val="002F5D"/>
        </w:rPr>
        <w:t>The following two indicator</w:t>
      </w:r>
      <w:r w:rsidR="00F542A7" w:rsidRPr="009311DF">
        <w:rPr>
          <w:rFonts w:cs="Arial"/>
          <w:color w:val="002F5D"/>
        </w:rPr>
        <w:t>s</w:t>
      </w:r>
      <w:r w:rsidRPr="009311DF">
        <w:rPr>
          <w:rFonts w:cs="Arial"/>
          <w:color w:val="002F5D"/>
        </w:rPr>
        <w:t xml:space="preserve"> are in the local health profiles on Public Health England’s website but are not included in the summary above for the reasons below.</w:t>
      </w:r>
    </w:p>
    <w:p w14:paraId="2437E606" w14:textId="319AEFC5" w:rsidR="006F52B6" w:rsidRPr="006923FC" w:rsidRDefault="00BA56F2" w:rsidP="00A938F7">
      <w:pPr>
        <w:pStyle w:val="ListParagraph"/>
        <w:numPr>
          <w:ilvl w:val="0"/>
          <w:numId w:val="19"/>
        </w:numPr>
        <w:spacing w:line="240" w:lineRule="auto"/>
        <w:rPr>
          <w:rFonts w:cs="Arial"/>
          <w:color w:val="002F5D"/>
        </w:rPr>
      </w:pPr>
      <w:r w:rsidRPr="006923FC">
        <w:rPr>
          <w:rFonts w:cs="Arial"/>
          <w:b/>
          <w:color w:val="002F5D"/>
        </w:rPr>
        <w:t xml:space="preserve">Infant mortality. </w:t>
      </w:r>
      <w:r w:rsidR="006F52B6" w:rsidRPr="006923FC">
        <w:rPr>
          <w:rFonts w:cs="Arial"/>
          <w:color w:val="002F5D"/>
        </w:rPr>
        <w:t xml:space="preserve">This indicator is assessed as </w:t>
      </w:r>
      <w:r w:rsidR="000F0388">
        <w:rPr>
          <w:rFonts w:cs="Arial"/>
          <w:color w:val="002F5D"/>
        </w:rPr>
        <w:t>statistically similar</w:t>
      </w:r>
      <w:r w:rsidR="006F52B6" w:rsidRPr="006923FC">
        <w:rPr>
          <w:rFonts w:cs="Arial"/>
          <w:color w:val="002F5D"/>
        </w:rPr>
        <w:t xml:space="preserve"> </w:t>
      </w:r>
      <w:r w:rsidR="000F0388">
        <w:rPr>
          <w:rFonts w:cs="Arial"/>
          <w:color w:val="002F5D"/>
        </w:rPr>
        <w:t>to</w:t>
      </w:r>
      <w:r w:rsidR="006F52B6" w:rsidRPr="006923FC">
        <w:rPr>
          <w:rFonts w:cs="Arial"/>
          <w:color w:val="002F5D"/>
        </w:rPr>
        <w:t xml:space="preserve"> the national average </w:t>
      </w:r>
      <w:r w:rsidR="0062566C">
        <w:rPr>
          <w:rFonts w:cs="Arial"/>
          <w:color w:val="002F5D"/>
        </w:rPr>
        <w:t>i</w:t>
      </w:r>
      <w:r w:rsidR="006F52B6" w:rsidRPr="006923FC">
        <w:rPr>
          <w:rFonts w:cs="Arial"/>
          <w:color w:val="002F5D"/>
        </w:rPr>
        <w:t>n Cambridgeshire</w:t>
      </w:r>
      <w:r w:rsidR="00C52E2D" w:rsidRPr="006923FC">
        <w:rPr>
          <w:rFonts w:cs="Arial"/>
          <w:color w:val="002F5D"/>
        </w:rPr>
        <w:t xml:space="preserve">, Peterborough and the combined area </w:t>
      </w:r>
      <w:r w:rsidR="006F52B6" w:rsidRPr="006923FC">
        <w:rPr>
          <w:rFonts w:cs="Arial"/>
          <w:color w:val="002F5D"/>
        </w:rPr>
        <w:t xml:space="preserve">and in all districts other than East Cambridgeshire. It is important to note that the numbers of deaths are relatively </w:t>
      </w:r>
      <w:r w:rsidR="00772E62">
        <w:rPr>
          <w:rFonts w:cs="Arial"/>
          <w:color w:val="002F5D"/>
        </w:rPr>
        <w:t>low</w:t>
      </w:r>
      <w:r w:rsidR="006F52B6" w:rsidRPr="006923FC">
        <w:rPr>
          <w:rFonts w:cs="Arial"/>
          <w:color w:val="002F5D"/>
        </w:rPr>
        <w:t xml:space="preserve"> and this means that the test used to assess statistical </w:t>
      </w:r>
      <w:r w:rsidR="00772E62">
        <w:rPr>
          <w:rFonts w:cs="Arial"/>
          <w:color w:val="002F5D"/>
        </w:rPr>
        <w:t>significance</w:t>
      </w:r>
      <w:r w:rsidR="006F52B6" w:rsidRPr="006923FC">
        <w:rPr>
          <w:rFonts w:cs="Arial"/>
          <w:color w:val="002F5D"/>
        </w:rPr>
        <w:t xml:space="preserve"> yields wide levels of </w:t>
      </w:r>
      <w:r w:rsidR="00772E62">
        <w:rPr>
          <w:rFonts w:cs="Arial"/>
          <w:color w:val="002F5D"/>
        </w:rPr>
        <w:t xml:space="preserve">statistical </w:t>
      </w:r>
      <w:r w:rsidR="006F52B6" w:rsidRPr="006923FC">
        <w:rPr>
          <w:rFonts w:cs="Arial"/>
          <w:color w:val="002F5D"/>
        </w:rPr>
        <w:t>uncertainty</w:t>
      </w:r>
      <w:r w:rsidR="00772E62">
        <w:rPr>
          <w:rFonts w:cs="Arial"/>
          <w:color w:val="002F5D"/>
        </w:rPr>
        <w:t>, requiring a high level of deviance from the national average for an area to be statistically significant</w:t>
      </w:r>
      <w:r w:rsidRPr="006923FC">
        <w:rPr>
          <w:rFonts w:cs="Arial"/>
          <w:color w:val="002F5D"/>
        </w:rPr>
        <w:t>. No district h</w:t>
      </w:r>
      <w:r w:rsidR="00ED4AF1" w:rsidRPr="006923FC">
        <w:rPr>
          <w:rFonts w:cs="Arial"/>
          <w:color w:val="002F5D"/>
        </w:rPr>
        <w:t>as a rat</w:t>
      </w:r>
      <w:r w:rsidRPr="006923FC">
        <w:rPr>
          <w:rFonts w:cs="Arial"/>
          <w:color w:val="002F5D"/>
        </w:rPr>
        <w:t xml:space="preserve">e that is </w:t>
      </w:r>
      <w:r w:rsidR="00A701B1" w:rsidRPr="006923FC">
        <w:rPr>
          <w:rFonts w:cs="Arial"/>
          <w:color w:val="002F5D"/>
        </w:rPr>
        <w:t xml:space="preserve">statistically </w:t>
      </w:r>
      <w:r w:rsidR="00772E62">
        <w:rPr>
          <w:rFonts w:cs="Arial"/>
          <w:color w:val="002F5D"/>
        </w:rPr>
        <w:t xml:space="preserve">significantly </w:t>
      </w:r>
      <w:r w:rsidRPr="006923FC">
        <w:rPr>
          <w:rFonts w:cs="Arial"/>
          <w:color w:val="002F5D"/>
        </w:rPr>
        <w:t xml:space="preserve">higher than </w:t>
      </w:r>
      <w:r w:rsidR="00ED4AF1" w:rsidRPr="006923FC">
        <w:rPr>
          <w:rFonts w:cs="Arial"/>
          <w:color w:val="002F5D"/>
        </w:rPr>
        <w:t xml:space="preserve">the county average. </w:t>
      </w:r>
    </w:p>
    <w:p w14:paraId="0F8049E7" w14:textId="3080A7AB" w:rsidR="00DF55A6" w:rsidRPr="006923FC" w:rsidRDefault="00DF55A6" w:rsidP="00A938F7">
      <w:pPr>
        <w:pStyle w:val="ListParagraph"/>
        <w:numPr>
          <w:ilvl w:val="0"/>
          <w:numId w:val="19"/>
        </w:numPr>
        <w:spacing w:line="240" w:lineRule="auto"/>
        <w:rPr>
          <w:rFonts w:cs="Arial"/>
          <w:b/>
          <w:color w:val="002F5D"/>
        </w:rPr>
      </w:pPr>
      <w:r w:rsidRPr="006923FC">
        <w:rPr>
          <w:rFonts w:cs="Arial"/>
          <w:b/>
          <w:color w:val="002F5D"/>
        </w:rPr>
        <w:t xml:space="preserve">Killed and seriously injured on roads. </w:t>
      </w:r>
      <w:r w:rsidR="007C1761">
        <w:rPr>
          <w:rFonts w:cs="Arial"/>
          <w:color w:val="002F5D"/>
        </w:rPr>
        <w:t>Cambridge, East Cambridgeshire, Huntingdonshire and South Cambridgeshire are statistically significantly worse than England for this indicator</w:t>
      </w:r>
      <w:r w:rsidRPr="006923FC">
        <w:rPr>
          <w:rFonts w:cs="Arial"/>
          <w:color w:val="002F5D"/>
        </w:rPr>
        <w:t>. However, it is a poor indicator that uses area</w:t>
      </w:r>
      <w:r w:rsidR="006023FF">
        <w:rPr>
          <w:rFonts w:cs="Arial"/>
          <w:color w:val="002F5D"/>
        </w:rPr>
        <w:t>-</w:t>
      </w:r>
      <w:r w:rsidRPr="006923FC">
        <w:rPr>
          <w:rFonts w:cs="Arial"/>
          <w:color w:val="002F5D"/>
        </w:rPr>
        <w:t>based road casualty data as its numerator and resident</w:t>
      </w:r>
      <w:r w:rsidR="006023FF">
        <w:rPr>
          <w:rFonts w:cs="Arial"/>
          <w:color w:val="002F5D"/>
        </w:rPr>
        <w:t>-</w:t>
      </w:r>
      <w:r w:rsidRPr="006923FC">
        <w:rPr>
          <w:rFonts w:cs="Arial"/>
          <w:color w:val="002F5D"/>
        </w:rPr>
        <w:t xml:space="preserve">based population data as its denominator. This gives a clear mismatch between the component parts of the indicator and does not deal </w:t>
      </w:r>
      <w:r w:rsidR="00A928D2" w:rsidRPr="006923FC">
        <w:rPr>
          <w:rFonts w:cs="Arial"/>
          <w:color w:val="002F5D"/>
        </w:rPr>
        <w:t xml:space="preserve">well </w:t>
      </w:r>
      <w:r w:rsidRPr="006923FC">
        <w:rPr>
          <w:rFonts w:cs="Arial"/>
          <w:color w:val="002F5D"/>
        </w:rPr>
        <w:t xml:space="preserve">with area based traffic flow patterns. Local measures should be taken from the </w:t>
      </w:r>
      <w:r w:rsidR="00565BC8" w:rsidRPr="006923FC">
        <w:rPr>
          <w:rFonts w:cs="Arial"/>
          <w:color w:val="002F5D"/>
        </w:rPr>
        <w:t>Cambridgeshire and Peterborough Road Safety Partnership’s</w:t>
      </w:r>
      <w:r w:rsidRPr="006923FC">
        <w:rPr>
          <w:rFonts w:cs="Arial"/>
          <w:color w:val="002F5D"/>
        </w:rPr>
        <w:t xml:space="preserve"> </w:t>
      </w:r>
      <w:r w:rsidR="00565BC8" w:rsidRPr="006923FC">
        <w:rPr>
          <w:rFonts w:cs="Arial"/>
          <w:color w:val="002F5D"/>
        </w:rPr>
        <w:t xml:space="preserve">Handbook at </w:t>
      </w:r>
      <w:hyperlink r:id="rId24" w:history="1">
        <w:r w:rsidR="007F635E" w:rsidRPr="006923FC">
          <w:rPr>
            <w:rStyle w:val="Hyperlink"/>
            <w:rFonts w:cs="Arial"/>
            <w:color w:val="002F5D"/>
          </w:rPr>
          <w:t>https://www.cambridgeshire.gov.uk/residents/travel-roads-and-parking/roads-and-pathways/road-safety/</w:t>
        </w:r>
      </w:hyperlink>
      <w:r w:rsidRPr="006923FC">
        <w:rPr>
          <w:rFonts w:cs="Arial"/>
          <w:color w:val="002F5D"/>
        </w:rPr>
        <w:t>.</w:t>
      </w:r>
    </w:p>
    <w:p w14:paraId="479FCE9A" w14:textId="77777777" w:rsidR="0067547D" w:rsidRPr="0037351D" w:rsidRDefault="0067547D" w:rsidP="0038179C">
      <w:pPr>
        <w:spacing w:line="240" w:lineRule="auto"/>
        <w:ind w:left="360"/>
        <w:rPr>
          <w:rFonts w:cs="Arial"/>
          <w:color w:val="FF0000"/>
        </w:rPr>
      </w:pPr>
    </w:p>
    <w:p w14:paraId="58C5BFD0" w14:textId="77777777" w:rsidR="00FB139D" w:rsidRPr="0037351D" w:rsidRDefault="00FB139D" w:rsidP="0038179C">
      <w:pPr>
        <w:pStyle w:val="ListParagraph"/>
        <w:spacing w:line="240" w:lineRule="auto"/>
        <w:rPr>
          <w:rFonts w:cs="Arial"/>
          <w:color w:val="FF0000"/>
        </w:rPr>
      </w:pPr>
    </w:p>
    <w:p w14:paraId="355C6E8C" w14:textId="77777777" w:rsidR="006C314E" w:rsidRPr="0037351D" w:rsidRDefault="006C314E">
      <w:pPr>
        <w:rPr>
          <w:rFonts w:eastAsiaTheme="majorEastAsia" w:cs="Arial"/>
          <w:b/>
          <w:color w:val="FF0000"/>
          <w:sz w:val="28"/>
          <w:szCs w:val="32"/>
        </w:rPr>
      </w:pPr>
      <w:r w:rsidRPr="0037351D">
        <w:rPr>
          <w:color w:val="FF0000"/>
        </w:rPr>
        <w:br w:type="page"/>
      </w:r>
    </w:p>
    <w:p w14:paraId="3609BE7C" w14:textId="77777777" w:rsidR="00DA6624" w:rsidRPr="00AC457A" w:rsidRDefault="00DE6CE0" w:rsidP="0038179C">
      <w:pPr>
        <w:pStyle w:val="JSNA1"/>
      </w:pPr>
      <w:bookmarkStart w:id="719" w:name="_Toc4407825"/>
      <w:r w:rsidRPr="00AC457A">
        <w:lastRenderedPageBreak/>
        <w:t>G</w:t>
      </w:r>
      <w:r w:rsidR="0038179C" w:rsidRPr="00AC457A">
        <w:t>EOGRAPHY AND DEMOGRAPHY</w:t>
      </w:r>
      <w:bookmarkEnd w:id="719"/>
    </w:p>
    <w:p w14:paraId="2EDD7BC8" w14:textId="77777777" w:rsidR="00DA6624" w:rsidRPr="00AC457A" w:rsidRDefault="00DA6624" w:rsidP="0038179C">
      <w:pPr>
        <w:spacing w:line="240" w:lineRule="auto"/>
        <w:rPr>
          <w:rFonts w:cs="Arial"/>
          <w:b/>
          <w:color w:val="FFFFFF" w:themeColor="background1"/>
        </w:rPr>
      </w:pPr>
    </w:p>
    <w:p w14:paraId="01E26E3E" w14:textId="5A7C6C94" w:rsidR="00DD0527" w:rsidRPr="00AC457A" w:rsidRDefault="00DD0527" w:rsidP="0038179C">
      <w:pPr>
        <w:pStyle w:val="JSNA2"/>
      </w:pPr>
      <w:bookmarkStart w:id="720" w:name="_Toc4407826"/>
      <w:r w:rsidRPr="00AC457A">
        <w:t xml:space="preserve">Cambridgeshire </w:t>
      </w:r>
      <w:r w:rsidR="003D5EAA" w:rsidRPr="00AC457A">
        <w:t xml:space="preserve">and </w:t>
      </w:r>
      <w:r w:rsidR="009536A7" w:rsidRPr="00AC457A">
        <w:t>Peterborough</w:t>
      </w:r>
      <w:r w:rsidR="003D5EAA" w:rsidRPr="00AC457A">
        <w:t xml:space="preserve"> </w:t>
      </w:r>
      <w:r w:rsidRPr="00AC457A">
        <w:t>– geography and main administrative boundaries</w:t>
      </w:r>
      <w:bookmarkEnd w:id="720"/>
    </w:p>
    <w:p w14:paraId="66ABF80B" w14:textId="77777777" w:rsidR="00B540ED" w:rsidRPr="0037351D" w:rsidRDefault="00B540ED" w:rsidP="0038179C">
      <w:pPr>
        <w:spacing w:line="240" w:lineRule="auto"/>
        <w:rPr>
          <w:rFonts w:cs="Arial"/>
          <w:b/>
          <w:color w:val="FF0000"/>
        </w:rPr>
      </w:pPr>
    </w:p>
    <w:p w14:paraId="6E57AEB0" w14:textId="2D170E45" w:rsidR="00EF37C7" w:rsidRPr="00AC457A" w:rsidRDefault="00315A9A" w:rsidP="00315A9A">
      <w:pPr>
        <w:pStyle w:val="Caption"/>
        <w:rPr>
          <w:rFonts w:cs="Arial"/>
          <w:color w:val="002F5D"/>
        </w:rPr>
      </w:pPr>
      <w:r w:rsidRPr="00AC457A">
        <w:rPr>
          <w:b/>
          <w:color w:val="002F5D"/>
        </w:rPr>
        <w:t xml:space="preserve">Figure </w:t>
      </w:r>
      <w:r w:rsidRPr="00AC457A">
        <w:rPr>
          <w:b/>
          <w:color w:val="002F5D"/>
        </w:rPr>
        <w:fldChar w:fldCharType="begin"/>
      </w:r>
      <w:r w:rsidRPr="00AC457A">
        <w:rPr>
          <w:b/>
          <w:color w:val="002F5D"/>
        </w:rPr>
        <w:instrText xml:space="preserve"> SEQ Figure \* ARABIC </w:instrText>
      </w:r>
      <w:r w:rsidRPr="00AC457A">
        <w:rPr>
          <w:b/>
          <w:color w:val="002F5D"/>
        </w:rPr>
        <w:fldChar w:fldCharType="separate"/>
      </w:r>
      <w:r w:rsidR="00E80CFE">
        <w:rPr>
          <w:b/>
          <w:noProof/>
          <w:color w:val="002F5D"/>
        </w:rPr>
        <w:t>1</w:t>
      </w:r>
      <w:r w:rsidRPr="00AC457A">
        <w:rPr>
          <w:b/>
          <w:color w:val="002F5D"/>
        </w:rPr>
        <w:fldChar w:fldCharType="end"/>
      </w:r>
      <w:r w:rsidRPr="00AC457A">
        <w:rPr>
          <w:rFonts w:cs="Arial"/>
          <w:b/>
          <w:color w:val="002F5D"/>
        </w:rPr>
        <w:t xml:space="preserve">. </w:t>
      </w:r>
      <w:r w:rsidR="00B540ED" w:rsidRPr="00AC457A">
        <w:rPr>
          <w:rFonts w:cs="Arial"/>
          <w:color w:val="002F5D"/>
        </w:rPr>
        <w:t>Local authority districts and maj</w:t>
      </w:r>
      <w:r w:rsidR="006C314E" w:rsidRPr="00AC457A">
        <w:rPr>
          <w:rFonts w:cs="Arial"/>
          <w:color w:val="002F5D"/>
        </w:rPr>
        <w:t>or market towns, Cambridgeshire</w:t>
      </w:r>
      <w:r w:rsidR="009536A7" w:rsidRPr="00AC457A">
        <w:rPr>
          <w:rFonts w:cs="Arial"/>
          <w:color w:val="002F5D"/>
        </w:rPr>
        <w:t xml:space="preserve"> and Peterborough</w:t>
      </w:r>
    </w:p>
    <w:p w14:paraId="34D58DF9" w14:textId="77777777" w:rsidR="00680A91" w:rsidRPr="0037351D" w:rsidRDefault="00680A91" w:rsidP="0038179C">
      <w:pPr>
        <w:spacing w:line="240" w:lineRule="auto"/>
        <w:rPr>
          <w:rFonts w:cs="Arial"/>
          <w:color w:val="FF0000"/>
        </w:rPr>
      </w:pPr>
    </w:p>
    <w:p w14:paraId="7FB462FE" w14:textId="77777777" w:rsidR="009536A7" w:rsidRPr="0037351D" w:rsidRDefault="009536A7" w:rsidP="0038179C">
      <w:pPr>
        <w:spacing w:line="240" w:lineRule="auto"/>
        <w:rPr>
          <w:rFonts w:cs="Arial"/>
          <w:color w:val="FF0000"/>
        </w:rPr>
      </w:pPr>
      <w:r w:rsidRPr="0037351D">
        <w:rPr>
          <w:noProof/>
          <w:color w:val="FF0000"/>
          <w:lang w:eastAsia="en-GB"/>
        </w:rPr>
        <w:drawing>
          <wp:inline distT="0" distB="0" distL="0" distR="0" wp14:anchorId="403A0C1F" wp14:editId="3EDEAD2D">
            <wp:extent cx="6262090" cy="425767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80156" cy="4269958"/>
                    </a:xfrm>
                    <a:prstGeom prst="rect">
                      <a:avLst/>
                    </a:prstGeom>
                  </pic:spPr>
                </pic:pic>
              </a:graphicData>
            </a:graphic>
          </wp:inline>
        </w:drawing>
      </w:r>
    </w:p>
    <w:p w14:paraId="4646ACCC" w14:textId="77777777" w:rsidR="00B540ED" w:rsidRPr="00AC457A" w:rsidRDefault="00F72D8D" w:rsidP="0038179C">
      <w:pPr>
        <w:spacing w:line="240" w:lineRule="auto"/>
        <w:rPr>
          <w:rFonts w:cs="Arial"/>
          <w:color w:val="002F5D"/>
          <w:sz w:val="18"/>
        </w:rPr>
      </w:pPr>
      <w:r w:rsidRPr="00AC457A">
        <w:rPr>
          <w:rFonts w:cs="Arial"/>
          <w:color w:val="002F5D"/>
        </w:rPr>
        <w:t xml:space="preserve"> </w:t>
      </w:r>
      <w:r w:rsidR="00B540ED" w:rsidRPr="00AC457A">
        <w:rPr>
          <w:rFonts w:cs="Arial"/>
          <w:color w:val="002F5D"/>
          <w:sz w:val="18"/>
        </w:rPr>
        <w:t>© Crown copyright and database rights 2017 Ordnance Survey 100023205</w:t>
      </w:r>
    </w:p>
    <w:p w14:paraId="205FF823" w14:textId="77777777" w:rsidR="00DD0527" w:rsidRPr="0037351D" w:rsidRDefault="00DD0527" w:rsidP="0038179C">
      <w:pPr>
        <w:pStyle w:val="ListParagraph"/>
        <w:spacing w:line="240" w:lineRule="auto"/>
        <w:ind w:left="567"/>
        <w:rPr>
          <w:rFonts w:cs="Arial"/>
          <w:b/>
          <w:color w:val="FF0000"/>
        </w:rPr>
      </w:pPr>
    </w:p>
    <w:p w14:paraId="1CBF0B04" w14:textId="77777777" w:rsidR="0038179C" w:rsidRPr="00AC457A" w:rsidRDefault="00DD0527" w:rsidP="0038179C">
      <w:pPr>
        <w:pStyle w:val="JSNA2"/>
      </w:pPr>
      <w:bookmarkStart w:id="721" w:name="_Toc4407827"/>
      <w:r w:rsidRPr="00AC457A">
        <w:t>Demography, housing growth and land use</w:t>
      </w:r>
      <w:bookmarkEnd w:id="721"/>
    </w:p>
    <w:p w14:paraId="68166A0C" w14:textId="77777777" w:rsidR="002D6DAF" w:rsidRPr="0037351D" w:rsidRDefault="002D6DAF" w:rsidP="0038179C">
      <w:pPr>
        <w:spacing w:line="240" w:lineRule="auto"/>
        <w:rPr>
          <w:rFonts w:cs="Arial"/>
          <w:b/>
          <w:color w:val="FF0000"/>
        </w:rPr>
      </w:pPr>
    </w:p>
    <w:p w14:paraId="3EEF4725" w14:textId="60C6BA5E" w:rsidR="00F74363" w:rsidRPr="00AC457A" w:rsidRDefault="004B6438" w:rsidP="0038179C">
      <w:pPr>
        <w:spacing w:line="240" w:lineRule="auto"/>
        <w:rPr>
          <w:rFonts w:cs="Arial"/>
          <w:color w:val="002F5D"/>
        </w:rPr>
      </w:pPr>
      <w:r w:rsidRPr="00AC457A">
        <w:rPr>
          <w:rFonts w:cs="Arial"/>
          <w:color w:val="002F5D"/>
        </w:rPr>
        <w:t xml:space="preserve">This section includes demographic estimates, population and housing growth information and data for population </w:t>
      </w:r>
      <w:r w:rsidR="00F74363" w:rsidRPr="00AC457A">
        <w:rPr>
          <w:rFonts w:cs="Arial"/>
          <w:color w:val="002F5D"/>
        </w:rPr>
        <w:t>density.</w:t>
      </w:r>
      <w:r w:rsidR="00D967AD" w:rsidRPr="00AC457A">
        <w:rPr>
          <w:rFonts w:cs="Arial"/>
          <w:color w:val="002F5D"/>
        </w:rPr>
        <w:t xml:space="preserve"> The term “Cambridgeshire and Peterborough” generally applies to the administrative area covered by Cambridgeshire and Peterborough Councils and hence the </w:t>
      </w:r>
      <w:r w:rsidR="00D967AD" w:rsidRPr="00AC457A">
        <w:rPr>
          <w:rFonts w:cs="Arial"/>
          <w:b/>
          <w:color w:val="002F5D"/>
        </w:rPr>
        <w:t>residents</w:t>
      </w:r>
      <w:r w:rsidR="00D967AD" w:rsidRPr="00AC457A">
        <w:rPr>
          <w:rFonts w:cs="Arial"/>
          <w:color w:val="002F5D"/>
        </w:rPr>
        <w:t xml:space="preserve"> of th</w:t>
      </w:r>
      <w:r w:rsidR="006023FF">
        <w:rPr>
          <w:rFonts w:cs="Arial"/>
          <w:color w:val="002F5D"/>
        </w:rPr>
        <w:t>e</w:t>
      </w:r>
      <w:r w:rsidR="00D967AD" w:rsidRPr="00AC457A">
        <w:rPr>
          <w:rFonts w:cs="Arial"/>
          <w:color w:val="002F5D"/>
        </w:rPr>
        <w:t xml:space="preserve"> two local authority areas.</w:t>
      </w:r>
      <w:r w:rsidR="00EC4F7A" w:rsidRPr="00AC457A">
        <w:rPr>
          <w:rFonts w:cs="Arial"/>
          <w:color w:val="002F5D"/>
        </w:rPr>
        <w:t xml:space="preserve"> Population estimates and forecasts are also similarly resident based.</w:t>
      </w:r>
    </w:p>
    <w:p w14:paraId="7C8928C9" w14:textId="77777777" w:rsidR="00F74363" w:rsidRPr="00AC457A" w:rsidRDefault="00F74363" w:rsidP="0038179C">
      <w:pPr>
        <w:spacing w:line="240" w:lineRule="auto"/>
        <w:rPr>
          <w:rFonts w:cs="Arial"/>
          <w:color w:val="002F5D"/>
        </w:rPr>
      </w:pPr>
    </w:p>
    <w:p w14:paraId="6E9F8540" w14:textId="115B571D" w:rsidR="00DA38E1" w:rsidRDefault="004B6438" w:rsidP="0038179C">
      <w:pPr>
        <w:spacing w:line="240" w:lineRule="auto"/>
        <w:rPr>
          <w:rFonts w:cs="Arial"/>
          <w:color w:val="002F5D"/>
        </w:rPr>
      </w:pPr>
      <w:r w:rsidRPr="00AC457A">
        <w:rPr>
          <w:rFonts w:cs="Arial"/>
          <w:color w:val="002F5D"/>
        </w:rPr>
        <w:t xml:space="preserve">It is important to note that both the Office for National Statistics (ONS) </w:t>
      </w:r>
      <w:r w:rsidR="00680A91" w:rsidRPr="00AC457A">
        <w:rPr>
          <w:rFonts w:cs="Arial"/>
          <w:color w:val="002F5D"/>
        </w:rPr>
        <w:t xml:space="preserve">and </w:t>
      </w:r>
      <w:r w:rsidR="003071C3" w:rsidRPr="00AC457A">
        <w:rPr>
          <w:rFonts w:cs="Arial"/>
          <w:color w:val="002F5D"/>
        </w:rPr>
        <w:t xml:space="preserve">Cambridgeshire County </w:t>
      </w:r>
      <w:r w:rsidRPr="00AC457A">
        <w:rPr>
          <w:rFonts w:cs="Arial"/>
          <w:color w:val="002F5D"/>
        </w:rPr>
        <w:t xml:space="preserve">Council’s own demographers </w:t>
      </w:r>
      <w:r w:rsidR="00D442C5" w:rsidRPr="00AC457A">
        <w:rPr>
          <w:rFonts w:cs="Arial"/>
          <w:color w:val="002F5D"/>
        </w:rPr>
        <w:t xml:space="preserve">in the Research Group </w:t>
      </w:r>
      <w:r w:rsidR="00D5212F" w:rsidRPr="00AC457A">
        <w:rPr>
          <w:rFonts w:cs="Arial"/>
          <w:color w:val="002F5D"/>
        </w:rPr>
        <w:t xml:space="preserve">(CCCRG) </w:t>
      </w:r>
      <w:r w:rsidRPr="00AC457A">
        <w:rPr>
          <w:rFonts w:cs="Arial"/>
          <w:color w:val="002F5D"/>
        </w:rPr>
        <w:t xml:space="preserve">provide population estimates, projections and forecasts. </w:t>
      </w:r>
      <w:r w:rsidR="00F74363" w:rsidRPr="00AC457A">
        <w:rPr>
          <w:rFonts w:cs="Arial"/>
          <w:color w:val="002F5D"/>
        </w:rPr>
        <w:t xml:space="preserve">ONS data are </w:t>
      </w:r>
      <w:r w:rsidR="00B01686" w:rsidRPr="00AC457A">
        <w:rPr>
          <w:rFonts w:cs="Arial"/>
          <w:color w:val="002F5D"/>
        </w:rPr>
        <w:t xml:space="preserve">trend driven and </w:t>
      </w:r>
      <w:r w:rsidR="00F74363" w:rsidRPr="00AC457A">
        <w:rPr>
          <w:rFonts w:cs="Arial"/>
          <w:color w:val="002F5D"/>
        </w:rPr>
        <w:t xml:space="preserve">based on natural change (births and deaths) and population migration and </w:t>
      </w:r>
      <w:r w:rsidR="00FB11F1" w:rsidRPr="00AC457A">
        <w:rPr>
          <w:rFonts w:cs="Arial"/>
          <w:color w:val="002F5D"/>
        </w:rPr>
        <w:t xml:space="preserve">the </w:t>
      </w:r>
      <w:r w:rsidR="00266BF8">
        <w:rPr>
          <w:rFonts w:cs="Arial"/>
          <w:color w:val="002F5D"/>
        </w:rPr>
        <w:t xml:space="preserve">CCCRG </w:t>
      </w:r>
      <w:r w:rsidR="00FB11F1" w:rsidRPr="00AC457A">
        <w:rPr>
          <w:rFonts w:cs="Arial"/>
          <w:color w:val="002F5D"/>
        </w:rPr>
        <w:t>data are based on these components</w:t>
      </w:r>
      <w:r w:rsidR="00AD29A4" w:rsidRPr="00AC457A">
        <w:rPr>
          <w:rFonts w:cs="Arial"/>
          <w:color w:val="002F5D"/>
        </w:rPr>
        <w:t xml:space="preserve"> and also local planning policy (housing </w:t>
      </w:r>
      <w:r w:rsidR="00B01686" w:rsidRPr="00AC457A">
        <w:rPr>
          <w:rFonts w:cs="Arial"/>
          <w:color w:val="002F5D"/>
        </w:rPr>
        <w:t xml:space="preserve">building </w:t>
      </w:r>
      <w:r w:rsidR="00AD29A4" w:rsidRPr="00AC457A">
        <w:rPr>
          <w:rFonts w:cs="Arial"/>
          <w:color w:val="002F5D"/>
        </w:rPr>
        <w:t>plans).</w:t>
      </w:r>
      <w:r w:rsidR="00DA38E1">
        <w:rPr>
          <w:rFonts w:cs="Arial"/>
          <w:color w:val="002F5D"/>
        </w:rPr>
        <w:t xml:space="preserve">  </w:t>
      </w:r>
    </w:p>
    <w:p w14:paraId="0C104A01" w14:textId="77777777" w:rsidR="00DA38E1" w:rsidRDefault="00DA38E1" w:rsidP="0038179C">
      <w:pPr>
        <w:spacing w:line="240" w:lineRule="auto"/>
        <w:rPr>
          <w:rFonts w:cs="Arial"/>
          <w:color w:val="002F5D"/>
        </w:rPr>
      </w:pPr>
    </w:p>
    <w:p w14:paraId="1CC2514F" w14:textId="2540F044" w:rsidR="00DA38E1" w:rsidRPr="00AC457A" w:rsidRDefault="00DA38E1" w:rsidP="0038179C">
      <w:pPr>
        <w:spacing w:line="240" w:lineRule="auto"/>
        <w:rPr>
          <w:rFonts w:cs="Arial"/>
          <w:color w:val="002F5D"/>
        </w:rPr>
      </w:pPr>
      <w:r>
        <w:rPr>
          <w:rFonts w:cs="Arial"/>
          <w:color w:val="002F5D"/>
        </w:rPr>
        <w:t>Note: Green shading in charts in this section does not imply statistical significance.</w:t>
      </w:r>
    </w:p>
    <w:p w14:paraId="4067407D" w14:textId="77777777" w:rsidR="00F74363" w:rsidRPr="00AC457A" w:rsidRDefault="00F74363" w:rsidP="0038179C">
      <w:pPr>
        <w:spacing w:line="240" w:lineRule="auto"/>
        <w:rPr>
          <w:rFonts w:cs="Arial"/>
          <w:color w:val="002F5D"/>
        </w:rPr>
      </w:pPr>
    </w:p>
    <w:p w14:paraId="5421D878" w14:textId="77777777" w:rsidR="00267473" w:rsidRPr="00AC457A" w:rsidRDefault="00F74363" w:rsidP="0038179C">
      <w:pPr>
        <w:spacing w:line="240" w:lineRule="auto"/>
        <w:rPr>
          <w:rFonts w:cs="Arial"/>
          <w:color w:val="002F5D"/>
        </w:rPr>
      </w:pPr>
      <w:r w:rsidRPr="00AC457A">
        <w:rPr>
          <w:rFonts w:cs="Arial"/>
          <w:color w:val="002F5D"/>
        </w:rPr>
        <w:t>Further lo</w:t>
      </w:r>
      <w:r w:rsidR="00267473" w:rsidRPr="00AC457A">
        <w:rPr>
          <w:rFonts w:cs="Arial"/>
          <w:color w:val="002F5D"/>
        </w:rPr>
        <w:t>cal information can be found at:</w:t>
      </w:r>
    </w:p>
    <w:p w14:paraId="6008CCA7" w14:textId="77777777" w:rsidR="0090610B" w:rsidRPr="001F33AB" w:rsidRDefault="00E80CFE" w:rsidP="0090610B">
      <w:pPr>
        <w:spacing w:line="240" w:lineRule="auto"/>
        <w:rPr>
          <w:rFonts w:cs="Arial"/>
          <w:b/>
          <w:color w:val="002F5D"/>
        </w:rPr>
      </w:pPr>
      <w:hyperlink r:id="rId26" w:history="1">
        <w:r w:rsidR="0090610B" w:rsidRPr="001F33AB">
          <w:rPr>
            <w:rStyle w:val="Hyperlink"/>
            <w:rFonts w:cs="Arial"/>
            <w:color w:val="002F5D"/>
          </w:rPr>
          <w:t>https://cambridgeshireinsight.org.uk/population/</w:t>
        </w:r>
      </w:hyperlink>
    </w:p>
    <w:p w14:paraId="3B01DE92" w14:textId="77777777" w:rsidR="00DD0527" w:rsidRPr="0037351D" w:rsidRDefault="00DD0527" w:rsidP="0038179C">
      <w:pPr>
        <w:pStyle w:val="ListParagraph"/>
        <w:spacing w:line="240" w:lineRule="auto"/>
        <w:rPr>
          <w:rFonts w:cs="Arial"/>
          <w:b/>
          <w:color w:val="FF0000"/>
        </w:rPr>
      </w:pPr>
    </w:p>
    <w:p w14:paraId="51C454D0" w14:textId="77777777" w:rsidR="003D5EAA" w:rsidRPr="0037351D" w:rsidRDefault="003D5EAA" w:rsidP="0038179C">
      <w:pPr>
        <w:spacing w:line="240" w:lineRule="auto"/>
        <w:rPr>
          <w:rFonts w:cs="Arial"/>
          <w:b/>
          <w:color w:val="FF0000"/>
        </w:rPr>
      </w:pPr>
      <w:r w:rsidRPr="0037351D">
        <w:rPr>
          <w:rFonts w:cs="Arial"/>
          <w:b/>
          <w:color w:val="FF0000"/>
        </w:rPr>
        <w:br w:type="page"/>
      </w:r>
    </w:p>
    <w:p w14:paraId="73F69E3B" w14:textId="77777777" w:rsidR="00DB4CF3" w:rsidRPr="0037351D" w:rsidRDefault="00D967AD" w:rsidP="00A3568F">
      <w:pPr>
        <w:pStyle w:val="JSNA3"/>
      </w:pPr>
      <w:bookmarkStart w:id="722" w:name="_Toc4407828"/>
      <w:r w:rsidRPr="0037351D">
        <w:lastRenderedPageBreak/>
        <w:t>P</w:t>
      </w:r>
      <w:r w:rsidR="004A1C5F" w:rsidRPr="0037351D">
        <w:t>opulation estimates</w:t>
      </w:r>
      <w:bookmarkEnd w:id="722"/>
    </w:p>
    <w:p w14:paraId="57212223" w14:textId="77777777" w:rsidR="003D5EAA" w:rsidRPr="0037351D" w:rsidRDefault="003D5EAA" w:rsidP="0038179C">
      <w:pPr>
        <w:spacing w:line="240" w:lineRule="auto"/>
        <w:rPr>
          <w:rFonts w:cs="Arial"/>
          <w:b/>
          <w:color w:val="FF0000"/>
        </w:rPr>
      </w:pPr>
    </w:p>
    <w:p w14:paraId="2D27775A" w14:textId="0BBE4012" w:rsidR="009536A7" w:rsidRPr="00DD4333" w:rsidRDefault="00315A9A" w:rsidP="00315A9A">
      <w:pPr>
        <w:pStyle w:val="Caption"/>
        <w:rPr>
          <w:rFonts w:cs="Arial"/>
          <w:color w:val="002F5D"/>
        </w:rPr>
      </w:pPr>
      <w:r w:rsidRPr="00DD4333">
        <w:rPr>
          <w:b/>
          <w:color w:val="002F5D"/>
        </w:rPr>
        <w:t xml:space="preserve">Figure </w:t>
      </w:r>
      <w:r w:rsidRPr="00DD4333">
        <w:rPr>
          <w:b/>
          <w:color w:val="002F5D"/>
        </w:rPr>
        <w:fldChar w:fldCharType="begin"/>
      </w:r>
      <w:r w:rsidRPr="00DD4333">
        <w:rPr>
          <w:b/>
          <w:color w:val="002F5D"/>
        </w:rPr>
        <w:instrText xml:space="preserve"> SEQ Figure \* ARABIC </w:instrText>
      </w:r>
      <w:r w:rsidRPr="00DD4333">
        <w:rPr>
          <w:b/>
          <w:color w:val="002F5D"/>
        </w:rPr>
        <w:fldChar w:fldCharType="separate"/>
      </w:r>
      <w:r w:rsidR="00E80CFE">
        <w:rPr>
          <w:b/>
          <w:noProof/>
          <w:color w:val="002F5D"/>
        </w:rPr>
        <w:t>2</w:t>
      </w:r>
      <w:r w:rsidRPr="00DD4333">
        <w:rPr>
          <w:b/>
          <w:color w:val="002F5D"/>
        </w:rPr>
        <w:fldChar w:fldCharType="end"/>
      </w:r>
      <w:r w:rsidRPr="00DD4333">
        <w:rPr>
          <w:b/>
          <w:color w:val="002F5D"/>
        </w:rPr>
        <w:t>.</w:t>
      </w:r>
      <w:r w:rsidR="009536A7" w:rsidRPr="00DD4333">
        <w:rPr>
          <w:color w:val="002F5D"/>
        </w:rPr>
        <w:t xml:space="preserve"> </w:t>
      </w:r>
      <w:r w:rsidR="009536A7" w:rsidRPr="00DD4333">
        <w:rPr>
          <w:rFonts w:cs="Arial"/>
          <w:color w:val="002F5D"/>
        </w:rPr>
        <w:t>Pop</w:t>
      </w:r>
      <w:r w:rsidR="00AC457A" w:rsidRPr="00DD4333">
        <w:rPr>
          <w:rFonts w:cs="Arial"/>
          <w:color w:val="002F5D"/>
        </w:rPr>
        <w:t>ulation summary (ONS) – mid-2016</w:t>
      </w:r>
      <w:r w:rsidR="009536A7" w:rsidRPr="00DD4333">
        <w:rPr>
          <w:rFonts w:cs="Arial"/>
          <w:color w:val="002F5D"/>
        </w:rPr>
        <w:t xml:space="preserve"> and projected population 2020 for Cambridgeshire and Peterb</w:t>
      </w:r>
      <w:r w:rsidR="007235C4">
        <w:rPr>
          <w:rFonts w:cs="Arial"/>
          <w:color w:val="002F5D"/>
        </w:rPr>
        <w:t xml:space="preserve">orough compared with England and </w:t>
      </w:r>
      <w:r w:rsidR="009536A7" w:rsidRPr="00DD4333">
        <w:rPr>
          <w:rFonts w:cs="Arial"/>
          <w:color w:val="002F5D"/>
        </w:rPr>
        <w:t xml:space="preserve">ethnic minority proportion </w:t>
      </w:r>
    </w:p>
    <w:p w14:paraId="5E1A7AFB" w14:textId="77777777" w:rsidR="00EF37C7" w:rsidRPr="00DD4333" w:rsidRDefault="00EF37C7" w:rsidP="00EB6960">
      <w:pPr>
        <w:pStyle w:val="Caption"/>
        <w:rPr>
          <w:rFonts w:cs="Arial"/>
          <w:color w:val="002F5D"/>
        </w:rPr>
      </w:pPr>
    </w:p>
    <w:p w14:paraId="38ECCD5F" w14:textId="77777777" w:rsidR="00680A91" w:rsidRPr="00DD4333" w:rsidRDefault="009536A7" w:rsidP="0038179C">
      <w:pPr>
        <w:spacing w:line="240" w:lineRule="auto"/>
        <w:rPr>
          <w:rFonts w:cs="Arial"/>
          <w:b/>
          <w:color w:val="002F5D"/>
        </w:rPr>
      </w:pPr>
      <w:r w:rsidRPr="00DD4333">
        <w:rPr>
          <w:rFonts w:cs="Arial"/>
          <w:b/>
          <w:color w:val="002F5D"/>
        </w:rPr>
        <w:t>Cambridgeshire</w:t>
      </w:r>
    </w:p>
    <w:p w14:paraId="6D95CE3E" w14:textId="356D6AF9" w:rsidR="00680A91" w:rsidRDefault="00AC457A" w:rsidP="0038179C">
      <w:pPr>
        <w:spacing w:line="240" w:lineRule="auto"/>
        <w:rPr>
          <w:rFonts w:cs="Arial"/>
          <w:b/>
          <w:color w:val="FF0000"/>
        </w:rPr>
      </w:pPr>
      <w:r>
        <w:rPr>
          <w:rFonts w:cs="Arial"/>
          <w:b/>
          <w:noProof/>
          <w:color w:val="FF0000"/>
          <w:lang w:eastAsia="en-GB"/>
        </w:rPr>
        <w:drawing>
          <wp:inline distT="0" distB="0" distL="0" distR="0" wp14:anchorId="56AF2F9C" wp14:editId="49E6C702">
            <wp:extent cx="5711764" cy="3390900"/>
            <wp:effectExtent l="19050" t="19050" r="2286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5732" cy="3417003"/>
                    </a:xfrm>
                    <a:prstGeom prst="rect">
                      <a:avLst/>
                    </a:prstGeom>
                    <a:noFill/>
                    <a:ln w="22225">
                      <a:solidFill>
                        <a:schemeClr val="tx2"/>
                      </a:solidFill>
                    </a:ln>
                  </pic:spPr>
                </pic:pic>
              </a:graphicData>
            </a:graphic>
          </wp:inline>
        </w:drawing>
      </w:r>
    </w:p>
    <w:p w14:paraId="41ADA4BB" w14:textId="77777777" w:rsidR="00DD4333" w:rsidRPr="0037351D" w:rsidRDefault="00DD4333" w:rsidP="0038179C">
      <w:pPr>
        <w:spacing w:line="240" w:lineRule="auto"/>
        <w:rPr>
          <w:rFonts w:cs="Arial"/>
          <w:b/>
          <w:color w:val="FF0000"/>
        </w:rPr>
      </w:pPr>
    </w:p>
    <w:p w14:paraId="2716048E" w14:textId="77777777" w:rsidR="009536A7" w:rsidRPr="00DD4333" w:rsidRDefault="009536A7" w:rsidP="0038179C">
      <w:pPr>
        <w:spacing w:line="240" w:lineRule="auto"/>
        <w:rPr>
          <w:rFonts w:cs="Arial"/>
          <w:b/>
          <w:color w:val="002F5D"/>
        </w:rPr>
      </w:pPr>
      <w:r w:rsidRPr="00DD4333">
        <w:rPr>
          <w:rFonts w:cs="Arial"/>
          <w:b/>
          <w:color w:val="002F5D"/>
        </w:rPr>
        <w:t>Peterborough</w:t>
      </w:r>
    </w:p>
    <w:p w14:paraId="12B981F2" w14:textId="79FBE99D" w:rsidR="009536A7" w:rsidRPr="0037351D" w:rsidRDefault="00DD4333" w:rsidP="009536A7">
      <w:pPr>
        <w:spacing w:line="240" w:lineRule="auto"/>
        <w:rPr>
          <w:rFonts w:cs="Arial"/>
          <w:b/>
          <w:color w:val="FF0000"/>
        </w:rPr>
      </w:pPr>
      <w:r>
        <w:rPr>
          <w:rFonts w:cs="Arial"/>
          <w:b/>
          <w:noProof/>
          <w:color w:val="FF0000"/>
          <w:lang w:eastAsia="en-GB"/>
        </w:rPr>
        <w:drawing>
          <wp:inline distT="0" distB="0" distL="0" distR="0" wp14:anchorId="12B5549C" wp14:editId="4B3544AB">
            <wp:extent cx="5749734" cy="3409950"/>
            <wp:effectExtent l="19050" t="19050" r="22860" b="190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5056" cy="3419037"/>
                    </a:xfrm>
                    <a:prstGeom prst="rect">
                      <a:avLst/>
                    </a:prstGeom>
                    <a:noFill/>
                    <a:ln w="22225">
                      <a:solidFill>
                        <a:schemeClr val="tx2"/>
                      </a:solidFill>
                    </a:ln>
                  </pic:spPr>
                </pic:pic>
              </a:graphicData>
            </a:graphic>
          </wp:inline>
        </w:drawing>
      </w:r>
    </w:p>
    <w:p w14:paraId="71BAE9E4" w14:textId="77777777" w:rsidR="00692E3E" w:rsidRPr="0037351D" w:rsidRDefault="00692E3E" w:rsidP="0038179C">
      <w:pPr>
        <w:spacing w:line="240" w:lineRule="auto"/>
        <w:rPr>
          <w:rFonts w:cs="Arial"/>
          <w:b/>
          <w:color w:val="FF0000"/>
        </w:rPr>
      </w:pPr>
    </w:p>
    <w:p w14:paraId="1BDFDA16" w14:textId="32A027AE" w:rsidR="00DA70B5" w:rsidRPr="0037351D" w:rsidRDefault="009536A7" w:rsidP="0038179C">
      <w:pPr>
        <w:spacing w:line="240" w:lineRule="auto"/>
        <w:rPr>
          <w:rFonts w:cs="Arial"/>
          <w:b/>
          <w:color w:val="FF0000"/>
        </w:rPr>
      </w:pPr>
      <w:r w:rsidRPr="00DD4333">
        <w:rPr>
          <w:rFonts w:cs="Arial"/>
          <w:b/>
          <w:color w:val="002F5D"/>
        </w:rPr>
        <w:t xml:space="preserve">Source: </w:t>
      </w:r>
      <w:r w:rsidRPr="00DD4333">
        <w:rPr>
          <w:rFonts w:cs="Arial"/>
          <w:color w:val="002F5D"/>
        </w:rPr>
        <w:t>Public Health England Health Profiles for Camb</w:t>
      </w:r>
      <w:r w:rsidR="00DD4333" w:rsidRPr="00DD4333">
        <w:rPr>
          <w:rFonts w:cs="Arial"/>
          <w:color w:val="002F5D"/>
        </w:rPr>
        <w:t>ridgeshire and Peterborough 2018</w:t>
      </w:r>
      <w:r w:rsidRPr="00DD4333">
        <w:rPr>
          <w:rFonts w:cs="Arial"/>
          <w:color w:val="002F5D"/>
        </w:rPr>
        <w:t xml:space="preserve"> </w:t>
      </w:r>
      <w:r w:rsidR="000A665B">
        <w:rPr>
          <w:rFonts w:cs="Arial"/>
          <w:color w:val="002F5D"/>
        </w:rPr>
        <w:t>–</w:t>
      </w:r>
      <w:r w:rsidRPr="00DD4333">
        <w:rPr>
          <w:rFonts w:cs="Arial"/>
          <w:color w:val="002F5D"/>
        </w:rPr>
        <w:t xml:space="preserve"> </w:t>
      </w:r>
      <w:hyperlink r:id="rId29" w:history="1">
        <w:r w:rsidR="0090610B" w:rsidRPr="00F61F22">
          <w:rPr>
            <w:rStyle w:val="Hyperlink"/>
            <w:color w:val="002F5D"/>
          </w:rPr>
          <w:t>https://fingertips.phe.org.uk/profile/health-profiles</w:t>
        </w:r>
      </w:hyperlink>
    </w:p>
    <w:p w14:paraId="75BE4B9D" w14:textId="77777777" w:rsidR="00692E3E" w:rsidRPr="0037351D" w:rsidRDefault="00692E3E" w:rsidP="0038179C">
      <w:pPr>
        <w:spacing w:line="240" w:lineRule="auto"/>
        <w:rPr>
          <w:rFonts w:cs="Arial"/>
          <w:b/>
          <w:color w:val="FF0000"/>
        </w:rPr>
      </w:pPr>
    </w:p>
    <w:p w14:paraId="2067CD22" w14:textId="77777777" w:rsidR="009536A7" w:rsidRPr="00DD4333" w:rsidRDefault="009536A7" w:rsidP="009536A7">
      <w:pPr>
        <w:spacing w:line="240" w:lineRule="auto"/>
        <w:rPr>
          <w:rFonts w:cs="Arial"/>
          <w:b/>
          <w:color w:val="002F5D"/>
        </w:rPr>
      </w:pPr>
      <w:r w:rsidRPr="00DD4333">
        <w:rPr>
          <w:rFonts w:cs="Arial"/>
          <w:b/>
          <w:color w:val="002F5D"/>
        </w:rPr>
        <w:lastRenderedPageBreak/>
        <w:t>Cambridgeshire</w:t>
      </w:r>
      <w:r w:rsidR="00912A5F" w:rsidRPr="00DD4333">
        <w:rPr>
          <w:rFonts w:cs="Arial"/>
          <w:b/>
          <w:color w:val="002F5D"/>
        </w:rPr>
        <w:t>’s</w:t>
      </w:r>
      <w:r w:rsidRPr="00DD4333">
        <w:rPr>
          <w:rFonts w:cs="Arial"/>
          <w:b/>
          <w:color w:val="002F5D"/>
        </w:rPr>
        <w:t xml:space="preserve"> key points:</w:t>
      </w:r>
    </w:p>
    <w:p w14:paraId="49355802" w14:textId="213F31DE" w:rsidR="009536A7" w:rsidRPr="00DD4333" w:rsidRDefault="009536A7" w:rsidP="00A938F7">
      <w:pPr>
        <w:pStyle w:val="ListParagraph"/>
        <w:numPr>
          <w:ilvl w:val="0"/>
          <w:numId w:val="2"/>
        </w:numPr>
        <w:spacing w:line="240" w:lineRule="auto"/>
        <w:rPr>
          <w:rFonts w:cs="Arial"/>
          <w:color w:val="002F5D"/>
        </w:rPr>
      </w:pPr>
      <w:r w:rsidRPr="00DD4333">
        <w:rPr>
          <w:rFonts w:cs="Arial"/>
          <w:color w:val="002F5D"/>
        </w:rPr>
        <w:t>Overall</w:t>
      </w:r>
      <w:r w:rsidR="000A665B">
        <w:rPr>
          <w:rFonts w:cs="Arial"/>
          <w:color w:val="002F5D"/>
        </w:rPr>
        <w:t>,</w:t>
      </w:r>
      <w:r w:rsidRPr="00DD4333">
        <w:rPr>
          <w:rFonts w:cs="Arial"/>
          <w:color w:val="002F5D"/>
        </w:rPr>
        <w:t xml:space="preserve"> Cambridgeshire’s population profile by gender and age is similar to England’s.</w:t>
      </w:r>
    </w:p>
    <w:p w14:paraId="1E7E2995" w14:textId="6015A30E" w:rsidR="009536A7" w:rsidRPr="00DD4333" w:rsidRDefault="009536A7" w:rsidP="00A938F7">
      <w:pPr>
        <w:pStyle w:val="ListParagraph"/>
        <w:numPr>
          <w:ilvl w:val="0"/>
          <w:numId w:val="2"/>
        </w:numPr>
        <w:spacing w:line="240" w:lineRule="auto"/>
        <w:rPr>
          <w:rFonts w:cs="Arial"/>
          <w:color w:val="002F5D"/>
        </w:rPr>
      </w:pPr>
      <w:r w:rsidRPr="00DD4333">
        <w:rPr>
          <w:rFonts w:cs="Arial"/>
          <w:color w:val="002F5D"/>
        </w:rPr>
        <w:t>The proportion of young children in Cambridgeshire is slightly lower than in England</w:t>
      </w:r>
      <w:r w:rsidR="000A665B">
        <w:rPr>
          <w:rFonts w:cs="Arial"/>
          <w:color w:val="002F5D"/>
        </w:rPr>
        <w:t>;</w:t>
      </w:r>
      <w:r w:rsidRPr="00DD4333">
        <w:rPr>
          <w:rFonts w:cs="Arial"/>
          <w:color w:val="002F5D"/>
        </w:rPr>
        <w:t xml:space="preserve"> there are proportionally more young adults aged 20-24 years,</w:t>
      </w:r>
      <w:r w:rsidR="006B007D">
        <w:rPr>
          <w:rFonts w:cs="Arial"/>
          <w:color w:val="002F5D"/>
        </w:rPr>
        <w:t xml:space="preserve"> proportionally fewer</w:t>
      </w:r>
      <w:r w:rsidR="00AD1F51">
        <w:rPr>
          <w:rFonts w:cs="Arial"/>
          <w:color w:val="002F5D"/>
        </w:rPr>
        <w:t xml:space="preserve"> women aged 25-34, </w:t>
      </w:r>
      <w:r w:rsidRPr="00DD4333">
        <w:rPr>
          <w:rFonts w:cs="Arial"/>
          <w:color w:val="002F5D"/>
        </w:rPr>
        <w:t>more middle-aged adults and younger older people and similar percentages of the very elderly.</w:t>
      </w:r>
    </w:p>
    <w:p w14:paraId="690DFF56" w14:textId="146F2EF0" w:rsidR="009536A7" w:rsidRPr="002E5AA1" w:rsidRDefault="009536A7" w:rsidP="00A938F7">
      <w:pPr>
        <w:pStyle w:val="ListParagraph"/>
        <w:numPr>
          <w:ilvl w:val="0"/>
          <w:numId w:val="2"/>
        </w:numPr>
        <w:spacing w:line="240" w:lineRule="auto"/>
        <w:rPr>
          <w:rFonts w:cs="Arial"/>
          <w:color w:val="002F5D"/>
        </w:rPr>
      </w:pPr>
      <w:r w:rsidRPr="002E5AA1">
        <w:rPr>
          <w:rFonts w:cs="Arial"/>
          <w:color w:val="002F5D"/>
        </w:rPr>
        <w:t xml:space="preserve">Office for National Statistics (ONS) population growth forecasts to 2020, based on natural change and migration, suggests that population increases will be concentrated in children </w:t>
      </w:r>
      <w:r w:rsidR="009E1DDB" w:rsidRPr="002E5AA1">
        <w:rPr>
          <w:rFonts w:cs="Arial"/>
          <w:color w:val="002F5D"/>
        </w:rPr>
        <w:t xml:space="preserve">aged 10-14 years </w:t>
      </w:r>
      <w:r w:rsidRPr="002E5AA1">
        <w:rPr>
          <w:rFonts w:cs="Arial"/>
          <w:color w:val="002F5D"/>
        </w:rPr>
        <w:t>and adults aged 55 and older, with fewer younger adults and adults aged between 40 and 50 years.</w:t>
      </w:r>
    </w:p>
    <w:p w14:paraId="590967A6" w14:textId="77777777" w:rsidR="009536A7" w:rsidRPr="002E5AA1" w:rsidRDefault="009536A7" w:rsidP="00A938F7">
      <w:pPr>
        <w:pStyle w:val="ListParagraph"/>
        <w:numPr>
          <w:ilvl w:val="0"/>
          <w:numId w:val="2"/>
        </w:numPr>
        <w:spacing w:line="240" w:lineRule="auto"/>
        <w:rPr>
          <w:rFonts w:cs="Arial"/>
          <w:color w:val="002F5D"/>
        </w:rPr>
      </w:pPr>
      <w:r w:rsidRPr="002E5AA1">
        <w:rPr>
          <w:rFonts w:cs="Arial"/>
          <w:color w:val="002F5D"/>
        </w:rPr>
        <w:t>Cambridgeshire has a lower proportion of people from ethnic minorities than England.</w:t>
      </w:r>
    </w:p>
    <w:p w14:paraId="44934552" w14:textId="77777777" w:rsidR="009536A7" w:rsidRPr="0037351D" w:rsidRDefault="009536A7" w:rsidP="009536A7">
      <w:pPr>
        <w:spacing w:line="240" w:lineRule="auto"/>
        <w:rPr>
          <w:rFonts w:cs="Arial"/>
          <w:b/>
          <w:color w:val="FF0000"/>
        </w:rPr>
      </w:pPr>
    </w:p>
    <w:p w14:paraId="60D7287D" w14:textId="77777777" w:rsidR="009536A7" w:rsidRPr="00361073" w:rsidRDefault="009536A7" w:rsidP="009536A7">
      <w:pPr>
        <w:pStyle w:val="Caption"/>
        <w:rPr>
          <w:rFonts w:cs="Arial"/>
          <w:b/>
          <w:color w:val="002F5D"/>
        </w:rPr>
      </w:pPr>
      <w:r w:rsidRPr="00361073">
        <w:rPr>
          <w:rFonts w:cs="Arial"/>
          <w:b/>
          <w:color w:val="002F5D"/>
        </w:rPr>
        <w:t>Peterborough</w:t>
      </w:r>
      <w:r w:rsidR="00912A5F" w:rsidRPr="00361073">
        <w:rPr>
          <w:rFonts w:cs="Arial"/>
          <w:b/>
          <w:color w:val="002F5D"/>
        </w:rPr>
        <w:t>’s</w:t>
      </w:r>
      <w:r w:rsidRPr="00361073">
        <w:rPr>
          <w:rFonts w:cs="Arial"/>
          <w:b/>
          <w:color w:val="002F5D"/>
        </w:rPr>
        <w:t xml:space="preserve"> key points:</w:t>
      </w:r>
    </w:p>
    <w:p w14:paraId="39392B1D" w14:textId="77777777" w:rsidR="009536A7" w:rsidRPr="00361073" w:rsidRDefault="009536A7" w:rsidP="00A938F7">
      <w:pPr>
        <w:pStyle w:val="ListParagraph"/>
        <w:numPr>
          <w:ilvl w:val="0"/>
          <w:numId w:val="2"/>
        </w:numPr>
        <w:spacing w:line="240" w:lineRule="auto"/>
        <w:rPr>
          <w:rFonts w:cs="Arial"/>
          <w:color w:val="002F5D"/>
        </w:rPr>
      </w:pPr>
      <w:r w:rsidRPr="00361073">
        <w:rPr>
          <w:rFonts w:cs="Arial"/>
          <w:color w:val="002F5D"/>
        </w:rPr>
        <w:t>Peterborough has a higher proportion of young children than England.</w:t>
      </w:r>
    </w:p>
    <w:p w14:paraId="6137B9FF" w14:textId="77777777" w:rsidR="009536A7" w:rsidRPr="00361073" w:rsidRDefault="009536A7" w:rsidP="00A938F7">
      <w:pPr>
        <w:pStyle w:val="ListParagraph"/>
        <w:numPr>
          <w:ilvl w:val="0"/>
          <w:numId w:val="2"/>
        </w:numPr>
        <w:spacing w:line="240" w:lineRule="auto"/>
        <w:rPr>
          <w:rFonts w:cs="Arial"/>
          <w:color w:val="002F5D"/>
        </w:rPr>
      </w:pPr>
      <w:r w:rsidRPr="00361073">
        <w:rPr>
          <w:rFonts w:cs="Arial"/>
          <w:color w:val="002F5D"/>
        </w:rPr>
        <w:t>Peterborough has a higher proportion of younger adults aged 25-39 than England.</w:t>
      </w:r>
    </w:p>
    <w:p w14:paraId="31E749E6" w14:textId="77777777" w:rsidR="009536A7" w:rsidRPr="00361073" w:rsidRDefault="009536A7" w:rsidP="00A938F7">
      <w:pPr>
        <w:pStyle w:val="ListParagraph"/>
        <w:numPr>
          <w:ilvl w:val="0"/>
          <w:numId w:val="2"/>
        </w:numPr>
        <w:spacing w:line="240" w:lineRule="auto"/>
        <w:rPr>
          <w:rFonts w:cs="Arial"/>
          <w:color w:val="002F5D"/>
        </w:rPr>
      </w:pPr>
      <w:r w:rsidRPr="00361073">
        <w:rPr>
          <w:rFonts w:cs="Arial"/>
          <w:color w:val="002F5D"/>
        </w:rPr>
        <w:t xml:space="preserve">Peterborough has a lower proportion of older people than England. This is notable for those aged 60-79 years. </w:t>
      </w:r>
    </w:p>
    <w:p w14:paraId="110AC35D" w14:textId="607C70DC" w:rsidR="009536A7" w:rsidRPr="00361073" w:rsidRDefault="009536A7" w:rsidP="00A938F7">
      <w:pPr>
        <w:pStyle w:val="ListParagraph"/>
        <w:numPr>
          <w:ilvl w:val="0"/>
          <w:numId w:val="2"/>
        </w:numPr>
        <w:spacing w:line="240" w:lineRule="auto"/>
        <w:rPr>
          <w:rFonts w:cs="Arial"/>
          <w:color w:val="002F5D"/>
        </w:rPr>
      </w:pPr>
      <w:r w:rsidRPr="00361073">
        <w:rPr>
          <w:rFonts w:cs="Arial"/>
          <w:color w:val="002F5D"/>
        </w:rPr>
        <w:t xml:space="preserve">Population growth to 2020, based on natural change and migration, suggests that population increases for Peterborough will be concentrated in children aged 10-14 years and older adults aged 70-74 years. Proportions of 55-59 year olds females and 55-64 year old males </w:t>
      </w:r>
      <w:r w:rsidR="000A665B">
        <w:rPr>
          <w:rFonts w:cs="Arial"/>
          <w:color w:val="002F5D"/>
        </w:rPr>
        <w:t xml:space="preserve">are </w:t>
      </w:r>
      <w:r w:rsidRPr="00361073">
        <w:rPr>
          <w:rFonts w:cs="Arial"/>
          <w:color w:val="002F5D"/>
        </w:rPr>
        <w:t>also</w:t>
      </w:r>
      <w:r w:rsidR="000A665B">
        <w:rPr>
          <w:rFonts w:cs="Arial"/>
          <w:color w:val="002F5D"/>
        </w:rPr>
        <w:t xml:space="preserve"> predicted to</w:t>
      </w:r>
      <w:r w:rsidRPr="00361073">
        <w:rPr>
          <w:rFonts w:cs="Arial"/>
          <w:color w:val="002F5D"/>
        </w:rPr>
        <w:t xml:space="preserve"> increase.</w:t>
      </w:r>
    </w:p>
    <w:p w14:paraId="64F59336" w14:textId="77777777" w:rsidR="009536A7" w:rsidRPr="00361073" w:rsidRDefault="009536A7" w:rsidP="00A938F7">
      <w:pPr>
        <w:pStyle w:val="ListParagraph"/>
        <w:numPr>
          <w:ilvl w:val="0"/>
          <w:numId w:val="2"/>
        </w:numPr>
        <w:spacing w:line="240" w:lineRule="auto"/>
        <w:rPr>
          <w:rFonts w:cs="Arial"/>
          <w:color w:val="002F5D"/>
        </w:rPr>
      </w:pPr>
      <w:r w:rsidRPr="00361073">
        <w:rPr>
          <w:rFonts w:cs="Arial"/>
          <w:color w:val="002F5D"/>
        </w:rPr>
        <w:t xml:space="preserve">ONS population forecasts for 2020 suggest lower proportions of 0-4 year olds and young adults. </w:t>
      </w:r>
    </w:p>
    <w:p w14:paraId="3C1D62F2" w14:textId="19DF6C87" w:rsidR="009536A7" w:rsidRPr="00361073" w:rsidRDefault="00361073" w:rsidP="00A938F7">
      <w:pPr>
        <w:pStyle w:val="ListParagraph"/>
        <w:numPr>
          <w:ilvl w:val="0"/>
          <w:numId w:val="2"/>
        </w:numPr>
        <w:spacing w:line="240" w:lineRule="auto"/>
        <w:rPr>
          <w:rFonts w:cs="Arial"/>
          <w:color w:val="002F5D"/>
        </w:rPr>
      </w:pPr>
      <w:r w:rsidRPr="00361073">
        <w:rPr>
          <w:rFonts w:cs="Arial"/>
          <w:color w:val="002F5D"/>
        </w:rPr>
        <w:t xml:space="preserve">Peterborough has a similar </w:t>
      </w:r>
      <w:r w:rsidR="009536A7" w:rsidRPr="00361073">
        <w:rPr>
          <w:rFonts w:cs="Arial"/>
          <w:color w:val="002F5D"/>
        </w:rPr>
        <w:t>proportion of pe</w:t>
      </w:r>
      <w:r w:rsidRPr="00361073">
        <w:rPr>
          <w:rFonts w:cs="Arial"/>
          <w:color w:val="002F5D"/>
        </w:rPr>
        <w:t>ople from ethnic minorities to</w:t>
      </w:r>
      <w:r w:rsidR="009536A7" w:rsidRPr="00361073">
        <w:rPr>
          <w:rFonts w:cs="Arial"/>
          <w:color w:val="002F5D"/>
        </w:rPr>
        <w:t xml:space="preserve"> England</w:t>
      </w:r>
      <w:r w:rsidRPr="00361073">
        <w:rPr>
          <w:rFonts w:cs="Arial"/>
          <w:color w:val="002F5D"/>
        </w:rPr>
        <w:t>.</w:t>
      </w:r>
    </w:p>
    <w:p w14:paraId="49FA4A6E" w14:textId="77777777" w:rsidR="0095143E" w:rsidRPr="00361073" w:rsidRDefault="0095143E" w:rsidP="0038179C">
      <w:pPr>
        <w:spacing w:line="240" w:lineRule="auto"/>
        <w:rPr>
          <w:rFonts w:cs="Arial"/>
          <w:b/>
          <w:color w:val="002F5D"/>
        </w:rPr>
      </w:pPr>
    </w:p>
    <w:p w14:paraId="22063A46" w14:textId="77777777" w:rsidR="003D5EAA" w:rsidRPr="0037351D" w:rsidRDefault="003D5EAA" w:rsidP="0038179C">
      <w:pPr>
        <w:spacing w:line="240" w:lineRule="auto"/>
        <w:rPr>
          <w:rFonts w:cs="Arial"/>
          <w:b/>
          <w:color w:val="FF0000"/>
        </w:rPr>
      </w:pPr>
      <w:r w:rsidRPr="0037351D">
        <w:rPr>
          <w:rFonts w:cs="Arial"/>
          <w:b/>
          <w:color w:val="FF0000"/>
        </w:rPr>
        <w:br w:type="page"/>
      </w:r>
    </w:p>
    <w:p w14:paraId="63F660E0" w14:textId="21AB870B" w:rsidR="009536A7" w:rsidRPr="0039657F" w:rsidRDefault="00315A9A" w:rsidP="00315A9A">
      <w:pPr>
        <w:pStyle w:val="Caption"/>
        <w:rPr>
          <w:rFonts w:cs="Arial"/>
          <w:color w:val="002F5D"/>
        </w:rPr>
      </w:pPr>
      <w:r w:rsidRPr="0039657F">
        <w:rPr>
          <w:b/>
          <w:color w:val="002F5D"/>
        </w:rPr>
        <w:lastRenderedPageBreak/>
        <w:t xml:space="preserve">Table </w:t>
      </w:r>
      <w:r w:rsidRPr="0039657F">
        <w:rPr>
          <w:b/>
          <w:color w:val="002F5D"/>
        </w:rPr>
        <w:fldChar w:fldCharType="begin"/>
      </w:r>
      <w:r w:rsidRPr="0039657F">
        <w:rPr>
          <w:b/>
          <w:color w:val="002F5D"/>
        </w:rPr>
        <w:instrText xml:space="preserve"> SEQ Table \* ARABIC </w:instrText>
      </w:r>
      <w:r w:rsidRPr="0039657F">
        <w:rPr>
          <w:b/>
          <w:color w:val="002F5D"/>
        </w:rPr>
        <w:fldChar w:fldCharType="separate"/>
      </w:r>
      <w:r w:rsidR="00E80CFE">
        <w:rPr>
          <w:b/>
          <w:noProof/>
          <w:color w:val="002F5D"/>
        </w:rPr>
        <w:t>2</w:t>
      </w:r>
      <w:r w:rsidRPr="0039657F">
        <w:rPr>
          <w:b/>
          <w:color w:val="002F5D"/>
        </w:rPr>
        <w:fldChar w:fldCharType="end"/>
      </w:r>
      <w:r w:rsidR="004409AF" w:rsidRPr="0039657F">
        <w:rPr>
          <w:rFonts w:cs="Arial"/>
          <w:b/>
          <w:color w:val="002F5D"/>
        </w:rPr>
        <w:t xml:space="preserve">. </w:t>
      </w:r>
      <w:r w:rsidR="009536A7" w:rsidRPr="0039657F">
        <w:rPr>
          <w:rFonts w:cs="Arial"/>
          <w:color w:val="002F5D"/>
        </w:rPr>
        <w:t xml:space="preserve">Cambridgeshire County Council Research Group (CCCRG) Mid-2011 to mid-2015 population estimates – Cambridgeshire </w:t>
      </w:r>
      <w:r w:rsidR="004A5755" w:rsidRPr="0039657F">
        <w:rPr>
          <w:rFonts w:cs="Arial"/>
          <w:color w:val="002F5D"/>
        </w:rPr>
        <w:t>and Peterborough</w:t>
      </w:r>
    </w:p>
    <w:p w14:paraId="7DEF5C38" w14:textId="77777777" w:rsidR="009536A7" w:rsidRPr="0037351D" w:rsidRDefault="009536A7" w:rsidP="009536A7">
      <w:pPr>
        <w:spacing w:line="240" w:lineRule="auto"/>
        <w:rPr>
          <w:rFonts w:cs="Arial"/>
          <w:color w:val="FF0000"/>
        </w:rPr>
      </w:pPr>
    </w:p>
    <w:p w14:paraId="62B1D14B" w14:textId="77777777" w:rsidR="009536A7" w:rsidRPr="0037351D" w:rsidRDefault="009536A7" w:rsidP="009536A7">
      <w:pPr>
        <w:spacing w:line="240" w:lineRule="auto"/>
        <w:rPr>
          <w:rFonts w:cs="Arial"/>
          <w:color w:val="FF0000"/>
        </w:rPr>
      </w:pPr>
      <w:r w:rsidRPr="0037351D">
        <w:rPr>
          <w:noProof/>
          <w:color w:val="FF0000"/>
          <w:lang w:eastAsia="en-GB"/>
        </w:rPr>
        <w:drawing>
          <wp:inline distT="0" distB="0" distL="0" distR="0" wp14:anchorId="3F23B646" wp14:editId="58146289">
            <wp:extent cx="6120130" cy="18750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1875073"/>
                    </a:xfrm>
                    <a:prstGeom prst="rect">
                      <a:avLst/>
                    </a:prstGeom>
                    <a:noFill/>
                    <a:ln>
                      <a:noFill/>
                    </a:ln>
                  </pic:spPr>
                </pic:pic>
              </a:graphicData>
            </a:graphic>
          </wp:inline>
        </w:drawing>
      </w:r>
    </w:p>
    <w:p w14:paraId="5AB71B50" w14:textId="77777777" w:rsidR="00692E3E" w:rsidRPr="0037351D" w:rsidRDefault="00692E3E" w:rsidP="009536A7">
      <w:pPr>
        <w:spacing w:line="240" w:lineRule="auto"/>
        <w:rPr>
          <w:rFonts w:cs="Arial"/>
          <w:b/>
          <w:color w:val="FF0000"/>
        </w:rPr>
      </w:pPr>
    </w:p>
    <w:p w14:paraId="3D9FA993" w14:textId="1908DBDB" w:rsidR="009536A7" w:rsidRPr="0039657F" w:rsidRDefault="009536A7" w:rsidP="009536A7">
      <w:pPr>
        <w:spacing w:line="240" w:lineRule="auto"/>
        <w:rPr>
          <w:rFonts w:cs="Arial"/>
          <w:b/>
          <w:color w:val="002F5D"/>
        </w:rPr>
      </w:pPr>
      <w:r w:rsidRPr="0039657F">
        <w:rPr>
          <w:rFonts w:cs="Arial"/>
          <w:b/>
          <w:color w:val="002F5D"/>
        </w:rPr>
        <w:t xml:space="preserve">Source: </w:t>
      </w:r>
      <w:r w:rsidRPr="0039657F">
        <w:rPr>
          <w:rFonts w:cs="Arial"/>
          <w:color w:val="002F5D"/>
        </w:rPr>
        <w:t>CCCRG mid-2015 based population estimates</w:t>
      </w:r>
    </w:p>
    <w:p w14:paraId="31393A41" w14:textId="77777777" w:rsidR="009536A7" w:rsidRPr="0037351D" w:rsidRDefault="009536A7" w:rsidP="009536A7">
      <w:pPr>
        <w:pStyle w:val="Caption"/>
        <w:rPr>
          <w:b/>
          <w:color w:val="FF0000"/>
        </w:rPr>
      </w:pPr>
    </w:p>
    <w:p w14:paraId="7B7C9EE2" w14:textId="51893FBC" w:rsidR="00CE66DB" w:rsidRPr="0039657F" w:rsidRDefault="00CD501F" w:rsidP="00CD501F">
      <w:pPr>
        <w:pStyle w:val="Caption"/>
        <w:rPr>
          <w:rFonts w:cs="Arial"/>
          <w:color w:val="002F5D"/>
        </w:rPr>
      </w:pPr>
      <w:r w:rsidRPr="0039657F">
        <w:rPr>
          <w:b/>
          <w:color w:val="002F5D"/>
        </w:rPr>
        <w:t xml:space="preserve">Figure </w:t>
      </w:r>
      <w:r w:rsidRPr="0039657F">
        <w:rPr>
          <w:b/>
          <w:color w:val="002F5D"/>
        </w:rPr>
        <w:fldChar w:fldCharType="begin"/>
      </w:r>
      <w:r w:rsidRPr="0039657F">
        <w:rPr>
          <w:b/>
          <w:color w:val="002F5D"/>
        </w:rPr>
        <w:instrText xml:space="preserve"> SEQ Figure \* ARABIC </w:instrText>
      </w:r>
      <w:r w:rsidRPr="0039657F">
        <w:rPr>
          <w:b/>
          <w:color w:val="002F5D"/>
        </w:rPr>
        <w:fldChar w:fldCharType="separate"/>
      </w:r>
      <w:r w:rsidR="00E80CFE">
        <w:rPr>
          <w:b/>
          <w:noProof/>
          <w:color w:val="002F5D"/>
        </w:rPr>
        <w:t>3</w:t>
      </w:r>
      <w:r w:rsidRPr="0039657F">
        <w:rPr>
          <w:b/>
          <w:color w:val="002F5D"/>
        </w:rPr>
        <w:fldChar w:fldCharType="end"/>
      </w:r>
      <w:r w:rsidRPr="0039657F">
        <w:rPr>
          <w:b/>
          <w:color w:val="002F5D"/>
        </w:rPr>
        <w:t>.</w:t>
      </w:r>
      <w:r w:rsidR="00CE66DB" w:rsidRPr="0039657F">
        <w:rPr>
          <w:rFonts w:cs="Arial"/>
          <w:b/>
          <w:color w:val="002F5D"/>
        </w:rPr>
        <w:t xml:space="preserve"> </w:t>
      </w:r>
      <w:r w:rsidR="00CE66DB" w:rsidRPr="0039657F">
        <w:rPr>
          <w:rFonts w:cs="Arial"/>
          <w:color w:val="002F5D"/>
        </w:rPr>
        <w:t xml:space="preserve">Cambridgeshire </w:t>
      </w:r>
      <w:r w:rsidR="009536A7" w:rsidRPr="0039657F">
        <w:rPr>
          <w:rFonts w:cs="Arial"/>
          <w:color w:val="002F5D"/>
        </w:rPr>
        <w:t>and Peterborough</w:t>
      </w:r>
      <w:r w:rsidR="00CE66DB" w:rsidRPr="0039657F">
        <w:rPr>
          <w:rFonts w:cs="Arial"/>
          <w:color w:val="002F5D"/>
        </w:rPr>
        <w:t>- retrospective population</w:t>
      </w:r>
      <w:r w:rsidR="009775E7" w:rsidRPr="0039657F">
        <w:rPr>
          <w:rFonts w:cs="Arial"/>
          <w:color w:val="002F5D"/>
        </w:rPr>
        <w:t xml:space="preserve"> growth in absolute numbers mid-</w:t>
      </w:r>
      <w:r w:rsidR="00CE66DB" w:rsidRPr="0039657F">
        <w:rPr>
          <w:rFonts w:cs="Arial"/>
          <w:color w:val="002F5D"/>
        </w:rPr>
        <w:t xml:space="preserve">2011 to </w:t>
      </w:r>
      <w:r w:rsidR="009775E7" w:rsidRPr="0039657F">
        <w:rPr>
          <w:rFonts w:cs="Arial"/>
          <w:color w:val="002F5D"/>
        </w:rPr>
        <w:t>mid-</w:t>
      </w:r>
      <w:r w:rsidR="00CE66DB" w:rsidRPr="0039657F">
        <w:rPr>
          <w:rFonts w:cs="Arial"/>
          <w:color w:val="002F5D"/>
        </w:rPr>
        <w:t>2015</w:t>
      </w:r>
    </w:p>
    <w:p w14:paraId="76E84B0B" w14:textId="77777777" w:rsidR="00DB7B9F" w:rsidRPr="0037351D" w:rsidRDefault="00DB7B9F" w:rsidP="0038179C">
      <w:pPr>
        <w:spacing w:line="240" w:lineRule="auto"/>
        <w:rPr>
          <w:rFonts w:cs="Arial"/>
          <w:color w:val="FF0000"/>
        </w:rPr>
      </w:pPr>
    </w:p>
    <w:p w14:paraId="4893EA71" w14:textId="77777777" w:rsidR="009536A7" w:rsidRPr="0037351D" w:rsidRDefault="009536A7" w:rsidP="0038179C">
      <w:pPr>
        <w:spacing w:line="240" w:lineRule="auto"/>
        <w:rPr>
          <w:rFonts w:cs="Arial"/>
          <w:color w:val="FF0000"/>
        </w:rPr>
      </w:pPr>
      <w:r w:rsidRPr="0037351D">
        <w:rPr>
          <w:rFonts w:cs="Arial"/>
          <w:noProof/>
          <w:color w:val="FF0000"/>
          <w:lang w:eastAsia="en-GB"/>
        </w:rPr>
        <w:drawing>
          <wp:inline distT="0" distB="0" distL="0" distR="0" wp14:anchorId="21150A12" wp14:editId="3F302862">
            <wp:extent cx="4584700" cy="2755900"/>
            <wp:effectExtent l="19050" t="19050" r="25400"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w="19050">
                      <a:solidFill>
                        <a:srgbClr val="002B61"/>
                      </a:solidFill>
                    </a:ln>
                  </pic:spPr>
                </pic:pic>
              </a:graphicData>
            </a:graphic>
          </wp:inline>
        </w:drawing>
      </w:r>
    </w:p>
    <w:p w14:paraId="6D95DE38" w14:textId="77777777" w:rsidR="00DB7B9F" w:rsidRPr="0037351D" w:rsidRDefault="00DB7B9F" w:rsidP="0038179C">
      <w:pPr>
        <w:spacing w:line="240" w:lineRule="auto"/>
        <w:rPr>
          <w:rFonts w:cs="Arial"/>
          <w:b/>
          <w:color w:val="FF0000"/>
        </w:rPr>
      </w:pPr>
    </w:p>
    <w:p w14:paraId="297AFD23" w14:textId="0FDE129D" w:rsidR="00572876" w:rsidRPr="0039657F" w:rsidRDefault="00572876" w:rsidP="0038179C">
      <w:pPr>
        <w:spacing w:line="240" w:lineRule="auto"/>
        <w:rPr>
          <w:rFonts w:cs="Arial"/>
          <w:color w:val="002F5D"/>
        </w:rPr>
      </w:pPr>
      <w:r w:rsidRPr="0039657F">
        <w:rPr>
          <w:rFonts w:cs="Arial"/>
          <w:b/>
          <w:color w:val="002F5D"/>
        </w:rPr>
        <w:t xml:space="preserve">Source: </w:t>
      </w:r>
      <w:r w:rsidR="006B007D" w:rsidRPr="0039657F">
        <w:rPr>
          <w:rFonts w:cs="Arial"/>
          <w:color w:val="002F5D"/>
        </w:rPr>
        <w:t>CCCRG</w:t>
      </w:r>
      <w:r w:rsidR="006B007D" w:rsidRPr="0039657F" w:rsidDel="006B007D">
        <w:rPr>
          <w:rFonts w:cs="Arial"/>
          <w:color w:val="002F5D"/>
        </w:rPr>
        <w:t xml:space="preserve"> </w:t>
      </w:r>
      <w:r w:rsidRPr="0039657F">
        <w:rPr>
          <w:rFonts w:cs="Arial"/>
          <w:color w:val="002F5D"/>
        </w:rPr>
        <w:t>mid-2015 based population estimates</w:t>
      </w:r>
    </w:p>
    <w:p w14:paraId="6E4DE5AE" w14:textId="77777777" w:rsidR="00572876" w:rsidRPr="0037351D" w:rsidRDefault="00572876" w:rsidP="0038179C">
      <w:pPr>
        <w:spacing w:line="240" w:lineRule="auto"/>
        <w:rPr>
          <w:rFonts w:cs="Arial"/>
          <w:color w:val="FF0000"/>
        </w:rPr>
      </w:pPr>
    </w:p>
    <w:p w14:paraId="3D71265E" w14:textId="77777777" w:rsidR="0007562F" w:rsidRPr="0037351D" w:rsidRDefault="0007562F">
      <w:pPr>
        <w:rPr>
          <w:rFonts w:cs="Arial"/>
          <w:b/>
          <w:color w:val="FF0000"/>
        </w:rPr>
      </w:pPr>
      <w:r w:rsidRPr="0037351D">
        <w:rPr>
          <w:rFonts w:cs="Arial"/>
          <w:b/>
          <w:color w:val="FF0000"/>
        </w:rPr>
        <w:br w:type="page"/>
      </w:r>
    </w:p>
    <w:p w14:paraId="38D9BC31" w14:textId="7D34CD01" w:rsidR="00631A64" w:rsidRPr="0039657F" w:rsidRDefault="00CD501F" w:rsidP="00CD501F">
      <w:pPr>
        <w:pStyle w:val="Caption"/>
        <w:rPr>
          <w:rFonts w:cs="Arial"/>
          <w:color w:val="002F5D"/>
        </w:rPr>
      </w:pPr>
      <w:r w:rsidRPr="0039657F">
        <w:rPr>
          <w:b/>
          <w:color w:val="002F5D"/>
        </w:rPr>
        <w:lastRenderedPageBreak/>
        <w:t xml:space="preserve">Figure </w:t>
      </w:r>
      <w:r w:rsidRPr="0039657F">
        <w:rPr>
          <w:b/>
          <w:color w:val="002F5D"/>
        </w:rPr>
        <w:fldChar w:fldCharType="begin"/>
      </w:r>
      <w:r w:rsidRPr="0039657F">
        <w:rPr>
          <w:b/>
          <w:color w:val="002F5D"/>
        </w:rPr>
        <w:instrText xml:space="preserve"> SEQ Figure \* ARABIC </w:instrText>
      </w:r>
      <w:r w:rsidRPr="0039657F">
        <w:rPr>
          <w:b/>
          <w:color w:val="002F5D"/>
        </w:rPr>
        <w:fldChar w:fldCharType="separate"/>
      </w:r>
      <w:r w:rsidR="00E80CFE">
        <w:rPr>
          <w:b/>
          <w:noProof/>
          <w:color w:val="002F5D"/>
        </w:rPr>
        <w:t>4</w:t>
      </w:r>
      <w:r w:rsidRPr="0039657F">
        <w:rPr>
          <w:b/>
          <w:color w:val="002F5D"/>
        </w:rPr>
        <w:fldChar w:fldCharType="end"/>
      </w:r>
      <w:r w:rsidR="00631A64" w:rsidRPr="0039657F">
        <w:rPr>
          <w:rFonts w:cs="Arial"/>
          <w:b/>
          <w:color w:val="002F5D"/>
        </w:rPr>
        <w:t>.</w:t>
      </w:r>
      <w:r w:rsidR="00631A64" w:rsidRPr="0039657F">
        <w:rPr>
          <w:rFonts w:cs="Arial"/>
          <w:color w:val="002F5D"/>
        </w:rPr>
        <w:t xml:space="preserve"> Cambridgeshire and </w:t>
      </w:r>
      <w:r w:rsidR="00C40B1D" w:rsidRPr="0039657F">
        <w:rPr>
          <w:rFonts w:cs="Arial"/>
          <w:color w:val="002F5D"/>
        </w:rPr>
        <w:t>Peterborough</w:t>
      </w:r>
      <w:r w:rsidR="00631A64" w:rsidRPr="0039657F">
        <w:rPr>
          <w:rFonts w:cs="Arial"/>
          <w:color w:val="002F5D"/>
        </w:rPr>
        <w:t xml:space="preserve"> - retrospective pe</w:t>
      </w:r>
      <w:r w:rsidR="009775E7" w:rsidRPr="0039657F">
        <w:rPr>
          <w:rFonts w:cs="Arial"/>
          <w:color w:val="002F5D"/>
        </w:rPr>
        <w:t>rcentage population change, mid-</w:t>
      </w:r>
      <w:r w:rsidR="00631A64" w:rsidRPr="0039657F">
        <w:rPr>
          <w:rFonts w:cs="Arial"/>
          <w:color w:val="002F5D"/>
        </w:rPr>
        <w:t xml:space="preserve">2011 to </w:t>
      </w:r>
      <w:r w:rsidR="009775E7" w:rsidRPr="0039657F">
        <w:rPr>
          <w:rFonts w:cs="Arial"/>
          <w:color w:val="002F5D"/>
        </w:rPr>
        <w:t>mid-</w:t>
      </w:r>
      <w:r w:rsidR="00631A64" w:rsidRPr="0039657F">
        <w:rPr>
          <w:rFonts w:cs="Arial"/>
          <w:color w:val="002F5D"/>
        </w:rPr>
        <w:t>2015</w:t>
      </w:r>
    </w:p>
    <w:p w14:paraId="141567B0" w14:textId="77777777" w:rsidR="000A78A4" w:rsidRPr="0037351D" w:rsidRDefault="000A78A4" w:rsidP="000A78A4">
      <w:pPr>
        <w:rPr>
          <w:color w:val="FF0000"/>
        </w:rPr>
      </w:pPr>
    </w:p>
    <w:p w14:paraId="14379425" w14:textId="77777777" w:rsidR="000A78A4" w:rsidRPr="0037351D" w:rsidRDefault="000A78A4" w:rsidP="000A78A4">
      <w:pPr>
        <w:rPr>
          <w:color w:val="FF0000"/>
        </w:rPr>
      </w:pPr>
      <w:r w:rsidRPr="0037351D">
        <w:rPr>
          <w:noProof/>
          <w:color w:val="FF0000"/>
          <w:lang w:eastAsia="en-GB"/>
        </w:rPr>
        <w:drawing>
          <wp:inline distT="0" distB="0" distL="0" distR="0" wp14:anchorId="358A1B42" wp14:editId="0E447CC9">
            <wp:extent cx="5876925" cy="2834640"/>
            <wp:effectExtent l="0" t="0" r="952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925" cy="2834640"/>
                    </a:xfrm>
                    <a:prstGeom prst="rect">
                      <a:avLst/>
                    </a:prstGeom>
                    <a:noFill/>
                  </pic:spPr>
                </pic:pic>
              </a:graphicData>
            </a:graphic>
          </wp:inline>
        </w:drawing>
      </w:r>
    </w:p>
    <w:p w14:paraId="333B14AD" w14:textId="77777777" w:rsidR="00C40B1D" w:rsidRPr="0037351D" w:rsidRDefault="00C40B1D" w:rsidP="00C40B1D">
      <w:pPr>
        <w:rPr>
          <w:color w:val="FF0000"/>
        </w:rPr>
      </w:pPr>
    </w:p>
    <w:p w14:paraId="7C950464" w14:textId="77777777" w:rsidR="00C40B1D" w:rsidRPr="0039657F" w:rsidRDefault="00C40B1D" w:rsidP="00C40B1D">
      <w:pPr>
        <w:spacing w:line="240" w:lineRule="auto"/>
        <w:rPr>
          <w:rFonts w:cs="Arial"/>
          <w:color w:val="002F5D"/>
        </w:rPr>
      </w:pPr>
      <w:r w:rsidRPr="0039657F">
        <w:rPr>
          <w:rFonts w:cs="Arial"/>
          <w:b/>
          <w:color w:val="002F5D"/>
        </w:rPr>
        <w:t xml:space="preserve">Source: </w:t>
      </w:r>
      <w:r w:rsidRPr="0039657F">
        <w:rPr>
          <w:rFonts w:cs="Arial"/>
          <w:color w:val="002F5D"/>
        </w:rPr>
        <w:t>CCCRG mid-2015 based population estimates</w:t>
      </w:r>
    </w:p>
    <w:p w14:paraId="7BD65E78" w14:textId="77777777" w:rsidR="00C40B1D" w:rsidRPr="0037351D" w:rsidRDefault="00C40B1D" w:rsidP="00C40B1D">
      <w:pPr>
        <w:spacing w:line="240" w:lineRule="auto"/>
        <w:rPr>
          <w:rFonts w:cs="Arial"/>
          <w:b/>
          <w:color w:val="FF0000"/>
        </w:rPr>
      </w:pPr>
    </w:p>
    <w:p w14:paraId="69F32265" w14:textId="77777777" w:rsidR="00C40B1D" w:rsidRPr="0039657F" w:rsidRDefault="00C40B1D" w:rsidP="00C40B1D">
      <w:pPr>
        <w:spacing w:line="240" w:lineRule="auto"/>
        <w:rPr>
          <w:rFonts w:cs="Arial"/>
          <w:b/>
          <w:color w:val="002F5D"/>
        </w:rPr>
      </w:pPr>
      <w:r w:rsidRPr="0039657F">
        <w:rPr>
          <w:rFonts w:cs="Arial"/>
          <w:b/>
          <w:color w:val="002F5D"/>
        </w:rPr>
        <w:t>Key points:</w:t>
      </w:r>
    </w:p>
    <w:p w14:paraId="2F7B5FD3" w14:textId="77777777" w:rsidR="00C40B1D" w:rsidRPr="0039657F" w:rsidRDefault="00C40B1D" w:rsidP="00A938F7">
      <w:pPr>
        <w:pStyle w:val="ListParagraph"/>
        <w:numPr>
          <w:ilvl w:val="0"/>
          <w:numId w:val="15"/>
        </w:numPr>
        <w:spacing w:line="240" w:lineRule="auto"/>
        <w:ind w:left="714" w:hanging="357"/>
        <w:rPr>
          <w:rFonts w:cs="Arial"/>
          <w:b/>
          <w:color w:val="002F5D"/>
        </w:rPr>
      </w:pPr>
      <w:r w:rsidRPr="0039657F">
        <w:rPr>
          <w:rFonts w:cs="Arial"/>
          <w:color w:val="002F5D"/>
        </w:rPr>
        <w:t>Cambridgeshire and Peterborough’s population increased by 4.3% (35,170) people between 2011 and 2015.</w:t>
      </w:r>
    </w:p>
    <w:p w14:paraId="2B17E10B" w14:textId="77777777" w:rsidR="00C40B1D" w:rsidRPr="0039657F" w:rsidRDefault="00C40B1D" w:rsidP="00A938F7">
      <w:pPr>
        <w:pStyle w:val="ListParagraph"/>
        <w:numPr>
          <w:ilvl w:val="0"/>
          <w:numId w:val="15"/>
        </w:numPr>
        <w:spacing w:line="240" w:lineRule="auto"/>
        <w:ind w:left="714" w:hanging="357"/>
        <w:rPr>
          <w:rFonts w:cs="Arial"/>
          <w:color w:val="002F5D"/>
        </w:rPr>
      </w:pPr>
      <w:r w:rsidRPr="0039657F">
        <w:rPr>
          <w:rFonts w:cs="Arial"/>
          <w:color w:val="002F5D"/>
        </w:rPr>
        <w:t>There were population increases in all areas in the period 2011 to 2015.</w:t>
      </w:r>
    </w:p>
    <w:p w14:paraId="4E213019" w14:textId="77777777" w:rsidR="00C40B1D" w:rsidRPr="0039657F" w:rsidRDefault="00C40B1D" w:rsidP="00A938F7">
      <w:pPr>
        <w:pStyle w:val="ListParagraph"/>
        <w:numPr>
          <w:ilvl w:val="0"/>
          <w:numId w:val="15"/>
        </w:numPr>
        <w:spacing w:line="240" w:lineRule="auto"/>
        <w:ind w:left="714" w:hanging="357"/>
        <w:rPr>
          <w:rFonts w:cs="Arial"/>
          <w:color w:val="002F5D"/>
        </w:rPr>
      </w:pPr>
      <w:r w:rsidRPr="0039657F">
        <w:rPr>
          <w:rFonts w:cs="Arial"/>
          <w:color w:val="002F5D"/>
        </w:rPr>
        <w:t>Cambridge and Peterborough had the largest absolute and proportional increases. Proportionally both exceed the Cambridgeshire and combined Cambridgeshire and Peterborough averages.</w:t>
      </w:r>
    </w:p>
    <w:p w14:paraId="6A3F0566" w14:textId="77777777" w:rsidR="00C40B1D" w:rsidRPr="0039657F" w:rsidRDefault="00C40B1D" w:rsidP="00A938F7">
      <w:pPr>
        <w:pStyle w:val="ListParagraph"/>
        <w:numPr>
          <w:ilvl w:val="0"/>
          <w:numId w:val="15"/>
        </w:numPr>
        <w:spacing w:line="240" w:lineRule="auto"/>
        <w:ind w:left="714" w:hanging="357"/>
        <w:rPr>
          <w:rFonts w:cs="Arial"/>
          <w:b/>
          <w:color w:val="002F5D"/>
        </w:rPr>
      </w:pPr>
      <w:r w:rsidRPr="0039657F">
        <w:rPr>
          <w:rFonts w:cs="Arial"/>
          <w:color w:val="002F5D"/>
        </w:rPr>
        <w:t>Fenland, Huntingdonshire and South Cambridgeshire have experienced proportionately similar levels of growth, at just below the Cambridgeshire average.</w:t>
      </w:r>
    </w:p>
    <w:p w14:paraId="0EBEFD7D" w14:textId="77777777" w:rsidR="00C40B1D" w:rsidRPr="0039657F" w:rsidRDefault="00C40B1D" w:rsidP="00A938F7">
      <w:pPr>
        <w:pStyle w:val="ListParagraph"/>
        <w:numPr>
          <w:ilvl w:val="0"/>
          <w:numId w:val="15"/>
        </w:numPr>
        <w:spacing w:line="240" w:lineRule="auto"/>
        <w:ind w:left="714" w:hanging="357"/>
        <w:rPr>
          <w:rFonts w:cs="Arial"/>
          <w:b/>
          <w:color w:val="002F5D"/>
        </w:rPr>
      </w:pPr>
      <w:r w:rsidRPr="0039657F">
        <w:rPr>
          <w:rFonts w:cs="Arial"/>
          <w:color w:val="002F5D"/>
        </w:rPr>
        <w:t>East Cambridgeshire had the lowest levels of growth, both proportionally and in absolute numbers.</w:t>
      </w:r>
    </w:p>
    <w:p w14:paraId="500F594F" w14:textId="77777777" w:rsidR="005371AB" w:rsidRPr="0037351D" w:rsidRDefault="005371AB" w:rsidP="0038179C">
      <w:pPr>
        <w:spacing w:line="240" w:lineRule="auto"/>
        <w:rPr>
          <w:rFonts w:cs="Arial"/>
          <w:b/>
          <w:color w:val="FF0000"/>
        </w:rPr>
      </w:pPr>
    </w:p>
    <w:p w14:paraId="77E20EAD" w14:textId="77777777" w:rsidR="0007562F" w:rsidRPr="0037351D" w:rsidRDefault="0007562F">
      <w:pPr>
        <w:rPr>
          <w:rFonts w:cs="Arial"/>
          <w:b/>
          <w:color w:val="FF0000"/>
        </w:rPr>
      </w:pPr>
      <w:r w:rsidRPr="0037351D">
        <w:rPr>
          <w:rFonts w:cs="Arial"/>
          <w:b/>
          <w:color w:val="FF0000"/>
        </w:rPr>
        <w:br w:type="page"/>
      </w:r>
    </w:p>
    <w:p w14:paraId="365A0107" w14:textId="0154D7BB" w:rsidR="005371AB" w:rsidRPr="0039657F" w:rsidRDefault="00CD501F" w:rsidP="00CD501F">
      <w:pPr>
        <w:pStyle w:val="Caption"/>
        <w:rPr>
          <w:rFonts w:cs="Arial"/>
          <w:color w:val="002F5D"/>
        </w:rPr>
      </w:pPr>
      <w:r w:rsidRPr="0039657F">
        <w:rPr>
          <w:b/>
          <w:color w:val="002F5D"/>
        </w:rPr>
        <w:lastRenderedPageBreak/>
        <w:t xml:space="preserve">Table </w:t>
      </w:r>
      <w:r w:rsidRPr="0039657F">
        <w:rPr>
          <w:b/>
          <w:color w:val="002F5D"/>
        </w:rPr>
        <w:fldChar w:fldCharType="begin"/>
      </w:r>
      <w:r w:rsidRPr="0039657F">
        <w:rPr>
          <w:b/>
          <w:color w:val="002F5D"/>
        </w:rPr>
        <w:instrText xml:space="preserve"> SEQ Table \* ARABIC </w:instrText>
      </w:r>
      <w:r w:rsidRPr="0039657F">
        <w:rPr>
          <w:b/>
          <w:color w:val="002F5D"/>
        </w:rPr>
        <w:fldChar w:fldCharType="separate"/>
      </w:r>
      <w:r w:rsidR="00E80CFE">
        <w:rPr>
          <w:b/>
          <w:noProof/>
          <w:color w:val="002F5D"/>
        </w:rPr>
        <w:t>3</w:t>
      </w:r>
      <w:r w:rsidRPr="0039657F">
        <w:rPr>
          <w:b/>
          <w:color w:val="002F5D"/>
        </w:rPr>
        <w:fldChar w:fldCharType="end"/>
      </w:r>
      <w:r w:rsidR="005371AB" w:rsidRPr="0039657F">
        <w:rPr>
          <w:rFonts w:cs="Arial"/>
          <w:b/>
          <w:color w:val="002F5D"/>
        </w:rPr>
        <w:t xml:space="preserve">. </w:t>
      </w:r>
      <w:r w:rsidR="006B6E8F" w:rsidRPr="0039657F">
        <w:rPr>
          <w:rFonts w:cs="Arial"/>
          <w:color w:val="002F5D"/>
        </w:rPr>
        <w:t>ONS and Cambridgeshire County Council Research Group (CCCRG) population data – comparison of ONS mid-2016 based population estimates with the Research Group’s population forecast for 2016.</w:t>
      </w:r>
    </w:p>
    <w:p w14:paraId="35E63EE3" w14:textId="77777777" w:rsidR="00DB7B9F" w:rsidRPr="0037351D" w:rsidRDefault="00DB7B9F" w:rsidP="0038179C">
      <w:pPr>
        <w:spacing w:line="240" w:lineRule="auto"/>
        <w:rPr>
          <w:rFonts w:cs="Arial"/>
          <w:color w:val="FF0000"/>
        </w:rPr>
      </w:pPr>
    </w:p>
    <w:p w14:paraId="5D076008" w14:textId="77777777" w:rsidR="00D63E6F" w:rsidRPr="0037351D" w:rsidRDefault="006B6E8F" w:rsidP="0038179C">
      <w:pPr>
        <w:spacing w:line="240" w:lineRule="auto"/>
        <w:rPr>
          <w:rFonts w:cs="Arial"/>
          <w:b/>
          <w:color w:val="FF0000"/>
        </w:rPr>
      </w:pPr>
      <w:r w:rsidRPr="0037351D">
        <w:rPr>
          <w:noProof/>
          <w:color w:val="FF0000"/>
          <w:lang w:eastAsia="en-GB"/>
        </w:rPr>
        <w:drawing>
          <wp:inline distT="0" distB="0" distL="0" distR="0" wp14:anchorId="7473DB45" wp14:editId="1BAFE55F">
            <wp:extent cx="5106670" cy="19583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06670" cy="1958340"/>
                    </a:xfrm>
                    <a:prstGeom prst="rect">
                      <a:avLst/>
                    </a:prstGeom>
                    <a:noFill/>
                    <a:ln>
                      <a:noFill/>
                    </a:ln>
                  </pic:spPr>
                </pic:pic>
              </a:graphicData>
            </a:graphic>
          </wp:inline>
        </w:drawing>
      </w:r>
    </w:p>
    <w:p w14:paraId="7EFBFD60" w14:textId="77777777" w:rsidR="00DB7B9F" w:rsidRPr="0037351D" w:rsidRDefault="00DB7B9F" w:rsidP="0038179C">
      <w:pPr>
        <w:spacing w:line="240" w:lineRule="auto"/>
        <w:rPr>
          <w:rFonts w:cs="Arial"/>
          <w:b/>
          <w:color w:val="FF0000"/>
        </w:rPr>
      </w:pPr>
    </w:p>
    <w:p w14:paraId="2434505A" w14:textId="77777777" w:rsidR="006B6E8F" w:rsidRPr="0039657F" w:rsidRDefault="006B6E8F" w:rsidP="004A5755">
      <w:pPr>
        <w:spacing w:line="240" w:lineRule="auto"/>
        <w:rPr>
          <w:rFonts w:cs="Arial"/>
          <w:b/>
          <w:color w:val="002F5D"/>
        </w:rPr>
      </w:pPr>
      <w:r w:rsidRPr="0039657F">
        <w:rPr>
          <w:rFonts w:cs="Arial"/>
          <w:b/>
          <w:color w:val="002F5D"/>
        </w:rPr>
        <w:t>Source:</w:t>
      </w:r>
      <w:r w:rsidRPr="0039657F">
        <w:rPr>
          <w:rFonts w:cs="Arial"/>
          <w:color w:val="002F5D"/>
        </w:rPr>
        <w:t xml:space="preserve"> ONS mid-2016 population estimates and CCCRG</w:t>
      </w:r>
      <w:r w:rsidRPr="0039657F">
        <w:rPr>
          <w:rFonts w:cs="Arial"/>
          <w:b/>
          <w:color w:val="002F5D"/>
        </w:rPr>
        <w:t xml:space="preserve"> </w:t>
      </w:r>
      <w:r w:rsidRPr="0039657F">
        <w:rPr>
          <w:rFonts w:cs="Arial"/>
          <w:color w:val="002F5D"/>
        </w:rPr>
        <w:t>mid-2015 based population forecast for 2016</w:t>
      </w:r>
    </w:p>
    <w:p w14:paraId="05FB4592" w14:textId="77777777" w:rsidR="006B6E8F" w:rsidRPr="0039657F" w:rsidRDefault="006B6E8F" w:rsidP="004A5755">
      <w:pPr>
        <w:spacing w:line="240" w:lineRule="auto"/>
        <w:rPr>
          <w:rFonts w:cs="Arial"/>
          <w:b/>
          <w:color w:val="002F5D"/>
        </w:rPr>
      </w:pPr>
    </w:p>
    <w:p w14:paraId="13A8A059" w14:textId="77777777" w:rsidR="006B6E8F" w:rsidRPr="0039657F" w:rsidRDefault="006B6E8F" w:rsidP="004A5755">
      <w:pPr>
        <w:spacing w:line="240" w:lineRule="auto"/>
        <w:rPr>
          <w:rFonts w:cs="Arial"/>
          <w:b/>
          <w:color w:val="002F5D"/>
        </w:rPr>
      </w:pPr>
      <w:r w:rsidRPr="0039657F">
        <w:rPr>
          <w:rFonts w:cs="Arial"/>
          <w:b/>
          <w:color w:val="002F5D"/>
        </w:rPr>
        <w:t>Key points:</w:t>
      </w:r>
    </w:p>
    <w:p w14:paraId="471C338C" w14:textId="77777777" w:rsidR="007968EE" w:rsidRPr="0039657F" w:rsidRDefault="006B6E8F" w:rsidP="004A5755">
      <w:pPr>
        <w:pStyle w:val="ListParagraph"/>
        <w:numPr>
          <w:ilvl w:val="0"/>
          <w:numId w:val="16"/>
        </w:numPr>
        <w:spacing w:line="240" w:lineRule="auto"/>
        <w:ind w:left="714" w:hanging="357"/>
        <w:rPr>
          <w:rFonts w:cs="Arial"/>
          <w:b/>
          <w:color w:val="002F5D"/>
        </w:rPr>
      </w:pPr>
      <w:r w:rsidRPr="0039657F">
        <w:rPr>
          <w:rFonts w:cs="Arial"/>
          <w:color w:val="002F5D"/>
        </w:rPr>
        <w:t xml:space="preserve">Overall, for Cambridgeshire and Peterborough, the differences </w:t>
      </w:r>
      <w:r w:rsidR="00EE21C4" w:rsidRPr="0039657F">
        <w:rPr>
          <w:rFonts w:cs="Arial"/>
          <w:color w:val="002F5D"/>
        </w:rPr>
        <w:t xml:space="preserve">in population estimates/forecasts for 2016 </w:t>
      </w:r>
      <w:r w:rsidRPr="0039657F">
        <w:rPr>
          <w:rFonts w:cs="Arial"/>
          <w:color w:val="002F5D"/>
        </w:rPr>
        <w:t>between locally (CCCRG) and nationally (ONS) produced population data are small.</w:t>
      </w:r>
    </w:p>
    <w:p w14:paraId="1FF26B10" w14:textId="26C44F2C" w:rsidR="006B6E8F" w:rsidRPr="0039657F" w:rsidRDefault="006B6E8F" w:rsidP="004A5755">
      <w:pPr>
        <w:pStyle w:val="ListParagraph"/>
        <w:numPr>
          <w:ilvl w:val="0"/>
          <w:numId w:val="16"/>
        </w:numPr>
        <w:spacing w:line="240" w:lineRule="auto"/>
        <w:ind w:left="714" w:hanging="357"/>
        <w:rPr>
          <w:rFonts w:cs="Arial"/>
          <w:b/>
          <w:color w:val="002F5D"/>
        </w:rPr>
      </w:pPr>
      <w:r w:rsidRPr="0039657F">
        <w:rPr>
          <w:rFonts w:cs="Arial"/>
          <w:color w:val="002F5D"/>
        </w:rPr>
        <w:t xml:space="preserve">However, the impacts of residential building are clear with the local data for Cambridge especially, but also Peterborough, indicating a higher population than the national ONS estimate. Huntingdonshire also has </w:t>
      </w:r>
      <w:r w:rsidR="002726D0">
        <w:rPr>
          <w:rFonts w:cs="Arial"/>
          <w:color w:val="002F5D"/>
        </w:rPr>
        <w:t xml:space="preserve">a </w:t>
      </w:r>
      <w:r w:rsidRPr="0039657F">
        <w:rPr>
          <w:rFonts w:cs="Arial"/>
          <w:color w:val="002F5D"/>
        </w:rPr>
        <w:t xml:space="preserve">higher </w:t>
      </w:r>
      <w:r w:rsidR="00EE21C4" w:rsidRPr="0039657F">
        <w:rPr>
          <w:rFonts w:cs="Arial"/>
          <w:color w:val="002F5D"/>
        </w:rPr>
        <w:t xml:space="preserve">population </w:t>
      </w:r>
      <w:r w:rsidRPr="0039657F">
        <w:rPr>
          <w:rFonts w:cs="Arial"/>
          <w:color w:val="002F5D"/>
        </w:rPr>
        <w:t>based on the CCCRG estimates.</w:t>
      </w:r>
    </w:p>
    <w:p w14:paraId="3201F930" w14:textId="77777777" w:rsidR="007968EE" w:rsidRPr="0037351D" w:rsidRDefault="007968EE" w:rsidP="004A5755">
      <w:pPr>
        <w:spacing w:line="240" w:lineRule="auto"/>
        <w:rPr>
          <w:rFonts w:cs="Arial"/>
          <w:b/>
          <w:color w:val="FF0000"/>
        </w:rPr>
      </w:pPr>
    </w:p>
    <w:p w14:paraId="10C17F02" w14:textId="77777777" w:rsidR="0024394E" w:rsidRPr="0037351D" w:rsidRDefault="0024394E">
      <w:pPr>
        <w:rPr>
          <w:b/>
          <w:color w:val="FF0000"/>
        </w:rPr>
      </w:pPr>
      <w:r w:rsidRPr="0037351D">
        <w:rPr>
          <w:b/>
          <w:color w:val="FF0000"/>
        </w:rPr>
        <w:br w:type="page"/>
      </w:r>
    </w:p>
    <w:p w14:paraId="6A3217A9" w14:textId="77777777" w:rsidR="00D967AD" w:rsidRPr="00B53DD5" w:rsidRDefault="00D967AD" w:rsidP="00A3568F">
      <w:pPr>
        <w:pStyle w:val="JSNA3"/>
      </w:pPr>
      <w:bookmarkStart w:id="723" w:name="_Toc4407829"/>
      <w:r w:rsidRPr="00B53DD5">
        <w:lastRenderedPageBreak/>
        <w:t xml:space="preserve">Population </w:t>
      </w:r>
      <w:r w:rsidR="00B161A8" w:rsidRPr="00B53DD5">
        <w:t>data for NHS Cambridgeshire and Peterborough Clinical Commissioning Group (CCG)</w:t>
      </w:r>
      <w:bookmarkEnd w:id="723"/>
    </w:p>
    <w:p w14:paraId="1EC2A77B" w14:textId="77777777" w:rsidR="00D967AD" w:rsidRPr="0037351D" w:rsidRDefault="00D967AD" w:rsidP="004A5755">
      <w:pPr>
        <w:spacing w:line="240" w:lineRule="auto"/>
        <w:rPr>
          <w:b/>
          <w:color w:val="FF0000"/>
        </w:rPr>
      </w:pPr>
    </w:p>
    <w:p w14:paraId="2C9FE18B" w14:textId="2E0B3D02" w:rsidR="00847B00" w:rsidRPr="00950081" w:rsidRDefault="00342D9C" w:rsidP="00A917DC">
      <w:pPr>
        <w:spacing w:line="240" w:lineRule="auto"/>
        <w:rPr>
          <w:color w:val="002F5D"/>
        </w:rPr>
      </w:pPr>
      <w:r w:rsidRPr="00950081">
        <w:rPr>
          <w:color w:val="002F5D"/>
        </w:rPr>
        <w:t xml:space="preserve">The </w:t>
      </w:r>
      <w:r w:rsidRPr="00950081">
        <w:rPr>
          <w:b/>
          <w:color w:val="002F5D"/>
        </w:rPr>
        <w:t>CCG</w:t>
      </w:r>
      <w:r w:rsidRPr="00950081">
        <w:rPr>
          <w:color w:val="002F5D"/>
        </w:rPr>
        <w:t xml:space="preserve"> </w:t>
      </w:r>
      <w:r w:rsidRPr="00950081">
        <w:rPr>
          <w:b/>
          <w:color w:val="002F5D"/>
        </w:rPr>
        <w:t>registered</w:t>
      </w:r>
      <w:r w:rsidRPr="00950081">
        <w:rPr>
          <w:color w:val="002F5D"/>
        </w:rPr>
        <w:t xml:space="preserve"> </w:t>
      </w:r>
      <w:r w:rsidRPr="00950081">
        <w:rPr>
          <w:b/>
          <w:color w:val="002F5D"/>
        </w:rPr>
        <w:t>population</w:t>
      </w:r>
      <w:r w:rsidRPr="00950081">
        <w:rPr>
          <w:color w:val="002F5D"/>
        </w:rPr>
        <w:t xml:space="preserve"> is the total number of people registered </w:t>
      </w:r>
      <w:r w:rsidR="00847B00" w:rsidRPr="00950081">
        <w:rPr>
          <w:color w:val="002F5D"/>
        </w:rPr>
        <w:t>with</w:t>
      </w:r>
      <w:r w:rsidRPr="00950081">
        <w:rPr>
          <w:color w:val="002F5D"/>
        </w:rPr>
        <w:t xml:space="preserve"> </w:t>
      </w:r>
      <w:r w:rsidR="00847B00" w:rsidRPr="00950081">
        <w:rPr>
          <w:color w:val="002F5D"/>
        </w:rPr>
        <w:t>general</w:t>
      </w:r>
      <w:r w:rsidRPr="00950081">
        <w:rPr>
          <w:color w:val="002F5D"/>
        </w:rPr>
        <w:t xml:space="preserve"> practices </w:t>
      </w:r>
      <w:r w:rsidR="00847B00" w:rsidRPr="00950081">
        <w:rPr>
          <w:color w:val="002F5D"/>
        </w:rPr>
        <w:t>(GP</w:t>
      </w:r>
      <w:r w:rsidR="002726D0">
        <w:rPr>
          <w:color w:val="002F5D"/>
        </w:rPr>
        <w:t>s</w:t>
      </w:r>
      <w:r w:rsidR="00847B00" w:rsidRPr="00950081">
        <w:rPr>
          <w:color w:val="002F5D"/>
        </w:rPr>
        <w:t xml:space="preserve">) </w:t>
      </w:r>
      <w:r w:rsidR="00B909B8" w:rsidRPr="00950081">
        <w:rPr>
          <w:color w:val="002F5D"/>
        </w:rPr>
        <w:t xml:space="preserve">that form part of </w:t>
      </w:r>
      <w:r w:rsidRPr="00950081">
        <w:rPr>
          <w:color w:val="002F5D"/>
        </w:rPr>
        <w:t>Cambridgeshire and Peterborough CCG</w:t>
      </w:r>
      <w:r w:rsidR="00847B00" w:rsidRPr="00950081">
        <w:rPr>
          <w:color w:val="002F5D"/>
        </w:rPr>
        <w:t>. The CCG is responsible for commissioning healthcare for this GP registered population.</w:t>
      </w:r>
    </w:p>
    <w:p w14:paraId="0C9C4C65" w14:textId="77777777" w:rsidR="00847B00" w:rsidRPr="00950081" w:rsidRDefault="00847B00" w:rsidP="00A917DC">
      <w:pPr>
        <w:spacing w:line="240" w:lineRule="auto"/>
        <w:rPr>
          <w:color w:val="002F5D"/>
        </w:rPr>
      </w:pPr>
    </w:p>
    <w:p w14:paraId="632B6953" w14:textId="3F7C3E76" w:rsidR="0024394E" w:rsidRPr="00950081" w:rsidRDefault="007E0984" w:rsidP="00A917DC">
      <w:pPr>
        <w:spacing w:line="240" w:lineRule="auto"/>
        <w:rPr>
          <w:color w:val="002F5D"/>
        </w:rPr>
      </w:pPr>
      <w:r w:rsidRPr="00950081">
        <w:rPr>
          <w:color w:val="002F5D"/>
        </w:rPr>
        <w:t>Most people</w:t>
      </w:r>
      <w:r w:rsidR="00847B00" w:rsidRPr="00950081">
        <w:rPr>
          <w:color w:val="002F5D"/>
        </w:rPr>
        <w:t xml:space="preserve"> that are registered with the CCG’s general practices will also be resident within the administrative boundaries of Cambridgeshire and Peterborough Councils. Some, however, will live outside of the</w:t>
      </w:r>
      <w:r w:rsidR="009B0BCE" w:rsidRPr="00950081">
        <w:rPr>
          <w:color w:val="002F5D"/>
        </w:rPr>
        <w:t xml:space="preserve"> boundary of our local </w:t>
      </w:r>
      <w:r w:rsidR="00682664">
        <w:rPr>
          <w:color w:val="002F5D"/>
        </w:rPr>
        <w:t>c</w:t>
      </w:r>
      <w:r w:rsidR="009B0BCE" w:rsidRPr="00950081">
        <w:rPr>
          <w:color w:val="002F5D"/>
        </w:rPr>
        <w:t xml:space="preserve">ouncils, </w:t>
      </w:r>
      <w:r w:rsidR="00847B00" w:rsidRPr="00950081">
        <w:rPr>
          <w:color w:val="002F5D"/>
        </w:rPr>
        <w:t>but will be registered with Cambridgeshire and Peterborough CCG’</w:t>
      </w:r>
      <w:r w:rsidR="0024394E" w:rsidRPr="00950081">
        <w:rPr>
          <w:color w:val="002F5D"/>
        </w:rPr>
        <w:t>s general practices. It should be noted that Cambridgeshire and Peterborough CCG also includes patients that are registered with practices that are located in East Northamptonshire and North Hertfordshire local authority areas, as those practices form part of the statutory area of the CCG.</w:t>
      </w:r>
    </w:p>
    <w:p w14:paraId="13747C8E" w14:textId="77777777" w:rsidR="0024394E" w:rsidRPr="00950081" w:rsidRDefault="0024394E" w:rsidP="00A917DC">
      <w:pPr>
        <w:spacing w:line="240" w:lineRule="auto"/>
        <w:rPr>
          <w:color w:val="002F5D"/>
        </w:rPr>
      </w:pPr>
    </w:p>
    <w:p w14:paraId="76DB2089" w14:textId="77777777" w:rsidR="00BB2320" w:rsidRPr="00950081" w:rsidRDefault="00847B00" w:rsidP="00A917DC">
      <w:pPr>
        <w:spacing w:line="240" w:lineRule="auto"/>
        <w:rPr>
          <w:color w:val="002F5D"/>
        </w:rPr>
      </w:pPr>
      <w:r w:rsidRPr="00950081">
        <w:rPr>
          <w:color w:val="002F5D"/>
        </w:rPr>
        <w:t xml:space="preserve">The CCG’s total GP registered population is therefore different </w:t>
      </w:r>
      <w:r w:rsidR="00203827" w:rsidRPr="00950081">
        <w:rPr>
          <w:color w:val="002F5D"/>
        </w:rPr>
        <w:t xml:space="preserve">in composition </w:t>
      </w:r>
      <w:r w:rsidRPr="00950081">
        <w:rPr>
          <w:color w:val="002F5D"/>
        </w:rPr>
        <w:t xml:space="preserve">to the resident population of Cambridgeshire and Peterborough local authorities that </w:t>
      </w:r>
      <w:r w:rsidR="000467FA" w:rsidRPr="00950081">
        <w:rPr>
          <w:color w:val="002F5D"/>
        </w:rPr>
        <w:t xml:space="preserve">make up </w:t>
      </w:r>
      <w:r w:rsidR="009B0BCE" w:rsidRPr="00950081">
        <w:rPr>
          <w:color w:val="002F5D"/>
        </w:rPr>
        <w:t xml:space="preserve">the </w:t>
      </w:r>
      <w:r w:rsidRPr="00950081">
        <w:rPr>
          <w:color w:val="002F5D"/>
        </w:rPr>
        <w:t>ONS and CCCRG demographic estimates</w:t>
      </w:r>
      <w:r w:rsidR="009B0BCE" w:rsidRPr="00950081">
        <w:rPr>
          <w:color w:val="002F5D"/>
        </w:rPr>
        <w:t>, forecasts and projections</w:t>
      </w:r>
      <w:r w:rsidRPr="00950081">
        <w:rPr>
          <w:color w:val="002F5D"/>
        </w:rPr>
        <w:t>.</w:t>
      </w:r>
      <w:r w:rsidR="0024394E" w:rsidRPr="00950081">
        <w:rPr>
          <w:color w:val="002F5D"/>
        </w:rPr>
        <w:t xml:space="preserve"> </w:t>
      </w:r>
      <w:r w:rsidR="000467FA" w:rsidRPr="00950081">
        <w:rPr>
          <w:color w:val="002F5D"/>
        </w:rPr>
        <w:t xml:space="preserve"> However, </w:t>
      </w:r>
      <w:r w:rsidR="00BB2320" w:rsidRPr="00950081">
        <w:rPr>
          <w:color w:val="002F5D"/>
        </w:rPr>
        <w:t>Cambridgeshire and Peterborough resident population estimates and forecasts/projections are</w:t>
      </w:r>
      <w:r w:rsidR="0024394E" w:rsidRPr="00950081">
        <w:rPr>
          <w:color w:val="002F5D"/>
        </w:rPr>
        <w:t xml:space="preserve"> a</w:t>
      </w:r>
      <w:r w:rsidR="00BB2320" w:rsidRPr="00950081">
        <w:rPr>
          <w:color w:val="002F5D"/>
        </w:rPr>
        <w:t xml:space="preserve"> useful </w:t>
      </w:r>
      <w:r w:rsidR="0024394E" w:rsidRPr="00950081">
        <w:rPr>
          <w:color w:val="002F5D"/>
        </w:rPr>
        <w:t>a proxy for</w:t>
      </w:r>
      <w:r w:rsidR="00BB2320" w:rsidRPr="00950081">
        <w:rPr>
          <w:color w:val="002F5D"/>
        </w:rPr>
        <w:t xml:space="preserve"> the population being served by</w:t>
      </w:r>
      <w:r w:rsidR="0024394E" w:rsidRPr="00950081">
        <w:rPr>
          <w:color w:val="002F5D"/>
        </w:rPr>
        <w:t xml:space="preserve"> the CCG.</w:t>
      </w:r>
      <w:r w:rsidR="000467FA" w:rsidRPr="00950081">
        <w:rPr>
          <w:color w:val="002F5D"/>
        </w:rPr>
        <w:t xml:space="preserve"> W</w:t>
      </w:r>
      <w:r w:rsidR="0024394E" w:rsidRPr="00950081">
        <w:rPr>
          <w:color w:val="002F5D"/>
        </w:rPr>
        <w:t>here appropriate</w:t>
      </w:r>
      <w:r w:rsidR="00BB2320" w:rsidRPr="00950081">
        <w:rPr>
          <w:color w:val="002F5D"/>
        </w:rPr>
        <w:t xml:space="preserve">, it is useful to </w:t>
      </w:r>
      <w:r w:rsidR="009B0BCE" w:rsidRPr="00950081">
        <w:rPr>
          <w:color w:val="002F5D"/>
        </w:rPr>
        <w:t xml:space="preserve">specifically </w:t>
      </w:r>
      <w:r w:rsidR="00BB2320" w:rsidRPr="00950081">
        <w:rPr>
          <w:color w:val="002F5D"/>
        </w:rPr>
        <w:t>consider</w:t>
      </w:r>
      <w:r w:rsidR="004A5755" w:rsidRPr="00950081">
        <w:rPr>
          <w:color w:val="002F5D"/>
        </w:rPr>
        <w:t xml:space="preserve"> the CCG registered population.</w:t>
      </w:r>
    </w:p>
    <w:p w14:paraId="6ECF46FC" w14:textId="77777777" w:rsidR="00EA2B75" w:rsidRPr="00950081" w:rsidRDefault="00EA2B75" w:rsidP="00A917DC">
      <w:pPr>
        <w:spacing w:line="240" w:lineRule="auto"/>
        <w:rPr>
          <w:color w:val="002F5D"/>
        </w:rPr>
      </w:pPr>
    </w:p>
    <w:p w14:paraId="20E3155B" w14:textId="17EF1FF2" w:rsidR="00EA2B75" w:rsidRPr="00950081" w:rsidRDefault="00EA2B75" w:rsidP="00A917DC">
      <w:pPr>
        <w:spacing w:line="240" w:lineRule="auto"/>
        <w:rPr>
          <w:color w:val="002F5D"/>
        </w:rPr>
      </w:pPr>
      <w:r w:rsidRPr="00950081">
        <w:rPr>
          <w:color w:val="002F5D"/>
        </w:rPr>
        <w:t>The table below represents the aggregated count of the GP registered patients within the local authority area that each practice is located in.</w:t>
      </w:r>
      <w:r w:rsidR="006703AD" w:rsidRPr="00950081">
        <w:rPr>
          <w:color w:val="002F5D"/>
        </w:rPr>
        <w:t xml:space="preserve"> Although the CCG was not statutorily established until 2013 the data for 2011 and 2012 are still representative of the CCG’s configuration.</w:t>
      </w:r>
    </w:p>
    <w:p w14:paraId="4F7C1683" w14:textId="77777777" w:rsidR="00BB2320" w:rsidRPr="0037351D" w:rsidRDefault="00BB2320" w:rsidP="00A917DC">
      <w:pPr>
        <w:spacing w:line="240" w:lineRule="auto"/>
        <w:rPr>
          <w:color w:val="FF0000"/>
        </w:rPr>
      </w:pPr>
    </w:p>
    <w:p w14:paraId="66788B69" w14:textId="51EB69E4" w:rsidR="007968EE" w:rsidRPr="00950081" w:rsidRDefault="00CD501F" w:rsidP="00A917DC">
      <w:pPr>
        <w:pStyle w:val="Caption"/>
        <w:rPr>
          <w:color w:val="002F5D"/>
        </w:rPr>
      </w:pPr>
      <w:r w:rsidRPr="00950081">
        <w:rPr>
          <w:b/>
          <w:color w:val="002F5D"/>
        </w:rPr>
        <w:t xml:space="preserve">Table </w:t>
      </w:r>
      <w:r w:rsidRPr="00950081">
        <w:rPr>
          <w:b/>
          <w:color w:val="002F5D"/>
        </w:rPr>
        <w:fldChar w:fldCharType="begin"/>
      </w:r>
      <w:r w:rsidRPr="00950081">
        <w:rPr>
          <w:b/>
          <w:color w:val="002F5D"/>
        </w:rPr>
        <w:instrText xml:space="preserve"> SEQ Table \* ARABIC </w:instrText>
      </w:r>
      <w:r w:rsidRPr="00950081">
        <w:rPr>
          <w:b/>
          <w:color w:val="002F5D"/>
        </w:rPr>
        <w:fldChar w:fldCharType="separate"/>
      </w:r>
      <w:r w:rsidR="00E80CFE">
        <w:rPr>
          <w:b/>
          <w:noProof/>
          <w:color w:val="002F5D"/>
        </w:rPr>
        <w:t>4</w:t>
      </w:r>
      <w:r w:rsidRPr="00950081">
        <w:rPr>
          <w:b/>
          <w:color w:val="002F5D"/>
        </w:rPr>
        <w:fldChar w:fldCharType="end"/>
      </w:r>
      <w:r w:rsidRPr="00950081">
        <w:rPr>
          <w:b/>
          <w:color w:val="002F5D"/>
        </w:rPr>
        <w:t>.</w:t>
      </w:r>
      <w:r w:rsidRPr="00950081">
        <w:rPr>
          <w:b/>
          <w:iCs w:val="0"/>
          <w:color w:val="002F5D"/>
        </w:rPr>
        <w:t xml:space="preserve"> </w:t>
      </w:r>
      <w:r w:rsidR="004A15CD" w:rsidRPr="00950081">
        <w:rPr>
          <w:iCs w:val="0"/>
          <w:color w:val="002F5D"/>
        </w:rPr>
        <w:t>Cambridgeshire and Peterborough CCG registered population</w:t>
      </w:r>
      <w:r w:rsidR="00AC5E7D" w:rsidRPr="00950081">
        <w:rPr>
          <w:iCs w:val="0"/>
          <w:color w:val="002F5D"/>
        </w:rPr>
        <w:t xml:space="preserve"> by practice location</w:t>
      </w:r>
      <w:r w:rsidR="004A15CD" w:rsidRPr="00950081">
        <w:rPr>
          <w:iCs w:val="0"/>
          <w:color w:val="002F5D"/>
        </w:rPr>
        <w:t>, 2011-201</w:t>
      </w:r>
      <w:r w:rsidR="00950081">
        <w:rPr>
          <w:iCs w:val="0"/>
          <w:color w:val="002F5D"/>
        </w:rPr>
        <w:t>8</w:t>
      </w:r>
      <w:r w:rsidR="00692E3E" w:rsidRPr="00950081">
        <w:rPr>
          <w:iCs w:val="0"/>
          <w:color w:val="002F5D"/>
        </w:rPr>
        <w:t>*</w:t>
      </w:r>
    </w:p>
    <w:p w14:paraId="39892398" w14:textId="293BBE6A" w:rsidR="007968EE" w:rsidRPr="0037351D" w:rsidRDefault="007811ED" w:rsidP="00A917DC">
      <w:pPr>
        <w:spacing w:line="240" w:lineRule="auto"/>
        <w:rPr>
          <w:color w:val="FF0000"/>
        </w:rPr>
      </w:pPr>
      <w:r w:rsidRPr="00950081">
        <w:rPr>
          <w:color w:val="002F5D"/>
        </w:rPr>
        <w:t xml:space="preserve"> </w:t>
      </w:r>
      <w:r w:rsidR="00950081" w:rsidRPr="00950081">
        <w:rPr>
          <w:noProof/>
          <w:lang w:eastAsia="en-GB"/>
        </w:rPr>
        <w:drawing>
          <wp:inline distT="0" distB="0" distL="0" distR="0" wp14:anchorId="591603FC" wp14:editId="7AEA8516">
            <wp:extent cx="6120130" cy="1586991"/>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586991"/>
                    </a:xfrm>
                    <a:prstGeom prst="rect">
                      <a:avLst/>
                    </a:prstGeom>
                    <a:noFill/>
                    <a:ln>
                      <a:noFill/>
                    </a:ln>
                  </pic:spPr>
                </pic:pic>
              </a:graphicData>
            </a:graphic>
          </wp:inline>
        </w:drawing>
      </w:r>
    </w:p>
    <w:p w14:paraId="5D276000" w14:textId="77777777" w:rsidR="00844CC4" w:rsidRPr="0037351D" w:rsidRDefault="00844CC4" w:rsidP="00DB3D02">
      <w:pPr>
        <w:spacing w:line="240" w:lineRule="auto"/>
        <w:rPr>
          <w:color w:val="FF0000"/>
          <w:sz w:val="18"/>
          <w:szCs w:val="18"/>
        </w:rPr>
      </w:pPr>
    </w:p>
    <w:p w14:paraId="4A9ABB6A" w14:textId="77777777" w:rsidR="00CB2BB9" w:rsidRPr="00950081" w:rsidRDefault="00692E3E" w:rsidP="00DB3D02">
      <w:pPr>
        <w:spacing w:line="240" w:lineRule="auto"/>
        <w:rPr>
          <w:b/>
          <w:color w:val="002F5D"/>
          <w:sz w:val="18"/>
          <w:szCs w:val="18"/>
        </w:rPr>
      </w:pPr>
      <w:r w:rsidRPr="00950081">
        <w:rPr>
          <w:color w:val="002F5D"/>
          <w:sz w:val="18"/>
          <w:szCs w:val="18"/>
        </w:rPr>
        <w:t>*</w:t>
      </w:r>
      <w:r w:rsidR="00125DE6" w:rsidRPr="00950081">
        <w:rPr>
          <w:color w:val="002F5D"/>
          <w:sz w:val="18"/>
          <w:szCs w:val="18"/>
        </w:rPr>
        <w:t xml:space="preserve"> Data from April each year</w:t>
      </w:r>
    </w:p>
    <w:p w14:paraId="2D149C10" w14:textId="77777777" w:rsidR="00560F8E" w:rsidRPr="00950081" w:rsidRDefault="00560F8E" w:rsidP="00DB3D02">
      <w:pPr>
        <w:spacing w:line="240" w:lineRule="auto"/>
        <w:rPr>
          <w:b/>
          <w:color w:val="002F5D"/>
        </w:rPr>
      </w:pPr>
    </w:p>
    <w:p w14:paraId="0AB3E164" w14:textId="77777777" w:rsidR="007968EE" w:rsidRPr="00950081" w:rsidRDefault="004A15CD" w:rsidP="00DB3D02">
      <w:pPr>
        <w:spacing w:line="240" w:lineRule="auto"/>
        <w:rPr>
          <w:b/>
          <w:color w:val="002F5D"/>
        </w:rPr>
      </w:pPr>
      <w:r w:rsidRPr="00950081">
        <w:rPr>
          <w:b/>
          <w:color w:val="002F5D"/>
        </w:rPr>
        <w:t xml:space="preserve">Source: </w:t>
      </w:r>
      <w:r w:rsidRPr="00950081">
        <w:rPr>
          <w:color w:val="002F5D"/>
        </w:rPr>
        <w:t>Serco and NHS Digital</w:t>
      </w:r>
    </w:p>
    <w:p w14:paraId="31DA690F" w14:textId="77777777" w:rsidR="00AB24C3" w:rsidRPr="0037351D" w:rsidRDefault="00AB24C3" w:rsidP="00DB3D02">
      <w:pPr>
        <w:spacing w:line="240" w:lineRule="auto"/>
        <w:rPr>
          <w:color w:val="FF0000"/>
        </w:rPr>
      </w:pPr>
    </w:p>
    <w:p w14:paraId="22FD32FA" w14:textId="77777777" w:rsidR="000467FA" w:rsidRPr="0037351D" w:rsidRDefault="000467FA" w:rsidP="00DB3D02">
      <w:pPr>
        <w:spacing w:line="240" w:lineRule="auto"/>
        <w:rPr>
          <w:b/>
          <w:iCs/>
          <w:color w:val="FF0000"/>
          <w:szCs w:val="18"/>
        </w:rPr>
      </w:pPr>
      <w:r w:rsidRPr="0037351D">
        <w:rPr>
          <w:b/>
          <w:color w:val="FF0000"/>
        </w:rPr>
        <w:br w:type="page"/>
      </w:r>
    </w:p>
    <w:p w14:paraId="66996215" w14:textId="2E53335F" w:rsidR="004A15CD" w:rsidRDefault="00CD501F" w:rsidP="00A917DC">
      <w:pPr>
        <w:pStyle w:val="Caption"/>
        <w:rPr>
          <w:color w:val="002F5D"/>
        </w:rPr>
      </w:pPr>
      <w:r w:rsidRPr="00950081">
        <w:rPr>
          <w:b/>
          <w:color w:val="002F5D"/>
        </w:rPr>
        <w:lastRenderedPageBreak/>
        <w:t xml:space="preserve">Figure </w:t>
      </w:r>
      <w:r w:rsidRPr="00950081">
        <w:rPr>
          <w:b/>
          <w:color w:val="002F5D"/>
        </w:rPr>
        <w:fldChar w:fldCharType="begin"/>
      </w:r>
      <w:r w:rsidRPr="00950081">
        <w:rPr>
          <w:b/>
          <w:color w:val="002F5D"/>
        </w:rPr>
        <w:instrText xml:space="preserve"> SEQ Figure \* ARABIC </w:instrText>
      </w:r>
      <w:r w:rsidRPr="00950081">
        <w:rPr>
          <w:b/>
          <w:color w:val="002F5D"/>
        </w:rPr>
        <w:fldChar w:fldCharType="separate"/>
      </w:r>
      <w:r w:rsidR="00E80CFE">
        <w:rPr>
          <w:b/>
          <w:noProof/>
          <w:color w:val="002F5D"/>
        </w:rPr>
        <w:t>5</w:t>
      </w:r>
      <w:r w:rsidRPr="00950081">
        <w:rPr>
          <w:b/>
          <w:color w:val="002F5D"/>
        </w:rPr>
        <w:fldChar w:fldCharType="end"/>
      </w:r>
      <w:r w:rsidRPr="00950081">
        <w:rPr>
          <w:b/>
          <w:color w:val="002F5D"/>
        </w:rPr>
        <w:t>.</w:t>
      </w:r>
      <w:r w:rsidRPr="00950081">
        <w:rPr>
          <w:color w:val="002F5D"/>
        </w:rPr>
        <w:t xml:space="preserve"> </w:t>
      </w:r>
      <w:r w:rsidR="004A15CD" w:rsidRPr="00950081">
        <w:rPr>
          <w:color w:val="002F5D"/>
        </w:rPr>
        <w:t>Cambridgeshire and Peterbo</w:t>
      </w:r>
      <w:r w:rsidR="00125DE6" w:rsidRPr="00950081">
        <w:rPr>
          <w:color w:val="002F5D"/>
        </w:rPr>
        <w:t xml:space="preserve">rough CCG registered population, </w:t>
      </w:r>
      <w:r w:rsidR="00950081">
        <w:rPr>
          <w:color w:val="002F5D"/>
        </w:rPr>
        <w:t>2011-2018</w:t>
      </w:r>
      <w:r w:rsidR="0056623D" w:rsidRPr="00950081">
        <w:rPr>
          <w:color w:val="002F5D"/>
        </w:rPr>
        <w:t>*</w:t>
      </w:r>
    </w:p>
    <w:p w14:paraId="7E887170" w14:textId="77777777" w:rsidR="000D126D" w:rsidRPr="009311DF" w:rsidRDefault="000D126D" w:rsidP="00E61D24"/>
    <w:p w14:paraId="2554A17D" w14:textId="57DCA9CF" w:rsidR="004A15CD" w:rsidRPr="0037351D" w:rsidRDefault="00950081" w:rsidP="00A917DC">
      <w:pPr>
        <w:spacing w:line="240" w:lineRule="auto"/>
        <w:rPr>
          <w:color w:val="FF0000"/>
        </w:rPr>
      </w:pPr>
      <w:r>
        <w:rPr>
          <w:noProof/>
          <w:color w:val="FF0000"/>
          <w:lang w:eastAsia="en-GB"/>
        </w:rPr>
        <w:drawing>
          <wp:inline distT="0" distB="0" distL="0" distR="0" wp14:anchorId="3CE8F57F" wp14:editId="4BA6C4E7">
            <wp:extent cx="5078095" cy="3462655"/>
            <wp:effectExtent l="0" t="0" r="8255" b="444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8095" cy="3462655"/>
                    </a:xfrm>
                    <a:prstGeom prst="rect">
                      <a:avLst/>
                    </a:prstGeom>
                    <a:noFill/>
                  </pic:spPr>
                </pic:pic>
              </a:graphicData>
            </a:graphic>
          </wp:inline>
        </w:drawing>
      </w:r>
    </w:p>
    <w:p w14:paraId="0A84E666" w14:textId="77777777" w:rsidR="004A5755" w:rsidRPr="00950081" w:rsidRDefault="004A5755" w:rsidP="00DB3D02">
      <w:pPr>
        <w:spacing w:line="240" w:lineRule="auto"/>
        <w:rPr>
          <w:color w:val="002F5D"/>
        </w:rPr>
      </w:pPr>
    </w:p>
    <w:p w14:paraId="278780A4" w14:textId="77777777" w:rsidR="00125DE6" w:rsidRPr="00950081" w:rsidRDefault="00125DE6" w:rsidP="00DB3D02">
      <w:pPr>
        <w:spacing w:line="240" w:lineRule="auto"/>
        <w:rPr>
          <w:rFonts w:cs="Arial"/>
          <w:color w:val="002F5D"/>
          <w:sz w:val="18"/>
        </w:rPr>
      </w:pPr>
      <w:r w:rsidRPr="00950081">
        <w:rPr>
          <w:rFonts w:cs="Arial"/>
          <w:b/>
          <w:color w:val="002F5D"/>
          <w:sz w:val="18"/>
        </w:rPr>
        <w:t>Note</w:t>
      </w:r>
      <w:r w:rsidRPr="00950081">
        <w:rPr>
          <w:rFonts w:cs="Arial"/>
          <w:color w:val="002F5D"/>
          <w:sz w:val="18"/>
        </w:rPr>
        <w:t>: Population data shown do not start at 0.</w:t>
      </w:r>
    </w:p>
    <w:p w14:paraId="145EE627" w14:textId="0F236E29" w:rsidR="004A15CD" w:rsidRPr="00950081" w:rsidRDefault="00CA0835" w:rsidP="00DB3D02">
      <w:pPr>
        <w:spacing w:line="240" w:lineRule="auto"/>
        <w:rPr>
          <w:color w:val="002F5D"/>
          <w:sz w:val="18"/>
          <w:szCs w:val="18"/>
        </w:rPr>
      </w:pPr>
      <w:r w:rsidRPr="00950081">
        <w:rPr>
          <w:color w:val="002F5D"/>
          <w:sz w:val="18"/>
          <w:szCs w:val="18"/>
        </w:rPr>
        <w:t>*</w:t>
      </w:r>
      <w:r w:rsidR="00FC0FF8" w:rsidRPr="00950081">
        <w:rPr>
          <w:color w:val="002F5D"/>
          <w:sz w:val="18"/>
          <w:szCs w:val="18"/>
        </w:rPr>
        <w:t>Data from April each year</w:t>
      </w:r>
      <w:r w:rsidR="0056623D" w:rsidRPr="00950081">
        <w:rPr>
          <w:color w:val="002F5D"/>
          <w:sz w:val="18"/>
          <w:szCs w:val="18"/>
        </w:rPr>
        <w:t xml:space="preserve">. Data for </w:t>
      </w:r>
      <w:r w:rsidR="00802043" w:rsidRPr="00950081">
        <w:rPr>
          <w:color w:val="002F5D"/>
          <w:sz w:val="18"/>
          <w:szCs w:val="18"/>
        </w:rPr>
        <w:t xml:space="preserve">the period 2011 and 2012 (prior to the start of the CCG) are </w:t>
      </w:r>
      <w:r w:rsidR="0056623D" w:rsidRPr="00950081">
        <w:rPr>
          <w:color w:val="002F5D"/>
          <w:sz w:val="18"/>
          <w:szCs w:val="18"/>
        </w:rPr>
        <w:t>estimated.</w:t>
      </w:r>
    </w:p>
    <w:p w14:paraId="17B02017" w14:textId="77777777" w:rsidR="00CA0835" w:rsidRPr="0037351D" w:rsidRDefault="00CA0835" w:rsidP="00DB3D02">
      <w:pPr>
        <w:spacing w:line="240" w:lineRule="auto"/>
        <w:rPr>
          <w:b/>
          <w:color w:val="FF0000"/>
        </w:rPr>
      </w:pPr>
    </w:p>
    <w:p w14:paraId="5ACBD57D" w14:textId="77777777" w:rsidR="00AB24C3" w:rsidRPr="00950081" w:rsidRDefault="00AB24C3" w:rsidP="00DB3D02">
      <w:pPr>
        <w:spacing w:line="240" w:lineRule="auto"/>
        <w:rPr>
          <w:color w:val="002F5D"/>
        </w:rPr>
      </w:pPr>
      <w:r w:rsidRPr="00950081">
        <w:rPr>
          <w:b/>
          <w:color w:val="002F5D"/>
        </w:rPr>
        <w:t>Source:</w:t>
      </w:r>
      <w:r w:rsidRPr="00950081">
        <w:rPr>
          <w:color w:val="002F5D"/>
        </w:rPr>
        <w:t xml:space="preserve"> Serco and NHS Digital</w:t>
      </w:r>
    </w:p>
    <w:p w14:paraId="58CA1305" w14:textId="77777777" w:rsidR="004A15CD" w:rsidRPr="0037351D" w:rsidRDefault="004A15CD" w:rsidP="00DB3D02">
      <w:pPr>
        <w:spacing w:line="240" w:lineRule="auto"/>
        <w:rPr>
          <w:color w:val="FF0000"/>
        </w:rPr>
      </w:pPr>
    </w:p>
    <w:p w14:paraId="5B489542" w14:textId="77777777" w:rsidR="00FC0FF8" w:rsidRPr="00B53DD5" w:rsidRDefault="00FC0FF8" w:rsidP="00DB3D02">
      <w:pPr>
        <w:spacing w:line="240" w:lineRule="auto"/>
        <w:rPr>
          <w:b/>
          <w:color w:val="002F5D"/>
        </w:rPr>
      </w:pPr>
      <w:r w:rsidRPr="00B53DD5">
        <w:rPr>
          <w:b/>
          <w:color w:val="002F5D"/>
        </w:rPr>
        <w:t>Key points:</w:t>
      </w:r>
    </w:p>
    <w:p w14:paraId="0A92FB24" w14:textId="020C3E31" w:rsidR="00394081" w:rsidRPr="00950081" w:rsidRDefault="00394081" w:rsidP="00A05571">
      <w:pPr>
        <w:pStyle w:val="ListParagraph"/>
        <w:numPr>
          <w:ilvl w:val="0"/>
          <w:numId w:val="70"/>
        </w:numPr>
        <w:spacing w:line="240" w:lineRule="auto"/>
        <w:rPr>
          <w:color w:val="002F5D"/>
        </w:rPr>
      </w:pPr>
      <w:r w:rsidRPr="00950081">
        <w:rPr>
          <w:color w:val="002F5D"/>
        </w:rPr>
        <w:t>The Cambridgeshire and Peterborough CCG reg</w:t>
      </w:r>
      <w:r w:rsidR="00950081" w:rsidRPr="00950081">
        <w:rPr>
          <w:color w:val="002F5D"/>
        </w:rPr>
        <w:t>istered population in April 2018</w:t>
      </w:r>
      <w:r w:rsidRPr="00950081">
        <w:rPr>
          <w:color w:val="002F5D"/>
        </w:rPr>
        <w:t xml:space="preserve"> wa</w:t>
      </w:r>
      <w:r w:rsidR="00950081" w:rsidRPr="00950081">
        <w:rPr>
          <w:color w:val="002F5D"/>
        </w:rPr>
        <w:t>s estimated at approximately 967</w:t>
      </w:r>
      <w:r w:rsidRPr="00950081">
        <w:rPr>
          <w:color w:val="002F5D"/>
        </w:rPr>
        <w:t xml:space="preserve">,000 people. </w:t>
      </w:r>
    </w:p>
    <w:p w14:paraId="43B958B6" w14:textId="2278B3BE" w:rsidR="00394081" w:rsidRPr="00950081" w:rsidRDefault="00950081" w:rsidP="00A05571">
      <w:pPr>
        <w:pStyle w:val="ListParagraph"/>
        <w:numPr>
          <w:ilvl w:val="0"/>
          <w:numId w:val="70"/>
        </w:numPr>
        <w:spacing w:line="240" w:lineRule="auto"/>
        <w:rPr>
          <w:color w:val="002F5D"/>
        </w:rPr>
      </w:pPr>
      <w:r w:rsidRPr="00950081">
        <w:rPr>
          <w:color w:val="002F5D"/>
        </w:rPr>
        <w:t>Around 930,5</w:t>
      </w:r>
      <w:r w:rsidR="00394081" w:rsidRPr="00950081">
        <w:rPr>
          <w:color w:val="002F5D"/>
        </w:rPr>
        <w:t>00</w:t>
      </w:r>
      <w:r w:rsidR="00394081" w:rsidRPr="00950081">
        <w:rPr>
          <w:rStyle w:val="FootnoteReference"/>
          <w:color w:val="002F5D"/>
        </w:rPr>
        <w:footnoteReference w:id="1"/>
      </w:r>
      <w:r w:rsidR="00394081" w:rsidRPr="00950081">
        <w:rPr>
          <w:color w:val="002F5D"/>
        </w:rPr>
        <w:t xml:space="preserve"> of these are estimated to be registered within GP practices within the Cambridgeshire districts and Peterborough, the remaining GP registered population are registered in East Northamptonshire and North Hertfordshire.</w:t>
      </w:r>
      <w:r w:rsidR="00DB3D02" w:rsidRPr="00950081">
        <w:rPr>
          <w:color w:val="002F5D"/>
        </w:rPr>
        <w:t xml:space="preserve"> People can live outside of Cambridgeshire and Peterborough Council areas and be registered with general practices geographically located within Cambridgeshire and Peterborough.</w:t>
      </w:r>
    </w:p>
    <w:p w14:paraId="388D26A5" w14:textId="32EDF8C8" w:rsidR="00FC0FF8" w:rsidRPr="00950081" w:rsidRDefault="00FC0FF8" w:rsidP="00A05571">
      <w:pPr>
        <w:pStyle w:val="ListParagraph"/>
        <w:numPr>
          <w:ilvl w:val="0"/>
          <w:numId w:val="70"/>
        </w:numPr>
        <w:spacing w:line="240" w:lineRule="auto"/>
        <w:rPr>
          <w:color w:val="002F5D"/>
        </w:rPr>
      </w:pPr>
      <w:r w:rsidRPr="00950081">
        <w:rPr>
          <w:color w:val="002F5D"/>
        </w:rPr>
        <w:t>The Cambridgeshire and Peterborough CCG registered population has grown from 844,979 in</w:t>
      </w:r>
      <w:r w:rsidR="00950081" w:rsidRPr="00950081">
        <w:rPr>
          <w:color w:val="002F5D"/>
        </w:rPr>
        <w:t xml:space="preserve"> April 2011 to 967,307 in April 2018 (14</w:t>
      </w:r>
      <w:r w:rsidRPr="00950081">
        <w:rPr>
          <w:color w:val="002F5D"/>
        </w:rPr>
        <w:t>% growth).</w:t>
      </w:r>
    </w:p>
    <w:p w14:paraId="1A104A55" w14:textId="77777777" w:rsidR="00FC0FF8" w:rsidRPr="00B53DD5" w:rsidRDefault="00FC0FF8" w:rsidP="00A05571">
      <w:pPr>
        <w:pStyle w:val="ListParagraph"/>
        <w:numPr>
          <w:ilvl w:val="0"/>
          <w:numId w:val="70"/>
        </w:numPr>
        <w:spacing w:line="240" w:lineRule="auto"/>
        <w:rPr>
          <w:color w:val="002F5D"/>
        </w:rPr>
      </w:pPr>
      <w:r w:rsidRPr="00B53DD5">
        <w:rPr>
          <w:color w:val="002F5D"/>
        </w:rPr>
        <w:t xml:space="preserve">Population growth may be </w:t>
      </w:r>
      <w:r w:rsidR="00BB2320" w:rsidRPr="00B53DD5">
        <w:rPr>
          <w:color w:val="002F5D"/>
        </w:rPr>
        <w:t xml:space="preserve">partially due to changes in </w:t>
      </w:r>
      <w:r w:rsidR="0047468D" w:rsidRPr="00B53DD5">
        <w:rPr>
          <w:color w:val="002F5D"/>
        </w:rPr>
        <w:t xml:space="preserve">the </w:t>
      </w:r>
      <w:r w:rsidR="00BB2320" w:rsidRPr="00B53DD5">
        <w:rPr>
          <w:color w:val="002F5D"/>
        </w:rPr>
        <w:t>local population</w:t>
      </w:r>
      <w:r w:rsidR="0047468D" w:rsidRPr="00B53DD5">
        <w:rPr>
          <w:color w:val="002F5D"/>
        </w:rPr>
        <w:t>, GP practice recording systems</w:t>
      </w:r>
      <w:r w:rsidR="00BB2320" w:rsidRPr="00B53DD5">
        <w:rPr>
          <w:color w:val="002F5D"/>
        </w:rPr>
        <w:t xml:space="preserve"> and changes to CCG practice clustering.</w:t>
      </w:r>
    </w:p>
    <w:p w14:paraId="7E004FCE" w14:textId="77777777" w:rsidR="00BB2320" w:rsidRPr="0037351D" w:rsidRDefault="00BB2320" w:rsidP="00A917DC">
      <w:pPr>
        <w:pStyle w:val="ListParagraph"/>
        <w:spacing w:line="240" w:lineRule="auto"/>
        <w:rPr>
          <w:color w:val="FF0000"/>
        </w:rPr>
      </w:pPr>
    </w:p>
    <w:p w14:paraId="6D028320" w14:textId="77777777" w:rsidR="00CA0835" w:rsidRPr="0037351D" w:rsidRDefault="00CA0835" w:rsidP="005E4BAD">
      <w:pPr>
        <w:pStyle w:val="ListParagraph"/>
        <w:rPr>
          <w:color w:val="FF0000"/>
        </w:rPr>
      </w:pPr>
    </w:p>
    <w:p w14:paraId="146D550B" w14:textId="77777777" w:rsidR="00CA0835" w:rsidRPr="0037351D" w:rsidRDefault="00CA0835" w:rsidP="005E4BAD">
      <w:pPr>
        <w:pStyle w:val="ListParagraph"/>
        <w:rPr>
          <w:color w:val="FF0000"/>
        </w:rPr>
      </w:pPr>
    </w:p>
    <w:p w14:paraId="4164488F" w14:textId="77777777" w:rsidR="00CA0835" w:rsidRPr="0037351D" w:rsidRDefault="00CA0835" w:rsidP="005E4BAD">
      <w:pPr>
        <w:pStyle w:val="ListParagraph"/>
        <w:rPr>
          <w:color w:val="FF0000"/>
        </w:rPr>
      </w:pPr>
    </w:p>
    <w:p w14:paraId="3F406D51" w14:textId="77777777" w:rsidR="00CA0835" w:rsidRPr="0037351D" w:rsidRDefault="00CA0835" w:rsidP="005E4BAD">
      <w:pPr>
        <w:pStyle w:val="ListParagraph"/>
        <w:rPr>
          <w:color w:val="FF0000"/>
        </w:rPr>
      </w:pPr>
    </w:p>
    <w:p w14:paraId="25AE8E53" w14:textId="77777777" w:rsidR="00CD501F" w:rsidRPr="0037351D" w:rsidRDefault="00CD501F" w:rsidP="005E4BAD">
      <w:pPr>
        <w:pStyle w:val="ListParagraph"/>
        <w:rPr>
          <w:color w:val="FF0000"/>
        </w:rPr>
      </w:pPr>
    </w:p>
    <w:p w14:paraId="3496CE16" w14:textId="77777777" w:rsidR="00CA0835" w:rsidRPr="0037351D" w:rsidRDefault="00CA0835" w:rsidP="005E4BAD">
      <w:pPr>
        <w:pStyle w:val="ListParagraph"/>
        <w:rPr>
          <w:color w:val="FF0000"/>
        </w:rPr>
      </w:pPr>
    </w:p>
    <w:p w14:paraId="186CE3DB" w14:textId="77777777" w:rsidR="00CA0835" w:rsidRPr="0037351D" w:rsidRDefault="00CA0835" w:rsidP="005E4BAD">
      <w:pPr>
        <w:pStyle w:val="ListParagraph"/>
        <w:rPr>
          <w:color w:val="FF0000"/>
        </w:rPr>
      </w:pPr>
    </w:p>
    <w:p w14:paraId="31FF574F" w14:textId="2DC7BB3C" w:rsidR="0053031B" w:rsidRDefault="00CD501F" w:rsidP="00A917DC">
      <w:pPr>
        <w:pStyle w:val="Caption"/>
        <w:rPr>
          <w:rFonts w:ascii="Calibri" w:eastAsia="Times New Roman" w:hAnsi="Calibri" w:cs="Calibri"/>
          <w:color w:val="002F5D"/>
          <w:lang w:eastAsia="en-GB"/>
        </w:rPr>
      </w:pPr>
      <w:r w:rsidRPr="003F030C">
        <w:rPr>
          <w:b/>
          <w:color w:val="002F5D"/>
        </w:rPr>
        <w:lastRenderedPageBreak/>
        <w:t xml:space="preserve">Table </w:t>
      </w:r>
      <w:r w:rsidRPr="003F030C">
        <w:rPr>
          <w:b/>
          <w:color w:val="002F5D"/>
        </w:rPr>
        <w:fldChar w:fldCharType="begin"/>
      </w:r>
      <w:r w:rsidRPr="003F030C">
        <w:rPr>
          <w:b/>
          <w:color w:val="002F5D"/>
        </w:rPr>
        <w:instrText xml:space="preserve"> SEQ Table \* ARABIC </w:instrText>
      </w:r>
      <w:r w:rsidRPr="003F030C">
        <w:rPr>
          <w:b/>
          <w:color w:val="002F5D"/>
        </w:rPr>
        <w:fldChar w:fldCharType="separate"/>
      </w:r>
      <w:r w:rsidR="00E80CFE">
        <w:rPr>
          <w:b/>
          <w:noProof/>
          <w:color w:val="002F5D"/>
        </w:rPr>
        <w:t>5</w:t>
      </w:r>
      <w:r w:rsidRPr="003F030C">
        <w:rPr>
          <w:b/>
          <w:color w:val="002F5D"/>
        </w:rPr>
        <w:fldChar w:fldCharType="end"/>
      </w:r>
      <w:r w:rsidRPr="003F030C">
        <w:rPr>
          <w:b/>
          <w:color w:val="002F5D"/>
        </w:rPr>
        <w:t>.</w:t>
      </w:r>
      <w:r w:rsidRPr="003F030C">
        <w:rPr>
          <w:color w:val="002F5D"/>
        </w:rPr>
        <w:t xml:space="preserve"> </w:t>
      </w:r>
      <w:r w:rsidR="00FC0FF8" w:rsidRPr="003F030C">
        <w:rPr>
          <w:rFonts w:ascii="Calibri" w:eastAsia="Times New Roman" w:hAnsi="Calibri" w:cs="Calibri"/>
          <w:color w:val="002F5D"/>
          <w:lang w:eastAsia="en-GB"/>
        </w:rPr>
        <w:t xml:space="preserve">Cambridgeshire and Peterborough CCG </w:t>
      </w:r>
      <w:r w:rsidR="00BB2320" w:rsidRPr="003F030C">
        <w:rPr>
          <w:rFonts w:ascii="Calibri" w:eastAsia="Times New Roman" w:hAnsi="Calibri" w:cs="Calibri"/>
          <w:color w:val="002F5D"/>
          <w:lang w:eastAsia="en-GB"/>
        </w:rPr>
        <w:t>registered p</w:t>
      </w:r>
      <w:r w:rsidR="00FC0FF8" w:rsidRPr="003F030C">
        <w:rPr>
          <w:rFonts w:ascii="Calibri" w:eastAsia="Times New Roman" w:hAnsi="Calibri" w:cs="Calibri"/>
          <w:color w:val="002F5D"/>
          <w:lang w:eastAsia="en-GB"/>
        </w:rPr>
        <w:t>opulation by broad age group</w:t>
      </w:r>
      <w:r w:rsidR="000467FA" w:rsidRPr="003F030C">
        <w:rPr>
          <w:rFonts w:ascii="Calibri" w:eastAsia="Times New Roman" w:hAnsi="Calibri" w:cs="Calibri"/>
          <w:color w:val="002F5D"/>
          <w:lang w:eastAsia="en-GB"/>
        </w:rPr>
        <w:t xml:space="preserve"> and local authority location of general practice</w:t>
      </w:r>
      <w:r w:rsidR="003F030C" w:rsidRPr="003F030C">
        <w:rPr>
          <w:rFonts w:ascii="Calibri" w:eastAsia="Times New Roman" w:hAnsi="Calibri" w:cs="Calibri"/>
          <w:color w:val="002F5D"/>
          <w:lang w:eastAsia="en-GB"/>
        </w:rPr>
        <w:t>, April 2018</w:t>
      </w:r>
    </w:p>
    <w:p w14:paraId="246E1570" w14:textId="2BC5453F" w:rsidR="00FC0FF8" w:rsidRDefault="00FC0FF8" w:rsidP="00A917DC">
      <w:pPr>
        <w:pStyle w:val="Caption"/>
        <w:rPr>
          <w:rFonts w:ascii="Calibri" w:eastAsia="Times New Roman" w:hAnsi="Calibri" w:cs="Calibri"/>
          <w:color w:val="002F5D"/>
          <w:lang w:eastAsia="en-GB"/>
        </w:rPr>
      </w:pPr>
    </w:p>
    <w:p w14:paraId="695DCCDB" w14:textId="69F3332E" w:rsidR="003F030C" w:rsidRPr="003F030C" w:rsidRDefault="0053031B" w:rsidP="003F030C">
      <w:pPr>
        <w:rPr>
          <w:lang w:eastAsia="en-GB"/>
        </w:rPr>
      </w:pPr>
      <w:r w:rsidRPr="0053031B">
        <w:rPr>
          <w:noProof/>
          <w:lang w:eastAsia="en-GB"/>
        </w:rPr>
        <w:drawing>
          <wp:inline distT="0" distB="0" distL="0" distR="0" wp14:anchorId="72361FA8" wp14:editId="1EBA3E42">
            <wp:extent cx="6076950" cy="2209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2209800"/>
                    </a:xfrm>
                    <a:prstGeom prst="rect">
                      <a:avLst/>
                    </a:prstGeom>
                    <a:noFill/>
                    <a:ln>
                      <a:noFill/>
                    </a:ln>
                  </pic:spPr>
                </pic:pic>
              </a:graphicData>
            </a:graphic>
          </wp:inline>
        </w:drawing>
      </w:r>
    </w:p>
    <w:p w14:paraId="7EB36483" w14:textId="77777777" w:rsidR="00A917DC" w:rsidRPr="0037351D" w:rsidRDefault="00A917DC" w:rsidP="00A917DC">
      <w:pPr>
        <w:spacing w:line="240" w:lineRule="auto"/>
        <w:rPr>
          <w:noProof/>
          <w:color w:val="FF0000"/>
          <w:lang w:eastAsia="en-GB"/>
        </w:rPr>
      </w:pPr>
    </w:p>
    <w:p w14:paraId="4323E323" w14:textId="0B0B0FE9" w:rsidR="004A15CD" w:rsidRPr="003F030C" w:rsidRDefault="00FC0FF8" w:rsidP="00A917DC">
      <w:pPr>
        <w:spacing w:line="240" w:lineRule="auto"/>
        <w:rPr>
          <w:color w:val="002F5D"/>
        </w:rPr>
      </w:pPr>
      <w:r w:rsidRPr="003F030C">
        <w:rPr>
          <w:b/>
          <w:color w:val="002F5D"/>
        </w:rPr>
        <w:t>Source:</w:t>
      </w:r>
      <w:r w:rsidR="003F030C" w:rsidRPr="003F030C">
        <w:rPr>
          <w:color w:val="002F5D"/>
        </w:rPr>
        <w:t xml:space="preserve"> NHS Digital, April 2018</w:t>
      </w:r>
    </w:p>
    <w:p w14:paraId="52CD7EC5" w14:textId="77777777" w:rsidR="00FC0FF8" w:rsidRPr="0037351D" w:rsidRDefault="00FC0FF8" w:rsidP="00A917DC">
      <w:pPr>
        <w:spacing w:line="240" w:lineRule="auto"/>
        <w:rPr>
          <w:color w:val="FF0000"/>
        </w:rPr>
      </w:pPr>
    </w:p>
    <w:p w14:paraId="3085293A" w14:textId="77777777" w:rsidR="00FC0FF8" w:rsidRPr="003F030C" w:rsidRDefault="00FC0FF8" w:rsidP="00A917DC">
      <w:pPr>
        <w:spacing w:line="240" w:lineRule="auto"/>
        <w:rPr>
          <w:b/>
          <w:color w:val="002F5D"/>
        </w:rPr>
      </w:pPr>
      <w:r w:rsidRPr="003F030C">
        <w:rPr>
          <w:b/>
          <w:color w:val="002F5D"/>
        </w:rPr>
        <w:t>Key points:</w:t>
      </w:r>
    </w:p>
    <w:p w14:paraId="7F8B71DB" w14:textId="2EBFB7C9" w:rsidR="00BB2320" w:rsidRPr="003F030C" w:rsidRDefault="00BB2320" w:rsidP="00A05571">
      <w:pPr>
        <w:pStyle w:val="ListParagraph"/>
        <w:numPr>
          <w:ilvl w:val="0"/>
          <w:numId w:val="71"/>
        </w:numPr>
        <w:spacing w:line="240" w:lineRule="auto"/>
        <w:rPr>
          <w:color w:val="002F5D"/>
        </w:rPr>
      </w:pPr>
      <w:r w:rsidRPr="003F030C">
        <w:rPr>
          <w:color w:val="002F5D"/>
        </w:rPr>
        <w:t xml:space="preserve">In </w:t>
      </w:r>
      <w:r w:rsidR="003F030C" w:rsidRPr="003F030C">
        <w:rPr>
          <w:color w:val="002F5D"/>
        </w:rPr>
        <w:t>April 2018 approximately 96</w:t>
      </w:r>
      <w:r w:rsidRPr="003F030C">
        <w:rPr>
          <w:color w:val="002F5D"/>
        </w:rPr>
        <w:t xml:space="preserve">7,000 people were registered with Cambridgeshire and Peterborough CCG GP practices. </w:t>
      </w:r>
    </w:p>
    <w:p w14:paraId="239BCBF5" w14:textId="0CBE4906" w:rsidR="00BB2320" w:rsidRPr="003F030C" w:rsidRDefault="00BB2320" w:rsidP="00A05571">
      <w:pPr>
        <w:pStyle w:val="ListParagraph"/>
        <w:numPr>
          <w:ilvl w:val="0"/>
          <w:numId w:val="71"/>
        </w:numPr>
        <w:spacing w:line="240" w:lineRule="auto"/>
        <w:rPr>
          <w:color w:val="002F5D"/>
        </w:rPr>
      </w:pPr>
      <w:r w:rsidRPr="003F030C">
        <w:rPr>
          <w:color w:val="002F5D"/>
        </w:rPr>
        <w:t>18% of those registered were under 16 years of age. Peterborough was the area with the largest number and propor</w:t>
      </w:r>
      <w:r w:rsidR="0053031B">
        <w:rPr>
          <w:color w:val="002F5D"/>
        </w:rPr>
        <w:t>tion of under 16s registered (47,677</w:t>
      </w:r>
      <w:r w:rsidRPr="003F030C">
        <w:rPr>
          <w:color w:val="002F5D"/>
        </w:rPr>
        <w:t>, 22%).</w:t>
      </w:r>
    </w:p>
    <w:p w14:paraId="2AEC30F9" w14:textId="5F5BDD42" w:rsidR="00BB2320" w:rsidRPr="003F030C" w:rsidRDefault="00BB2320" w:rsidP="00A05571">
      <w:pPr>
        <w:pStyle w:val="ListParagraph"/>
        <w:numPr>
          <w:ilvl w:val="0"/>
          <w:numId w:val="71"/>
        </w:numPr>
        <w:spacing w:line="240" w:lineRule="auto"/>
        <w:rPr>
          <w:color w:val="002F5D"/>
        </w:rPr>
      </w:pPr>
      <w:r w:rsidRPr="003F030C">
        <w:rPr>
          <w:color w:val="002F5D"/>
        </w:rPr>
        <w:t xml:space="preserve">16% of those registered were 65 and over. Huntingdonshire had the largest </w:t>
      </w:r>
      <w:r w:rsidR="0053031B">
        <w:rPr>
          <w:color w:val="002F5D"/>
        </w:rPr>
        <w:t>number of 65+ registered (34,00</w:t>
      </w:r>
      <w:r w:rsidR="003F030C" w:rsidRPr="003F030C">
        <w:rPr>
          <w:color w:val="002F5D"/>
        </w:rPr>
        <w:t>9</w:t>
      </w:r>
      <w:r w:rsidRPr="003F030C">
        <w:rPr>
          <w:color w:val="002F5D"/>
        </w:rPr>
        <w:t>), but East Northamptonshire had the largest proportion of 65+ registered.</w:t>
      </w:r>
      <w:r w:rsidR="000A03FC">
        <w:rPr>
          <w:color w:val="002F5D"/>
        </w:rPr>
        <w:t xml:space="preserve">   Note: East Northamptonshire data only relates to the Cambridgeshire and Peterborough registered population resident in East Northamptonshire.</w:t>
      </w:r>
    </w:p>
    <w:p w14:paraId="421F986C" w14:textId="77777777" w:rsidR="00FC0FF8" w:rsidRPr="0037351D" w:rsidRDefault="00FC0FF8" w:rsidP="007968EE">
      <w:pPr>
        <w:rPr>
          <w:color w:val="FF0000"/>
        </w:rPr>
      </w:pPr>
    </w:p>
    <w:p w14:paraId="51274A83" w14:textId="77777777" w:rsidR="004A15CD" w:rsidRPr="0037351D" w:rsidRDefault="004A15CD" w:rsidP="007968EE">
      <w:pPr>
        <w:rPr>
          <w:color w:val="FF0000"/>
        </w:rPr>
      </w:pPr>
    </w:p>
    <w:p w14:paraId="6B627747" w14:textId="77777777" w:rsidR="006B6E8F" w:rsidRPr="0037351D" w:rsidRDefault="006B6E8F" w:rsidP="00A3568F">
      <w:pPr>
        <w:pStyle w:val="JSNA3"/>
      </w:pPr>
      <w:bookmarkStart w:id="724" w:name="_Toc492908648"/>
      <w:bookmarkStart w:id="725" w:name="_Toc4407830"/>
      <w:r w:rsidRPr="0037351D">
        <w:t>Population forecasts: background to short, medium and long term forecasts to 2036</w:t>
      </w:r>
      <w:bookmarkEnd w:id="724"/>
      <w:bookmarkEnd w:id="725"/>
    </w:p>
    <w:p w14:paraId="3B86CA04" w14:textId="77777777" w:rsidR="006B6E8F" w:rsidRPr="0037351D" w:rsidRDefault="006B6E8F" w:rsidP="006B6E8F">
      <w:pPr>
        <w:spacing w:line="240" w:lineRule="auto"/>
        <w:rPr>
          <w:rFonts w:cs="Arial"/>
          <w:b/>
          <w:color w:val="FF0000"/>
        </w:rPr>
      </w:pPr>
    </w:p>
    <w:p w14:paraId="3D00D298" w14:textId="77777777" w:rsidR="006B6E8F" w:rsidRPr="0039657F" w:rsidRDefault="006B6E8F" w:rsidP="006B6E8F">
      <w:pPr>
        <w:spacing w:line="240" w:lineRule="auto"/>
        <w:rPr>
          <w:rFonts w:cs="Arial"/>
          <w:b/>
          <w:color w:val="002F5D"/>
          <w:u w:val="single"/>
        </w:rPr>
      </w:pPr>
      <w:r w:rsidRPr="0039657F">
        <w:rPr>
          <w:rFonts w:cs="Arial"/>
          <w:b/>
          <w:color w:val="002F5D"/>
          <w:u w:val="single"/>
        </w:rPr>
        <w:t xml:space="preserve">IMPORTANT NOTE REGARDING USE OF </w:t>
      </w:r>
      <w:r w:rsidR="001F77B4" w:rsidRPr="0039657F">
        <w:rPr>
          <w:rFonts w:cs="Arial"/>
          <w:b/>
          <w:color w:val="002F5D"/>
          <w:u w:val="single"/>
        </w:rPr>
        <w:t xml:space="preserve">RESIDENT BASED </w:t>
      </w:r>
      <w:r w:rsidRPr="0039657F">
        <w:rPr>
          <w:rFonts w:cs="Arial"/>
          <w:b/>
          <w:color w:val="002F5D"/>
          <w:u w:val="single"/>
        </w:rPr>
        <w:t>POPULATION FORECASTS AND PROJECTIONS</w:t>
      </w:r>
    </w:p>
    <w:p w14:paraId="639BF492" w14:textId="77777777" w:rsidR="006B6E8F" w:rsidRPr="0039657F" w:rsidRDefault="006B6E8F" w:rsidP="006B6E8F">
      <w:pPr>
        <w:spacing w:line="240" w:lineRule="auto"/>
        <w:rPr>
          <w:rFonts w:cs="Arial"/>
          <w:color w:val="002F5D"/>
        </w:rPr>
      </w:pPr>
    </w:p>
    <w:p w14:paraId="71027FB2" w14:textId="77777777" w:rsidR="006B6E8F" w:rsidRPr="0039657F" w:rsidRDefault="006B6E8F" w:rsidP="006B6E8F">
      <w:pPr>
        <w:spacing w:line="240" w:lineRule="auto"/>
        <w:rPr>
          <w:rFonts w:cs="Arial"/>
          <w:color w:val="002F5D"/>
        </w:rPr>
      </w:pPr>
      <w:r w:rsidRPr="0039657F">
        <w:rPr>
          <w:rFonts w:cs="Arial"/>
          <w:color w:val="002F5D"/>
        </w:rPr>
        <w:t xml:space="preserve">In using the following </w:t>
      </w:r>
      <w:r w:rsidRPr="0039657F">
        <w:rPr>
          <w:rFonts w:cs="Arial"/>
          <w:b/>
          <w:color w:val="002F5D"/>
        </w:rPr>
        <w:t>locally-produced</w:t>
      </w:r>
      <w:r w:rsidRPr="0039657F">
        <w:rPr>
          <w:rFonts w:cs="Arial"/>
          <w:color w:val="002F5D"/>
        </w:rPr>
        <w:t xml:space="preserve"> demographic forecasts of future population growth </w:t>
      </w:r>
      <w:r w:rsidRPr="0039657F">
        <w:rPr>
          <w:rFonts w:cs="Arial"/>
          <w:b/>
          <w:color w:val="002F5D"/>
        </w:rPr>
        <w:t>from CCC’s Research Group</w:t>
      </w:r>
      <w:r w:rsidRPr="0039657F">
        <w:rPr>
          <w:rFonts w:cs="Arial"/>
          <w:color w:val="002F5D"/>
        </w:rPr>
        <w:t xml:space="preserve"> it is important to understand that they are led by </w:t>
      </w:r>
      <w:r w:rsidRPr="0039657F">
        <w:rPr>
          <w:rFonts w:cs="Arial"/>
          <w:b/>
          <w:color w:val="002F5D"/>
        </w:rPr>
        <w:t>planned levels of house-building</w:t>
      </w:r>
      <w:r w:rsidRPr="0039657F">
        <w:rPr>
          <w:rFonts w:cs="Arial"/>
          <w:color w:val="002F5D"/>
        </w:rPr>
        <w:t xml:space="preserve">. </w:t>
      </w:r>
    </w:p>
    <w:p w14:paraId="07E9B6C5" w14:textId="77777777" w:rsidR="006B6E8F" w:rsidRPr="0039657F" w:rsidRDefault="006B6E8F" w:rsidP="006B6E8F">
      <w:pPr>
        <w:spacing w:line="240" w:lineRule="auto"/>
        <w:rPr>
          <w:rFonts w:cs="Arial"/>
          <w:color w:val="002F5D"/>
        </w:rPr>
      </w:pPr>
      <w:r w:rsidRPr="0039657F">
        <w:rPr>
          <w:rFonts w:cs="Arial"/>
          <w:color w:val="002F5D"/>
        </w:rPr>
        <w:t>In contrast, n</w:t>
      </w:r>
      <w:r w:rsidRPr="0039657F">
        <w:rPr>
          <w:rFonts w:cs="Arial"/>
          <w:b/>
          <w:color w:val="002F5D"/>
        </w:rPr>
        <w:t>ationally produced ONS projections</w:t>
      </w:r>
      <w:r w:rsidRPr="0039657F">
        <w:rPr>
          <w:rFonts w:cs="Arial"/>
          <w:color w:val="002F5D"/>
        </w:rPr>
        <w:t xml:space="preserve"> of future population growth use </w:t>
      </w:r>
      <w:r w:rsidRPr="0039657F">
        <w:rPr>
          <w:rFonts w:cs="Arial"/>
          <w:b/>
          <w:color w:val="002F5D"/>
        </w:rPr>
        <w:t>trends in previous levels of house-building</w:t>
      </w:r>
      <w:r w:rsidRPr="0039657F">
        <w:rPr>
          <w:rFonts w:cs="Arial"/>
          <w:color w:val="002F5D"/>
        </w:rPr>
        <w:t>.  Both CCC Research Group forecasts and ONS projections take into account births, deaths and migration.</w:t>
      </w:r>
    </w:p>
    <w:p w14:paraId="2C1554A5" w14:textId="77777777" w:rsidR="006B6E8F" w:rsidRPr="0039657F" w:rsidRDefault="006B6E8F" w:rsidP="006B6E8F">
      <w:pPr>
        <w:spacing w:line="240" w:lineRule="auto"/>
        <w:rPr>
          <w:rFonts w:cs="Arial"/>
          <w:color w:val="002F5D"/>
        </w:rPr>
      </w:pPr>
    </w:p>
    <w:p w14:paraId="495D16CE" w14:textId="77777777" w:rsidR="006B6E8F" w:rsidRPr="0039657F" w:rsidRDefault="006B6E8F" w:rsidP="006B6E8F">
      <w:pPr>
        <w:spacing w:line="240" w:lineRule="auto"/>
        <w:rPr>
          <w:rFonts w:cs="Arial"/>
          <w:color w:val="002F5D"/>
        </w:rPr>
      </w:pPr>
      <w:r w:rsidRPr="0039657F">
        <w:rPr>
          <w:rFonts w:cs="Arial"/>
          <w:color w:val="002F5D"/>
        </w:rPr>
        <w:t xml:space="preserve">Therefore, the most </w:t>
      </w:r>
      <w:r w:rsidRPr="0039657F">
        <w:rPr>
          <w:rFonts w:cs="Arial"/>
          <w:b/>
          <w:color w:val="002F5D"/>
        </w:rPr>
        <w:t xml:space="preserve">material differences </w:t>
      </w:r>
      <w:r w:rsidRPr="0039657F">
        <w:rPr>
          <w:rFonts w:cs="Arial"/>
          <w:color w:val="002F5D"/>
        </w:rPr>
        <w:t>between the CCCRG and ONS predictions of population growth</w:t>
      </w:r>
      <w:r w:rsidRPr="0039657F">
        <w:rPr>
          <w:rFonts w:cs="Arial"/>
          <w:b/>
          <w:color w:val="002F5D"/>
        </w:rPr>
        <w:t xml:space="preserve"> </w:t>
      </w:r>
      <w:r w:rsidRPr="0039657F">
        <w:rPr>
          <w:rFonts w:cs="Arial"/>
          <w:color w:val="002F5D"/>
        </w:rPr>
        <w:t xml:space="preserve"> tend to be in areas where house-building has occurred and has been above or below previous trends, in areas where there has been no or little previous large-scale house-building or where planned housing is at levels radically above recent trends. The </w:t>
      </w:r>
      <w:r w:rsidRPr="0039657F">
        <w:rPr>
          <w:rFonts w:cs="Arial"/>
          <w:b/>
          <w:color w:val="002F5D"/>
        </w:rPr>
        <w:t>differences</w:t>
      </w:r>
      <w:r w:rsidRPr="0039657F">
        <w:rPr>
          <w:rFonts w:cs="Arial"/>
          <w:color w:val="002F5D"/>
        </w:rPr>
        <w:t xml:space="preserve"> are </w:t>
      </w:r>
      <w:r w:rsidRPr="0039657F">
        <w:rPr>
          <w:rFonts w:cs="Arial"/>
          <w:b/>
          <w:color w:val="002F5D"/>
        </w:rPr>
        <w:t>more marked</w:t>
      </w:r>
      <w:r w:rsidRPr="0039657F">
        <w:rPr>
          <w:rFonts w:cs="Arial"/>
          <w:color w:val="002F5D"/>
        </w:rPr>
        <w:t xml:space="preserve"> for the </w:t>
      </w:r>
      <w:r w:rsidRPr="0039657F">
        <w:rPr>
          <w:rFonts w:cs="Arial"/>
          <w:b/>
          <w:color w:val="002F5D"/>
        </w:rPr>
        <w:t>child and working age</w:t>
      </w:r>
      <w:r w:rsidRPr="0039657F">
        <w:rPr>
          <w:rFonts w:cs="Arial"/>
          <w:color w:val="002F5D"/>
        </w:rPr>
        <w:t xml:space="preserve"> population groups than in the </w:t>
      </w:r>
      <w:r w:rsidRPr="0039657F">
        <w:rPr>
          <w:rFonts w:cs="Arial"/>
          <w:b/>
          <w:color w:val="002F5D"/>
        </w:rPr>
        <w:t>older age</w:t>
      </w:r>
      <w:r w:rsidRPr="0039657F">
        <w:rPr>
          <w:rFonts w:cs="Arial"/>
          <w:color w:val="002F5D"/>
        </w:rPr>
        <w:t xml:space="preserve"> groups.</w:t>
      </w:r>
    </w:p>
    <w:p w14:paraId="1340C703" w14:textId="77777777" w:rsidR="006B6E8F" w:rsidRPr="0039657F" w:rsidRDefault="006B6E8F" w:rsidP="006B6E8F">
      <w:pPr>
        <w:spacing w:line="240" w:lineRule="auto"/>
        <w:rPr>
          <w:rFonts w:cs="Arial"/>
          <w:color w:val="002F5D"/>
        </w:rPr>
      </w:pPr>
    </w:p>
    <w:p w14:paraId="371F8054" w14:textId="77777777" w:rsidR="006B6E8F" w:rsidRPr="0039657F" w:rsidRDefault="006B6E8F" w:rsidP="006B6E8F">
      <w:pPr>
        <w:spacing w:line="240" w:lineRule="auto"/>
        <w:rPr>
          <w:rFonts w:cs="Arial"/>
          <w:color w:val="002F5D"/>
        </w:rPr>
      </w:pPr>
      <w:r w:rsidRPr="0039657F">
        <w:rPr>
          <w:rFonts w:cs="Arial"/>
          <w:color w:val="002F5D"/>
        </w:rPr>
        <w:t xml:space="preserve">Future population change is strongly linked to local </w:t>
      </w:r>
      <w:r w:rsidRPr="0039657F">
        <w:rPr>
          <w:rFonts w:cs="Arial"/>
          <w:b/>
          <w:color w:val="002F5D"/>
        </w:rPr>
        <w:t>planning policy</w:t>
      </w:r>
      <w:r w:rsidRPr="0039657F">
        <w:rPr>
          <w:rFonts w:cs="Arial"/>
          <w:color w:val="002F5D"/>
        </w:rPr>
        <w:t xml:space="preserve">, especially in the </w:t>
      </w:r>
      <w:r w:rsidRPr="0039657F">
        <w:rPr>
          <w:rFonts w:cs="Arial"/>
          <w:b/>
          <w:color w:val="002F5D"/>
        </w:rPr>
        <w:t>shorter term</w:t>
      </w:r>
      <w:r w:rsidRPr="0039657F">
        <w:rPr>
          <w:rFonts w:cs="Arial"/>
          <w:color w:val="002F5D"/>
        </w:rPr>
        <w:t xml:space="preserve">. Therefore, this section is largely based on the </w:t>
      </w:r>
      <w:r w:rsidRPr="0039657F">
        <w:rPr>
          <w:rFonts w:cs="Arial"/>
          <w:b/>
          <w:color w:val="002F5D"/>
        </w:rPr>
        <w:t>CCC Research Group’s planning policy led population forecasts</w:t>
      </w:r>
      <w:r w:rsidRPr="0039657F">
        <w:rPr>
          <w:rFonts w:cs="Arial"/>
          <w:color w:val="002F5D"/>
        </w:rPr>
        <w:t xml:space="preserve"> to </w:t>
      </w:r>
      <w:r w:rsidRPr="0039657F">
        <w:rPr>
          <w:rFonts w:cs="Arial"/>
          <w:b/>
          <w:color w:val="002F5D"/>
        </w:rPr>
        <w:t>2026</w:t>
      </w:r>
      <w:r w:rsidRPr="0039657F">
        <w:rPr>
          <w:rFonts w:cs="Arial"/>
          <w:color w:val="002F5D"/>
        </w:rPr>
        <w:t xml:space="preserve"> rather than </w:t>
      </w:r>
      <w:r w:rsidRPr="0039657F">
        <w:rPr>
          <w:rFonts w:cs="Arial"/>
          <w:b/>
          <w:color w:val="002F5D"/>
        </w:rPr>
        <w:t>trend-based</w:t>
      </w:r>
      <w:r w:rsidRPr="0039657F">
        <w:rPr>
          <w:rFonts w:cs="Arial"/>
          <w:color w:val="002F5D"/>
        </w:rPr>
        <w:t xml:space="preserve"> population projections from the </w:t>
      </w:r>
      <w:r w:rsidRPr="0039657F">
        <w:rPr>
          <w:rFonts w:cs="Arial"/>
          <w:b/>
          <w:color w:val="002F5D"/>
        </w:rPr>
        <w:t>Office for National Statistics (ONS)</w:t>
      </w:r>
      <w:r w:rsidRPr="0039657F">
        <w:rPr>
          <w:rFonts w:cs="Arial"/>
          <w:color w:val="002F5D"/>
        </w:rPr>
        <w:t xml:space="preserve">. This is because there are </w:t>
      </w:r>
      <w:r w:rsidRPr="0039657F">
        <w:rPr>
          <w:rFonts w:cs="Arial"/>
          <w:b/>
          <w:color w:val="002F5D"/>
        </w:rPr>
        <w:t>significant large local developments</w:t>
      </w:r>
      <w:r w:rsidRPr="0039657F">
        <w:rPr>
          <w:rFonts w:cs="Arial"/>
          <w:color w:val="002F5D"/>
        </w:rPr>
        <w:t xml:space="preserve">, such as </w:t>
      </w:r>
      <w:r w:rsidRPr="0039657F">
        <w:rPr>
          <w:rFonts w:cs="Arial"/>
          <w:b/>
          <w:color w:val="002F5D"/>
        </w:rPr>
        <w:t>Northstowe</w:t>
      </w:r>
      <w:r w:rsidRPr="0039657F">
        <w:rPr>
          <w:rFonts w:cs="Arial"/>
          <w:color w:val="002F5D"/>
        </w:rPr>
        <w:t xml:space="preserve">, that are likely to impact on </w:t>
      </w:r>
      <w:r w:rsidRPr="0039657F">
        <w:rPr>
          <w:rFonts w:cs="Arial"/>
          <w:b/>
          <w:color w:val="002F5D"/>
        </w:rPr>
        <w:t>service planning and commissioning</w:t>
      </w:r>
      <w:r w:rsidRPr="0039657F">
        <w:rPr>
          <w:rFonts w:cs="Arial"/>
          <w:color w:val="002F5D"/>
        </w:rPr>
        <w:t xml:space="preserve"> in the relatively </w:t>
      </w:r>
      <w:r w:rsidRPr="0039657F">
        <w:rPr>
          <w:rFonts w:cs="Arial"/>
          <w:b/>
          <w:color w:val="002F5D"/>
        </w:rPr>
        <w:t>shorter term</w:t>
      </w:r>
      <w:r w:rsidRPr="0039657F">
        <w:rPr>
          <w:rFonts w:cs="Arial"/>
          <w:color w:val="002F5D"/>
        </w:rPr>
        <w:t xml:space="preserve"> timeframe of the </w:t>
      </w:r>
      <w:r w:rsidRPr="0039657F">
        <w:rPr>
          <w:rFonts w:cs="Arial"/>
          <w:b/>
          <w:color w:val="002F5D"/>
        </w:rPr>
        <w:t>JSNA</w:t>
      </w:r>
      <w:r w:rsidRPr="0039657F">
        <w:rPr>
          <w:rFonts w:cs="Arial"/>
          <w:color w:val="002F5D"/>
        </w:rPr>
        <w:t>.</w:t>
      </w:r>
    </w:p>
    <w:p w14:paraId="4E8ADFDF" w14:textId="77777777" w:rsidR="006B6E8F" w:rsidRPr="0039657F" w:rsidRDefault="006B6E8F" w:rsidP="006B6E8F">
      <w:pPr>
        <w:spacing w:line="240" w:lineRule="auto"/>
        <w:rPr>
          <w:rFonts w:cs="Arial"/>
          <w:color w:val="002F5D"/>
        </w:rPr>
      </w:pPr>
    </w:p>
    <w:p w14:paraId="40BB412F" w14:textId="77777777" w:rsidR="006B6E8F" w:rsidRPr="0039657F" w:rsidRDefault="006B6E8F" w:rsidP="006B6E8F">
      <w:pPr>
        <w:spacing w:line="240" w:lineRule="auto"/>
        <w:rPr>
          <w:rFonts w:cs="Arial"/>
          <w:color w:val="002F5D"/>
        </w:rPr>
      </w:pPr>
      <w:r w:rsidRPr="0039657F">
        <w:rPr>
          <w:rFonts w:cs="Arial"/>
          <w:color w:val="002F5D"/>
        </w:rPr>
        <w:lastRenderedPageBreak/>
        <w:t xml:space="preserve">However, as </w:t>
      </w:r>
      <w:r w:rsidRPr="0039657F">
        <w:rPr>
          <w:rFonts w:cs="Arial"/>
          <w:b/>
          <w:color w:val="002F5D"/>
        </w:rPr>
        <w:t>planning policy</w:t>
      </w:r>
      <w:r w:rsidRPr="0039657F">
        <w:rPr>
          <w:rFonts w:cs="Arial"/>
          <w:color w:val="002F5D"/>
        </w:rPr>
        <w:t xml:space="preserve"> is subject to potentially </w:t>
      </w:r>
      <w:r w:rsidRPr="0039657F">
        <w:rPr>
          <w:rFonts w:cs="Arial"/>
          <w:b/>
          <w:color w:val="002F5D"/>
        </w:rPr>
        <w:t>changing economic market conditions</w:t>
      </w:r>
      <w:r w:rsidRPr="0039657F">
        <w:rPr>
          <w:rFonts w:cs="Arial"/>
          <w:color w:val="002F5D"/>
        </w:rPr>
        <w:t xml:space="preserve"> and many organisations in Cambridgeshire receive national </w:t>
      </w:r>
      <w:r w:rsidRPr="0039657F">
        <w:rPr>
          <w:rFonts w:cs="Arial"/>
          <w:b/>
          <w:color w:val="002F5D"/>
        </w:rPr>
        <w:t>funding based on the ONS projections,</w:t>
      </w:r>
      <w:r w:rsidRPr="0039657F">
        <w:rPr>
          <w:rFonts w:cs="Arial"/>
          <w:color w:val="002F5D"/>
        </w:rPr>
        <w:t xml:space="preserve"> some </w:t>
      </w:r>
      <w:r w:rsidRPr="0039657F">
        <w:rPr>
          <w:rFonts w:cs="Arial"/>
          <w:b/>
          <w:color w:val="002F5D"/>
        </w:rPr>
        <w:t>comparison</w:t>
      </w:r>
      <w:r w:rsidRPr="0039657F">
        <w:rPr>
          <w:rFonts w:cs="Arial"/>
          <w:color w:val="002F5D"/>
        </w:rPr>
        <w:t xml:space="preserve"> of Research Group forecasts and ONS projections is included in the detailed sections below. The local forecasts, especially over longer period, tend to indicate </w:t>
      </w:r>
      <w:r w:rsidRPr="0039657F">
        <w:rPr>
          <w:rFonts w:cs="Arial"/>
          <w:b/>
          <w:color w:val="002F5D"/>
        </w:rPr>
        <w:t>higher levels</w:t>
      </w:r>
      <w:r w:rsidRPr="0039657F">
        <w:rPr>
          <w:rFonts w:cs="Arial"/>
          <w:color w:val="002F5D"/>
        </w:rPr>
        <w:t xml:space="preserve"> of population than the ONS projections.</w:t>
      </w:r>
    </w:p>
    <w:p w14:paraId="6AC07360" w14:textId="77777777" w:rsidR="006B6E8F" w:rsidRPr="0039657F" w:rsidRDefault="006B6E8F" w:rsidP="006B6E8F">
      <w:pPr>
        <w:spacing w:line="240" w:lineRule="auto"/>
        <w:rPr>
          <w:rFonts w:cs="Arial"/>
          <w:color w:val="002F5D"/>
        </w:rPr>
      </w:pPr>
    </w:p>
    <w:p w14:paraId="741718C4" w14:textId="1827F1E7" w:rsidR="006B6E8F" w:rsidRPr="0039657F" w:rsidRDefault="006B6E8F" w:rsidP="006B6E8F">
      <w:pPr>
        <w:spacing w:line="240" w:lineRule="auto"/>
        <w:rPr>
          <w:rFonts w:cs="Arial"/>
          <w:color w:val="002F5D"/>
        </w:rPr>
      </w:pPr>
      <w:r w:rsidRPr="0039657F">
        <w:rPr>
          <w:rFonts w:cs="Arial"/>
          <w:color w:val="002F5D"/>
        </w:rPr>
        <w:t xml:space="preserve">As stated, the </w:t>
      </w:r>
      <w:r w:rsidRPr="0039657F">
        <w:rPr>
          <w:rFonts w:cs="Arial"/>
          <w:b/>
          <w:color w:val="002F5D"/>
        </w:rPr>
        <w:t>Research Group’s</w:t>
      </w:r>
      <w:r w:rsidRPr="0039657F">
        <w:rPr>
          <w:rFonts w:cs="Arial"/>
          <w:color w:val="002F5D"/>
        </w:rPr>
        <w:t xml:space="preserve"> mid-2015 based </w:t>
      </w:r>
      <w:r w:rsidRPr="0039657F">
        <w:rPr>
          <w:rFonts w:cs="Arial"/>
          <w:b/>
          <w:color w:val="002F5D"/>
        </w:rPr>
        <w:t>planning policy led</w:t>
      </w:r>
      <w:r w:rsidRPr="0039657F">
        <w:rPr>
          <w:rFonts w:cs="Arial"/>
          <w:color w:val="002F5D"/>
        </w:rPr>
        <w:t xml:space="preserve"> forecasts rely on house building targets being achieved, as well as patterns of natural change and migration and are therefore subject to change.  They tend to be </w:t>
      </w:r>
      <w:r w:rsidRPr="0039657F">
        <w:rPr>
          <w:rFonts w:cs="Arial"/>
          <w:b/>
          <w:color w:val="002F5D"/>
        </w:rPr>
        <w:t>less reliable the further ahead they look</w:t>
      </w:r>
      <w:r w:rsidRPr="0039657F">
        <w:rPr>
          <w:rFonts w:cs="Arial"/>
          <w:color w:val="002F5D"/>
        </w:rPr>
        <w:t xml:space="preserve">. More information on the </w:t>
      </w:r>
      <w:r w:rsidRPr="0039657F">
        <w:rPr>
          <w:rFonts w:cs="Arial"/>
          <w:b/>
          <w:color w:val="002F5D"/>
        </w:rPr>
        <w:t>data modelling methodology</w:t>
      </w:r>
      <w:r w:rsidRPr="0039657F">
        <w:rPr>
          <w:rFonts w:cs="Arial"/>
          <w:color w:val="002F5D"/>
        </w:rPr>
        <w:t xml:space="preserve"> for the Research Group’s population forecasts can be found specifically at: </w:t>
      </w:r>
      <w:hyperlink r:id="rId37" w:history="1">
        <w:r w:rsidR="0090610B" w:rsidRPr="0039657F">
          <w:rPr>
            <w:rStyle w:val="Hyperlink"/>
            <w:rFonts w:cs="Arial"/>
            <w:color w:val="002F5D"/>
          </w:rPr>
          <w:t>http://cambridgeshire.wpengine.com/wp-content/uploads/2017/08/2015-Cambridgeshire-and-Peterborough-Population-and-Dwelling-Stock-Estimates-and-Forecasts-Methodology-Note.pdf</w:t>
        </w:r>
      </w:hyperlink>
      <w:r w:rsidR="0090610B" w:rsidRPr="0039657F">
        <w:rPr>
          <w:rFonts w:cs="Arial"/>
          <w:color w:val="002F5D"/>
        </w:rPr>
        <w:t>.</w:t>
      </w:r>
    </w:p>
    <w:p w14:paraId="351E10D0" w14:textId="06D15C79" w:rsidR="006B6E8F" w:rsidRPr="0039657F" w:rsidRDefault="0090610B" w:rsidP="006B6E8F">
      <w:pPr>
        <w:spacing w:line="240" w:lineRule="auto"/>
        <w:rPr>
          <w:rFonts w:cs="Arial"/>
          <w:color w:val="002F5D"/>
        </w:rPr>
      </w:pPr>
      <w:r w:rsidRPr="0039657F">
        <w:rPr>
          <w:rFonts w:cs="Arial"/>
          <w:color w:val="002F5D"/>
        </w:rPr>
        <w:t xml:space="preserve"> </w:t>
      </w:r>
    </w:p>
    <w:p w14:paraId="5D77CDE8" w14:textId="77777777" w:rsidR="006B6E8F" w:rsidRPr="0039657F" w:rsidRDefault="006B6E8F" w:rsidP="006B6E8F">
      <w:pPr>
        <w:spacing w:line="240" w:lineRule="auto"/>
        <w:rPr>
          <w:rFonts w:cs="Arial"/>
          <w:color w:val="002F5D"/>
        </w:rPr>
      </w:pPr>
      <w:r w:rsidRPr="0039657F">
        <w:rPr>
          <w:rFonts w:cs="Arial"/>
          <w:b/>
          <w:color w:val="002F5D"/>
        </w:rPr>
        <w:t>ONS projections are trend-based</w:t>
      </w:r>
      <w:r w:rsidRPr="0039657F">
        <w:rPr>
          <w:rFonts w:cs="Arial"/>
          <w:color w:val="002F5D"/>
        </w:rPr>
        <w:t xml:space="preserve">, meaning they assume that recent trends continue in the future. The ONS forecasts make no specific assumptions about the levels of house-building, however in general terms they implicitly assume that </w:t>
      </w:r>
      <w:r w:rsidRPr="0039657F">
        <w:rPr>
          <w:rFonts w:cs="Arial"/>
          <w:b/>
          <w:color w:val="002F5D"/>
        </w:rPr>
        <w:t>building continues on a similar level to recent years</w:t>
      </w:r>
      <w:r w:rsidRPr="0039657F">
        <w:rPr>
          <w:rFonts w:cs="Arial"/>
          <w:color w:val="002F5D"/>
        </w:rPr>
        <w:t>. They therefore do not take account of new housing developments in areas with low growth previously; similarly, they may over-estimate future growth in areas that had high levels of house-building in the past.</w:t>
      </w:r>
    </w:p>
    <w:p w14:paraId="58232F05" w14:textId="77777777" w:rsidR="006B6E8F" w:rsidRPr="0039657F" w:rsidRDefault="006B6E8F" w:rsidP="006B6E8F">
      <w:pPr>
        <w:spacing w:line="240" w:lineRule="auto"/>
        <w:rPr>
          <w:rFonts w:cs="Arial"/>
          <w:color w:val="002F5D"/>
        </w:rPr>
      </w:pPr>
    </w:p>
    <w:p w14:paraId="58CFC8AD" w14:textId="5BE7196D" w:rsidR="006B6E8F" w:rsidRPr="0039657F" w:rsidRDefault="006B6E8F" w:rsidP="006B6E8F">
      <w:pPr>
        <w:spacing w:line="240" w:lineRule="auto"/>
        <w:rPr>
          <w:rFonts w:cs="Arial"/>
          <w:color w:val="002F5D"/>
        </w:rPr>
      </w:pPr>
      <w:r w:rsidRPr="0039657F">
        <w:rPr>
          <w:rFonts w:cs="Arial"/>
          <w:color w:val="002F5D"/>
        </w:rPr>
        <w:t xml:space="preserve">The </w:t>
      </w:r>
      <w:r w:rsidRPr="0039657F">
        <w:rPr>
          <w:rFonts w:cs="Arial"/>
          <w:b/>
          <w:color w:val="002F5D"/>
        </w:rPr>
        <w:t>ONS</w:t>
      </w:r>
      <w:r w:rsidRPr="0039657F">
        <w:rPr>
          <w:rFonts w:cs="Arial"/>
          <w:color w:val="002F5D"/>
        </w:rPr>
        <w:t xml:space="preserve"> population projections are </w:t>
      </w:r>
      <w:r w:rsidRPr="0039657F">
        <w:rPr>
          <w:rFonts w:cs="Arial"/>
          <w:b/>
          <w:color w:val="002F5D"/>
        </w:rPr>
        <w:t>201</w:t>
      </w:r>
      <w:r w:rsidR="00105E40">
        <w:rPr>
          <w:rFonts w:cs="Arial"/>
          <w:b/>
          <w:color w:val="002F5D"/>
        </w:rPr>
        <w:t>6</w:t>
      </w:r>
      <w:r w:rsidRPr="0039657F">
        <w:rPr>
          <w:rFonts w:cs="Arial"/>
          <w:b/>
          <w:color w:val="002F5D"/>
        </w:rPr>
        <w:t>-based</w:t>
      </w:r>
      <w:r w:rsidRPr="0039657F">
        <w:rPr>
          <w:rFonts w:cs="Arial"/>
          <w:color w:val="002F5D"/>
        </w:rPr>
        <w:t>, which means that they project forward from ONS’s population estimates for 201</w:t>
      </w:r>
      <w:r w:rsidR="00105E40">
        <w:rPr>
          <w:rFonts w:cs="Arial"/>
          <w:color w:val="002F5D"/>
        </w:rPr>
        <w:t>6</w:t>
      </w:r>
      <w:r w:rsidRPr="0039657F">
        <w:rPr>
          <w:rFonts w:cs="Arial"/>
          <w:color w:val="002F5D"/>
        </w:rPr>
        <w:t xml:space="preserve">, whereas </w:t>
      </w:r>
      <w:r w:rsidRPr="0039657F">
        <w:rPr>
          <w:rFonts w:cs="Arial"/>
          <w:b/>
          <w:color w:val="002F5D"/>
        </w:rPr>
        <w:t>CCC Research Group’s</w:t>
      </w:r>
      <w:r w:rsidRPr="0039657F">
        <w:rPr>
          <w:rFonts w:cs="Arial"/>
          <w:color w:val="002F5D"/>
        </w:rPr>
        <w:t xml:space="preserve"> population forecasts are </w:t>
      </w:r>
      <w:r w:rsidRPr="0039657F">
        <w:rPr>
          <w:rFonts w:cs="Arial"/>
          <w:b/>
          <w:color w:val="002F5D"/>
        </w:rPr>
        <w:t>2015-based</w:t>
      </w:r>
      <w:r w:rsidRPr="0039657F">
        <w:rPr>
          <w:rFonts w:cs="Arial"/>
          <w:color w:val="002F5D"/>
        </w:rPr>
        <w:t xml:space="preserve">, using 2015-based population estimates as the starting point, so </w:t>
      </w:r>
      <w:r w:rsidR="00105E40">
        <w:rPr>
          <w:rFonts w:cs="Arial"/>
          <w:b/>
          <w:color w:val="002F5D"/>
        </w:rPr>
        <w:t>ONS’</w:t>
      </w:r>
      <w:r w:rsidRPr="0039657F">
        <w:rPr>
          <w:rFonts w:cs="Arial"/>
          <w:b/>
          <w:color w:val="002F5D"/>
        </w:rPr>
        <w:t xml:space="preserve"> forecasts are more up-to-date</w:t>
      </w:r>
      <w:r w:rsidRPr="0039657F">
        <w:rPr>
          <w:rFonts w:cs="Arial"/>
          <w:color w:val="002F5D"/>
        </w:rPr>
        <w:t>.</w:t>
      </w:r>
    </w:p>
    <w:p w14:paraId="36528A56" w14:textId="77777777" w:rsidR="006B6E8F" w:rsidRPr="0039657F" w:rsidRDefault="006B6E8F" w:rsidP="006B6E8F">
      <w:pPr>
        <w:spacing w:line="240" w:lineRule="auto"/>
        <w:rPr>
          <w:rFonts w:cs="Arial"/>
          <w:color w:val="002F5D"/>
        </w:rPr>
      </w:pPr>
    </w:p>
    <w:p w14:paraId="1791D7E4" w14:textId="77777777" w:rsidR="006B6E8F" w:rsidRPr="0039657F" w:rsidRDefault="006B6E8F" w:rsidP="006B6E8F">
      <w:pPr>
        <w:spacing w:line="240" w:lineRule="auto"/>
        <w:rPr>
          <w:rFonts w:cs="Arial"/>
          <w:color w:val="002F5D"/>
        </w:rPr>
      </w:pPr>
      <w:r w:rsidRPr="0039657F">
        <w:rPr>
          <w:rFonts w:cs="Arial"/>
          <w:color w:val="002F5D"/>
        </w:rPr>
        <w:t>If required, further details can be accessed as follows:</w:t>
      </w:r>
    </w:p>
    <w:p w14:paraId="511406B7" w14:textId="77777777" w:rsidR="006B6E8F" w:rsidRPr="0039657F" w:rsidRDefault="006B6E8F" w:rsidP="006B6E8F">
      <w:pPr>
        <w:spacing w:line="240" w:lineRule="auto"/>
        <w:rPr>
          <w:rFonts w:cs="Arial"/>
          <w:color w:val="002F5D"/>
        </w:rPr>
      </w:pPr>
    </w:p>
    <w:p w14:paraId="08527FDD" w14:textId="77777777" w:rsidR="006B6E8F" w:rsidRPr="0039657F" w:rsidRDefault="006B6E8F" w:rsidP="006B6E8F">
      <w:pPr>
        <w:spacing w:line="240" w:lineRule="auto"/>
        <w:rPr>
          <w:rFonts w:cs="Arial"/>
          <w:color w:val="002F5D"/>
        </w:rPr>
      </w:pPr>
      <w:r w:rsidRPr="0039657F">
        <w:rPr>
          <w:rFonts w:cs="Arial"/>
          <w:b/>
          <w:color w:val="002F5D"/>
        </w:rPr>
        <w:t>ONS</w:t>
      </w:r>
      <w:r w:rsidRPr="0039657F">
        <w:rPr>
          <w:rFonts w:cs="Arial"/>
          <w:color w:val="002F5D"/>
        </w:rPr>
        <w:t xml:space="preserve"> projections: </w:t>
      </w:r>
      <w:hyperlink r:id="rId38" w:history="1">
        <w:r w:rsidRPr="0039657F">
          <w:rPr>
            <w:rStyle w:val="Hyperlink"/>
            <w:rFonts w:cs="Arial"/>
            <w:color w:val="002F5D"/>
          </w:rPr>
          <w:t>https://www.ons.gov.uk/peoplepopulationandcommunity/populationandmigration/populationprojections</w:t>
        </w:r>
      </w:hyperlink>
      <w:r w:rsidRPr="0039657F">
        <w:rPr>
          <w:rStyle w:val="Hyperlink"/>
          <w:rFonts w:cs="Arial"/>
          <w:color w:val="002F5D"/>
        </w:rPr>
        <w:t>.</w:t>
      </w:r>
    </w:p>
    <w:p w14:paraId="5FFFEB8B" w14:textId="77777777" w:rsidR="006B6E8F" w:rsidRPr="0039657F" w:rsidRDefault="006B6E8F" w:rsidP="006B6E8F">
      <w:pPr>
        <w:rPr>
          <w:rStyle w:val="Hyperlink"/>
          <w:rFonts w:cs="Arial"/>
          <w:b/>
          <w:color w:val="002F5D"/>
          <w:u w:val="none"/>
        </w:rPr>
      </w:pPr>
    </w:p>
    <w:p w14:paraId="77FC1E6A" w14:textId="768E8075" w:rsidR="006B6E8F" w:rsidRPr="0037351D" w:rsidRDefault="006B6E8F" w:rsidP="006B6E8F">
      <w:pPr>
        <w:rPr>
          <w:rFonts w:eastAsiaTheme="majorEastAsia" w:cstheme="majorBidi"/>
          <w:b/>
          <w:color w:val="FF0000"/>
        </w:rPr>
      </w:pPr>
      <w:r w:rsidRPr="0039657F">
        <w:rPr>
          <w:rStyle w:val="Hyperlink"/>
          <w:rFonts w:cs="Arial"/>
          <w:b/>
          <w:color w:val="002F5D"/>
          <w:u w:val="none"/>
        </w:rPr>
        <w:t>Research Group</w:t>
      </w:r>
      <w:r w:rsidRPr="0039657F">
        <w:rPr>
          <w:rStyle w:val="Hyperlink"/>
          <w:rFonts w:cs="Arial"/>
          <w:color w:val="002F5D"/>
          <w:u w:val="none"/>
        </w:rPr>
        <w:t xml:space="preserve"> forecasts</w:t>
      </w:r>
      <w:r w:rsidR="006E313E" w:rsidRPr="0039657F">
        <w:rPr>
          <w:rStyle w:val="Hyperlink"/>
          <w:rFonts w:cs="Arial"/>
          <w:color w:val="002F5D"/>
          <w:u w:val="none"/>
        </w:rPr>
        <w:t xml:space="preserve"> at</w:t>
      </w:r>
      <w:r w:rsidRPr="0039657F">
        <w:rPr>
          <w:rStyle w:val="Hyperlink"/>
          <w:rFonts w:cs="Arial"/>
          <w:color w:val="002F5D"/>
          <w:u w:val="none"/>
        </w:rPr>
        <w:t xml:space="preserve"> </w:t>
      </w:r>
      <w:hyperlink r:id="rId39" w:history="1">
        <w:r w:rsidR="006E313E" w:rsidRPr="0039657F">
          <w:rPr>
            <w:rStyle w:val="Hyperlink"/>
            <w:rFonts w:cs="Arial"/>
            <w:color w:val="002F5D"/>
          </w:rPr>
          <w:t>https://cambridgeshireinsight.org.uk/population/</w:t>
        </w:r>
      </w:hyperlink>
      <w:r w:rsidR="006E313E" w:rsidRPr="00EC675D">
        <w:rPr>
          <w:rStyle w:val="Hyperlink"/>
          <w:rFonts w:cs="Arial"/>
          <w:color w:val="002F5D"/>
          <w:u w:val="none"/>
        </w:rPr>
        <w:t>.</w:t>
      </w:r>
      <w:r w:rsidRPr="0037351D">
        <w:rPr>
          <w:color w:val="FF0000"/>
        </w:rPr>
        <w:br w:type="page"/>
      </w:r>
    </w:p>
    <w:p w14:paraId="1E27D06E" w14:textId="77777777" w:rsidR="006B6E8F" w:rsidRPr="0037351D" w:rsidRDefault="006B6E8F" w:rsidP="00A3568F">
      <w:pPr>
        <w:pStyle w:val="JSNA3"/>
      </w:pPr>
      <w:bookmarkStart w:id="726" w:name="_Toc492908649"/>
      <w:bookmarkStart w:id="727" w:name="_Toc4407831"/>
      <w:r w:rsidRPr="0037351D">
        <w:lastRenderedPageBreak/>
        <w:t>Population forecasts: CCC Research Group and ONS long term forecasts to 2036</w:t>
      </w:r>
      <w:bookmarkEnd w:id="726"/>
      <w:bookmarkEnd w:id="727"/>
    </w:p>
    <w:p w14:paraId="7873D29D" w14:textId="77777777" w:rsidR="006B6E8F" w:rsidRPr="0039657F" w:rsidRDefault="006B6E8F" w:rsidP="006B6E8F">
      <w:pPr>
        <w:spacing w:line="240" w:lineRule="auto"/>
        <w:rPr>
          <w:rFonts w:cs="Arial"/>
          <w:b/>
          <w:color w:val="002F5D"/>
        </w:rPr>
      </w:pPr>
    </w:p>
    <w:p w14:paraId="0E63DC41" w14:textId="70064E9B" w:rsidR="006B6E8F" w:rsidRPr="0039657F" w:rsidRDefault="00CD501F" w:rsidP="00CD501F">
      <w:pPr>
        <w:pStyle w:val="Caption"/>
        <w:rPr>
          <w:rFonts w:cs="Arial"/>
          <w:color w:val="002F5D"/>
        </w:rPr>
      </w:pPr>
      <w:r w:rsidRPr="0039657F">
        <w:rPr>
          <w:b/>
          <w:color w:val="002F5D"/>
        </w:rPr>
        <w:t xml:space="preserve">Table </w:t>
      </w:r>
      <w:r w:rsidRPr="0039657F">
        <w:rPr>
          <w:b/>
          <w:color w:val="002F5D"/>
        </w:rPr>
        <w:fldChar w:fldCharType="begin"/>
      </w:r>
      <w:r w:rsidRPr="0039657F">
        <w:rPr>
          <w:b/>
          <w:color w:val="002F5D"/>
        </w:rPr>
        <w:instrText xml:space="preserve"> SEQ Table \* ARABIC </w:instrText>
      </w:r>
      <w:r w:rsidRPr="0039657F">
        <w:rPr>
          <w:b/>
          <w:color w:val="002F5D"/>
        </w:rPr>
        <w:fldChar w:fldCharType="separate"/>
      </w:r>
      <w:r w:rsidR="00E80CFE">
        <w:rPr>
          <w:b/>
          <w:noProof/>
          <w:color w:val="002F5D"/>
        </w:rPr>
        <w:t>6</w:t>
      </w:r>
      <w:r w:rsidRPr="0039657F">
        <w:rPr>
          <w:b/>
          <w:color w:val="002F5D"/>
        </w:rPr>
        <w:fldChar w:fldCharType="end"/>
      </w:r>
      <w:r w:rsidRPr="0039657F">
        <w:rPr>
          <w:b/>
          <w:color w:val="002F5D"/>
        </w:rPr>
        <w:t>.</w:t>
      </w:r>
      <w:r w:rsidRPr="0039657F">
        <w:rPr>
          <w:color w:val="002F5D"/>
        </w:rPr>
        <w:t xml:space="preserve"> </w:t>
      </w:r>
      <w:r w:rsidR="006B6E8F" w:rsidRPr="0039657F">
        <w:rPr>
          <w:rFonts w:cs="Arial"/>
          <w:color w:val="002F5D"/>
        </w:rPr>
        <w:t>Cambridgeshire and Peterborough – CCCRG forecast absolute and proportional long term (20 year) population change, 2016 to 2036 (all ages)</w:t>
      </w:r>
    </w:p>
    <w:p w14:paraId="28056FF9" w14:textId="77777777" w:rsidR="006B6E8F" w:rsidRPr="0037351D" w:rsidRDefault="006B6E8F" w:rsidP="006B6E8F">
      <w:pPr>
        <w:rPr>
          <w:color w:val="FF0000"/>
        </w:rPr>
      </w:pPr>
    </w:p>
    <w:p w14:paraId="73A56C6F" w14:textId="77777777" w:rsidR="006B6E8F" w:rsidRPr="0037351D" w:rsidRDefault="006B6E8F" w:rsidP="006B6E8F">
      <w:pPr>
        <w:rPr>
          <w:color w:val="FF0000"/>
        </w:rPr>
      </w:pPr>
      <w:r w:rsidRPr="0037351D">
        <w:rPr>
          <w:noProof/>
          <w:color w:val="FF0000"/>
          <w:lang w:eastAsia="en-GB"/>
        </w:rPr>
        <w:drawing>
          <wp:inline distT="0" distB="0" distL="0" distR="0" wp14:anchorId="10925159" wp14:editId="58478C89">
            <wp:extent cx="6120130" cy="213387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133877"/>
                    </a:xfrm>
                    <a:prstGeom prst="rect">
                      <a:avLst/>
                    </a:prstGeom>
                    <a:noFill/>
                    <a:ln>
                      <a:noFill/>
                    </a:ln>
                  </pic:spPr>
                </pic:pic>
              </a:graphicData>
            </a:graphic>
          </wp:inline>
        </w:drawing>
      </w:r>
    </w:p>
    <w:p w14:paraId="2C3DDB62" w14:textId="77777777" w:rsidR="006B6E8F" w:rsidRPr="0039657F" w:rsidRDefault="006B6E8F" w:rsidP="006B6E8F">
      <w:pPr>
        <w:spacing w:line="240" w:lineRule="auto"/>
        <w:rPr>
          <w:rFonts w:cs="Arial"/>
          <w:b/>
          <w:color w:val="002F5D"/>
        </w:rPr>
      </w:pPr>
    </w:p>
    <w:p w14:paraId="5C15F838" w14:textId="77777777" w:rsidR="006B6E8F" w:rsidRPr="0039657F" w:rsidRDefault="006B6E8F" w:rsidP="006B6E8F">
      <w:pPr>
        <w:spacing w:line="240" w:lineRule="auto"/>
        <w:rPr>
          <w:rFonts w:cs="Arial"/>
          <w:color w:val="002F5D"/>
        </w:rPr>
      </w:pPr>
      <w:r w:rsidRPr="0039657F">
        <w:rPr>
          <w:rFonts w:cs="Arial"/>
          <w:b/>
          <w:color w:val="002F5D"/>
        </w:rPr>
        <w:t xml:space="preserve">Source: </w:t>
      </w:r>
      <w:r w:rsidRPr="0039657F">
        <w:rPr>
          <w:rFonts w:cs="Arial"/>
          <w:color w:val="002F5D"/>
        </w:rPr>
        <w:t>CCCRG mid-2015 based population forecasts</w:t>
      </w:r>
    </w:p>
    <w:p w14:paraId="51E07055" w14:textId="77777777" w:rsidR="006B6E8F" w:rsidRPr="0039657F" w:rsidRDefault="006B6E8F" w:rsidP="006B6E8F">
      <w:pPr>
        <w:spacing w:line="240" w:lineRule="auto"/>
        <w:rPr>
          <w:rFonts w:cs="Arial"/>
          <w:color w:val="002F5D"/>
        </w:rPr>
      </w:pPr>
    </w:p>
    <w:p w14:paraId="2A424D9D" w14:textId="4FB1853D" w:rsidR="006B6E8F" w:rsidRDefault="00CD501F" w:rsidP="00CD501F">
      <w:pPr>
        <w:pStyle w:val="Caption"/>
        <w:rPr>
          <w:rFonts w:cs="Arial"/>
          <w:color w:val="002F5D"/>
        </w:rPr>
      </w:pPr>
      <w:r w:rsidRPr="0039657F">
        <w:rPr>
          <w:b/>
          <w:color w:val="002F5D"/>
        </w:rPr>
        <w:t xml:space="preserve">Table </w:t>
      </w:r>
      <w:r w:rsidRPr="0039657F">
        <w:rPr>
          <w:b/>
          <w:color w:val="002F5D"/>
        </w:rPr>
        <w:fldChar w:fldCharType="begin"/>
      </w:r>
      <w:r w:rsidRPr="0039657F">
        <w:rPr>
          <w:b/>
          <w:color w:val="002F5D"/>
        </w:rPr>
        <w:instrText xml:space="preserve"> SEQ Table \* ARABIC </w:instrText>
      </w:r>
      <w:r w:rsidRPr="0039657F">
        <w:rPr>
          <w:b/>
          <w:color w:val="002F5D"/>
        </w:rPr>
        <w:fldChar w:fldCharType="separate"/>
      </w:r>
      <w:r w:rsidR="00E80CFE">
        <w:rPr>
          <w:b/>
          <w:noProof/>
          <w:color w:val="002F5D"/>
        </w:rPr>
        <w:t>7</w:t>
      </w:r>
      <w:r w:rsidRPr="0039657F">
        <w:rPr>
          <w:b/>
          <w:color w:val="002F5D"/>
        </w:rPr>
        <w:fldChar w:fldCharType="end"/>
      </w:r>
      <w:r w:rsidRPr="0039657F">
        <w:rPr>
          <w:b/>
          <w:color w:val="002F5D"/>
        </w:rPr>
        <w:t>.</w:t>
      </w:r>
      <w:r w:rsidRPr="0039657F">
        <w:rPr>
          <w:color w:val="002F5D"/>
        </w:rPr>
        <w:t xml:space="preserve"> </w:t>
      </w:r>
      <w:r w:rsidR="006B6E8F" w:rsidRPr="0039657F">
        <w:rPr>
          <w:rFonts w:cs="Arial"/>
          <w:color w:val="002F5D"/>
        </w:rPr>
        <w:t>Cambridgeshire and Peterborough – Office for National Statistics (ONS) projected absolute and proportional long term (20 year) population change, 2016 to 2036 (all ages)</w:t>
      </w:r>
    </w:p>
    <w:p w14:paraId="6FA1E256" w14:textId="77777777" w:rsidR="00270C6E" w:rsidRDefault="00270C6E" w:rsidP="00270C6E"/>
    <w:p w14:paraId="305ECFC4" w14:textId="1952F934" w:rsidR="00270C6E" w:rsidRPr="00270C6E" w:rsidRDefault="00270C6E" w:rsidP="00270C6E">
      <w:r w:rsidRPr="00270C6E">
        <w:rPr>
          <w:noProof/>
          <w:lang w:eastAsia="en-GB"/>
        </w:rPr>
        <w:drawing>
          <wp:inline distT="0" distB="0" distL="0" distR="0" wp14:anchorId="45792D9D" wp14:editId="0F764B3E">
            <wp:extent cx="6120130" cy="2092510"/>
            <wp:effectExtent l="0" t="0" r="0"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2092510"/>
                    </a:xfrm>
                    <a:prstGeom prst="rect">
                      <a:avLst/>
                    </a:prstGeom>
                    <a:noFill/>
                    <a:ln>
                      <a:noFill/>
                    </a:ln>
                  </pic:spPr>
                </pic:pic>
              </a:graphicData>
            </a:graphic>
          </wp:inline>
        </w:drawing>
      </w:r>
    </w:p>
    <w:p w14:paraId="09CD2FDA" w14:textId="77777777" w:rsidR="006B6E8F" w:rsidRPr="0039657F" w:rsidRDefault="006B6E8F" w:rsidP="006B6E8F">
      <w:pPr>
        <w:spacing w:line="240" w:lineRule="auto"/>
        <w:rPr>
          <w:rFonts w:cs="Arial"/>
          <w:b/>
          <w:color w:val="002F5D"/>
        </w:rPr>
      </w:pPr>
    </w:p>
    <w:p w14:paraId="1FB178DE" w14:textId="3F99D157" w:rsidR="006B6E8F" w:rsidRPr="0039657F" w:rsidRDefault="006B6E8F" w:rsidP="006B6E8F">
      <w:pPr>
        <w:spacing w:line="240" w:lineRule="auto"/>
        <w:rPr>
          <w:rFonts w:cs="Arial"/>
          <w:color w:val="002F5D"/>
        </w:rPr>
      </w:pPr>
      <w:r w:rsidRPr="0039657F">
        <w:rPr>
          <w:rFonts w:cs="Arial"/>
          <w:b/>
          <w:color w:val="002F5D"/>
        </w:rPr>
        <w:t xml:space="preserve">Source: </w:t>
      </w:r>
      <w:r w:rsidR="00270C6E">
        <w:rPr>
          <w:rFonts w:cs="Arial"/>
          <w:color w:val="002F5D"/>
        </w:rPr>
        <w:t>ONS 2016</w:t>
      </w:r>
      <w:r w:rsidRPr="0039657F">
        <w:rPr>
          <w:rFonts w:cs="Arial"/>
          <w:color w:val="002F5D"/>
        </w:rPr>
        <w:t>-based Subnational population projections</w:t>
      </w:r>
    </w:p>
    <w:p w14:paraId="767698BD" w14:textId="77777777" w:rsidR="006B6E8F" w:rsidRPr="0037351D" w:rsidRDefault="006B6E8F" w:rsidP="006B6E8F">
      <w:pPr>
        <w:spacing w:line="240" w:lineRule="auto"/>
        <w:rPr>
          <w:rFonts w:cs="Arial"/>
          <w:color w:val="FF0000"/>
        </w:rPr>
      </w:pPr>
    </w:p>
    <w:p w14:paraId="3ECE7E6D" w14:textId="77777777" w:rsidR="006B6E8F" w:rsidRPr="0037351D" w:rsidRDefault="006B6E8F" w:rsidP="006B6E8F">
      <w:pPr>
        <w:spacing w:line="240" w:lineRule="auto"/>
        <w:rPr>
          <w:rFonts w:cs="Arial"/>
          <w:color w:val="FF0000"/>
        </w:rPr>
      </w:pPr>
    </w:p>
    <w:p w14:paraId="12D4E781" w14:textId="77777777" w:rsidR="006B6E8F" w:rsidRPr="0037351D" w:rsidRDefault="006B6E8F" w:rsidP="006B6E8F">
      <w:pPr>
        <w:spacing w:line="240" w:lineRule="auto"/>
        <w:rPr>
          <w:rFonts w:cs="Arial"/>
          <w:color w:val="FF0000"/>
        </w:rPr>
      </w:pPr>
    </w:p>
    <w:p w14:paraId="0CC1F36B" w14:textId="77777777" w:rsidR="00CD501F" w:rsidRPr="0037351D" w:rsidRDefault="00CD501F" w:rsidP="006B6E8F">
      <w:pPr>
        <w:spacing w:line="240" w:lineRule="auto"/>
        <w:rPr>
          <w:rFonts w:cs="Arial"/>
          <w:color w:val="FF0000"/>
        </w:rPr>
      </w:pPr>
    </w:p>
    <w:p w14:paraId="07A40227" w14:textId="77777777" w:rsidR="00CD501F" w:rsidRPr="0037351D" w:rsidRDefault="00CD501F" w:rsidP="006B6E8F">
      <w:pPr>
        <w:spacing w:line="240" w:lineRule="auto"/>
        <w:rPr>
          <w:rFonts w:cs="Arial"/>
          <w:color w:val="FF0000"/>
        </w:rPr>
      </w:pPr>
    </w:p>
    <w:p w14:paraId="39F34113" w14:textId="77777777" w:rsidR="00CD501F" w:rsidRPr="0037351D" w:rsidRDefault="00CD501F" w:rsidP="006B6E8F">
      <w:pPr>
        <w:spacing w:line="240" w:lineRule="auto"/>
        <w:rPr>
          <w:rFonts w:cs="Arial"/>
          <w:color w:val="FF0000"/>
        </w:rPr>
      </w:pPr>
    </w:p>
    <w:p w14:paraId="44144481" w14:textId="77777777" w:rsidR="00CD501F" w:rsidRPr="0037351D" w:rsidRDefault="00CD501F" w:rsidP="006B6E8F">
      <w:pPr>
        <w:spacing w:line="240" w:lineRule="auto"/>
        <w:rPr>
          <w:rFonts w:cs="Arial"/>
          <w:color w:val="FF0000"/>
        </w:rPr>
      </w:pPr>
    </w:p>
    <w:p w14:paraId="60266374" w14:textId="77777777" w:rsidR="00CD501F" w:rsidRDefault="00CD501F" w:rsidP="006B6E8F">
      <w:pPr>
        <w:spacing w:line="240" w:lineRule="auto"/>
        <w:rPr>
          <w:rFonts w:cs="Arial"/>
          <w:color w:val="FF0000"/>
        </w:rPr>
      </w:pPr>
    </w:p>
    <w:p w14:paraId="2565AD97" w14:textId="77777777" w:rsidR="003951F1" w:rsidRDefault="003951F1" w:rsidP="006B6E8F">
      <w:pPr>
        <w:spacing w:line="240" w:lineRule="auto"/>
        <w:rPr>
          <w:rFonts w:cs="Arial"/>
          <w:color w:val="FF0000"/>
        </w:rPr>
      </w:pPr>
    </w:p>
    <w:p w14:paraId="48C13ECA" w14:textId="77777777" w:rsidR="003951F1" w:rsidRPr="0037351D" w:rsidRDefault="003951F1" w:rsidP="006B6E8F">
      <w:pPr>
        <w:spacing w:line="240" w:lineRule="auto"/>
        <w:rPr>
          <w:rFonts w:cs="Arial"/>
          <w:color w:val="FF0000"/>
        </w:rPr>
      </w:pPr>
    </w:p>
    <w:p w14:paraId="3BC23BE6" w14:textId="77777777" w:rsidR="00CD501F" w:rsidRPr="0037351D" w:rsidRDefault="00CD501F" w:rsidP="006B6E8F">
      <w:pPr>
        <w:spacing w:line="240" w:lineRule="auto"/>
        <w:rPr>
          <w:rFonts w:cs="Arial"/>
          <w:color w:val="FF0000"/>
        </w:rPr>
      </w:pPr>
    </w:p>
    <w:p w14:paraId="2580A978" w14:textId="77777777" w:rsidR="00CD501F" w:rsidRPr="0037351D" w:rsidRDefault="00CD501F" w:rsidP="006B6E8F">
      <w:pPr>
        <w:spacing w:line="240" w:lineRule="auto"/>
        <w:rPr>
          <w:rFonts w:cs="Arial"/>
          <w:color w:val="FF0000"/>
        </w:rPr>
      </w:pPr>
    </w:p>
    <w:p w14:paraId="53F21BF0" w14:textId="23995F33" w:rsidR="00A917DC" w:rsidRPr="0037351D" w:rsidRDefault="00A917DC">
      <w:pPr>
        <w:rPr>
          <w:b/>
          <w:iCs/>
          <w:color w:val="FF0000"/>
          <w:szCs w:val="18"/>
        </w:rPr>
      </w:pPr>
    </w:p>
    <w:p w14:paraId="0A269AA3" w14:textId="4652B261" w:rsidR="006B6E8F" w:rsidRDefault="00CD501F" w:rsidP="00CD501F">
      <w:pPr>
        <w:pStyle w:val="Caption"/>
        <w:rPr>
          <w:color w:val="002F5D"/>
        </w:rPr>
      </w:pPr>
      <w:r w:rsidRPr="003951F1">
        <w:rPr>
          <w:b/>
          <w:color w:val="002F5D"/>
        </w:rPr>
        <w:lastRenderedPageBreak/>
        <w:t xml:space="preserve">Table </w:t>
      </w:r>
      <w:r w:rsidRPr="003951F1">
        <w:rPr>
          <w:b/>
          <w:color w:val="002F5D"/>
        </w:rPr>
        <w:fldChar w:fldCharType="begin"/>
      </w:r>
      <w:r w:rsidRPr="003951F1">
        <w:rPr>
          <w:b/>
          <w:color w:val="002F5D"/>
        </w:rPr>
        <w:instrText xml:space="preserve"> SEQ Table \* ARABIC </w:instrText>
      </w:r>
      <w:r w:rsidRPr="003951F1">
        <w:rPr>
          <w:b/>
          <w:color w:val="002F5D"/>
        </w:rPr>
        <w:fldChar w:fldCharType="separate"/>
      </w:r>
      <w:r w:rsidR="00E80CFE">
        <w:rPr>
          <w:b/>
          <w:noProof/>
          <w:color w:val="002F5D"/>
        </w:rPr>
        <w:t>8</w:t>
      </w:r>
      <w:r w:rsidRPr="003951F1">
        <w:rPr>
          <w:b/>
          <w:color w:val="002F5D"/>
        </w:rPr>
        <w:fldChar w:fldCharType="end"/>
      </w:r>
      <w:r w:rsidR="006B6E8F" w:rsidRPr="003951F1">
        <w:rPr>
          <w:b/>
          <w:color w:val="002F5D"/>
        </w:rPr>
        <w:t>.</w:t>
      </w:r>
      <w:r w:rsidR="006B6E8F" w:rsidRPr="003951F1">
        <w:rPr>
          <w:color w:val="002F5D"/>
        </w:rPr>
        <w:t xml:space="preserve"> Comparison of CCCRG mid-2015 based </w:t>
      </w:r>
      <w:r w:rsidR="003951F1" w:rsidRPr="003951F1">
        <w:rPr>
          <w:color w:val="002F5D"/>
        </w:rPr>
        <w:t xml:space="preserve">population forecasts and ONS 2016 </w:t>
      </w:r>
      <w:r w:rsidR="006B6E8F" w:rsidRPr="003951F1">
        <w:rPr>
          <w:color w:val="002F5D"/>
        </w:rPr>
        <w:t>based population projections to 2036 (all ages)</w:t>
      </w:r>
    </w:p>
    <w:p w14:paraId="0FFAEECB" w14:textId="77777777" w:rsidR="002A1CFD" w:rsidRPr="000308BA" w:rsidRDefault="002A1CFD" w:rsidP="000308BA"/>
    <w:p w14:paraId="323B0B15" w14:textId="2BF45F1D" w:rsidR="003951F1" w:rsidRPr="003951F1" w:rsidRDefault="002A1CFD" w:rsidP="003951F1">
      <w:r w:rsidRPr="002A1CFD">
        <w:rPr>
          <w:noProof/>
          <w:lang w:eastAsia="en-GB"/>
        </w:rPr>
        <w:drawing>
          <wp:inline distT="0" distB="0" distL="0" distR="0" wp14:anchorId="57AD7746" wp14:editId="3FF0749D">
            <wp:extent cx="6120130" cy="2462866"/>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2462866"/>
                    </a:xfrm>
                    <a:prstGeom prst="rect">
                      <a:avLst/>
                    </a:prstGeom>
                    <a:noFill/>
                    <a:ln>
                      <a:noFill/>
                    </a:ln>
                  </pic:spPr>
                </pic:pic>
              </a:graphicData>
            </a:graphic>
          </wp:inline>
        </w:drawing>
      </w:r>
    </w:p>
    <w:p w14:paraId="02424524" w14:textId="77777777" w:rsidR="006B6E8F" w:rsidRPr="0037351D" w:rsidRDefault="006B6E8F" w:rsidP="000308BA">
      <w:pPr>
        <w:rPr>
          <w:rFonts w:cs="Arial"/>
          <w:b/>
          <w:color w:val="FF0000"/>
        </w:rPr>
      </w:pPr>
    </w:p>
    <w:p w14:paraId="436332D8" w14:textId="4DAFBF21" w:rsidR="006B6E8F" w:rsidRPr="003951F1" w:rsidRDefault="006B6E8F" w:rsidP="006B6E8F">
      <w:pPr>
        <w:spacing w:line="240" w:lineRule="auto"/>
        <w:rPr>
          <w:rFonts w:cs="Arial"/>
          <w:color w:val="002F5D"/>
        </w:rPr>
      </w:pPr>
      <w:r w:rsidRPr="003951F1">
        <w:rPr>
          <w:rFonts w:cs="Arial"/>
          <w:b/>
          <w:color w:val="002F5D"/>
        </w:rPr>
        <w:t>Source</w:t>
      </w:r>
      <w:r w:rsidR="003951F1" w:rsidRPr="003951F1">
        <w:rPr>
          <w:rFonts w:cs="Arial"/>
          <w:color w:val="002F5D"/>
        </w:rPr>
        <w:t>: ONS 2016</w:t>
      </w:r>
      <w:r w:rsidRPr="003951F1">
        <w:rPr>
          <w:rFonts w:cs="Arial"/>
          <w:color w:val="002F5D"/>
        </w:rPr>
        <w:t>-based Subnational population projections and CCCRG mid-2015 based population forecasts</w:t>
      </w:r>
    </w:p>
    <w:p w14:paraId="4FA26E39" w14:textId="77777777" w:rsidR="006B6E8F" w:rsidRPr="0037351D" w:rsidRDefault="006B6E8F" w:rsidP="006B6E8F">
      <w:pPr>
        <w:spacing w:line="240" w:lineRule="auto"/>
        <w:rPr>
          <w:rFonts w:cs="Arial"/>
          <w:color w:val="FF0000"/>
        </w:rPr>
      </w:pPr>
    </w:p>
    <w:p w14:paraId="256B64D0" w14:textId="2B6312BE" w:rsidR="006B6E8F" w:rsidRDefault="00CD501F" w:rsidP="006B077B">
      <w:pPr>
        <w:rPr>
          <w:rFonts w:cs="Arial"/>
          <w:color w:val="002F5D"/>
        </w:rPr>
      </w:pPr>
      <w:r w:rsidRPr="00666C54">
        <w:rPr>
          <w:b/>
          <w:color w:val="002F5D"/>
        </w:rPr>
        <w:t xml:space="preserve">Figure </w:t>
      </w:r>
      <w:r w:rsidRPr="00666C54">
        <w:rPr>
          <w:b/>
          <w:color w:val="002F5D"/>
        </w:rPr>
        <w:fldChar w:fldCharType="begin"/>
      </w:r>
      <w:r w:rsidRPr="00666C54">
        <w:rPr>
          <w:b/>
          <w:color w:val="002F5D"/>
        </w:rPr>
        <w:instrText xml:space="preserve"> SEQ Figure \* ARABIC </w:instrText>
      </w:r>
      <w:r w:rsidRPr="00666C54">
        <w:rPr>
          <w:b/>
          <w:color w:val="002F5D"/>
        </w:rPr>
        <w:fldChar w:fldCharType="separate"/>
      </w:r>
      <w:r w:rsidR="00E80CFE">
        <w:rPr>
          <w:b/>
          <w:noProof/>
          <w:color w:val="002F5D"/>
        </w:rPr>
        <w:t>6</w:t>
      </w:r>
      <w:r w:rsidRPr="00666C54">
        <w:rPr>
          <w:b/>
          <w:color w:val="002F5D"/>
        </w:rPr>
        <w:fldChar w:fldCharType="end"/>
      </w:r>
      <w:r w:rsidR="006B6E8F" w:rsidRPr="00666C54">
        <w:rPr>
          <w:rFonts w:cs="Arial"/>
          <w:b/>
          <w:color w:val="002F5D"/>
        </w:rPr>
        <w:t xml:space="preserve">. </w:t>
      </w:r>
      <w:r w:rsidR="006B6E8F" w:rsidRPr="00666C54">
        <w:rPr>
          <w:rFonts w:cs="Arial"/>
          <w:color w:val="002F5D"/>
        </w:rPr>
        <w:t>Cambridgeshire - absolute long term (20 year) population change, 2016 to 2036 (all ages)</w:t>
      </w:r>
    </w:p>
    <w:p w14:paraId="31A5037E" w14:textId="77777777" w:rsidR="00666C54" w:rsidRDefault="00666C54" w:rsidP="006B077B">
      <w:pPr>
        <w:rPr>
          <w:rFonts w:cs="Arial"/>
          <w:color w:val="002F5D"/>
        </w:rPr>
      </w:pPr>
    </w:p>
    <w:p w14:paraId="2283CE92" w14:textId="518E4BE4" w:rsidR="00666C54" w:rsidRPr="00666C54" w:rsidRDefault="00666C54" w:rsidP="006B077B">
      <w:pPr>
        <w:rPr>
          <w:b/>
          <w:iCs/>
          <w:color w:val="002F5D"/>
          <w:szCs w:val="18"/>
        </w:rPr>
      </w:pPr>
      <w:r>
        <w:rPr>
          <w:b/>
          <w:iCs/>
          <w:noProof/>
          <w:color w:val="002F5D"/>
          <w:szCs w:val="18"/>
          <w:lang w:eastAsia="en-GB"/>
        </w:rPr>
        <w:drawing>
          <wp:inline distT="0" distB="0" distL="0" distR="0" wp14:anchorId="3702A13D" wp14:editId="34BBC7E9">
            <wp:extent cx="5287823" cy="3067050"/>
            <wp:effectExtent l="0" t="0" r="825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04737" cy="3076860"/>
                    </a:xfrm>
                    <a:prstGeom prst="rect">
                      <a:avLst/>
                    </a:prstGeom>
                    <a:noFill/>
                  </pic:spPr>
                </pic:pic>
              </a:graphicData>
            </a:graphic>
          </wp:inline>
        </w:drawing>
      </w:r>
    </w:p>
    <w:p w14:paraId="653E4C1D" w14:textId="77777777" w:rsidR="006B6E8F" w:rsidRPr="0037351D" w:rsidRDefault="006B6E8F" w:rsidP="006B6E8F">
      <w:pPr>
        <w:spacing w:line="240" w:lineRule="auto"/>
        <w:rPr>
          <w:rFonts w:cs="Arial"/>
          <w:b/>
          <w:color w:val="FF0000"/>
        </w:rPr>
      </w:pPr>
    </w:p>
    <w:p w14:paraId="21FAD08D" w14:textId="4A5ECB2B" w:rsidR="006B6E8F" w:rsidRPr="00666C54" w:rsidRDefault="006B6E8F" w:rsidP="006B6E8F">
      <w:pPr>
        <w:spacing w:line="240" w:lineRule="auto"/>
        <w:rPr>
          <w:rFonts w:cs="Arial"/>
          <w:color w:val="002F5D"/>
        </w:rPr>
      </w:pPr>
      <w:r w:rsidRPr="00666C54">
        <w:rPr>
          <w:rFonts w:cs="Arial"/>
          <w:b/>
          <w:color w:val="002F5D"/>
        </w:rPr>
        <w:t>Source</w:t>
      </w:r>
      <w:r w:rsidR="00666C54" w:rsidRPr="00666C54">
        <w:rPr>
          <w:rFonts w:cs="Arial"/>
          <w:color w:val="002F5D"/>
        </w:rPr>
        <w:t>: ONS 2016</w:t>
      </w:r>
      <w:r w:rsidRPr="00666C54">
        <w:rPr>
          <w:rFonts w:cs="Arial"/>
          <w:color w:val="002F5D"/>
        </w:rPr>
        <w:t>-based Subnational population projections and CCCRG mid-2015 based population forecasts</w:t>
      </w:r>
    </w:p>
    <w:p w14:paraId="2E1F66CC" w14:textId="77777777" w:rsidR="006B6E8F" w:rsidRPr="0037351D" w:rsidRDefault="006B6E8F" w:rsidP="006B6E8F">
      <w:pPr>
        <w:rPr>
          <w:rFonts w:cs="Arial"/>
          <w:b/>
          <w:color w:val="FF0000"/>
        </w:rPr>
      </w:pPr>
    </w:p>
    <w:p w14:paraId="05B77515" w14:textId="77777777" w:rsidR="006B077B" w:rsidRPr="0037351D" w:rsidRDefault="006B077B">
      <w:pPr>
        <w:rPr>
          <w:rFonts w:cs="Arial"/>
          <w:b/>
          <w:color w:val="FF0000"/>
        </w:rPr>
      </w:pPr>
      <w:r w:rsidRPr="0037351D">
        <w:rPr>
          <w:rFonts w:cs="Arial"/>
          <w:b/>
          <w:color w:val="FF0000"/>
        </w:rPr>
        <w:br w:type="page"/>
      </w:r>
    </w:p>
    <w:p w14:paraId="6A13595A" w14:textId="77777777" w:rsidR="006B077B" w:rsidRPr="00C447B8" w:rsidRDefault="006B077B" w:rsidP="006B077B">
      <w:pPr>
        <w:spacing w:line="240" w:lineRule="auto"/>
        <w:rPr>
          <w:rFonts w:cs="Arial"/>
          <w:color w:val="002F5D"/>
        </w:rPr>
      </w:pPr>
      <w:r w:rsidRPr="00C447B8">
        <w:rPr>
          <w:rFonts w:cs="Arial"/>
          <w:b/>
          <w:color w:val="002F5D"/>
        </w:rPr>
        <w:lastRenderedPageBreak/>
        <w:t>Cambridgeshire and District populations - Key points</w:t>
      </w:r>
      <w:r w:rsidRPr="00C447B8">
        <w:rPr>
          <w:rFonts w:cs="Arial"/>
          <w:color w:val="002F5D"/>
        </w:rPr>
        <w:t>:</w:t>
      </w:r>
    </w:p>
    <w:p w14:paraId="0357D0C7" w14:textId="65388EFB" w:rsidR="006B077B" w:rsidRPr="00C447B8" w:rsidRDefault="006B077B" w:rsidP="006B077B">
      <w:pPr>
        <w:pStyle w:val="ListParagraph"/>
        <w:numPr>
          <w:ilvl w:val="0"/>
          <w:numId w:val="63"/>
        </w:numPr>
        <w:spacing w:line="240" w:lineRule="auto"/>
        <w:ind w:left="714" w:hanging="357"/>
        <w:rPr>
          <w:rFonts w:cs="Arial"/>
          <w:b/>
          <w:color w:val="002F5D"/>
        </w:rPr>
      </w:pPr>
      <w:r w:rsidRPr="00C447B8">
        <w:rPr>
          <w:rFonts w:cs="Arial"/>
          <w:color w:val="002F5D"/>
        </w:rPr>
        <w:t>CCCRG house-building policy led forecasts indicate that Cambridgeshire’s population is expected to increase by 1</w:t>
      </w:r>
      <w:r w:rsidR="008661D1">
        <w:rPr>
          <w:rFonts w:cs="Arial"/>
          <w:color w:val="002F5D"/>
        </w:rPr>
        <w:t>51,000 people between 2016 and 2</w:t>
      </w:r>
      <w:r w:rsidRPr="00C447B8">
        <w:rPr>
          <w:rFonts w:cs="Arial"/>
          <w:color w:val="002F5D"/>
        </w:rPr>
        <w:t>036 (a proportional change of 23%).</w:t>
      </w:r>
    </w:p>
    <w:p w14:paraId="5AF1182A" w14:textId="41BBBF3A" w:rsidR="006B077B" w:rsidRPr="00C447B8" w:rsidRDefault="006B077B" w:rsidP="006B077B">
      <w:pPr>
        <w:pStyle w:val="ListParagraph"/>
        <w:numPr>
          <w:ilvl w:val="0"/>
          <w:numId w:val="63"/>
        </w:numPr>
        <w:spacing w:line="240" w:lineRule="auto"/>
        <w:ind w:left="714" w:hanging="357"/>
        <w:rPr>
          <w:rFonts w:cs="Arial"/>
          <w:b/>
          <w:color w:val="002F5D"/>
        </w:rPr>
      </w:pPr>
      <w:r w:rsidRPr="00C447B8">
        <w:rPr>
          <w:rFonts w:cs="Arial"/>
          <w:color w:val="002F5D"/>
        </w:rPr>
        <w:t>ONS projections indicate that Cambridgeshire’s population is expe</w:t>
      </w:r>
      <w:r w:rsidR="00666C54" w:rsidRPr="00C447B8">
        <w:rPr>
          <w:rFonts w:cs="Arial"/>
          <w:color w:val="002F5D"/>
        </w:rPr>
        <w:t>cted to increase by around 55,1</w:t>
      </w:r>
      <w:r w:rsidR="008661D1">
        <w:rPr>
          <w:rFonts w:cs="Arial"/>
          <w:color w:val="002F5D"/>
        </w:rPr>
        <w:t>00 people between 2016 and 2</w:t>
      </w:r>
      <w:r w:rsidRPr="00C447B8">
        <w:rPr>
          <w:rFonts w:cs="Arial"/>
          <w:color w:val="002F5D"/>
        </w:rPr>
        <w:t xml:space="preserve">036 (a proportional change of </w:t>
      </w:r>
      <w:r w:rsidR="002A7DEB">
        <w:rPr>
          <w:rFonts w:cs="Arial"/>
          <w:color w:val="002F5D"/>
        </w:rPr>
        <w:t>8.5</w:t>
      </w:r>
      <w:r w:rsidRPr="00C447B8">
        <w:rPr>
          <w:rFonts w:cs="Arial"/>
          <w:color w:val="002F5D"/>
        </w:rPr>
        <w:t>%).</w:t>
      </w:r>
    </w:p>
    <w:p w14:paraId="6E38F419" w14:textId="77777777" w:rsidR="006B077B" w:rsidRPr="00C447B8" w:rsidRDefault="006B077B" w:rsidP="006B077B">
      <w:pPr>
        <w:pStyle w:val="ListParagraph"/>
        <w:numPr>
          <w:ilvl w:val="0"/>
          <w:numId w:val="64"/>
        </w:numPr>
        <w:spacing w:line="240" w:lineRule="auto"/>
        <w:rPr>
          <w:rFonts w:cs="Arial"/>
          <w:color w:val="002F5D"/>
        </w:rPr>
      </w:pPr>
      <w:r w:rsidRPr="00C447B8">
        <w:rPr>
          <w:rFonts w:cs="Arial"/>
          <w:color w:val="002F5D"/>
        </w:rPr>
        <w:t>CCCRG forecasts, though starting at a similar level to ONS in 2016, predict higher levels of population growth then ONS projections.</w:t>
      </w:r>
    </w:p>
    <w:p w14:paraId="19F9520E" w14:textId="7FB01283" w:rsidR="006B077B" w:rsidRPr="00C447B8" w:rsidRDefault="006B077B" w:rsidP="006B077B">
      <w:pPr>
        <w:pStyle w:val="ListParagraph"/>
        <w:numPr>
          <w:ilvl w:val="0"/>
          <w:numId w:val="64"/>
        </w:numPr>
        <w:spacing w:line="240" w:lineRule="auto"/>
        <w:rPr>
          <w:rFonts w:cs="Arial"/>
          <w:color w:val="002F5D"/>
        </w:rPr>
      </w:pPr>
      <w:r w:rsidRPr="00C447B8">
        <w:rPr>
          <w:rFonts w:cs="Arial"/>
          <w:color w:val="002F5D"/>
        </w:rPr>
        <w:t>In Cambridgeshire the overall difference between the p</w:t>
      </w:r>
      <w:r w:rsidR="00B92817" w:rsidRPr="00C447B8">
        <w:rPr>
          <w:rFonts w:cs="Arial"/>
          <w:color w:val="002F5D"/>
        </w:rPr>
        <w:t>redicted population growth is around 96,</w:t>
      </w:r>
      <w:r w:rsidRPr="00C447B8">
        <w:rPr>
          <w:rFonts w:cs="Arial"/>
          <w:color w:val="002F5D"/>
        </w:rPr>
        <w:t>000 people, with</w:t>
      </w:r>
      <w:r w:rsidR="00B92817" w:rsidRPr="00C447B8">
        <w:rPr>
          <w:rFonts w:cs="Arial"/>
          <w:color w:val="002F5D"/>
        </w:rPr>
        <w:t xml:space="preserve"> a proportional difference of 14.6</w:t>
      </w:r>
      <w:r w:rsidRPr="00C447B8">
        <w:rPr>
          <w:rFonts w:cs="Arial"/>
          <w:color w:val="002F5D"/>
        </w:rPr>
        <w:t xml:space="preserve"> percentage points.</w:t>
      </w:r>
    </w:p>
    <w:p w14:paraId="0CCD9704" w14:textId="5F97BE12" w:rsidR="006B077B" w:rsidRPr="00C447B8" w:rsidRDefault="00523F56" w:rsidP="006B077B">
      <w:pPr>
        <w:pStyle w:val="ListParagraph"/>
        <w:numPr>
          <w:ilvl w:val="0"/>
          <w:numId w:val="65"/>
        </w:numPr>
        <w:spacing w:line="240" w:lineRule="auto"/>
        <w:rPr>
          <w:rFonts w:cs="Arial"/>
          <w:color w:val="002F5D"/>
        </w:rPr>
      </w:pPr>
      <w:r>
        <w:rPr>
          <w:rFonts w:cs="Arial"/>
          <w:color w:val="002F5D"/>
        </w:rPr>
        <w:t>At a district level, b</w:t>
      </w:r>
      <w:r w:rsidR="006B077B" w:rsidRPr="00C447B8">
        <w:rPr>
          <w:rFonts w:cs="Arial"/>
          <w:color w:val="002F5D"/>
        </w:rPr>
        <w:t xml:space="preserve">oth CCCRG and ONS predict that South Cambridgeshire and Huntingdonshire </w:t>
      </w:r>
      <w:r>
        <w:rPr>
          <w:rFonts w:cs="Arial"/>
          <w:color w:val="002F5D"/>
        </w:rPr>
        <w:t>will</w:t>
      </w:r>
      <w:r w:rsidR="006B077B" w:rsidRPr="00C447B8">
        <w:rPr>
          <w:rFonts w:cs="Arial"/>
          <w:color w:val="002F5D"/>
        </w:rPr>
        <w:t xml:space="preserve"> have the largest absolute increases in population numbers by 2036.  </w:t>
      </w:r>
    </w:p>
    <w:p w14:paraId="46272335" w14:textId="55C6307C" w:rsidR="006B077B" w:rsidRPr="00C447B8" w:rsidRDefault="00523F56" w:rsidP="006B077B">
      <w:pPr>
        <w:pStyle w:val="ListParagraph"/>
        <w:numPr>
          <w:ilvl w:val="0"/>
          <w:numId w:val="65"/>
        </w:numPr>
        <w:spacing w:line="240" w:lineRule="auto"/>
        <w:rPr>
          <w:rFonts w:cs="Arial"/>
          <w:color w:val="002F5D"/>
        </w:rPr>
      </w:pPr>
      <w:r>
        <w:rPr>
          <w:rFonts w:cs="Arial"/>
          <w:color w:val="002F5D"/>
        </w:rPr>
        <w:t>At a district level, b</w:t>
      </w:r>
      <w:r w:rsidR="00B92817" w:rsidRPr="00C447B8">
        <w:rPr>
          <w:rFonts w:cs="Arial"/>
          <w:color w:val="002F5D"/>
        </w:rPr>
        <w:t>oth CCC</w:t>
      </w:r>
      <w:r w:rsidR="006B077B" w:rsidRPr="00C447B8">
        <w:rPr>
          <w:rFonts w:cs="Arial"/>
          <w:color w:val="002F5D"/>
        </w:rPr>
        <w:t xml:space="preserve">RG and ONS predict </w:t>
      </w:r>
      <w:r>
        <w:rPr>
          <w:rFonts w:cs="Arial"/>
          <w:color w:val="002F5D"/>
        </w:rPr>
        <w:t xml:space="preserve">that Cambridge will have the lowest proportionate </w:t>
      </w:r>
      <w:r w:rsidR="006B077B" w:rsidRPr="00C447B8">
        <w:rPr>
          <w:rFonts w:cs="Arial"/>
          <w:color w:val="002F5D"/>
        </w:rPr>
        <w:t xml:space="preserve">levels of change </w:t>
      </w:r>
      <w:r w:rsidR="00C447B8" w:rsidRPr="00C447B8">
        <w:rPr>
          <w:rFonts w:cs="Arial"/>
          <w:color w:val="002F5D"/>
        </w:rPr>
        <w:t>to 2036. CCCRG predict</w:t>
      </w:r>
      <w:r w:rsidR="00527605">
        <w:rPr>
          <w:rFonts w:cs="Arial"/>
          <w:color w:val="002F5D"/>
        </w:rPr>
        <w:t>s</w:t>
      </w:r>
      <w:r w:rsidR="00C447B8" w:rsidRPr="00C447B8">
        <w:rPr>
          <w:rFonts w:cs="Arial"/>
          <w:color w:val="002F5D"/>
        </w:rPr>
        <w:t xml:space="preserve"> South Cambridgeshire and ONS predict</w:t>
      </w:r>
      <w:r w:rsidR="00527605">
        <w:rPr>
          <w:rFonts w:cs="Arial"/>
          <w:color w:val="002F5D"/>
        </w:rPr>
        <w:t>s</w:t>
      </w:r>
      <w:r w:rsidR="00C447B8" w:rsidRPr="00C447B8">
        <w:rPr>
          <w:rFonts w:cs="Arial"/>
          <w:color w:val="002F5D"/>
        </w:rPr>
        <w:t xml:space="preserve"> Fenland to have the largest proportional increase</w:t>
      </w:r>
      <w:r>
        <w:rPr>
          <w:rFonts w:cs="Arial"/>
          <w:color w:val="002F5D"/>
        </w:rPr>
        <w:t>s in population</w:t>
      </w:r>
      <w:r w:rsidR="006B077B" w:rsidRPr="00C447B8">
        <w:rPr>
          <w:rFonts w:cs="Arial"/>
          <w:color w:val="002F5D"/>
        </w:rPr>
        <w:t>.</w:t>
      </w:r>
    </w:p>
    <w:p w14:paraId="667E8F47" w14:textId="77777777" w:rsidR="006B077B" w:rsidRPr="0037351D" w:rsidRDefault="006B077B" w:rsidP="006B077B">
      <w:pPr>
        <w:spacing w:line="240" w:lineRule="auto"/>
        <w:rPr>
          <w:rFonts w:cs="Arial"/>
          <w:color w:val="FF0000"/>
        </w:rPr>
      </w:pPr>
    </w:p>
    <w:p w14:paraId="204B8DA2" w14:textId="702145B8" w:rsidR="006B6E8F" w:rsidRDefault="00CD501F" w:rsidP="00CD501F">
      <w:pPr>
        <w:pStyle w:val="Caption"/>
        <w:rPr>
          <w:rFonts w:cs="Arial"/>
          <w:color w:val="002F5D"/>
        </w:rPr>
      </w:pPr>
      <w:r w:rsidRPr="00C447B8">
        <w:rPr>
          <w:b/>
          <w:color w:val="002F5D"/>
        </w:rPr>
        <w:t xml:space="preserve">Figure </w:t>
      </w:r>
      <w:r w:rsidRPr="00C447B8">
        <w:rPr>
          <w:b/>
          <w:color w:val="002F5D"/>
        </w:rPr>
        <w:fldChar w:fldCharType="begin"/>
      </w:r>
      <w:r w:rsidRPr="00C447B8">
        <w:rPr>
          <w:b/>
          <w:color w:val="002F5D"/>
        </w:rPr>
        <w:instrText xml:space="preserve"> SEQ Figure \* ARABIC </w:instrText>
      </w:r>
      <w:r w:rsidRPr="00C447B8">
        <w:rPr>
          <w:b/>
          <w:color w:val="002F5D"/>
        </w:rPr>
        <w:fldChar w:fldCharType="separate"/>
      </w:r>
      <w:r w:rsidR="00E80CFE">
        <w:rPr>
          <w:b/>
          <w:noProof/>
          <w:color w:val="002F5D"/>
        </w:rPr>
        <w:t>7</w:t>
      </w:r>
      <w:r w:rsidRPr="00C447B8">
        <w:rPr>
          <w:b/>
          <w:color w:val="002F5D"/>
        </w:rPr>
        <w:fldChar w:fldCharType="end"/>
      </w:r>
      <w:r w:rsidR="006B6E8F" w:rsidRPr="00C447B8">
        <w:rPr>
          <w:b/>
          <w:color w:val="002F5D"/>
        </w:rPr>
        <w:t>.</w:t>
      </w:r>
      <w:r w:rsidR="006B6E8F" w:rsidRPr="00C447B8">
        <w:rPr>
          <w:rFonts w:cs="Arial"/>
          <w:b/>
          <w:color w:val="002F5D"/>
        </w:rPr>
        <w:t xml:space="preserve"> </w:t>
      </w:r>
      <w:r w:rsidR="006B6E8F" w:rsidRPr="00C447B8">
        <w:rPr>
          <w:rFonts w:cs="Arial"/>
          <w:color w:val="002F5D"/>
        </w:rPr>
        <w:t>Peterborough - absolute long term (20 year) population change, 2016 to 2036 (all ages)</w:t>
      </w:r>
    </w:p>
    <w:p w14:paraId="0CDC176A" w14:textId="77777777" w:rsidR="00C447B8" w:rsidRPr="00C447B8" w:rsidRDefault="00C447B8" w:rsidP="00C447B8"/>
    <w:p w14:paraId="0D85367A" w14:textId="1A26F082" w:rsidR="006B6E8F" w:rsidRPr="0037351D" w:rsidRDefault="00C447B8" w:rsidP="006B6E8F">
      <w:pPr>
        <w:rPr>
          <w:rFonts w:cs="Arial"/>
          <w:b/>
          <w:color w:val="FF0000"/>
        </w:rPr>
      </w:pPr>
      <w:r>
        <w:rPr>
          <w:rFonts w:cs="Arial"/>
          <w:b/>
          <w:noProof/>
          <w:color w:val="FF0000"/>
          <w:lang w:eastAsia="en-GB"/>
        </w:rPr>
        <w:drawing>
          <wp:inline distT="0" distB="0" distL="0" distR="0" wp14:anchorId="3CACF671" wp14:editId="1D57CE67">
            <wp:extent cx="5486400" cy="295790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3161" cy="2961553"/>
                    </a:xfrm>
                    <a:prstGeom prst="rect">
                      <a:avLst/>
                    </a:prstGeom>
                    <a:noFill/>
                  </pic:spPr>
                </pic:pic>
              </a:graphicData>
            </a:graphic>
          </wp:inline>
        </w:drawing>
      </w:r>
    </w:p>
    <w:p w14:paraId="51883D3C" w14:textId="77777777" w:rsidR="006B6E8F" w:rsidRPr="0037351D" w:rsidRDefault="006B6E8F" w:rsidP="006B6E8F">
      <w:pPr>
        <w:rPr>
          <w:rFonts w:cs="Arial"/>
          <w:b/>
          <w:color w:val="FF0000"/>
        </w:rPr>
      </w:pPr>
    </w:p>
    <w:p w14:paraId="72A204C1" w14:textId="3A476A33" w:rsidR="006B6E8F" w:rsidRPr="00C447B8" w:rsidRDefault="006B6E8F" w:rsidP="006B6E8F">
      <w:pPr>
        <w:spacing w:line="240" w:lineRule="auto"/>
        <w:rPr>
          <w:rFonts w:cs="Arial"/>
          <w:color w:val="002F5D"/>
        </w:rPr>
      </w:pPr>
      <w:r w:rsidRPr="00C447B8">
        <w:rPr>
          <w:rFonts w:cs="Arial"/>
          <w:b/>
          <w:color w:val="002F5D"/>
        </w:rPr>
        <w:t>Source</w:t>
      </w:r>
      <w:r w:rsidR="00C447B8">
        <w:rPr>
          <w:rFonts w:cs="Arial"/>
          <w:color w:val="002F5D"/>
        </w:rPr>
        <w:t>: ONS 2016</w:t>
      </w:r>
      <w:r w:rsidRPr="00C447B8">
        <w:rPr>
          <w:rFonts w:cs="Arial"/>
          <w:color w:val="002F5D"/>
        </w:rPr>
        <w:t>-based Subnational population projections and CCCRG mid-2015 based population forecasts</w:t>
      </w:r>
    </w:p>
    <w:p w14:paraId="4C9D57C6" w14:textId="77777777" w:rsidR="006B6E8F" w:rsidRPr="0037351D" w:rsidRDefault="006B6E8F" w:rsidP="006B077B">
      <w:pPr>
        <w:spacing w:line="240" w:lineRule="auto"/>
        <w:rPr>
          <w:rFonts w:cs="Arial"/>
          <w:color w:val="FF0000"/>
        </w:rPr>
      </w:pPr>
    </w:p>
    <w:p w14:paraId="4B3D23EA" w14:textId="77777777" w:rsidR="006B077B" w:rsidRPr="00AD1270" w:rsidRDefault="006B077B" w:rsidP="006B077B">
      <w:pPr>
        <w:spacing w:line="240" w:lineRule="auto"/>
        <w:rPr>
          <w:rFonts w:cs="Arial"/>
          <w:color w:val="002F5D"/>
        </w:rPr>
      </w:pPr>
      <w:r w:rsidRPr="00AD1270">
        <w:rPr>
          <w:rFonts w:cs="Arial"/>
          <w:b/>
          <w:color w:val="002F5D"/>
        </w:rPr>
        <w:t>Peterborough’s population - Key points</w:t>
      </w:r>
      <w:r w:rsidRPr="00AD1270">
        <w:rPr>
          <w:rFonts w:cs="Arial"/>
          <w:color w:val="002F5D"/>
        </w:rPr>
        <w:t>:</w:t>
      </w:r>
    </w:p>
    <w:p w14:paraId="0397B1D0" w14:textId="77777777" w:rsidR="006B077B" w:rsidRPr="00AD1270" w:rsidRDefault="006B077B" w:rsidP="006B077B">
      <w:pPr>
        <w:pStyle w:val="ListParagraph"/>
        <w:numPr>
          <w:ilvl w:val="0"/>
          <w:numId w:val="63"/>
        </w:numPr>
        <w:spacing w:line="240" w:lineRule="auto"/>
        <w:ind w:left="714" w:hanging="357"/>
        <w:rPr>
          <w:rFonts w:cs="Arial"/>
          <w:b/>
          <w:color w:val="002F5D"/>
        </w:rPr>
      </w:pPr>
      <w:r w:rsidRPr="00AD1270">
        <w:rPr>
          <w:rFonts w:cs="Arial"/>
          <w:color w:val="002F5D"/>
        </w:rPr>
        <w:t>CCCRG house-building policy led forecasts indicate that Peterborough’s population is expected to increase by 42,700 people between 2016 and 2036 (a proportional change of 22%).</w:t>
      </w:r>
    </w:p>
    <w:p w14:paraId="6D8D17F4" w14:textId="299A6AB4" w:rsidR="006B077B" w:rsidRPr="00AD1270" w:rsidRDefault="006B077B" w:rsidP="006B077B">
      <w:pPr>
        <w:pStyle w:val="ListParagraph"/>
        <w:numPr>
          <w:ilvl w:val="0"/>
          <w:numId w:val="63"/>
        </w:numPr>
        <w:spacing w:line="240" w:lineRule="auto"/>
        <w:ind w:left="714" w:hanging="357"/>
        <w:rPr>
          <w:rFonts w:cs="Arial"/>
          <w:b/>
          <w:color w:val="002F5D"/>
        </w:rPr>
      </w:pPr>
      <w:r w:rsidRPr="00AD1270">
        <w:rPr>
          <w:rFonts w:cs="Arial"/>
          <w:color w:val="002F5D"/>
        </w:rPr>
        <w:t>ONS projections indicate that Peterborough’s populati</w:t>
      </w:r>
      <w:r w:rsidR="00C447B8" w:rsidRPr="00AD1270">
        <w:rPr>
          <w:rFonts w:cs="Arial"/>
          <w:color w:val="002F5D"/>
        </w:rPr>
        <w:t>on is expected to increase by 25,3</w:t>
      </w:r>
      <w:r w:rsidR="008661D1">
        <w:rPr>
          <w:rFonts w:cs="Arial"/>
          <w:color w:val="002F5D"/>
        </w:rPr>
        <w:t>00 people between 2016 and 2</w:t>
      </w:r>
      <w:r w:rsidR="00C447B8" w:rsidRPr="00AD1270">
        <w:rPr>
          <w:rFonts w:cs="Arial"/>
          <w:color w:val="002F5D"/>
        </w:rPr>
        <w:t>036 (a proportional change of 13</w:t>
      </w:r>
      <w:r w:rsidRPr="00AD1270">
        <w:rPr>
          <w:rFonts w:cs="Arial"/>
          <w:color w:val="002F5D"/>
        </w:rPr>
        <w:t>%).</w:t>
      </w:r>
    </w:p>
    <w:p w14:paraId="58DCEFF6" w14:textId="5F9805A7" w:rsidR="006B077B" w:rsidRPr="00AD1270" w:rsidRDefault="006B077B" w:rsidP="006B077B">
      <w:pPr>
        <w:pStyle w:val="ListParagraph"/>
        <w:numPr>
          <w:ilvl w:val="0"/>
          <w:numId w:val="64"/>
        </w:numPr>
        <w:spacing w:line="240" w:lineRule="auto"/>
        <w:rPr>
          <w:rFonts w:cs="Arial"/>
          <w:color w:val="002F5D"/>
        </w:rPr>
      </w:pPr>
      <w:r w:rsidRPr="00AD1270">
        <w:rPr>
          <w:rFonts w:cs="Arial"/>
          <w:color w:val="002F5D"/>
        </w:rPr>
        <w:t>CCCRG forecasts, though starting at a more similar level to ONS in 2016, predict higher</w:t>
      </w:r>
      <w:r w:rsidR="00AD1270" w:rsidRPr="00AD1270">
        <w:rPr>
          <w:rFonts w:cs="Arial"/>
          <w:color w:val="002F5D"/>
        </w:rPr>
        <w:t xml:space="preserve"> levels of population growth tha</w:t>
      </w:r>
      <w:r w:rsidRPr="00AD1270">
        <w:rPr>
          <w:rFonts w:cs="Arial"/>
          <w:color w:val="002F5D"/>
        </w:rPr>
        <w:t>n ONS projections.</w:t>
      </w:r>
    </w:p>
    <w:p w14:paraId="2EEEA82E" w14:textId="0A191112" w:rsidR="006B077B" w:rsidRPr="00AD1270" w:rsidRDefault="006B077B" w:rsidP="006B077B">
      <w:pPr>
        <w:pStyle w:val="ListParagraph"/>
        <w:numPr>
          <w:ilvl w:val="0"/>
          <w:numId w:val="64"/>
        </w:numPr>
        <w:spacing w:line="240" w:lineRule="auto"/>
        <w:rPr>
          <w:rFonts w:cs="Arial"/>
          <w:color w:val="002F5D"/>
        </w:rPr>
      </w:pPr>
      <w:r w:rsidRPr="00AD1270">
        <w:rPr>
          <w:rFonts w:cs="Arial"/>
          <w:color w:val="002F5D"/>
        </w:rPr>
        <w:t>In Peterborough</w:t>
      </w:r>
      <w:r w:rsidR="00900C9B">
        <w:rPr>
          <w:rFonts w:cs="Arial"/>
          <w:color w:val="002F5D"/>
        </w:rPr>
        <w:t>,</w:t>
      </w:r>
      <w:r w:rsidRPr="00AD1270">
        <w:rPr>
          <w:rFonts w:cs="Arial"/>
          <w:color w:val="002F5D"/>
        </w:rPr>
        <w:t xml:space="preserve"> the overall difference between the predicte</w:t>
      </w:r>
      <w:r w:rsidR="00AD1270" w:rsidRPr="00AD1270">
        <w:rPr>
          <w:rFonts w:cs="Arial"/>
          <w:color w:val="002F5D"/>
        </w:rPr>
        <w:t>d population growth is around 17,4</w:t>
      </w:r>
      <w:r w:rsidRPr="00AD1270">
        <w:rPr>
          <w:rFonts w:cs="Arial"/>
          <w:color w:val="002F5D"/>
        </w:rPr>
        <w:t xml:space="preserve">00 people, with </w:t>
      </w:r>
      <w:r w:rsidR="00AD1270" w:rsidRPr="00AD1270">
        <w:rPr>
          <w:rFonts w:cs="Arial"/>
          <w:color w:val="002F5D"/>
        </w:rPr>
        <w:t>a proportional difference of 8.7</w:t>
      </w:r>
      <w:r w:rsidRPr="00AD1270">
        <w:rPr>
          <w:rFonts w:cs="Arial"/>
          <w:color w:val="002F5D"/>
        </w:rPr>
        <w:t xml:space="preserve"> percentage points.</w:t>
      </w:r>
    </w:p>
    <w:p w14:paraId="14B6B133" w14:textId="77777777" w:rsidR="006B077B" w:rsidRPr="00AD1270" w:rsidRDefault="006B077B" w:rsidP="006B077B">
      <w:pPr>
        <w:spacing w:line="240" w:lineRule="auto"/>
        <w:rPr>
          <w:rFonts w:cs="Arial"/>
          <w:b/>
          <w:color w:val="002F5D"/>
        </w:rPr>
      </w:pPr>
      <w:r w:rsidRPr="00AD1270">
        <w:rPr>
          <w:rFonts w:cs="Arial"/>
          <w:b/>
          <w:color w:val="002F5D"/>
        </w:rPr>
        <w:br w:type="page"/>
      </w:r>
    </w:p>
    <w:p w14:paraId="3FB8A5C1" w14:textId="32E19FCF" w:rsidR="006B6E8F" w:rsidRPr="00AD1270" w:rsidRDefault="00CD501F" w:rsidP="006B077B">
      <w:pPr>
        <w:rPr>
          <w:rFonts w:cs="Arial"/>
          <w:color w:val="002F5D"/>
        </w:rPr>
      </w:pPr>
      <w:r w:rsidRPr="00AD1270">
        <w:rPr>
          <w:b/>
          <w:color w:val="002F5D"/>
        </w:rPr>
        <w:lastRenderedPageBreak/>
        <w:t xml:space="preserve">Figure </w:t>
      </w:r>
      <w:r w:rsidRPr="00AD1270">
        <w:rPr>
          <w:b/>
          <w:color w:val="002F5D"/>
        </w:rPr>
        <w:fldChar w:fldCharType="begin"/>
      </w:r>
      <w:r w:rsidRPr="00AD1270">
        <w:rPr>
          <w:b/>
          <w:color w:val="002F5D"/>
        </w:rPr>
        <w:instrText xml:space="preserve"> SEQ Figure \* ARABIC </w:instrText>
      </w:r>
      <w:r w:rsidRPr="00AD1270">
        <w:rPr>
          <w:b/>
          <w:color w:val="002F5D"/>
        </w:rPr>
        <w:fldChar w:fldCharType="separate"/>
      </w:r>
      <w:r w:rsidR="00E80CFE">
        <w:rPr>
          <w:b/>
          <w:noProof/>
          <w:color w:val="002F5D"/>
        </w:rPr>
        <w:t>8</w:t>
      </w:r>
      <w:r w:rsidRPr="00AD1270">
        <w:rPr>
          <w:b/>
          <w:color w:val="002F5D"/>
        </w:rPr>
        <w:fldChar w:fldCharType="end"/>
      </w:r>
      <w:r w:rsidR="006B6E8F" w:rsidRPr="00AD1270">
        <w:rPr>
          <w:rFonts w:cs="Arial"/>
          <w:b/>
          <w:color w:val="002F5D"/>
        </w:rPr>
        <w:t xml:space="preserve">. </w:t>
      </w:r>
      <w:r w:rsidR="006B6E8F" w:rsidRPr="00AD1270">
        <w:rPr>
          <w:rFonts w:cs="Arial"/>
          <w:color w:val="002F5D"/>
        </w:rPr>
        <w:t>Cambridgeshire and Peterborough - absolute long term (20 year) population change, 2016 to 2036 (all ages)</w:t>
      </w:r>
    </w:p>
    <w:p w14:paraId="0B8FF978" w14:textId="77777777" w:rsidR="00AD1270" w:rsidRDefault="00AD1270" w:rsidP="006B077B">
      <w:pPr>
        <w:rPr>
          <w:rFonts w:cs="Arial"/>
          <w:color w:val="FF0000"/>
        </w:rPr>
      </w:pPr>
    </w:p>
    <w:p w14:paraId="2D622160" w14:textId="43AA298C" w:rsidR="00AD1270" w:rsidRPr="0037351D" w:rsidRDefault="00AD1270" w:rsidP="006B077B">
      <w:pPr>
        <w:rPr>
          <w:b/>
          <w:iCs/>
          <w:color w:val="FF0000"/>
          <w:szCs w:val="18"/>
        </w:rPr>
      </w:pPr>
      <w:r>
        <w:rPr>
          <w:b/>
          <w:iCs/>
          <w:noProof/>
          <w:color w:val="FF0000"/>
          <w:szCs w:val="18"/>
          <w:lang w:eastAsia="en-GB"/>
        </w:rPr>
        <w:drawing>
          <wp:inline distT="0" distB="0" distL="0" distR="0" wp14:anchorId="2E0B44F2" wp14:editId="050C76F2">
            <wp:extent cx="5224780" cy="282257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4780" cy="2822575"/>
                    </a:xfrm>
                    <a:prstGeom prst="rect">
                      <a:avLst/>
                    </a:prstGeom>
                    <a:noFill/>
                  </pic:spPr>
                </pic:pic>
              </a:graphicData>
            </a:graphic>
          </wp:inline>
        </w:drawing>
      </w:r>
      <w:r w:rsidR="00833FE7">
        <w:rPr>
          <w:b/>
          <w:iCs/>
          <w:color w:val="FF0000"/>
          <w:szCs w:val="18"/>
        </w:rPr>
        <w:t>t</w:t>
      </w:r>
    </w:p>
    <w:p w14:paraId="027F5EA7" w14:textId="77777777" w:rsidR="006B6E8F" w:rsidRPr="0037351D" w:rsidRDefault="006B6E8F" w:rsidP="006B077B">
      <w:pPr>
        <w:spacing w:line="240" w:lineRule="auto"/>
        <w:rPr>
          <w:rFonts w:cs="Arial"/>
          <w:b/>
          <w:color w:val="FF0000"/>
        </w:rPr>
      </w:pPr>
    </w:p>
    <w:p w14:paraId="6B5ED534" w14:textId="139A641D" w:rsidR="006B6E8F" w:rsidRPr="00AD1270" w:rsidRDefault="006B6E8F" w:rsidP="006B077B">
      <w:pPr>
        <w:spacing w:line="240" w:lineRule="auto"/>
        <w:rPr>
          <w:rFonts w:cs="Arial"/>
          <w:color w:val="002F5D"/>
        </w:rPr>
      </w:pPr>
      <w:r w:rsidRPr="00AD1270">
        <w:rPr>
          <w:rFonts w:cs="Arial"/>
          <w:b/>
          <w:color w:val="002F5D"/>
        </w:rPr>
        <w:t>Source</w:t>
      </w:r>
      <w:r w:rsidR="00AD1270" w:rsidRPr="00AD1270">
        <w:rPr>
          <w:rFonts w:cs="Arial"/>
          <w:color w:val="002F5D"/>
        </w:rPr>
        <w:t>: ONS 2016</w:t>
      </w:r>
      <w:r w:rsidRPr="00AD1270">
        <w:rPr>
          <w:rFonts w:cs="Arial"/>
          <w:color w:val="002F5D"/>
        </w:rPr>
        <w:t>-based Subnational population projections and CCCRG mid-2015 based population forecasts</w:t>
      </w:r>
    </w:p>
    <w:p w14:paraId="30261000" w14:textId="77777777" w:rsidR="006B6E8F" w:rsidRPr="0037351D" w:rsidRDefault="006B6E8F" w:rsidP="006B077B">
      <w:pPr>
        <w:spacing w:line="240" w:lineRule="auto"/>
        <w:rPr>
          <w:rFonts w:cs="Arial"/>
          <w:b/>
          <w:color w:val="FF0000"/>
        </w:rPr>
      </w:pPr>
    </w:p>
    <w:p w14:paraId="3F408DF7" w14:textId="77777777" w:rsidR="006B077B" w:rsidRPr="00AD1270" w:rsidRDefault="006B077B" w:rsidP="006B077B">
      <w:pPr>
        <w:spacing w:line="240" w:lineRule="auto"/>
        <w:rPr>
          <w:rFonts w:cs="Arial"/>
          <w:b/>
          <w:color w:val="002F5D"/>
        </w:rPr>
      </w:pPr>
      <w:r w:rsidRPr="00AD1270">
        <w:rPr>
          <w:rFonts w:cs="Arial"/>
          <w:b/>
          <w:color w:val="002F5D"/>
        </w:rPr>
        <w:t>Cambridgeshire and Peterborough’s population – Key points:</w:t>
      </w:r>
    </w:p>
    <w:p w14:paraId="2A931EE3" w14:textId="77777777" w:rsidR="006B077B" w:rsidRPr="00AD1270" w:rsidRDefault="006B077B" w:rsidP="006B077B">
      <w:pPr>
        <w:pStyle w:val="ListParagraph"/>
        <w:numPr>
          <w:ilvl w:val="0"/>
          <w:numId w:val="63"/>
        </w:numPr>
        <w:spacing w:line="240" w:lineRule="auto"/>
        <w:ind w:left="714" w:hanging="357"/>
        <w:rPr>
          <w:rFonts w:cs="Arial"/>
          <w:b/>
          <w:color w:val="002F5D"/>
        </w:rPr>
      </w:pPr>
      <w:r w:rsidRPr="00AD1270">
        <w:rPr>
          <w:rFonts w:cs="Arial"/>
          <w:color w:val="002F5D"/>
        </w:rPr>
        <w:t>CCCRG house-building policy led forecasts indicate that the population of Cambridgeshire and Peterborough combined is expected to increase by just under 194,000 people between 2016 and 2036 (a proportional change of 23%).</w:t>
      </w:r>
    </w:p>
    <w:p w14:paraId="6914C25B" w14:textId="579DA06C" w:rsidR="006B077B" w:rsidRPr="00AD1270" w:rsidRDefault="006B077B" w:rsidP="006B077B">
      <w:pPr>
        <w:pStyle w:val="ListParagraph"/>
        <w:numPr>
          <w:ilvl w:val="0"/>
          <w:numId w:val="63"/>
        </w:numPr>
        <w:spacing w:line="240" w:lineRule="auto"/>
        <w:ind w:left="714" w:hanging="357"/>
        <w:rPr>
          <w:rFonts w:cs="Arial"/>
          <w:b/>
          <w:color w:val="002F5D"/>
        </w:rPr>
      </w:pPr>
      <w:r w:rsidRPr="00AD1270">
        <w:rPr>
          <w:rFonts w:cs="Arial"/>
          <w:color w:val="002F5D"/>
        </w:rPr>
        <w:t>ONS projections indicate that Cambridgeshire and Peterborough’s population is expecte</w:t>
      </w:r>
      <w:r w:rsidR="008661D1">
        <w:rPr>
          <w:rFonts w:cs="Arial"/>
          <w:color w:val="002F5D"/>
        </w:rPr>
        <w:t>d to increase by 80,4</w:t>
      </w:r>
      <w:r w:rsidRPr="00AD1270">
        <w:rPr>
          <w:rFonts w:cs="Arial"/>
          <w:color w:val="002F5D"/>
        </w:rPr>
        <w:t xml:space="preserve">00 people </w:t>
      </w:r>
      <w:r w:rsidR="008661D1">
        <w:rPr>
          <w:rFonts w:cs="Arial"/>
          <w:color w:val="002F5D"/>
        </w:rPr>
        <w:t>between 2016 and 2</w:t>
      </w:r>
      <w:r w:rsidR="00AD1270" w:rsidRPr="00AD1270">
        <w:rPr>
          <w:rFonts w:cs="Arial"/>
          <w:color w:val="002F5D"/>
        </w:rPr>
        <w:t>036 (a proportional change of</w:t>
      </w:r>
      <w:r w:rsidR="008661D1">
        <w:rPr>
          <w:rFonts w:cs="Arial"/>
          <w:color w:val="002F5D"/>
        </w:rPr>
        <w:t xml:space="preserve"> almost</w:t>
      </w:r>
      <w:r w:rsidR="00AD1270" w:rsidRPr="00AD1270">
        <w:rPr>
          <w:rFonts w:cs="Arial"/>
          <w:color w:val="002F5D"/>
        </w:rPr>
        <w:t xml:space="preserve"> 10</w:t>
      </w:r>
      <w:r w:rsidRPr="00AD1270">
        <w:rPr>
          <w:rFonts w:cs="Arial"/>
          <w:color w:val="002F5D"/>
        </w:rPr>
        <w:t>%).</w:t>
      </w:r>
    </w:p>
    <w:p w14:paraId="5C70F95E" w14:textId="77777777" w:rsidR="006B077B" w:rsidRPr="00AD1270" w:rsidRDefault="006B077B" w:rsidP="006B077B">
      <w:pPr>
        <w:pStyle w:val="ListParagraph"/>
        <w:numPr>
          <w:ilvl w:val="0"/>
          <w:numId w:val="64"/>
        </w:numPr>
        <w:spacing w:line="240" w:lineRule="auto"/>
        <w:rPr>
          <w:rFonts w:cs="Arial"/>
          <w:color w:val="002F5D"/>
        </w:rPr>
      </w:pPr>
      <w:r w:rsidRPr="00AD1270">
        <w:rPr>
          <w:rFonts w:cs="Arial"/>
          <w:color w:val="002F5D"/>
        </w:rPr>
        <w:t>CCCRG forecasts, though starting at a similar level to ONS in 2016, predict higher levels of population growth than ONS projections.</w:t>
      </w:r>
    </w:p>
    <w:p w14:paraId="751B82F5" w14:textId="47181CAF" w:rsidR="006B077B" w:rsidRPr="00AD1270" w:rsidRDefault="006B077B" w:rsidP="006B077B">
      <w:pPr>
        <w:pStyle w:val="ListParagraph"/>
        <w:numPr>
          <w:ilvl w:val="0"/>
          <w:numId w:val="64"/>
        </w:numPr>
        <w:spacing w:line="240" w:lineRule="auto"/>
        <w:rPr>
          <w:rFonts w:cs="Arial"/>
          <w:color w:val="002F5D"/>
        </w:rPr>
      </w:pPr>
      <w:r w:rsidRPr="00AD1270">
        <w:rPr>
          <w:rFonts w:cs="Arial"/>
          <w:color w:val="002F5D"/>
        </w:rPr>
        <w:t>For Cambridgeshire and Peterborough combined the overall difference between the predict</w:t>
      </w:r>
      <w:r w:rsidR="00AD1270" w:rsidRPr="00AD1270">
        <w:rPr>
          <w:rFonts w:cs="Arial"/>
          <w:color w:val="002F5D"/>
        </w:rPr>
        <w:t>ed population growth is around 113,4</w:t>
      </w:r>
      <w:r w:rsidRPr="00AD1270">
        <w:rPr>
          <w:rFonts w:cs="Arial"/>
          <w:color w:val="002F5D"/>
        </w:rPr>
        <w:t xml:space="preserve">00 people, with </w:t>
      </w:r>
      <w:r w:rsidR="00AD1270" w:rsidRPr="00AD1270">
        <w:rPr>
          <w:rFonts w:cs="Arial"/>
          <w:color w:val="002F5D"/>
        </w:rPr>
        <w:t>a proportional difference of 13.2</w:t>
      </w:r>
      <w:r w:rsidRPr="00AD1270">
        <w:rPr>
          <w:rFonts w:cs="Arial"/>
          <w:color w:val="002F5D"/>
        </w:rPr>
        <w:t xml:space="preserve"> percentage points.</w:t>
      </w:r>
    </w:p>
    <w:p w14:paraId="3B7BDBDA" w14:textId="77777777" w:rsidR="006B077B" w:rsidRPr="00AD1270" w:rsidRDefault="006B077B" w:rsidP="00A917DC">
      <w:pPr>
        <w:spacing w:line="240" w:lineRule="auto"/>
        <w:rPr>
          <w:rFonts w:cs="Arial"/>
          <w:b/>
          <w:color w:val="002F5D"/>
        </w:rPr>
      </w:pPr>
    </w:p>
    <w:p w14:paraId="4665ED64" w14:textId="77777777" w:rsidR="006B077B" w:rsidRPr="0037351D" w:rsidRDefault="006B077B">
      <w:pPr>
        <w:rPr>
          <w:b/>
          <w:iCs/>
          <w:color w:val="FF0000"/>
          <w:szCs w:val="18"/>
        </w:rPr>
      </w:pPr>
      <w:r w:rsidRPr="0037351D">
        <w:rPr>
          <w:b/>
          <w:color w:val="FF0000"/>
        </w:rPr>
        <w:br w:type="page"/>
      </w:r>
    </w:p>
    <w:p w14:paraId="4F50E3A1" w14:textId="66B45A3C" w:rsidR="006B6E8F" w:rsidRDefault="00CD501F" w:rsidP="00A917DC">
      <w:pPr>
        <w:pStyle w:val="Caption"/>
        <w:rPr>
          <w:color w:val="002F5D"/>
        </w:rPr>
      </w:pPr>
      <w:r w:rsidRPr="00E443B8">
        <w:rPr>
          <w:b/>
          <w:color w:val="002F5D"/>
        </w:rPr>
        <w:lastRenderedPageBreak/>
        <w:t xml:space="preserve">Figure </w:t>
      </w:r>
      <w:r w:rsidRPr="00E443B8">
        <w:rPr>
          <w:b/>
          <w:color w:val="002F5D"/>
        </w:rPr>
        <w:fldChar w:fldCharType="begin"/>
      </w:r>
      <w:r w:rsidRPr="00E443B8">
        <w:rPr>
          <w:b/>
          <w:color w:val="002F5D"/>
        </w:rPr>
        <w:instrText xml:space="preserve"> SEQ Figure \* ARABIC </w:instrText>
      </w:r>
      <w:r w:rsidRPr="00E443B8">
        <w:rPr>
          <w:b/>
          <w:color w:val="002F5D"/>
        </w:rPr>
        <w:fldChar w:fldCharType="separate"/>
      </w:r>
      <w:r w:rsidR="00E80CFE">
        <w:rPr>
          <w:b/>
          <w:noProof/>
          <w:color w:val="002F5D"/>
        </w:rPr>
        <w:t>9</w:t>
      </w:r>
      <w:r w:rsidRPr="00E443B8">
        <w:rPr>
          <w:b/>
          <w:color w:val="002F5D"/>
        </w:rPr>
        <w:fldChar w:fldCharType="end"/>
      </w:r>
      <w:r w:rsidR="006B6E8F" w:rsidRPr="00E443B8">
        <w:rPr>
          <w:b/>
          <w:color w:val="002F5D"/>
        </w:rPr>
        <w:t>.</w:t>
      </w:r>
      <w:r w:rsidR="006B6E8F" w:rsidRPr="00E443B8">
        <w:rPr>
          <w:color w:val="002F5D"/>
        </w:rPr>
        <w:t xml:space="preserve"> Comparison of absolute and proportional population changes to 2036 for Cambridgeshire and Peterborough - CCCRG mid-2015 based p</w:t>
      </w:r>
      <w:r w:rsidR="00E443B8">
        <w:rPr>
          <w:color w:val="002F5D"/>
        </w:rPr>
        <w:t>opulation forecasts and ONS 2016</w:t>
      </w:r>
      <w:r w:rsidR="006B6E8F" w:rsidRPr="00E443B8">
        <w:rPr>
          <w:color w:val="002F5D"/>
        </w:rPr>
        <w:t xml:space="preserve"> based population projections to 2036 (all ages)</w:t>
      </w:r>
    </w:p>
    <w:p w14:paraId="50985CD4" w14:textId="77777777" w:rsidR="00E443B8" w:rsidRPr="00E443B8" w:rsidRDefault="00E443B8" w:rsidP="00E443B8"/>
    <w:p w14:paraId="6D396A35" w14:textId="02487448" w:rsidR="006B6E8F" w:rsidRPr="0037351D" w:rsidRDefault="00E443B8" w:rsidP="00A917DC">
      <w:pPr>
        <w:spacing w:line="240" w:lineRule="auto"/>
        <w:rPr>
          <w:color w:val="FF0000"/>
        </w:rPr>
      </w:pPr>
      <w:r>
        <w:rPr>
          <w:noProof/>
          <w:color w:val="FF0000"/>
          <w:lang w:eastAsia="en-GB"/>
        </w:rPr>
        <w:drawing>
          <wp:inline distT="0" distB="0" distL="0" distR="0" wp14:anchorId="144FC830" wp14:editId="0BD234FE">
            <wp:extent cx="5200650" cy="35479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07131" cy="3552371"/>
                    </a:xfrm>
                    <a:prstGeom prst="rect">
                      <a:avLst/>
                    </a:prstGeom>
                    <a:noFill/>
                  </pic:spPr>
                </pic:pic>
              </a:graphicData>
            </a:graphic>
          </wp:inline>
        </w:drawing>
      </w:r>
    </w:p>
    <w:p w14:paraId="4EAC6179" w14:textId="002E06BD" w:rsidR="006B6E8F" w:rsidRPr="0037351D" w:rsidRDefault="006B6E8F" w:rsidP="006B6E8F">
      <w:pPr>
        <w:rPr>
          <w:rFonts w:cs="Arial"/>
          <w:b/>
          <w:color w:val="FF0000"/>
        </w:rPr>
      </w:pPr>
    </w:p>
    <w:p w14:paraId="4624404A" w14:textId="64214AF9" w:rsidR="006B6E8F" w:rsidRPr="0037351D" w:rsidRDefault="00E443B8" w:rsidP="006B6E8F">
      <w:pPr>
        <w:rPr>
          <w:rFonts w:cs="Arial"/>
          <w:b/>
          <w:color w:val="FF0000"/>
        </w:rPr>
      </w:pPr>
      <w:r>
        <w:rPr>
          <w:rFonts w:cs="Arial"/>
          <w:b/>
          <w:noProof/>
          <w:color w:val="FF0000"/>
          <w:lang w:eastAsia="en-GB"/>
        </w:rPr>
        <w:drawing>
          <wp:inline distT="0" distB="0" distL="0" distR="0" wp14:anchorId="274301D7" wp14:editId="06A77C6E">
            <wp:extent cx="5181600" cy="3617848"/>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98468" cy="3629625"/>
                    </a:xfrm>
                    <a:prstGeom prst="rect">
                      <a:avLst/>
                    </a:prstGeom>
                    <a:noFill/>
                  </pic:spPr>
                </pic:pic>
              </a:graphicData>
            </a:graphic>
          </wp:inline>
        </w:drawing>
      </w:r>
    </w:p>
    <w:p w14:paraId="77C32ED8" w14:textId="6C46252B" w:rsidR="006B6E8F" w:rsidRPr="0037351D" w:rsidRDefault="006B6E8F" w:rsidP="006B6E8F">
      <w:pPr>
        <w:rPr>
          <w:rFonts w:cs="Arial"/>
          <w:b/>
          <w:color w:val="FF0000"/>
        </w:rPr>
      </w:pPr>
    </w:p>
    <w:p w14:paraId="15E91E1D" w14:textId="77777777" w:rsidR="006B6E8F" w:rsidRPr="0037351D" w:rsidRDefault="006B6E8F" w:rsidP="006B077B">
      <w:pPr>
        <w:spacing w:line="240" w:lineRule="auto"/>
        <w:rPr>
          <w:rFonts w:cs="Arial"/>
          <w:b/>
          <w:color w:val="FF0000"/>
        </w:rPr>
      </w:pPr>
    </w:p>
    <w:p w14:paraId="2D17C204" w14:textId="7B9E1197" w:rsidR="006B6E8F" w:rsidRPr="0037351D" w:rsidRDefault="006B6E8F" w:rsidP="006B6E8F">
      <w:pPr>
        <w:spacing w:line="240" w:lineRule="auto"/>
        <w:rPr>
          <w:rFonts w:cs="Arial"/>
          <w:color w:val="FF0000"/>
        </w:rPr>
      </w:pPr>
      <w:r w:rsidRPr="00E443B8">
        <w:rPr>
          <w:rFonts w:cs="Arial"/>
          <w:b/>
          <w:color w:val="002F5D"/>
        </w:rPr>
        <w:t>Source</w:t>
      </w:r>
      <w:r w:rsidR="00E443B8" w:rsidRPr="00E443B8">
        <w:rPr>
          <w:rFonts w:cs="Arial"/>
          <w:color w:val="002F5D"/>
        </w:rPr>
        <w:t>: ONS 2016</w:t>
      </w:r>
      <w:r w:rsidRPr="00E443B8">
        <w:rPr>
          <w:rFonts w:cs="Arial"/>
          <w:color w:val="002F5D"/>
        </w:rPr>
        <w:t>-based Subnational population projections and CCCRG mid-2015 based population forecasts</w:t>
      </w:r>
    </w:p>
    <w:p w14:paraId="037AE667" w14:textId="77777777" w:rsidR="006B6E8F" w:rsidRPr="0037351D" w:rsidRDefault="006B6E8F" w:rsidP="00A3568F">
      <w:pPr>
        <w:pStyle w:val="JSNA3"/>
      </w:pPr>
      <w:bookmarkStart w:id="728" w:name="_Toc492908650"/>
      <w:bookmarkStart w:id="729" w:name="_Toc4407832"/>
      <w:r w:rsidRPr="0037351D">
        <w:lastRenderedPageBreak/>
        <w:t>Population forecasts: CCC Research Group and ONS short and medium term forecasts to 2026</w:t>
      </w:r>
      <w:bookmarkEnd w:id="728"/>
      <w:bookmarkEnd w:id="729"/>
    </w:p>
    <w:p w14:paraId="1CE5B3D2" w14:textId="77777777" w:rsidR="006B6E8F" w:rsidRPr="00390113" w:rsidRDefault="006B6E8F" w:rsidP="006B077B">
      <w:pPr>
        <w:spacing w:line="240" w:lineRule="auto"/>
        <w:rPr>
          <w:rFonts w:cs="Arial"/>
          <w:b/>
          <w:color w:val="002F5D"/>
        </w:rPr>
      </w:pPr>
    </w:p>
    <w:p w14:paraId="33302DD2" w14:textId="2F395DD0" w:rsidR="006B6E8F" w:rsidRDefault="006B6E8F" w:rsidP="006B077B">
      <w:pPr>
        <w:pStyle w:val="Caption"/>
        <w:rPr>
          <w:color w:val="002F5D"/>
        </w:rPr>
      </w:pPr>
      <w:r w:rsidRPr="00390113">
        <w:rPr>
          <w:b/>
          <w:color w:val="002F5D"/>
        </w:rPr>
        <w:t xml:space="preserve">Table </w:t>
      </w:r>
      <w:r w:rsidRPr="00390113">
        <w:rPr>
          <w:b/>
          <w:color w:val="002F5D"/>
        </w:rPr>
        <w:fldChar w:fldCharType="begin"/>
      </w:r>
      <w:r w:rsidRPr="00390113">
        <w:rPr>
          <w:b/>
          <w:color w:val="002F5D"/>
        </w:rPr>
        <w:instrText xml:space="preserve"> SEQ Table \* ARABIC </w:instrText>
      </w:r>
      <w:r w:rsidRPr="00390113">
        <w:rPr>
          <w:b/>
          <w:color w:val="002F5D"/>
        </w:rPr>
        <w:fldChar w:fldCharType="separate"/>
      </w:r>
      <w:r w:rsidR="00E80CFE">
        <w:rPr>
          <w:b/>
          <w:noProof/>
          <w:color w:val="002F5D"/>
        </w:rPr>
        <w:t>9</w:t>
      </w:r>
      <w:r w:rsidRPr="00390113">
        <w:rPr>
          <w:b/>
          <w:color w:val="002F5D"/>
        </w:rPr>
        <w:fldChar w:fldCharType="end"/>
      </w:r>
      <w:r w:rsidR="008439C9" w:rsidRPr="00390113">
        <w:rPr>
          <w:color w:val="002F5D"/>
        </w:rPr>
        <w:t>. Comparison of ONS 2016</w:t>
      </w:r>
      <w:r w:rsidRPr="00390113">
        <w:rPr>
          <w:color w:val="002F5D"/>
        </w:rPr>
        <w:t xml:space="preserve"> based population projections and CCCRG mid-2015 based population forecasts to 2026, all ages</w:t>
      </w:r>
    </w:p>
    <w:p w14:paraId="5A5AA369" w14:textId="1D3A3F50" w:rsidR="006B6E8F" w:rsidRPr="0037351D" w:rsidRDefault="002A1CFD" w:rsidP="00B2534B">
      <w:pPr>
        <w:rPr>
          <w:color w:val="FF0000"/>
        </w:rPr>
      </w:pPr>
      <w:r w:rsidRPr="002A1CFD">
        <w:rPr>
          <w:noProof/>
          <w:lang w:eastAsia="en-GB"/>
        </w:rPr>
        <w:drawing>
          <wp:inline distT="0" distB="0" distL="0" distR="0" wp14:anchorId="3B8CE8E2" wp14:editId="7EFFF605">
            <wp:extent cx="6120130" cy="145247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1452473"/>
                    </a:xfrm>
                    <a:prstGeom prst="rect">
                      <a:avLst/>
                    </a:prstGeom>
                    <a:noFill/>
                    <a:ln>
                      <a:noFill/>
                    </a:ln>
                  </pic:spPr>
                </pic:pic>
              </a:graphicData>
            </a:graphic>
          </wp:inline>
        </w:drawing>
      </w:r>
    </w:p>
    <w:p w14:paraId="623BCFFB" w14:textId="2939A1C4" w:rsidR="006B6E8F" w:rsidRDefault="00390113" w:rsidP="006B6E8F">
      <w:pPr>
        <w:tabs>
          <w:tab w:val="left" w:pos="2758"/>
        </w:tabs>
        <w:rPr>
          <w:color w:val="FF0000"/>
        </w:rPr>
      </w:pPr>
      <w:r w:rsidRPr="00390113">
        <w:rPr>
          <w:noProof/>
          <w:lang w:eastAsia="en-GB"/>
        </w:rPr>
        <w:drawing>
          <wp:inline distT="0" distB="0" distL="0" distR="0" wp14:anchorId="50F9B19B" wp14:editId="6AD6A196">
            <wp:extent cx="6120130" cy="1452473"/>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1452473"/>
                    </a:xfrm>
                    <a:prstGeom prst="rect">
                      <a:avLst/>
                    </a:prstGeom>
                    <a:noFill/>
                    <a:ln>
                      <a:noFill/>
                    </a:ln>
                  </pic:spPr>
                </pic:pic>
              </a:graphicData>
            </a:graphic>
          </wp:inline>
        </w:drawing>
      </w:r>
    </w:p>
    <w:p w14:paraId="2BA6AC0C" w14:textId="23D02C6D" w:rsidR="006B6E8F" w:rsidRPr="0037351D" w:rsidRDefault="00390113" w:rsidP="006B6E8F">
      <w:pPr>
        <w:tabs>
          <w:tab w:val="left" w:pos="2758"/>
        </w:tabs>
        <w:rPr>
          <w:color w:val="FF0000"/>
        </w:rPr>
      </w:pPr>
      <w:r w:rsidRPr="00390113">
        <w:rPr>
          <w:noProof/>
          <w:lang w:eastAsia="en-GB"/>
        </w:rPr>
        <w:drawing>
          <wp:inline distT="0" distB="0" distL="0" distR="0" wp14:anchorId="0C36CA06" wp14:editId="16EB01B8">
            <wp:extent cx="6120130" cy="1452473"/>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1452473"/>
                    </a:xfrm>
                    <a:prstGeom prst="rect">
                      <a:avLst/>
                    </a:prstGeom>
                    <a:noFill/>
                    <a:ln>
                      <a:noFill/>
                    </a:ln>
                  </pic:spPr>
                </pic:pic>
              </a:graphicData>
            </a:graphic>
          </wp:inline>
        </w:drawing>
      </w:r>
    </w:p>
    <w:p w14:paraId="411DA4A2" w14:textId="43738774" w:rsidR="00A917DC" w:rsidRPr="00E61D24" w:rsidRDefault="00B2534B" w:rsidP="00A917DC">
      <w:pPr>
        <w:spacing w:line="240" w:lineRule="auto"/>
        <w:rPr>
          <w:rFonts w:ascii="Calibri" w:eastAsia="Times New Roman" w:hAnsi="Calibri" w:cs="Calibri"/>
          <w:b/>
          <w:bCs/>
          <w:color w:val="002F5D"/>
          <w:sz w:val="16"/>
          <w:szCs w:val="16"/>
          <w:lang w:eastAsia="en-GB"/>
        </w:rPr>
      </w:pPr>
      <w:r w:rsidRPr="00E61D24">
        <w:rPr>
          <w:rFonts w:ascii="Calibri" w:eastAsia="Times New Roman" w:hAnsi="Calibri" w:cs="Calibri"/>
          <w:b/>
          <w:bCs/>
          <w:color w:val="002F5D"/>
          <w:sz w:val="16"/>
          <w:szCs w:val="16"/>
          <w:lang w:eastAsia="en-GB"/>
        </w:rPr>
        <w:t>Note: Totals may not add up due to rounding</w:t>
      </w:r>
    </w:p>
    <w:p w14:paraId="10924B43" w14:textId="77777777" w:rsidR="00B2534B" w:rsidRPr="0037351D" w:rsidRDefault="00B2534B" w:rsidP="00A917DC">
      <w:pPr>
        <w:spacing w:line="240" w:lineRule="auto"/>
        <w:rPr>
          <w:rFonts w:ascii="Calibri" w:eastAsia="Times New Roman" w:hAnsi="Calibri" w:cs="Calibri"/>
          <w:b/>
          <w:bCs/>
          <w:color w:val="FF0000"/>
          <w:sz w:val="16"/>
          <w:szCs w:val="16"/>
          <w:lang w:eastAsia="en-GB"/>
        </w:rPr>
      </w:pPr>
    </w:p>
    <w:p w14:paraId="2941B332" w14:textId="228D99CA" w:rsidR="006B6E8F" w:rsidRPr="00390113" w:rsidRDefault="006B6E8F" w:rsidP="00A917DC">
      <w:pPr>
        <w:spacing w:line="240" w:lineRule="auto"/>
        <w:rPr>
          <w:rFonts w:ascii="Calibri" w:eastAsia="Times New Roman" w:hAnsi="Calibri" w:cs="Calibri"/>
          <w:b/>
          <w:bCs/>
          <w:color w:val="002F5D"/>
          <w:lang w:eastAsia="en-GB"/>
        </w:rPr>
      </w:pPr>
      <w:r w:rsidRPr="00390113">
        <w:rPr>
          <w:rFonts w:ascii="Calibri" w:eastAsia="Times New Roman" w:hAnsi="Calibri" w:cs="Calibri"/>
          <w:b/>
          <w:bCs/>
          <w:color w:val="002F5D"/>
          <w:lang w:eastAsia="en-GB"/>
        </w:rPr>
        <w:t xml:space="preserve">Source: </w:t>
      </w:r>
      <w:r w:rsidR="00390113">
        <w:rPr>
          <w:rFonts w:ascii="Calibri" w:eastAsia="Times New Roman" w:hAnsi="Calibri" w:cs="Calibri"/>
          <w:color w:val="002F5D"/>
          <w:lang w:eastAsia="en-GB"/>
        </w:rPr>
        <w:t>ONS 2016</w:t>
      </w:r>
      <w:r w:rsidRPr="00390113">
        <w:rPr>
          <w:rFonts w:ascii="Calibri" w:eastAsia="Times New Roman" w:hAnsi="Calibri" w:cs="Calibri"/>
          <w:color w:val="002F5D"/>
          <w:lang w:eastAsia="en-GB"/>
        </w:rPr>
        <w:t>-based Subnational population projections and Cambridgeshire County Council Research Group mid-2015 based population forecasts</w:t>
      </w:r>
    </w:p>
    <w:p w14:paraId="58843E8F" w14:textId="77777777" w:rsidR="006B6E8F" w:rsidRPr="00390113" w:rsidRDefault="006B6E8F" w:rsidP="00A917DC">
      <w:pPr>
        <w:pStyle w:val="Caption"/>
        <w:rPr>
          <w:b/>
          <w:color w:val="002F5D"/>
        </w:rPr>
      </w:pPr>
    </w:p>
    <w:p w14:paraId="6460D308" w14:textId="77777777" w:rsidR="006B6E8F" w:rsidRPr="00390113" w:rsidRDefault="006B6E8F" w:rsidP="00A917DC">
      <w:pPr>
        <w:spacing w:line="240" w:lineRule="auto"/>
        <w:rPr>
          <w:rFonts w:cs="Arial"/>
          <w:color w:val="002F5D"/>
        </w:rPr>
      </w:pPr>
      <w:r w:rsidRPr="00390113">
        <w:rPr>
          <w:rFonts w:cs="Arial"/>
          <w:b/>
          <w:color w:val="002F5D"/>
        </w:rPr>
        <w:t>Key points</w:t>
      </w:r>
      <w:r w:rsidRPr="00390113">
        <w:rPr>
          <w:rFonts w:cs="Arial"/>
          <w:color w:val="002F5D"/>
        </w:rPr>
        <w:t>:</w:t>
      </w:r>
    </w:p>
    <w:p w14:paraId="718CC700" w14:textId="77777777" w:rsidR="006B6E8F" w:rsidRPr="00390113" w:rsidRDefault="0041696F" w:rsidP="00A917DC">
      <w:pPr>
        <w:pStyle w:val="ListParagraph"/>
        <w:numPr>
          <w:ilvl w:val="0"/>
          <w:numId w:val="61"/>
        </w:numPr>
        <w:spacing w:line="240" w:lineRule="auto"/>
        <w:ind w:left="714" w:hanging="357"/>
        <w:rPr>
          <w:rFonts w:cs="Arial"/>
          <w:color w:val="002F5D"/>
        </w:rPr>
      </w:pPr>
      <w:r w:rsidRPr="00390113">
        <w:rPr>
          <w:rFonts w:cs="Arial"/>
          <w:color w:val="002F5D"/>
        </w:rPr>
        <w:t>The CCC</w:t>
      </w:r>
      <w:r w:rsidR="006B6E8F" w:rsidRPr="00390113">
        <w:rPr>
          <w:rFonts w:cs="Arial"/>
          <w:color w:val="002F5D"/>
        </w:rPr>
        <w:t>RG forecasts are generally higher than the ONS projections, with the primary reason being the impact of future housing policy in the local forecasts.</w:t>
      </w:r>
    </w:p>
    <w:p w14:paraId="40BB36D2" w14:textId="30AF9E15" w:rsidR="006B6E8F" w:rsidRPr="00390113" w:rsidRDefault="00A917DC" w:rsidP="00A917DC">
      <w:pPr>
        <w:pStyle w:val="ListParagraph"/>
        <w:numPr>
          <w:ilvl w:val="0"/>
          <w:numId w:val="61"/>
        </w:numPr>
        <w:spacing w:line="240" w:lineRule="auto"/>
        <w:ind w:left="714" w:hanging="357"/>
        <w:rPr>
          <w:rFonts w:cs="Arial"/>
          <w:color w:val="002F5D"/>
        </w:rPr>
      </w:pPr>
      <w:r w:rsidRPr="00390113">
        <w:rPr>
          <w:rFonts w:cs="Arial"/>
          <w:color w:val="002F5D"/>
        </w:rPr>
        <w:t>T</w:t>
      </w:r>
      <w:r w:rsidR="006B6E8F" w:rsidRPr="00390113">
        <w:rPr>
          <w:rFonts w:cs="Arial"/>
          <w:color w:val="002F5D"/>
        </w:rPr>
        <w:t xml:space="preserve">here is not a great difference in the 2016 ONS </w:t>
      </w:r>
      <w:r w:rsidR="003A2EC9" w:rsidRPr="00390113">
        <w:rPr>
          <w:rFonts w:cs="Arial"/>
          <w:color w:val="002F5D"/>
        </w:rPr>
        <w:t xml:space="preserve">projection </w:t>
      </w:r>
      <w:r w:rsidRPr="00390113">
        <w:rPr>
          <w:rFonts w:cs="Arial"/>
          <w:color w:val="002F5D"/>
        </w:rPr>
        <w:t xml:space="preserve">and CCCRG </w:t>
      </w:r>
      <w:r w:rsidR="003A2EC9" w:rsidRPr="00390113">
        <w:rPr>
          <w:rFonts w:cs="Arial"/>
          <w:color w:val="002F5D"/>
        </w:rPr>
        <w:t>f</w:t>
      </w:r>
      <w:r w:rsidRPr="00390113">
        <w:rPr>
          <w:rFonts w:cs="Arial"/>
          <w:color w:val="002F5D"/>
        </w:rPr>
        <w:t xml:space="preserve">orecast </w:t>
      </w:r>
      <w:r w:rsidR="006B6E8F" w:rsidRPr="00390113">
        <w:rPr>
          <w:rFonts w:cs="Arial"/>
          <w:color w:val="002F5D"/>
        </w:rPr>
        <w:t xml:space="preserve">for Cambridgeshire, </w:t>
      </w:r>
      <w:r w:rsidR="001423BF">
        <w:rPr>
          <w:rFonts w:cs="Arial"/>
          <w:color w:val="002F5D"/>
        </w:rPr>
        <w:t xml:space="preserve">except Cambridge City, </w:t>
      </w:r>
      <w:r w:rsidR="006B6E8F" w:rsidRPr="00390113">
        <w:rPr>
          <w:rFonts w:cs="Arial"/>
          <w:color w:val="002F5D"/>
        </w:rPr>
        <w:t xml:space="preserve">with the impact of recent housing development clear in </w:t>
      </w:r>
      <w:r w:rsidRPr="00390113">
        <w:rPr>
          <w:rFonts w:cs="Arial"/>
          <w:color w:val="002F5D"/>
        </w:rPr>
        <w:t>Cambridge City’s</w:t>
      </w:r>
      <w:r w:rsidR="006B6E8F" w:rsidRPr="00390113">
        <w:rPr>
          <w:rFonts w:cs="Arial"/>
          <w:color w:val="002F5D"/>
        </w:rPr>
        <w:t xml:space="preserve"> l</w:t>
      </w:r>
      <w:r w:rsidRPr="00390113">
        <w:rPr>
          <w:rFonts w:cs="Arial"/>
          <w:color w:val="002F5D"/>
        </w:rPr>
        <w:t>ocal forecast</w:t>
      </w:r>
      <w:r w:rsidR="006B6E8F" w:rsidRPr="00390113">
        <w:rPr>
          <w:rFonts w:cs="Arial"/>
          <w:color w:val="002F5D"/>
        </w:rPr>
        <w:t xml:space="preserve">. </w:t>
      </w:r>
    </w:p>
    <w:p w14:paraId="64665A4F" w14:textId="566178BF" w:rsidR="006B6E8F" w:rsidRPr="001423BF" w:rsidRDefault="006B6E8F" w:rsidP="00A917DC">
      <w:pPr>
        <w:pStyle w:val="ListParagraph"/>
        <w:numPr>
          <w:ilvl w:val="0"/>
          <w:numId w:val="61"/>
        </w:numPr>
        <w:spacing w:line="240" w:lineRule="auto"/>
        <w:ind w:left="714" w:hanging="357"/>
        <w:rPr>
          <w:rFonts w:cs="Arial"/>
          <w:color w:val="002F5D"/>
        </w:rPr>
      </w:pPr>
      <w:r w:rsidRPr="001423BF">
        <w:rPr>
          <w:rFonts w:cs="Arial"/>
          <w:color w:val="002F5D"/>
        </w:rPr>
        <w:t xml:space="preserve">To 2026 the CCCRG forecasts are higher in all areas, with the CCCRG forecast predicting </w:t>
      </w:r>
      <w:r w:rsidR="001423BF" w:rsidRPr="001423BF">
        <w:rPr>
          <w:rFonts w:cs="Arial"/>
          <w:color w:val="002F5D"/>
        </w:rPr>
        <w:t>around 92,0</w:t>
      </w:r>
      <w:r w:rsidRPr="001423BF">
        <w:rPr>
          <w:rFonts w:cs="Arial"/>
          <w:color w:val="002F5D"/>
        </w:rPr>
        <w:t xml:space="preserve">00 more people than the ONS projections across Cambridgeshire and Peterborough. CCCRG predict overall population growth of 16.5% between 2016 and 2026, whereas ONS </w:t>
      </w:r>
      <w:r w:rsidR="001423BF" w:rsidRPr="001423BF">
        <w:rPr>
          <w:rFonts w:cs="Arial"/>
          <w:color w:val="002F5D"/>
        </w:rPr>
        <w:t>predict 5.7</w:t>
      </w:r>
      <w:r w:rsidR="00A1190E" w:rsidRPr="001423BF">
        <w:rPr>
          <w:rFonts w:cs="Arial"/>
          <w:color w:val="002F5D"/>
        </w:rPr>
        <w:t>% population growth, a pe</w:t>
      </w:r>
      <w:r w:rsidR="001423BF" w:rsidRPr="001423BF">
        <w:rPr>
          <w:rFonts w:cs="Arial"/>
          <w:color w:val="002F5D"/>
        </w:rPr>
        <w:t>rcentage point difference of 10.8</w:t>
      </w:r>
      <w:r w:rsidR="00A1190E" w:rsidRPr="001423BF">
        <w:rPr>
          <w:rFonts w:cs="Arial"/>
          <w:color w:val="002F5D"/>
        </w:rPr>
        <w:t>.</w:t>
      </w:r>
    </w:p>
    <w:p w14:paraId="45A3865B" w14:textId="1B4F9B2A" w:rsidR="006B6E8F" w:rsidRPr="001423BF" w:rsidRDefault="006B6E8F" w:rsidP="00A917DC">
      <w:pPr>
        <w:pStyle w:val="ListParagraph"/>
        <w:numPr>
          <w:ilvl w:val="0"/>
          <w:numId w:val="61"/>
        </w:numPr>
        <w:spacing w:line="240" w:lineRule="auto"/>
        <w:rPr>
          <w:rFonts w:cs="Arial"/>
          <w:b/>
          <w:color w:val="002F5D"/>
        </w:rPr>
      </w:pPr>
      <w:r w:rsidRPr="001423BF">
        <w:rPr>
          <w:rFonts w:cs="Arial"/>
          <w:color w:val="002F5D"/>
        </w:rPr>
        <w:t xml:space="preserve">To 2026, both CCCRG and ONS predict the greatest absolute change in population in Peterborough and South Cambridgeshire and the greatest proportional change in </w:t>
      </w:r>
      <w:r w:rsidR="009F2E68">
        <w:rPr>
          <w:rFonts w:cs="Arial"/>
          <w:color w:val="002F5D"/>
        </w:rPr>
        <w:t xml:space="preserve">East Cambridgeshire, </w:t>
      </w:r>
      <w:r w:rsidRPr="001423BF">
        <w:rPr>
          <w:rFonts w:cs="Arial"/>
          <w:color w:val="002F5D"/>
        </w:rPr>
        <w:t>South Cambridgeshire</w:t>
      </w:r>
      <w:r w:rsidR="009F2E68">
        <w:rPr>
          <w:rFonts w:cs="Arial"/>
          <w:color w:val="002F5D"/>
        </w:rPr>
        <w:t xml:space="preserve"> and Peterborough</w:t>
      </w:r>
      <w:r w:rsidRPr="001423BF">
        <w:rPr>
          <w:rFonts w:cs="Arial"/>
          <w:color w:val="002F5D"/>
        </w:rPr>
        <w:t>.</w:t>
      </w:r>
    </w:p>
    <w:p w14:paraId="2D661BFD" w14:textId="67765000" w:rsidR="00A917DC" w:rsidRPr="005541D7" w:rsidRDefault="006B6E8F" w:rsidP="00ED7FE4">
      <w:pPr>
        <w:pStyle w:val="ListParagraph"/>
        <w:numPr>
          <w:ilvl w:val="0"/>
          <w:numId w:val="61"/>
        </w:numPr>
        <w:spacing w:line="240" w:lineRule="auto"/>
        <w:rPr>
          <w:b/>
          <w:color w:val="002F5D"/>
        </w:rPr>
      </w:pPr>
      <w:r w:rsidRPr="005541D7">
        <w:rPr>
          <w:rFonts w:cs="Arial"/>
          <w:color w:val="002F5D"/>
        </w:rPr>
        <w:t>Excluding Cambridgeshire as a whole, to 2026, the largest differences between CCCRG and ONS in predicted absolute change are in Cambridge</w:t>
      </w:r>
      <w:r w:rsidR="00F96F4F">
        <w:rPr>
          <w:rFonts w:cs="Arial"/>
          <w:color w:val="002F5D"/>
        </w:rPr>
        <w:t xml:space="preserve"> and </w:t>
      </w:r>
      <w:r w:rsidR="005541D7" w:rsidRPr="005541D7">
        <w:rPr>
          <w:rFonts w:cs="Arial"/>
          <w:color w:val="002F5D"/>
        </w:rPr>
        <w:t>South Cambridgeshire</w:t>
      </w:r>
      <w:r w:rsidR="00F96F4F">
        <w:rPr>
          <w:rFonts w:cs="Arial"/>
          <w:color w:val="002F5D"/>
        </w:rPr>
        <w:t>.</w:t>
      </w:r>
    </w:p>
    <w:p w14:paraId="414C84F6" w14:textId="50720030" w:rsidR="006B6E8F" w:rsidRPr="005541D7" w:rsidRDefault="006B6E8F" w:rsidP="00ED7FE4">
      <w:pPr>
        <w:pStyle w:val="ListParagraph"/>
        <w:numPr>
          <w:ilvl w:val="0"/>
          <w:numId w:val="61"/>
        </w:numPr>
        <w:spacing w:line="240" w:lineRule="auto"/>
        <w:rPr>
          <w:b/>
          <w:color w:val="002F5D"/>
        </w:rPr>
      </w:pPr>
      <w:r w:rsidRPr="005541D7">
        <w:rPr>
          <w:rFonts w:cs="Arial"/>
          <w:color w:val="002F5D"/>
        </w:rPr>
        <w:t>To 2026, the largest differences between CCCRG and ONS in predicted proportio</w:t>
      </w:r>
      <w:r w:rsidR="005541D7" w:rsidRPr="005541D7">
        <w:rPr>
          <w:rFonts w:cs="Arial"/>
          <w:color w:val="002F5D"/>
        </w:rPr>
        <w:t>nal change are in Cambridge, E</w:t>
      </w:r>
      <w:r w:rsidRPr="005541D7">
        <w:rPr>
          <w:rFonts w:cs="Arial"/>
          <w:color w:val="002F5D"/>
        </w:rPr>
        <w:t>ast Cambridgeshire</w:t>
      </w:r>
      <w:r w:rsidR="005541D7" w:rsidRPr="005541D7">
        <w:rPr>
          <w:rFonts w:cs="Arial"/>
          <w:color w:val="002F5D"/>
        </w:rPr>
        <w:t xml:space="preserve"> and South Cambridgeshire</w:t>
      </w:r>
      <w:r w:rsidRPr="005541D7">
        <w:rPr>
          <w:rFonts w:cs="Arial"/>
          <w:color w:val="002F5D"/>
        </w:rPr>
        <w:t>.</w:t>
      </w:r>
    </w:p>
    <w:p w14:paraId="2F95B938" w14:textId="7952AEA2" w:rsidR="006B6E8F" w:rsidRPr="0037351D" w:rsidRDefault="006B6E8F" w:rsidP="00764F70">
      <w:pPr>
        <w:spacing w:line="240" w:lineRule="auto"/>
        <w:rPr>
          <w:color w:val="FF0000"/>
        </w:rPr>
      </w:pPr>
      <w:r w:rsidRPr="005541D7">
        <w:rPr>
          <w:b/>
          <w:color w:val="002F5D"/>
        </w:rPr>
        <w:br w:type="page"/>
      </w:r>
      <w:r w:rsidRPr="004A0682">
        <w:rPr>
          <w:b/>
          <w:color w:val="002F5D"/>
        </w:rPr>
        <w:lastRenderedPageBreak/>
        <w:t xml:space="preserve">Figure </w:t>
      </w:r>
      <w:r w:rsidRPr="004A0682">
        <w:rPr>
          <w:b/>
          <w:color w:val="002F5D"/>
        </w:rPr>
        <w:fldChar w:fldCharType="begin"/>
      </w:r>
      <w:r w:rsidRPr="004A0682">
        <w:rPr>
          <w:b/>
          <w:color w:val="002F5D"/>
        </w:rPr>
        <w:instrText xml:space="preserve"> SEQ Figure \* ARABIC </w:instrText>
      </w:r>
      <w:r w:rsidRPr="004A0682">
        <w:rPr>
          <w:b/>
          <w:color w:val="002F5D"/>
        </w:rPr>
        <w:fldChar w:fldCharType="separate"/>
      </w:r>
      <w:r w:rsidR="00E80CFE">
        <w:rPr>
          <w:b/>
          <w:noProof/>
          <w:color w:val="002F5D"/>
        </w:rPr>
        <w:t>10</w:t>
      </w:r>
      <w:r w:rsidRPr="004A0682">
        <w:rPr>
          <w:b/>
          <w:color w:val="002F5D"/>
        </w:rPr>
        <w:fldChar w:fldCharType="end"/>
      </w:r>
      <w:r w:rsidRPr="004A0682">
        <w:rPr>
          <w:color w:val="002F5D"/>
        </w:rPr>
        <w:t>. Comparison of absolute and proportional population changes to 2026 - CCCRG mid-2015 based p</w:t>
      </w:r>
      <w:r w:rsidR="004A0682">
        <w:rPr>
          <w:color w:val="002F5D"/>
        </w:rPr>
        <w:t>opulation forecasts and ONS 2016</w:t>
      </w:r>
      <w:r w:rsidRPr="004A0682">
        <w:rPr>
          <w:color w:val="002F5D"/>
        </w:rPr>
        <w:t xml:space="preserve"> based population projections to 2026 (all ages)</w:t>
      </w:r>
    </w:p>
    <w:p w14:paraId="1DEF69BF" w14:textId="77777777" w:rsidR="006B6E8F" w:rsidRDefault="006B6E8F" w:rsidP="00764F70">
      <w:pPr>
        <w:spacing w:line="240" w:lineRule="auto"/>
        <w:rPr>
          <w:color w:val="FF0000"/>
        </w:rPr>
      </w:pPr>
    </w:p>
    <w:p w14:paraId="0802973C" w14:textId="37A8F2F0" w:rsidR="004A0682" w:rsidRDefault="004A0682" w:rsidP="00764F70">
      <w:pPr>
        <w:spacing w:line="240" w:lineRule="auto"/>
        <w:rPr>
          <w:color w:val="FF0000"/>
        </w:rPr>
      </w:pPr>
      <w:r>
        <w:rPr>
          <w:noProof/>
          <w:color w:val="FF0000"/>
          <w:lang w:eastAsia="en-GB"/>
        </w:rPr>
        <w:drawing>
          <wp:inline distT="0" distB="0" distL="0" distR="0" wp14:anchorId="7800307F" wp14:editId="4493C521">
            <wp:extent cx="4962525" cy="3417577"/>
            <wp:effectExtent l="0" t="0" r="571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2525" cy="3417577"/>
                    </a:xfrm>
                    <a:prstGeom prst="rect">
                      <a:avLst/>
                    </a:prstGeom>
                    <a:noFill/>
                  </pic:spPr>
                </pic:pic>
              </a:graphicData>
            </a:graphic>
          </wp:inline>
        </w:drawing>
      </w:r>
    </w:p>
    <w:p w14:paraId="66707E1C" w14:textId="77777777" w:rsidR="004A0682" w:rsidRPr="0037351D" w:rsidRDefault="004A0682" w:rsidP="00764F70">
      <w:pPr>
        <w:spacing w:line="240" w:lineRule="auto"/>
        <w:rPr>
          <w:color w:val="FF0000"/>
        </w:rPr>
      </w:pPr>
    </w:p>
    <w:p w14:paraId="04B8740C" w14:textId="7870CC03" w:rsidR="006B6E8F" w:rsidRPr="0037351D" w:rsidRDefault="004A0682" w:rsidP="006B6E8F">
      <w:pPr>
        <w:rPr>
          <w:color w:val="FF0000"/>
        </w:rPr>
      </w:pPr>
      <w:r>
        <w:rPr>
          <w:noProof/>
          <w:color w:val="FF0000"/>
          <w:lang w:eastAsia="en-GB"/>
        </w:rPr>
        <w:drawing>
          <wp:inline distT="0" distB="0" distL="0" distR="0" wp14:anchorId="5E1C92B6" wp14:editId="2ED09D98">
            <wp:extent cx="4972050" cy="4002119"/>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72050" cy="4002119"/>
                    </a:xfrm>
                    <a:prstGeom prst="rect">
                      <a:avLst/>
                    </a:prstGeom>
                    <a:noFill/>
                  </pic:spPr>
                </pic:pic>
              </a:graphicData>
            </a:graphic>
          </wp:inline>
        </w:drawing>
      </w:r>
    </w:p>
    <w:p w14:paraId="0A5F4094" w14:textId="77777777" w:rsidR="006B6E8F" w:rsidRPr="0037351D" w:rsidRDefault="006B6E8F" w:rsidP="00764F70">
      <w:pPr>
        <w:spacing w:line="240" w:lineRule="auto"/>
        <w:rPr>
          <w:color w:val="FF0000"/>
        </w:rPr>
      </w:pPr>
    </w:p>
    <w:p w14:paraId="033D2D50" w14:textId="59F581DD" w:rsidR="006B6E8F" w:rsidRPr="004A0682" w:rsidRDefault="006B6E8F" w:rsidP="00764F70">
      <w:pPr>
        <w:spacing w:line="240" w:lineRule="auto"/>
        <w:rPr>
          <w:rFonts w:cs="Arial"/>
          <w:color w:val="002F5D"/>
        </w:rPr>
      </w:pPr>
      <w:r w:rsidRPr="004A0682">
        <w:rPr>
          <w:rFonts w:cs="Arial"/>
          <w:b/>
          <w:color w:val="002F5D"/>
        </w:rPr>
        <w:t>Source</w:t>
      </w:r>
      <w:r w:rsidR="004A0682" w:rsidRPr="004A0682">
        <w:rPr>
          <w:rFonts w:cs="Arial"/>
          <w:color w:val="002F5D"/>
        </w:rPr>
        <w:t>: ONS 2016</w:t>
      </w:r>
      <w:r w:rsidRPr="004A0682">
        <w:rPr>
          <w:rFonts w:cs="Arial"/>
          <w:color w:val="002F5D"/>
        </w:rPr>
        <w:t>-based Subnational population projections and CCCRG mid-2015 based population forecasts</w:t>
      </w:r>
    </w:p>
    <w:p w14:paraId="5CFFFB5E" w14:textId="77777777" w:rsidR="00CD501F" w:rsidRPr="0037351D" w:rsidRDefault="00CD501F" w:rsidP="006B6E8F">
      <w:pPr>
        <w:spacing w:line="240" w:lineRule="auto"/>
        <w:rPr>
          <w:rFonts w:cs="Arial"/>
          <w:color w:val="FF0000"/>
        </w:rPr>
      </w:pPr>
    </w:p>
    <w:p w14:paraId="47114F3A" w14:textId="77777777" w:rsidR="006B6E8F" w:rsidRPr="0037351D" w:rsidRDefault="006B6E8F" w:rsidP="006B6E8F">
      <w:pPr>
        <w:pStyle w:val="Caption"/>
        <w:rPr>
          <w:b/>
          <w:color w:val="FF0000"/>
        </w:rPr>
      </w:pPr>
    </w:p>
    <w:p w14:paraId="7E194C5E" w14:textId="77777777" w:rsidR="006B6E8F" w:rsidRPr="0037351D" w:rsidRDefault="006B6E8F" w:rsidP="00A3568F">
      <w:pPr>
        <w:pStyle w:val="JSNA3"/>
      </w:pPr>
      <w:bookmarkStart w:id="730" w:name="_Toc492908651"/>
      <w:bookmarkStart w:id="731" w:name="_Toc4407833"/>
      <w:r w:rsidRPr="0037351D">
        <w:lastRenderedPageBreak/>
        <w:t>Population forecasts: CCC Research Group and ONS by age group - short and medium term forecasts to 2026</w:t>
      </w:r>
      <w:bookmarkEnd w:id="730"/>
      <w:bookmarkEnd w:id="731"/>
    </w:p>
    <w:p w14:paraId="2B93AC5C" w14:textId="77777777" w:rsidR="006B6E8F" w:rsidRPr="0037351D" w:rsidRDefault="006B6E8F" w:rsidP="006B6E8F">
      <w:pPr>
        <w:spacing w:line="240" w:lineRule="auto"/>
        <w:rPr>
          <w:rFonts w:cs="Arial"/>
          <w:b/>
          <w:color w:val="FF0000"/>
        </w:rPr>
      </w:pPr>
    </w:p>
    <w:p w14:paraId="5B4802C9" w14:textId="75A0F389" w:rsidR="006B6E8F" w:rsidRPr="004E7231" w:rsidRDefault="006B6E8F" w:rsidP="006B6E8F">
      <w:pPr>
        <w:pStyle w:val="Caption"/>
        <w:rPr>
          <w:rFonts w:cs="Arial"/>
          <w:b/>
          <w:color w:val="002F5D"/>
        </w:rPr>
      </w:pPr>
      <w:r w:rsidRPr="004E7231">
        <w:rPr>
          <w:b/>
          <w:color w:val="002F5D"/>
        </w:rPr>
        <w:t xml:space="preserve">Table </w:t>
      </w:r>
      <w:r w:rsidRPr="004E7231">
        <w:rPr>
          <w:b/>
          <w:color w:val="002F5D"/>
        </w:rPr>
        <w:fldChar w:fldCharType="begin"/>
      </w:r>
      <w:r w:rsidRPr="004E7231">
        <w:rPr>
          <w:b/>
          <w:color w:val="002F5D"/>
        </w:rPr>
        <w:instrText xml:space="preserve"> SEQ Table \* ARABIC </w:instrText>
      </w:r>
      <w:r w:rsidRPr="004E7231">
        <w:rPr>
          <w:b/>
          <w:color w:val="002F5D"/>
        </w:rPr>
        <w:fldChar w:fldCharType="separate"/>
      </w:r>
      <w:r w:rsidR="00E80CFE">
        <w:rPr>
          <w:b/>
          <w:noProof/>
          <w:color w:val="002F5D"/>
        </w:rPr>
        <w:t>10</w:t>
      </w:r>
      <w:r w:rsidRPr="004E7231">
        <w:rPr>
          <w:b/>
          <w:color w:val="002F5D"/>
        </w:rPr>
        <w:fldChar w:fldCharType="end"/>
      </w:r>
      <w:r w:rsidRPr="004E7231">
        <w:rPr>
          <w:color w:val="002F5D"/>
        </w:rPr>
        <w:t>. Comparison of CCCRG mid-2015 based p</w:t>
      </w:r>
      <w:r w:rsidR="004E7231">
        <w:rPr>
          <w:color w:val="002F5D"/>
        </w:rPr>
        <w:t>opulation forecasts and ONS 2016</w:t>
      </w:r>
      <w:r w:rsidRPr="004E7231">
        <w:rPr>
          <w:color w:val="002F5D"/>
        </w:rPr>
        <w:t xml:space="preserve"> based population projections to 2026 </w:t>
      </w:r>
      <w:r w:rsidRPr="004E7231">
        <w:rPr>
          <w:b/>
          <w:color w:val="002F5D"/>
        </w:rPr>
        <w:t>by age group</w:t>
      </w:r>
      <w:r w:rsidRPr="004E7231">
        <w:rPr>
          <w:color w:val="002F5D"/>
        </w:rPr>
        <w:t xml:space="preserve"> for Cambridgeshire and Peterborough to 2026</w:t>
      </w:r>
    </w:p>
    <w:p w14:paraId="749FD027" w14:textId="77777777" w:rsidR="006B6E8F" w:rsidRPr="004E7231" w:rsidRDefault="006B6E8F" w:rsidP="006B6E8F">
      <w:pPr>
        <w:spacing w:line="240" w:lineRule="auto"/>
        <w:rPr>
          <w:rFonts w:cs="Arial"/>
          <w:b/>
          <w:color w:val="002F5D"/>
        </w:rPr>
      </w:pPr>
    </w:p>
    <w:p w14:paraId="32016107" w14:textId="07803F56" w:rsidR="006B6E8F" w:rsidRDefault="006B6E8F" w:rsidP="006B6E8F">
      <w:pPr>
        <w:spacing w:line="240" w:lineRule="auto"/>
        <w:rPr>
          <w:rFonts w:cs="Arial"/>
          <w:b/>
          <w:color w:val="002F5D"/>
        </w:rPr>
      </w:pPr>
      <w:r w:rsidRPr="004E7231">
        <w:rPr>
          <w:rFonts w:cs="Arial"/>
          <w:b/>
          <w:color w:val="002F5D"/>
        </w:rPr>
        <w:t>Cambridgeshire</w:t>
      </w:r>
    </w:p>
    <w:p w14:paraId="444DF2B0" w14:textId="33FA32FC" w:rsidR="000634D5" w:rsidRPr="004E7231" w:rsidRDefault="000634D5" w:rsidP="00A072B8">
      <w:pPr>
        <w:spacing w:line="240" w:lineRule="auto"/>
        <w:rPr>
          <w:rFonts w:cs="Arial"/>
          <w:b/>
          <w:color w:val="002F5D"/>
        </w:rPr>
      </w:pPr>
      <w:r w:rsidRPr="000634D5">
        <w:rPr>
          <w:noProof/>
          <w:lang w:eastAsia="en-GB"/>
        </w:rPr>
        <w:drawing>
          <wp:inline distT="0" distB="0" distL="0" distR="0" wp14:anchorId="1E7A2CB1" wp14:editId="12B74499">
            <wp:extent cx="6120130" cy="784826"/>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784826"/>
                    </a:xfrm>
                    <a:prstGeom prst="rect">
                      <a:avLst/>
                    </a:prstGeom>
                    <a:noFill/>
                    <a:ln>
                      <a:noFill/>
                    </a:ln>
                  </pic:spPr>
                </pic:pic>
              </a:graphicData>
            </a:graphic>
          </wp:inline>
        </w:drawing>
      </w:r>
    </w:p>
    <w:p w14:paraId="79F422EE" w14:textId="4BF1F97C" w:rsidR="006B6E8F" w:rsidRPr="0037351D" w:rsidRDefault="000634D5">
      <w:pPr>
        <w:spacing w:line="240" w:lineRule="auto"/>
        <w:rPr>
          <w:rFonts w:cs="Arial"/>
          <w:b/>
          <w:color w:val="FF0000"/>
        </w:rPr>
      </w:pPr>
      <w:r w:rsidRPr="000634D5">
        <w:rPr>
          <w:noProof/>
          <w:lang w:eastAsia="en-GB"/>
        </w:rPr>
        <w:drawing>
          <wp:inline distT="0" distB="0" distL="0" distR="0" wp14:anchorId="6D9B82B4" wp14:editId="3EC0B70F">
            <wp:extent cx="6120130" cy="799918"/>
            <wp:effectExtent l="0" t="0" r="0" b="63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25ECF90D" w14:textId="379E46FB" w:rsidR="006B6E8F" w:rsidRPr="0037351D" w:rsidRDefault="004E7231" w:rsidP="006B6E8F">
      <w:pPr>
        <w:spacing w:line="240" w:lineRule="auto"/>
        <w:rPr>
          <w:rFonts w:cs="Arial"/>
          <w:b/>
          <w:color w:val="FF0000"/>
        </w:rPr>
      </w:pPr>
      <w:r w:rsidRPr="004E7231">
        <w:rPr>
          <w:noProof/>
          <w:lang w:eastAsia="en-GB"/>
        </w:rPr>
        <w:drawing>
          <wp:inline distT="0" distB="0" distL="0" distR="0" wp14:anchorId="6D5AD0BA" wp14:editId="0E29C5E6">
            <wp:extent cx="6120130" cy="784826"/>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784826"/>
                    </a:xfrm>
                    <a:prstGeom prst="rect">
                      <a:avLst/>
                    </a:prstGeom>
                    <a:noFill/>
                    <a:ln>
                      <a:noFill/>
                    </a:ln>
                  </pic:spPr>
                </pic:pic>
              </a:graphicData>
            </a:graphic>
          </wp:inline>
        </w:drawing>
      </w:r>
    </w:p>
    <w:p w14:paraId="0F1B337A" w14:textId="68617A44" w:rsidR="006B6E8F" w:rsidRPr="0037351D" w:rsidRDefault="004E7231" w:rsidP="006B6E8F">
      <w:pPr>
        <w:spacing w:line="240" w:lineRule="auto"/>
        <w:rPr>
          <w:rFonts w:cs="Arial"/>
          <w:b/>
          <w:color w:val="FF0000"/>
        </w:rPr>
      </w:pPr>
      <w:r w:rsidRPr="004E7231">
        <w:rPr>
          <w:noProof/>
          <w:lang w:eastAsia="en-GB"/>
        </w:rPr>
        <w:drawing>
          <wp:inline distT="0" distB="0" distL="0" distR="0" wp14:anchorId="4AC21FE0" wp14:editId="323B4936">
            <wp:extent cx="6120130" cy="799918"/>
            <wp:effectExtent l="0" t="0" r="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21929B4D" w14:textId="277463BA" w:rsidR="006B6E8F" w:rsidRPr="0037351D" w:rsidRDefault="006B6E8F" w:rsidP="006B6E8F">
      <w:pPr>
        <w:spacing w:line="240" w:lineRule="auto"/>
        <w:rPr>
          <w:rFonts w:cs="Arial"/>
          <w:b/>
          <w:color w:val="FF0000"/>
        </w:rPr>
      </w:pPr>
    </w:p>
    <w:p w14:paraId="4A931D4B" w14:textId="77777777" w:rsidR="006B6E8F" w:rsidRPr="0037351D" w:rsidRDefault="006B6E8F" w:rsidP="006B6E8F">
      <w:pPr>
        <w:spacing w:line="240" w:lineRule="auto"/>
        <w:rPr>
          <w:rFonts w:cs="Arial"/>
          <w:b/>
          <w:color w:val="FF0000"/>
        </w:rPr>
      </w:pPr>
    </w:p>
    <w:p w14:paraId="08D79BE5" w14:textId="77777777" w:rsidR="006B6E8F" w:rsidRPr="004E7231" w:rsidRDefault="006B6E8F" w:rsidP="006B6E8F">
      <w:pPr>
        <w:spacing w:line="240" w:lineRule="auto"/>
        <w:rPr>
          <w:rFonts w:cs="Arial"/>
          <w:b/>
          <w:color w:val="002F5D"/>
        </w:rPr>
      </w:pPr>
      <w:r w:rsidRPr="004E7231">
        <w:rPr>
          <w:rFonts w:cs="Arial"/>
          <w:b/>
          <w:color w:val="002F5D"/>
        </w:rPr>
        <w:t>Peterborough</w:t>
      </w:r>
    </w:p>
    <w:p w14:paraId="528444E8" w14:textId="74619674" w:rsidR="006B6E8F" w:rsidRDefault="004E7231" w:rsidP="006B6E8F">
      <w:pPr>
        <w:spacing w:line="240" w:lineRule="auto"/>
        <w:rPr>
          <w:rFonts w:cs="Arial"/>
          <w:b/>
          <w:color w:val="FF0000"/>
        </w:rPr>
      </w:pPr>
      <w:r w:rsidRPr="004E7231">
        <w:rPr>
          <w:noProof/>
          <w:lang w:eastAsia="en-GB"/>
        </w:rPr>
        <w:drawing>
          <wp:inline distT="0" distB="0" distL="0" distR="0" wp14:anchorId="4C445E7A" wp14:editId="39112BE6">
            <wp:extent cx="6120130" cy="792372"/>
            <wp:effectExtent l="0" t="0" r="0" b="825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792372"/>
                    </a:xfrm>
                    <a:prstGeom prst="rect">
                      <a:avLst/>
                    </a:prstGeom>
                    <a:noFill/>
                    <a:ln>
                      <a:noFill/>
                    </a:ln>
                  </pic:spPr>
                </pic:pic>
              </a:graphicData>
            </a:graphic>
          </wp:inline>
        </w:drawing>
      </w:r>
    </w:p>
    <w:p w14:paraId="13217222" w14:textId="0DBB4212" w:rsidR="004E7231" w:rsidRPr="0037351D" w:rsidRDefault="004E7231" w:rsidP="006B6E8F">
      <w:pPr>
        <w:spacing w:line="240" w:lineRule="auto"/>
        <w:rPr>
          <w:rFonts w:cs="Arial"/>
          <w:b/>
          <w:color w:val="FF0000"/>
        </w:rPr>
      </w:pPr>
      <w:r w:rsidRPr="004E7231">
        <w:rPr>
          <w:noProof/>
          <w:lang w:eastAsia="en-GB"/>
        </w:rPr>
        <w:drawing>
          <wp:inline distT="0" distB="0" distL="0" distR="0" wp14:anchorId="29B192A7" wp14:editId="39B34712">
            <wp:extent cx="6120130" cy="799918"/>
            <wp:effectExtent l="0" t="0" r="0" b="63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37545245" w14:textId="31172CE6" w:rsidR="006B6E8F" w:rsidRPr="0037351D" w:rsidRDefault="004E7231" w:rsidP="006B6E8F">
      <w:pPr>
        <w:spacing w:line="240" w:lineRule="auto"/>
        <w:rPr>
          <w:rFonts w:cs="Arial"/>
          <w:b/>
          <w:color w:val="FF0000"/>
        </w:rPr>
      </w:pPr>
      <w:r w:rsidRPr="004E7231">
        <w:rPr>
          <w:noProof/>
          <w:lang w:eastAsia="en-GB"/>
        </w:rPr>
        <w:drawing>
          <wp:inline distT="0" distB="0" distL="0" distR="0" wp14:anchorId="3BCB95AD" wp14:editId="7C5BA692">
            <wp:extent cx="6120130" cy="78482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784826"/>
                    </a:xfrm>
                    <a:prstGeom prst="rect">
                      <a:avLst/>
                    </a:prstGeom>
                    <a:noFill/>
                    <a:ln>
                      <a:noFill/>
                    </a:ln>
                  </pic:spPr>
                </pic:pic>
              </a:graphicData>
            </a:graphic>
          </wp:inline>
        </w:drawing>
      </w:r>
    </w:p>
    <w:p w14:paraId="38E500AD" w14:textId="46E280D0" w:rsidR="006B6E8F" w:rsidRPr="0037351D" w:rsidRDefault="004E7231" w:rsidP="006B6E8F">
      <w:pPr>
        <w:spacing w:line="240" w:lineRule="auto"/>
        <w:rPr>
          <w:rFonts w:cs="Arial"/>
          <w:b/>
          <w:color w:val="FF0000"/>
        </w:rPr>
      </w:pPr>
      <w:r w:rsidRPr="004E7231">
        <w:rPr>
          <w:noProof/>
          <w:lang w:eastAsia="en-GB"/>
        </w:rPr>
        <w:drawing>
          <wp:inline distT="0" distB="0" distL="0" distR="0" wp14:anchorId="5F1486AF" wp14:editId="0FBE468B">
            <wp:extent cx="6120130" cy="799918"/>
            <wp:effectExtent l="0" t="0" r="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4457BDFF" w14:textId="6312286C" w:rsidR="006B6E8F" w:rsidRPr="0037351D" w:rsidRDefault="006B6E8F" w:rsidP="006B6E8F">
      <w:pPr>
        <w:spacing w:line="240" w:lineRule="auto"/>
        <w:rPr>
          <w:rFonts w:cs="Arial"/>
          <w:b/>
          <w:color w:val="FF0000"/>
        </w:rPr>
      </w:pPr>
    </w:p>
    <w:p w14:paraId="6A0F9D74" w14:textId="77777777" w:rsidR="006B6E8F" w:rsidRPr="0037351D" w:rsidRDefault="006B6E8F" w:rsidP="006B6E8F">
      <w:pPr>
        <w:spacing w:line="240" w:lineRule="auto"/>
        <w:rPr>
          <w:rFonts w:cs="Arial"/>
          <w:b/>
          <w:color w:val="FF0000"/>
        </w:rPr>
      </w:pPr>
    </w:p>
    <w:p w14:paraId="741855B0" w14:textId="1E8179BB" w:rsidR="006B6E8F" w:rsidRDefault="006B6E8F" w:rsidP="006B6E8F">
      <w:pPr>
        <w:spacing w:line="240" w:lineRule="auto"/>
        <w:rPr>
          <w:rFonts w:cs="Arial"/>
          <w:b/>
          <w:color w:val="002F5D"/>
        </w:rPr>
      </w:pPr>
    </w:p>
    <w:p w14:paraId="6827C0C4" w14:textId="0922B087" w:rsidR="000D126D" w:rsidRDefault="000D126D" w:rsidP="006B6E8F">
      <w:pPr>
        <w:spacing w:line="240" w:lineRule="auto"/>
        <w:rPr>
          <w:rFonts w:cs="Arial"/>
          <w:b/>
          <w:color w:val="002F5D"/>
        </w:rPr>
      </w:pPr>
    </w:p>
    <w:p w14:paraId="12DAD561" w14:textId="77777777" w:rsidR="000D126D" w:rsidRPr="004E7231" w:rsidRDefault="000D126D" w:rsidP="006B6E8F">
      <w:pPr>
        <w:spacing w:line="240" w:lineRule="auto"/>
        <w:rPr>
          <w:rFonts w:cs="Arial"/>
          <w:b/>
          <w:color w:val="002F5D"/>
        </w:rPr>
      </w:pPr>
    </w:p>
    <w:p w14:paraId="649C2604" w14:textId="17E0D850" w:rsidR="006B6E8F" w:rsidRDefault="006B6E8F" w:rsidP="006B6E8F">
      <w:pPr>
        <w:spacing w:line="240" w:lineRule="auto"/>
        <w:rPr>
          <w:rFonts w:cs="Arial"/>
          <w:b/>
          <w:color w:val="002F5D"/>
        </w:rPr>
      </w:pPr>
      <w:r w:rsidRPr="004E7231">
        <w:rPr>
          <w:rFonts w:cs="Arial"/>
          <w:b/>
          <w:color w:val="002F5D"/>
        </w:rPr>
        <w:lastRenderedPageBreak/>
        <w:t>Cambridgeshire and Peterborough</w:t>
      </w:r>
    </w:p>
    <w:p w14:paraId="27D73880" w14:textId="77777777" w:rsidR="000634D5" w:rsidRDefault="000634D5" w:rsidP="006B6E8F">
      <w:pPr>
        <w:spacing w:line="240" w:lineRule="auto"/>
        <w:rPr>
          <w:rFonts w:cs="Arial"/>
          <w:b/>
          <w:color w:val="002F5D"/>
        </w:rPr>
      </w:pPr>
    </w:p>
    <w:p w14:paraId="556B42A4" w14:textId="247826E2" w:rsidR="006B6E8F" w:rsidRDefault="000634D5" w:rsidP="00A072B8">
      <w:pPr>
        <w:spacing w:line="240" w:lineRule="auto"/>
        <w:rPr>
          <w:rFonts w:cs="Arial"/>
          <w:b/>
          <w:color w:val="FF0000"/>
        </w:rPr>
      </w:pPr>
      <w:r w:rsidRPr="000634D5">
        <w:rPr>
          <w:noProof/>
          <w:lang w:eastAsia="en-GB"/>
        </w:rPr>
        <w:drawing>
          <wp:inline distT="0" distB="0" distL="0" distR="0" wp14:anchorId="2862B845" wp14:editId="1E0FCBA0">
            <wp:extent cx="6120130" cy="792372"/>
            <wp:effectExtent l="0" t="0" r="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792372"/>
                    </a:xfrm>
                    <a:prstGeom prst="rect">
                      <a:avLst/>
                    </a:prstGeom>
                    <a:noFill/>
                    <a:ln>
                      <a:noFill/>
                    </a:ln>
                  </pic:spPr>
                </pic:pic>
              </a:graphicData>
            </a:graphic>
          </wp:inline>
        </w:drawing>
      </w:r>
    </w:p>
    <w:p w14:paraId="094A523E" w14:textId="3E388178" w:rsidR="004E7231" w:rsidRPr="0037351D" w:rsidRDefault="004E7231" w:rsidP="006B6E8F">
      <w:pPr>
        <w:spacing w:line="240" w:lineRule="auto"/>
        <w:rPr>
          <w:rFonts w:cs="Arial"/>
          <w:b/>
          <w:color w:val="FF0000"/>
        </w:rPr>
      </w:pPr>
      <w:r w:rsidRPr="004E7231">
        <w:rPr>
          <w:noProof/>
          <w:lang w:eastAsia="en-GB"/>
        </w:rPr>
        <w:drawing>
          <wp:inline distT="0" distB="0" distL="0" distR="0" wp14:anchorId="490B9C6F" wp14:editId="72A7C3F8">
            <wp:extent cx="6120130" cy="799918"/>
            <wp:effectExtent l="0" t="0" r="0" b="63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0EE86998" w14:textId="1027C1D9" w:rsidR="006B6E8F" w:rsidRPr="0037351D" w:rsidRDefault="004E7231" w:rsidP="006B6E8F">
      <w:pPr>
        <w:spacing w:line="240" w:lineRule="auto"/>
        <w:rPr>
          <w:noProof/>
          <w:color w:val="FF0000"/>
          <w:lang w:eastAsia="en-GB"/>
        </w:rPr>
      </w:pPr>
      <w:r w:rsidRPr="004E7231">
        <w:rPr>
          <w:noProof/>
          <w:lang w:eastAsia="en-GB"/>
        </w:rPr>
        <w:drawing>
          <wp:inline distT="0" distB="0" distL="0" distR="0" wp14:anchorId="37AFEE31" wp14:editId="76B1DBB5">
            <wp:extent cx="6120130" cy="792372"/>
            <wp:effectExtent l="0" t="0" r="0" b="825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792372"/>
                    </a:xfrm>
                    <a:prstGeom prst="rect">
                      <a:avLst/>
                    </a:prstGeom>
                    <a:noFill/>
                    <a:ln>
                      <a:noFill/>
                    </a:ln>
                  </pic:spPr>
                </pic:pic>
              </a:graphicData>
            </a:graphic>
          </wp:inline>
        </w:drawing>
      </w:r>
    </w:p>
    <w:p w14:paraId="0720B180" w14:textId="54DC6B35" w:rsidR="00527A6F" w:rsidRPr="0037351D" w:rsidRDefault="004E7231" w:rsidP="006B6E8F">
      <w:pPr>
        <w:spacing w:line="240" w:lineRule="auto"/>
        <w:rPr>
          <w:noProof/>
          <w:color w:val="FF0000"/>
          <w:lang w:eastAsia="en-GB"/>
        </w:rPr>
      </w:pPr>
      <w:r w:rsidRPr="004E7231">
        <w:rPr>
          <w:noProof/>
          <w:lang w:eastAsia="en-GB"/>
        </w:rPr>
        <w:drawing>
          <wp:inline distT="0" distB="0" distL="0" distR="0" wp14:anchorId="3D627F72" wp14:editId="26A9B027">
            <wp:extent cx="6120130" cy="799918"/>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799918"/>
                    </a:xfrm>
                    <a:prstGeom prst="rect">
                      <a:avLst/>
                    </a:prstGeom>
                    <a:noFill/>
                    <a:ln>
                      <a:noFill/>
                    </a:ln>
                  </pic:spPr>
                </pic:pic>
              </a:graphicData>
            </a:graphic>
          </wp:inline>
        </w:drawing>
      </w:r>
    </w:p>
    <w:p w14:paraId="48C8994D" w14:textId="56D7A06F" w:rsidR="00527A6F" w:rsidRPr="0037351D" w:rsidRDefault="00527A6F" w:rsidP="006B6E8F">
      <w:pPr>
        <w:spacing w:line="240" w:lineRule="auto"/>
        <w:rPr>
          <w:noProof/>
          <w:color w:val="FF0000"/>
          <w:lang w:eastAsia="en-GB"/>
        </w:rPr>
      </w:pPr>
    </w:p>
    <w:p w14:paraId="38C52FC1" w14:textId="15758ABE" w:rsidR="006B6E8F" w:rsidRPr="004E7231" w:rsidRDefault="006B6E8F" w:rsidP="00764F70">
      <w:pPr>
        <w:spacing w:line="240" w:lineRule="auto"/>
        <w:rPr>
          <w:rFonts w:cs="Arial"/>
          <w:b/>
          <w:color w:val="002F5D"/>
        </w:rPr>
      </w:pPr>
      <w:r w:rsidRPr="004E7231">
        <w:rPr>
          <w:rFonts w:cs="Arial"/>
          <w:b/>
          <w:color w:val="002F5D"/>
        </w:rPr>
        <w:t>Source</w:t>
      </w:r>
      <w:r w:rsidR="004E7231" w:rsidRPr="004E7231">
        <w:rPr>
          <w:rFonts w:cs="Arial"/>
          <w:color w:val="002F5D"/>
        </w:rPr>
        <w:t>: ONS 2016</w:t>
      </w:r>
      <w:r w:rsidRPr="004E7231">
        <w:rPr>
          <w:rFonts w:cs="Arial"/>
          <w:color w:val="002F5D"/>
        </w:rPr>
        <w:t>-based Subnational population projections and CCCRG mid-2015 based population forecasts</w:t>
      </w:r>
    </w:p>
    <w:p w14:paraId="7FC5DB59" w14:textId="77777777" w:rsidR="006B6E8F" w:rsidRPr="0037351D" w:rsidRDefault="009009A4" w:rsidP="00764F70">
      <w:pPr>
        <w:tabs>
          <w:tab w:val="left" w:pos="1545"/>
        </w:tabs>
        <w:spacing w:line="240" w:lineRule="auto"/>
        <w:rPr>
          <w:rFonts w:cs="Arial"/>
          <w:b/>
          <w:color w:val="FF0000"/>
        </w:rPr>
      </w:pPr>
      <w:r w:rsidRPr="0037351D">
        <w:rPr>
          <w:rFonts w:cs="Arial"/>
          <w:b/>
          <w:color w:val="FF0000"/>
        </w:rPr>
        <w:tab/>
      </w:r>
    </w:p>
    <w:p w14:paraId="647CD62C" w14:textId="77777777" w:rsidR="006B6E8F" w:rsidRPr="004E7231" w:rsidRDefault="006B6E8F" w:rsidP="00764F70">
      <w:pPr>
        <w:spacing w:line="240" w:lineRule="auto"/>
        <w:rPr>
          <w:rFonts w:cs="Arial"/>
          <w:b/>
          <w:color w:val="002F5D"/>
        </w:rPr>
      </w:pPr>
      <w:r w:rsidRPr="004E7231">
        <w:rPr>
          <w:rFonts w:cs="Arial"/>
          <w:b/>
          <w:color w:val="002F5D"/>
        </w:rPr>
        <w:t>Cambridgeshire</w:t>
      </w:r>
      <w:r w:rsidR="009B3957" w:rsidRPr="004E7231">
        <w:rPr>
          <w:rFonts w:cs="Arial"/>
          <w:b/>
          <w:color w:val="002F5D"/>
        </w:rPr>
        <w:t>’s</w:t>
      </w:r>
      <w:r w:rsidRPr="004E7231">
        <w:rPr>
          <w:rFonts w:cs="Arial"/>
          <w:b/>
          <w:color w:val="002F5D"/>
        </w:rPr>
        <w:t xml:space="preserve"> key points:</w:t>
      </w:r>
    </w:p>
    <w:p w14:paraId="2431451B" w14:textId="4E42553D" w:rsidR="006B6E8F" w:rsidRPr="00F96F4F" w:rsidRDefault="006B6E8F" w:rsidP="00764F70">
      <w:pPr>
        <w:pStyle w:val="ListParagraph"/>
        <w:numPr>
          <w:ilvl w:val="0"/>
          <w:numId w:val="66"/>
        </w:numPr>
        <w:spacing w:line="240" w:lineRule="auto"/>
        <w:rPr>
          <w:rFonts w:cs="Arial"/>
          <w:b/>
          <w:color w:val="002F5D"/>
        </w:rPr>
      </w:pPr>
      <w:r w:rsidRPr="004E7231">
        <w:rPr>
          <w:rFonts w:cs="Arial"/>
          <w:color w:val="002F5D"/>
        </w:rPr>
        <w:t>Cambridgeshire population data at 2016 are similar whethe</w:t>
      </w:r>
      <w:r w:rsidR="004E7231">
        <w:rPr>
          <w:rFonts w:cs="Arial"/>
          <w:color w:val="002F5D"/>
        </w:rPr>
        <w:t xml:space="preserve">r based on CCCRG or ONS models for each age group except 16 to 64s.  For the 16-64 age group, the CCCRG forecasted nearly 7,000 more people. </w:t>
      </w:r>
    </w:p>
    <w:p w14:paraId="1134DE99" w14:textId="2E9CB595" w:rsidR="006B6E8F" w:rsidRPr="004E7231" w:rsidRDefault="004E7231" w:rsidP="00764F70">
      <w:pPr>
        <w:pStyle w:val="ListParagraph"/>
        <w:numPr>
          <w:ilvl w:val="0"/>
          <w:numId w:val="66"/>
        </w:numPr>
        <w:spacing w:line="240" w:lineRule="auto"/>
        <w:rPr>
          <w:rFonts w:cs="Arial"/>
          <w:b/>
          <w:color w:val="002F5D"/>
        </w:rPr>
      </w:pPr>
      <w:r w:rsidRPr="004E7231">
        <w:rPr>
          <w:rFonts w:cs="Arial"/>
          <w:color w:val="002F5D"/>
        </w:rPr>
        <w:t>Both CCC</w:t>
      </w:r>
      <w:r w:rsidR="006B6E8F" w:rsidRPr="004E7231">
        <w:rPr>
          <w:rFonts w:cs="Arial"/>
          <w:color w:val="002F5D"/>
        </w:rPr>
        <w:t>RG and ONS data suggest future population increases in Cambridgeshire.</w:t>
      </w:r>
    </w:p>
    <w:p w14:paraId="344C597E" w14:textId="0AF820A6" w:rsidR="006B6E8F" w:rsidRPr="00997174" w:rsidRDefault="006B6E8F" w:rsidP="00997174">
      <w:pPr>
        <w:pStyle w:val="ListParagraph"/>
        <w:numPr>
          <w:ilvl w:val="0"/>
          <w:numId w:val="66"/>
        </w:numPr>
        <w:spacing w:line="240" w:lineRule="auto"/>
        <w:rPr>
          <w:rFonts w:cs="Arial"/>
          <w:b/>
          <w:color w:val="002F5D"/>
        </w:rPr>
      </w:pPr>
      <w:r w:rsidRPr="004E7231">
        <w:rPr>
          <w:rFonts w:cs="Arial"/>
          <w:color w:val="002F5D"/>
        </w:rPr>
        <w:t>CCCRG forecast</w:t>
      </w:r>
      <w:r w:rsidR="00313A4E">
        <w:rPr>
          <w:rFonts w:cs="Arial"/>
          <w:color w:val="002F5D"/>
        </w:rPr>
        <w:t>s</w:t>
      </w:r>
      <w:r w:rsidRPr="004E7231">
        <w:rPr>
          <w:rFonts w:cs="Arial"/>
          <w:color w:val="002F5D"/>
        </w:rPr>
        <w:t xml:space="preserve"> higher levels of change than ONS.</w:t>
      </w:r>
      <w:r w:rsidR="00997174" w:rsidRPr="00997174">
        <w:rPr>
          <w:rFonts w:cs="Arial"/>
          <w:color w:val="002F5D"/>
        </w:rPr>
        <w:t xml:space="preserve"> </w:t>
      </w:r>
      <w:r w:rsidR="00997174">
        <w:rPr>
          <w:rFonts w:cs="Arial"/>
          <w:color w:val="002F5D"/>
        </w:rPr>
        <w:t xml:space="preserve">  </w:t>
      </w:r>
    </w:p>
    <w:p w14:paraId="7011FC4E" w14:textId="19CFC8E0" w:rsidR="006B6E8F" w:rsidRPr="00997174" w:rsidRDefault="004E7231" w:rsidP="00997174">
      <w:pPr>
        <w:pStyle w:val="ListParagraph"/>
        <w:numPr>
          <w:ilvl w:val="0"/>
          <w:numId w:val="66"/>
        </w:numPr>
        <w:spacing w:line="240" w:lineRule="auto"/>
        <w:rPr>
          <w:rFonts w:cs="Arial"/>
          <w:b/>
          <w:color w:val="002F5D"/>
        </w:rPr>
      </w:pPr>
      <w:r w:rsidRPr="004E7231">
        <w:rPr>
          <w:rFonts w:cs="Arial"/>
          <w:color w:val="002F5D"/>
        </w:rPr>
        <w:t>Differences between the CCC</w:t>
      </w:r>
      <w:r w:rsidR="006B6E8F" w:rsidRPr="004E7231">
        <w:rPr>
          <w:rFonts w:cs="Arial"/>
          <w:color w:val="002F5D"/>
        </w:rPr>
        <w:t>RG and ONS sources tend to increase over time.</w:t>
      </w:r>
      <w:r w:rsidR="00997174" w:rsidRPr="00997174">
        <w:rPr>
          <w:rFonts w:cs="Arial"/>
          <w:color w:val="002F5D"/>
        </w:rPr>
        <w:t xml:space="preserve"> </w:t>
      </w:r>
      <w:r w:rsidR="00997174">
        <w:rPr>
          <w:rFonts w:cs="Arial"/>
          <w:color w:val="002F5D"/>
        </w:rPr>
        <w:t xml:space="preserve">The CCCRG forecasted over 57,000 more people than ONS for the 16-64 age group in Cambridgeshire in 2026. </w:t>
      </w:r>
    </w:p>
    <w:p w14:paraId="7D092BC0" w14:textId="43723F6F" w:rsidR="006B6E8F" w:rsidRPr="004E7231" w:rsidRDefault="006B6E8F" w:rsidP="00764F70">
      <w:pPr>
        <w:pStyle w:val="ListParagraph"/>
        <w:numPr>
          <w:ilvl w:val="0"/>
          <w:numId w:val="66"/>
        </w:numPr>
        <w:spacing w:line="240" w:lineRule="auto"/>
        <w:rPr>
          <w:rFonts w:cs="Arial"/>
          <w:b/>
          <w:color w:val="002F5D"/>
        </w:rPr>
      </w:pPr>
      <w:r w:rsidRPr="004E7231">
        <w:rPr>
          <w:rFonts w:cs="Arial"/>
          <w:color w:val="002F5D"/>
        </w:rPr>
        <w:t>Differences in predicted population growth between CCCRG and ONS are much greater for children and working age groups than for older people, reflecting the significant influence of future house-building based and local planning policy in the CCCRG forecasts.</w:t>
      </w:r>
    </w:p>
    <w:p w14:paraId="63E068D9" w14:textId="77777777" w:rsidR="006B6E8F" w:rsidRPr="0037351D" w:rsidRDefault="006B6E8F" w:rsidP="00764F70">
      <w:pPr>
        <w:spacing w:line="240" w:lineRule="auto"/>
        <w:rPr>
          <w:rFonts w:cs="Arial"/>
          <w:b/>
          <w:color w:val="FF0000"/>
        </w:rPr>
      </w:pPr>
    </w:p>
    <w:p w14:paraId="33232FAA" w14:textId="77777777" w:rsidR="006B6E8F" w:rsidRPr="004E7231" w:rsidRDefault="006B6E8F" w:rsidP="00764F70">
      <w:pPr>
        <w:spacing w:line="240" w:lineRule="auto"/>
        <w:rPr>
          <w:rFonts w:cs="Arial"/>
          <w:b/>
          <w:color w:val="002F5D"/>
        </w:rPr>
      </w:pPr>
      <w:r w:rsidRPr="004E7231">
        <w:rPr>
          <w:rFonts w:cs="Arial"/>
          <w:b/>
          <w:color w:val="002F5D"/>
        </w:rPr>
        <w:t>Peterborough</w:t>
      </w:r>
      <w:r w:rsidR="009B3957" w:rsidRPr="004E7231">
        <w:rPr>
          <w:rFonts w:cs="Arial"/>
          <w:b/>
          <w:color w:val="002F5D"/>
        </w:rPr>
        <w:t>’s</w:t>
      </w:r>
      <w:r w:rsidRPr="004E7231">
        <w:rPr>
          <w:rFonts w:cs="Arial"/>
          <w:b/>
          <w:color w:val="002F5D"/>
        </w:rPr>
        <w:t xml:space="preserve"> key points:</w:t>
      </w:r>
    </w:p>
    <w:p w14:paraId="67E856A3" w14:textId="5359FA90" w:rsidR="006B6E8F" w:rsidRPr="004E7231" w:rsidRDefault="006B6E8F" w:rsidP="00764F70">
      <w:pPr>
        <w:pStyle w:val="ListParagraph"/>
        <w:numPr>
          <w:ilvl w:val="0"/>
          <w:numId w:val="67"/>
        </w:numPr>
        <w:spacing w:line="240" w:lineRule="auto"/>
        <w:rPr>
          <w:rFonts w:cs="Arial"/>
          <w:color w:val="002F5D"/>
        </w:rPr>
      </w:pPr>
      <w:r w:rsidRPr="004E7231">
        <w:rPr>
          <w:rFonts w:cs="Arial"/>
          <w:color w:val="002F5D"/>
        </w:rPr>
        <w:t>Peterborough population data at 2016 are similar whether based on CCCRG or ONS models for each age group except Under 16s. For the Under 16 age g</w:t>
      </w:r>
      <w:r w:rsidR="004E7231" w:rsidRPr="004E7231">
        <w:rPr>
          <w:rFonts w:cs="Arial"/>
          <w:color w:val="002F5D"/>
        </w:rPr>
        <w:t>roup, the CCCRG forecasted 1,294</w:t>
      </w:r>
      <w:r w:rsidRPr="004E7231">
        <w:rPr>
          <w:rFonts w:cs="Arial"/>
          <w:color w:val="002F5D"/>
        </w:rPr>
        <w:t xml:space="preserve"> more children and young people.</w:t>
      </w:r>
    </w:p>
    <w:p w14:paraId="575088CD" w14:textId="77777777" w:rsidR="006B6E8F" w:rsidRPr="004E7231" w:rsidRDefault="006B6E8F" w:rsidP="00764F70">
      <w:pPr>
        <w:pStyle w:val="ListParagraph"/>
        <w:numPr>
          <w:ilvl w:val="0"/>
          <w:numId w:val="67"/>
        </w:numPr>
        <w:spacing w:line="240" w:lineRule="auto"/>
        <w:rPr>
          <w:rFonts w:cs="Arial"/>
          <w:color w:val="002F5D"/>
        </w:rPr>
      </w:pPr>
      <w:r w:rsidRPr="004E7231">
        <w:rPr>
          <w:rFonts w:cs="Arial"/>
          <w:color w:val="002F5D"/>
        </w:rPr>
        <w:t>Both CCCRG and ONS models suggest future population increases in Peterborough.</w:t>
      </w:r>
    </w:p>
    <w:p w14:paraId="479CF54B" w14:textId="4C405113" w:rsidR="006B6E8F" w:rsidRPr="00F651F7" w:rsidRDefault="006B6E8F" w:rsidP="00764F70">
      <w:pPr>
        <w:pStyle w:val="ListParagraph"/>
        <w:numPr>
          <w:ilvl w:val="0"/>
          <w:numId w:val="67"/>
        </w:numPr>
        <w:spacing w:line="240" w:lineRule="auto"/>
        <w:rPr>
          <w:rFonts w:cs="Arial"/>
          <w:color w:val="002F5D"/>
        </w:rPr>
      </w:pPr>
      <w:r w:rsidRPr="00F651F7">
        <w:rPr>
          <w:rFonts w:cs="Arial"/>
          <w:color w:val="002F5D"/>
        </w:rPr>
        <w:t>CCCRG forecast</w:t>
      </w:r>
      <w:r w:rsidR="00A15C23">
        <w:rPr>
          <w:rFonts w:cs="Arial"/>
          <w:color w:val="002F5D"/>
        </w:rPr>
        <w:t>s</w:t>
      </w:r>
      <w:r w:rsidRPr="00F651F7">
        <w:rPr>
          <w:rFonts w:cs="Arial"/>
          <w:color w:val="002F5D"/>
        </w:rPr>
        <w:t xml:space="preserve"> higher levels of change than ONS for each of the age groups.</w:t>
      </w:r>
    </w:p>
    <w:p w14:paraId="6B7B0966" w14:textId="695BCD1C" w:rsidR="006B6E8F" w:rsidRPr="00252388" w:rsidRDefault="006B6E8F" w:rsidP="00252388">
      <w:pPr>
        <w:pStyle w:val="ListParagraph"/>
        <w:numPr>
          <w:ilvl w:val="0"/>
          <w:numId w:val="66"/>
        </w:numPr>
        <w:spacing w:line="240" w:lineRule="auto"/>
        <w:rPr>
          <w:rFonts w:cs="Arial"/>
          <w:b/>
          <w:color w:val="002F5D"/>
        </w:rPr>
      </w:pPr>
      <w:r w:rsidRPr="00F651F7">
        <w:rPr>
          <w:rFonts w:cs="Arial"/>
          <w:color w:val="002F5D"/>
        </w:rPr>
        <w:t>Differences between the CCCRG and ONS sources tend to increase over time.</w:t>
      </w:r>
      <w:r w:rsidR="00252388" w:rsidRPr="00252388">
        <w:rPr>
          <w:rFonts w:cs="Arial"/>
          <w:color w:val="002F5D"/>
        </w:rPr>
        <w:t xml:space="preserve"> </w:t>
      </w:r>
      <w:r w:rsidR="00252388">
        <w:rPr>
          <w:rFonts w:cs="Arial"/>
          <w:color w:val="002F5D"/>
        </w:rPr>
        <w:t xml:space="preserve"> The CCCRG forecasted over 12,000 more people than ONS for the 16-64 age group in Peterborough in 2026. </w:t>
      </w:r>
    </w:p>
    <w:p w14:paraId="6A246F02" w14:textId="77777777" w:rsidR="006B6E8F" w:rsidRPr="00F651F7" w:rsidRDefault="006B6E8F" w:rsidP="00764F70">
      <w:pPr>
        <w:pStyle w:val="ListParagraph"/>
        <w:numPr>
          <w:ilvl w:val="0"/>
          <w:numId w:val="67"/>
        </w:numPr>
        <w:spacing w:line="240" w:lineRule="auto"/>
        <w:rPr>
          <w:rFonts w:cs="Arial"/>
          <w:color w:val="002F5D"/>
        </w:rPr>
      </w:pPr>
      <w:r w:rsidRPr="00F651F7">
        <w:rPr>
          <w:rFonts w:cs="Arial"/>
          <w:color w:val="002F5D"/>
        </w:rPr>
        <w:t>By 2026, differences in predicted population growth between CCCRG and ONS in Peterborough are greate</w:t>
      </w:r>
      <w:r w:rsidR="009009A4" w:rsidRPr="00F651F7">
        <w:rPr>
          <w:rFonts w:cs="Arial"/>
          <w:color w:val="002F5D"/>
        </w:rPr>
        <w:t xml:space="preserve">st for </w:t>
      </w:r>
      <w:r w:rsidRPr="00F651F7">
        <w:rPr>
          <w:rFonts w:cs="Arial"/>
          <w:color w:val="002F5D"/>
        </w:rPr>
        <w:t>older people aged 75 and over</w:t>
      </w:r>
      <w:r w:rsidR="009009A4" w:rsidRPr="00F651F7">
        <w:rPr>
          <w:rFonts w:cs="Arial"/>
          <w:color w:val="002F5D"/>
        </w:rPr>
        <w:t>. The age group with the second largest expected growth is those of working age.</w:t>
      </w:r>
    </w:p>
    <w:p w14:paraId="12C3A1BB" w14:textId="77777777" w:rsidR="006B6E8F" w:rsidRPr="0037351D" w:rsidRDefault="006B6E8F" w:rsidP="00764F70">
      <w:pPr>
        <w:spacing w:line="240" w:lineRule="auto"/>
        <w:rPr>
          <w:rFonts w:cs="Arial"/>
          <w:color w:val="FF0000"/>
        </w:rPr>
      </w:pPr>
    </w:p>
    <w:p w14:paraId="76203C07" w14:textId="77777777" w:rsidR="009009A4" w:rsidRPr="00B82936" w:rsidRDefault="006B6E8F" w:rsidP="00764F70">
      <w:pPr>
        <w:spacing w:line="240" w:lineRule="auto"/>
        <w:rPr>
          <w:rFonts w:cs="Arial"/>
          <w:b/>
          <w:color w:val="002F5D"/>
        </w:rPr>
      </w:pPr>
      <w:r w:rsidRPr="00B82936">
        <w:rPr>
          <w:rFonts w:cs="Arial"/>
          <w:b/>
          <w:color w:val="002F5D"/>
        </w:rPr>
        <w:t>Cambridgeshire</w:t>
      </w:r>
      <w:r w:rsidR="009B3957" w:rsidRPr="00B82936">
        <w:rPr>
          <w:rFonts w:cs="Arial"/>
          <w:b/>
          <w:color w:val="002F5D"/>
        </w:rPr>
        <w:t>’s</w:t>
      </w:r>
      <w:r w:rsidRPr="00B82936">
        <w:rPr>
          <w:rFonts w:cs="Arial"/>
          <w:b/>
          <w:color w:val="002F5D"/>
        </w:rPr>
        <w:t xml:space="preserve"> and Peterborough</w:t>
      </w:r>
      <w:r w:rsidR="009B3957" w:rsidRPr="00B82936">
        <w:rPr>
          <w:rFonts w:cs="Arial"/>
          <w:b/>
          <w:color w:val="002F5D"/>
        </w:rPr>
        <w:t>’s</w:t>
      </w:r>
      <w:r w:rsidRPr="00B82936">
        <w:rPr>
          <w:rFonts w:cs="Arial"/>
          <w:b/>
          <w:color w:val="002F5D"/>
        </w:rPr>
        <w:t xml:space="preserve"> key points:</w:t>
      </w:r>
    </w:p>
    <w:p w14:paraId="4DABC21E" w14:textId="770F7C8E" w:rsidR="009009A4" w:rsidRPr="00B82936" w:rsidRDefault="009009A4" w:rsidP="00764F70">
      <w:pPr>
        <w:pStyle w:val="ListParagraph"/>
        <w:numPr>
          <w:ilvl w:val="0"/>
          <w:numId w:val="66"/>
        </w:numPr>
        <w:spacing w:line="240" w:lineRule="auto"/>
        <w:rPr>
          <w:rFonts w:cs="Arial"/>
          <w:b/>
          <w:color w:val="002F5D"/>
        </w:rPr>
      </w:pPr>
      <w:r w:rsidRPr="00B82936">
        <w:rPr>
          <w:rFonts w:cs="Arial"/>
          <w:color w:val="002F5D"/>
        </w:rPr>
        <w:t xml:space="preserve">Cambridgeshire and Peterborough combined population data at 2016 are similar whether based on CCCRG or ONS models for </w:t>
      </w:r>
      <w:r w:rsidR="00B82936" w:rsidRPr="00B82936">
        <w:rPr>
          <w:rFonts w:cs="Arial"/>
          <w:color w:val="002F5D"/>
        </w:rPr>
        <w:t>the over 65 and over 75 age groups</w:t>
      </w:r>
      <w:r w:rsidRPr="00B82936">
        <w:rPr>
          <w:rFonts w:cs="Arial"/>
          <w:color w:val="002F5D"/>
        </w:rPr>
        <w:t>. For the Under 16 age g</w:t>
      </w:r>
      <w:r w:rsidR="00B82936" w:rsidRPr="00B82936">
        <w:rPr>
          <w:rFonts w:cs="Arial"/>
          <w:color w:val="002F5D"/>
        </w:rPr>
        <w:t xml:space="preserve">roup, the </w:t>
      </w:r>
      <w:r w:rsidR="00B82936" w:rsidRPr="00B82936">
        <w:rPr>
          <w:rFonts w:cs="Arial"/>
          <w:color w:val="002F5D"/>
        </w:rPr>
        <w:lastRenderedPageBreak/>
        <w:t>CCCRG forecasted 1,218</w:t>
      </w:r>
      <w:r w:rsidRPr="00B82936">
        <w:rPr>
          <w:rFonts w:cs="Arial"/>
          <w:color w:val="002F5D"/>
        </w:rPr>
        <w:t xml:space="preserve"> difference</w:t>
      </w:r>
      <w:r w:rsidR="00B82936" w:rsidRPr="00B82936">
        <w:rPr>
          <w:rFonts w:cs="Arial"/>
          <w:color w:val="002F5D"/>
        </w:rPr>
        <w:t xml:space="preserve"> and for the 16 to 64 age group the CCCRG forecasted a 6,940 difference</w:t>
      </w:r>
      <w:r w:rsidRPr="00B82936">
        <w:rPr>
          <w:rFonts w:cs="Arial"/>
          <w:color w:val="002F5D"/>
        </w:rPr>
        <w:t>.</w:t>
      </w:r>
    </w:p>
    <w:p w14:paraId="5142D030" w14:textId="7AA3C0B6" w:rsidR="009009A4" w:rsidRPr="00B82936" w:rsidRDefault="00B82936" w:rsidP="00764F70">
      <w:pPr>
        <w:pStyle w:val="ListParagraph"/>
        <w:numPr>
          <w:ilvl w:val="0"/>
          <w:numId w:val="66"/>
        </w:numPr>
        <w:spacing w:line="240" w:lineRule="auto"/>
        <w:rPr>
          <w:rFonts w:cs="Arial"/>
          <w:b/>
          <w:color w:val="002F5D"/>
        </w:rPr>
      </w:pPr>
      <w:r w:rsidRPr="00B82936">
        <w:rPr>
          <w:rFonts w:cs="Arial"/>
          <w:color w:val="002F5D"/>
        </w:rPr>
        <w:t>Both CCC</w:t>
      </w:r>
      <w:r w:rsidR="009009A4" w:rsidRPr="00B82936">
        <w:rPr>
          <w:rFonts w:cs="Arial"/>
          <w:color w:val="002F5D"/>
        </w:rPr>
        <w:t>RG and ONS data suggest future population increases for the Cambridgeshire and Peterborough area.</w:t>
      </w:r>
    </w:p>
    <w:p w14:paraId="0B39B2BC" w14:textId="6444D487" w:rsidR="009009A4" w:rsidRPr="00B82936" w:rsidRDefault="00B82936" w:rsidP="00764F70">
      <w:pPr>
        <w:pStyle w:val="ListParagraph"/>
        <w:numPr>
          <w:ilvl w:val="0"/>
          <w:numId w:val="66"/>
        </w:numPr>
        <w:spacing w:line="240" w:lineRule="auto"/>
        <w:rPr>
          <w:rFonts w:cs="Arial"/>
          <w:b/>
          <w:color w:val="002F5D"/>
        </w:rPr>
      </w:pPr>
      <w:r w:rsidRPr="00B82936">
        <w:rPr>
          <w:rFonts w:cs="Arial"/>
          <w:color w:val="002F5D"/>
        </w:rPr>
        <w:t>CCC</w:t>
      </w:r>
      <w:r w:rsidR="009009A4" w:rsidRPr="00B82936">
        <w:rPr>
          <w:rFonts w:cs="Arial"/>
          <w:color w:val="002F5D"/>
        </w:rPr>
        <w:t>RG forecast higher levels of change than ONS.</w:t>
      </w:r>
    </w:p>
    <w:p w14:paraId="3F8A7BFC" w14:textId="34926ED1" w:rsidR="009009A4" w:rsidRPr="00252388" w:rsidRDefault="00B82936" w:rsidP="00252388">
      <w:pPr>
        <w:pStyle w:val="ListParagraph"/>
        <w:numPr>
          <w:ilvl w:val="0"/>
          <w:numId w:val="66"/>
        </w:numPr>
        <w:spacing w:line="240" w:lineRule="auto"/>
        <w:rPr>
          <w:rFonts w:cs="Arial"/>
          <w:b/>
          <w:color w:val="002F5D"/>
        </w:rPr>
      </w:pPr>
      <w:r w:rsidRPr="00B82936">
        <w:rPr>
          <w:rFonts w:cs="Arial"/>
          <w:color w:val="002F5D"/>
        </w:rPr>
        <w:t>Differences between the CCC</w:t>
      </w:r>
      <w:r w:rsidR="009009A4" w:rsidRPr="00B82936">
        <w:rPr>
          <w:rFonts w:cs="Arial"/>
          <w:color w:val="002F5D"/>
        </w:rPr>
        <w:t>RG and ONS sources tend to increase over time.</w:t>
      </w:r>
      <w:r w:rsidR="00252388">
        <w:rPr>
          <w:rFonts w:cs="Arial"/>
          <w:color w:val="002F5D"/>
        </w:rPr>
        <w:t xml:space="preserve">  The CCCRG forecasted over 69,000 more people than ONS for the 16-64 age group in Cambridgeshire and Peterborough in 2026. </w:t>
      </w:r>
    </w:p>
    <w:p w14:paraId="3EC35A66" w14:textId="10F85F2B" w:rsidR="009009A4" w:rsidRPr="00B82936" w:rsidRDefault="009009A4" w:rsidP="00764F70">
      <w:pPr>
        <w:pStyle w:val="ListParagraph"/>
        <w:numPr>
          <w:ilvl w:val="0"/>
          <w:numId w:val="66"/>
        </w:numPr>
        <w:spacing w:line="240" w:lineRule="auto"/>
        <w:rPr>
          <w:rFonts w:cs="Arial"/>
          <w:b/>
          <w:color w:val="002F5D"/>
        </w:rPr>
      </w:pPr>
      <w:r w:rsidRPr="00B82936">
        <w:rPr>
          <w:rFonts w:cs="Arial"/>
          <w:color w:val="002F5D"/>
        </w:rPr>
        <w:t>Differences in predicted population growth between CCCRG and ONS are much greater for childr</w:t>
      </w:r>
      <w:r w:rsidR="00B82936" w:rsidRPr="00B82936">
        <w:rPr>
          <w:rFonts w:cs="Arial"/>
          <w:color w:val="002F5D"/>
        </w:rPr>
        <w:t>en and working age groups than for the over 65 age group</w:t>
      </w:r>
      <w:r w:rsidRPr="00B82936">
        <w:rPr>
          <w:rFonts w:cs="Arial"/>
          <w:color w:val="002F5D"/>
        </w:rPr>
        <w:t>, reflecting the significant influence of future house-building based and local planning policy in the CCCRG forecasts.</w:t>
      </w:r>
    </w:p>
    <w:p w14:paraId="676FCB73" w14:textId="77777777" w:rsidR="00ED7FE4" w:rsidRPr="0037351D" w:rsidRDefault="00ED7FE4" w:rsidP="00764F70">
      <w:pPr>
        <w:pStyle w:val="Caption"/>
        <w:rPr>
          <w:b/>
          <w:color w:val="FF0000"/>
        </w:rPr>
      </w:pPr>
    </w:p>
    <w:p w14:paraId="46DCF729" w14:textId="360EF5E2" w:rsidR="006B6E8F" w:rsidRPr="00B82936" w:rsidRDefault="006B6E8F" w:rsidP="00764F70">
      <w:pPr>
        <w:pStyle w:val="Caption"/>
        <w:rPr>
          <w:color w:val="002F5D"/>
        </w:rPr>
      </w:pPr>
      <w:r w:rsidRPr="00B82936">
        <w:rPr>
          <w:b/>
          <w:color w:val="002F5D"/>
        </w:rPr>
        <w:t xml:space="preserve">Figure </w:t>
      </w:r>
      <w:r w:rsidRPr="00B82936">
        <w:rPr>
          <w:b/>
          <w:color w:val="002F5D"/>
        </w:rPr>
        <w:fldChar w:fldCharType="begin"/>
      </w:r>
      <w:r w:rsidRPr="00B82936">
        <w:rPr>
          <w:b/>
          <w:color w:val="002F5D"/>
        </w:rPr>
        <w:instrText xml:space="preserve"> SEQ Figure \* ARABIC </w:instrText>
      </w:r>
      <w:r w:rsidRPr="00B82936">
        <w:rPr>
          <w:b/>
          <w:color w:val="002F5D"/>
        </w:rPr>
        <w:fldChar w:fldCharType="separate"/>
      </w:r>
      <w:r w:rsidR="00E80CFE">
        <w:rPr>
          <w:b/>
          <w:noProof/>
          <w:color w:val="002F5D"/>
        </w:rPr>
        <w:t>11</w:t>
      </w:r>
      <w:r w:rsidRPr="00B82936">
        <w:rPr>
          <w:b/>
          <w:color w:val="002F5D"/>
        </w:rPr>
        <w:fldChar w:fldCharType="end"/>
      </w:r>
      <w:r w:rsidRPr="00B82936">
        <w:rPr>
          <w:rFonts w:cs="Arial"/>
          <w:b/>
          <w:color w:val="002F5D"/>
        </w:rPr>
        <w:t xml:space="preserve">. </w:t>
      </w:r>
      <w:r w:rsidRPr="00B82936">
        <w:rPr>
          <w:color w:val="002F5D"/>
        </w:rPr>
        <w:t>Comparison of proportional change in CCCRG mid-2015 based p</w:t>
      </w:r>
      <w:r w:rsidR="00B82936" w:rsidRPr="00B82936">
        <w:rPr>
          <w:color w:val="002F5D"/>
        </w:rPr>
        <w:t>opulation forecasts and ONS 2016</w:t>
      </w:r>
      <w:r w:rsidRPr="00B82936">
        <w:rPr>
          <w:color w:val="002F5D"/>
        </w:rPr>
        <w:t xml:space="preserve"> based population projections to 2026 by age group for Cambridgeshire and Peterborough to 2026</w:t>
      </w:r>
    </w:p>
    <w:p w14:paraId="2602A774" w14:textId="16507121" w:rsidR="006B6E8F" w:rsidRPr="0037351D" w:rsidRDefault="00B82936" w:rsidP="00764F70">
      <w:pPr>
        <w:spacing w:line="240" w:lineRule="auto"/>
        <w:rPr>
          <w:color w:val="FF0000"/>
        </w:rPr>
      </w:pPr>
      <w:r>
        <w:rPr>
          <w:noProof/>
          <w:lang w:eastAsia="en-GB"/>
        </w:rPr>
        <w:drawing>
          <wp:inline distT="0" distB="0" distL="0" distR="0" wp14:anchorId="2710BED4" wp14:editId="34CEB2BC">
            <wp:extent cx="6120130" cy="3769995"/>
            <wp:effectExtent l="0" t="0" r="0" b="190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3769995"/>
                    </a:xfrm>
                    <a:prstGeom prst="rect">
                      <a:avLst/>
                    </a:prstGeom>
                  </pic:spPr>
                </pic:pic>
              </a:graphicData>
            </a:graphic>
          </wp:inline>
        </w:drawing>
      </w:r>
    </w:p>
    <w:p w14:paraId="553F4029" w14:textId="77777777" w:rsidR="006B6E8F" w:rsidRPr="0037351D" w:rsidRDefault="006B6E8F" w:rsidP="006B6E8F">
      <w:pPr>
        <w:spacing w:line="240" w:lineRule="auto"/>
        <w:rPr>
          <w:rFonts w:cs="Arial"/>
          <w:b/>
          <w:color w:val="FF0000"/>
        </w:rPr>
      </w:pPr>
    </w:p>
    <w:p w14:paraId="768D4ACB" w14:textId="60FBFEA1" w:rsidR="006B6E8F" w:rsidRPr="00B82936" w:rsidRDefault="006B6E8F" w:rsidP="00764F70">
      <w:pPr>
        <w:spacing w:line="240" w:lineRule="auto"/>
        <w:rPr>
          <w:rFonts w:cs="Arial"/>
          <w:color w:val="002F5D"/>
        </w:rPr>
      </w:pPr>
      <w:r w:rsidRPr="00B82936">
        <w:rPr>
          <w:rFonts w:cs="Arial"/>
          <w:b/>
          <w:color w:val="002F5D"/>
        </w:rPr>
        <w:t>Source</w:t>
      </w:r>
      <w:r w:rsidR="00B82936" w:rsidRPr="00B82936">
        <w:rPr>
          <w:rFonts w:cs="Arial"/>
          <w:color w:val="002F5D"/>
        </w:rPr>
        <w:t>: ONS 2016-</w:t>
      </w:r>
      <w:r w:rsidRPr="00B82936">
        <w:rPr>
          <w:rFonts w:cs="Arial"/>
          <w:color w:val="002F5D"/>
        </w:rPr>
        <w:t>based Subnational population projections and Cambridgeshire County Council Research Group mid-2015 based population forecasts</w:t>
      </w:r>
    </w:p>
    <w:p w14:paraId="257B4F26" w14:textId="77777777" w:rsidR="00E74CEA" w:rsidRPr="0037351D" w:rsidRDefault="00E74CEA" w:rsidP="00764F70">
      <w:pPr>
        <w:spacing w:line="240" w:lineRule="auto"/>
        <w:rPr>
          <w:rFonts w:cs="Arial"/>
          <w:color w:val="FF0000"/>
        </w:rPr>
      </w:pPr>
    </w:p>
    <w:p w14:paraId="069832F5" w14:textId="77777777" w:rsidR="00E74CEA" w:rsidRPr="0037351D" w:rsidRDefault="00E74CEA" w:rsidP="00764F70">
      <w:pPr>
        <w:spacing w:line="240" w:lineRule="auto"/>
        <w:rPr>
          <w:rFonts w:cs="Arial"/>
          <w:color w:val="FF0000"/>
        </w:rPr>
      </w:pPr>
    </w:p>
    <w:p w14:paraId="17E7A5CA" w14:textId="77777777" w:rsidR="00E74CEA" w:rsidRPr="0037351D" w:rsidRDefault="00E74CEA" w:rsidP="00764F70">
      <w:pPr>
        <w:spacing w:line="240" w:lineRule="auto"/>
        <w:rPr>
          <w:rFonts w:cs="Arial"/>
          <w:color w:val="FF0000"/>
        </w:rPr>
      </w:pPr>
    </w:p>
    <w:p w14:paraId="2CD0067C" w14:textId="77777777" w:rsidR="00E74CEA" w:rsidRPr="0037351D" w:rsidRDefault="00E74CEA" w:rsidP="00764F70">
      <w:pPr>
        <w:spacing w:line="240" w:lineRule="auto"/>
        <w:rPr>
          <w:rFonts w:cs="Arial"/>
          <w:color w:val="FF0000"/>
        </w:rPr>
      </w:pPr>
    </w:p>
    <w:p w14:paraId="43957D31" w14:textId="77777777" w:rsidR="00E74CEA" w:rsidRPr="0037351D" w:rsidRDefault="00E74CEA" w:rsidP="00764F70">
      <w:pPr>
        <w:spacing w:line="240" w:lineRule="auto"/>
        <w:rPr>
          <w:rFonts w:cs="Arial"/>
          <w:color w:val="FF0000"/>
        </w:rPr>
      </w:pPr>
    </w:p>
    <w:p w14:paraId="58F098D7" w14:textId="77777777" w:rsidR="00764F70" w:rsidRPr="0037351D" w:rsidRDefault="00764F70">
      <w:pPr>
        <w:rPr>
          <w:b/>
          <w:iCs/>
          <w:color w:val="FF0000"/>
          <w:szCs w:val="18"/>
        </w:rPr>
      </w:pPr>
      <w:r w:rsidRPr="0037351D">
        <w:rPr>
          <w:b/>
          <w:color w:val="FF0000"/>
        </w:rPr>
        <w:br w:type="page"/>
      </w:r>
    </w:p>
    <w:p w14:paraId="21245A5B" w14:textId="2F15C9EE" w:rsidR="006B6E8F" w:rsidRPr="00DA2E1E" w:rsidRDefault="006B6E8F" w:rsidP="00764F70">
      <w:pPr>
        <w:pStyle w:val="Caption"/>
        <w:rPr>
          <w:color w:val="002F5D"/>
        </w:rPr>
      </w:pPr>
      <w:r w:rsidRPr="00DA2E1E">
        <w:rPr>
          <w:b/>
          <w:color w:val="002F5D"/>
        </w:rPr>
        <w:lastRenderedPageBreak/>
        <w:t xml:space="preserve">Figure </w:t>
      </w:r>
      <w:r w:rsidRPr="00DA2E1E">
        <w:rPr>
          <w:b/>
          <w:color w:val="002F5D"/>
        </w:rPr>
        <w:fldChar w:fldCharType="begin"/>
      </w:r>
      <w:r w:rsidRPr="00DA2E1E">
        <w:rPr>
          <w:b/>
          <w:color w:val="002F5D"/>
        </w:rPr>
        <w:instrText xml:space="preserve"> SEQ Figure \* ARABIC </w:instrText>
      </w:r>
      <w:r w:rsidRPr="00DA2E1E">
        <w:rPr>
          <w:b/>
          <w:color w:val="002F5D"/>
        </w:rPr>
        <w:fldChar w:fldCharType="separate"/>
      </w:r>
      <w:r w:rsidR="00E80CFE">
        <w:rPr>
          <w:b/>
          <w:noProof/>
          <w:color w:val="002F5D"/>
        </w:rPr>
        <w:t>12</w:t>
      </w:r>
      <w:r w:rsidRPr="00DA2E1E">
        <w:rPr>
          <w:b/>
          <w:color w:val="002F5D"/>
        </w:rPr>
        <w:fldChar w:fldCharType="end"/>
      </w:r>
      <w:r w:rsidRPr="00DA2E1E">
        <w:rPr>
          <w:color w:val="002F5D"/>
        </w:rPr>
        <w:t>. Percentage point difference between</w:t>
      </w:r>
      <w:r w:rsidR="00B82936" w:rsidRPr="00DA2E1E">
        <w:rPr>
          <w:color w:val="002F5D"/>
        </w:rPr>
        <w:t xml:space="preserve"> the proportional change in CCC</w:t>
      </w:r>
      <w:r w:rsidRPr="00DA2E1E">
        <w:rPr>
          <w:color w:val="002F5D"/>
        </w:rPr>
        <w:t>RG population forecasts and ONS population projections, 2016 to 2026 by age group in Cambridgeshire and Peterborough</w:t>
      </w:r>
    </w:p>
    <w:p w14:paraId="52C6638E" w14:textId="77777777" w:rsidR="00DA2E1E" w:rsidRPr="00DA2E1E" w:rsidRDefault="00DA2E1E" w:rsidP="00DA2E1E"/>
    <w:p w14:paraId="0AAB1E44" w14:textId="12A4CC39" w:rsidR="006B6E8F" w:rsidRPr="0037351D" w:rsidRDefault="00B82936" w:rsidP="00764F70">
      <w:pPr>
        <w:spacing w:line="240" w:lineRule="auto"/>
        <w:rPr>
          <w:b/>
          <w:color w:val="FF0000"/>
        </w:rPr>
      </w:pPr>
      <w:r>
        <w:rPr>
          <w:b/>
          <w:noProof/>
          <w:color w:val="FF0000"/>
          <w:lang w:eastAsia="en-GB"/>
        </w:rPr>
        <w:drawing>
          <wp:inline distT="0" distB="0" distL="0" distR="0" wp14:anchorId="29440409" wp14:editId="0C72293D">
            <wp:extent cx="4590415" cy="2761615"/>
            <wp:effectExtent l="0" t="0" r="635"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90415" cy="2761615"/>
                    </a:xfrm>
                    <a:prstGeom prst="rect">
                      <a:avLst/>
                    </a:prstGeom>
                    <a:noFill/>
                  </pic:spPr>
                </pic:pic>
              </a:graphicData>
            </a:graphic>
          </wp:inline>
        </w:drawing>
      </w:r>
    </w:p>
    <w:p w14:paraId="726659BB" w14:textId="77777777" w:rsidR="006B6E8F" w:rsidRPr="0037351D" w:rsidRDefault="006B6E8F" w:rsidP="006B6E8F">
      <w:pPr>
        <w:spacing w:line="240" w:lineRule="auto"/>
        <w:rPr>
          <w:color w:val="FF0000"/>
        </w:rPr>
      </w:pPr>
    </w:p>
    <w:p w14:paraId="5B8D4914" w14:textId="4316ABD7" w:rsidR="006B6E8F" w:rsidRPr="00DA2E1E" w:rsidRDefault="006B6E8F" w:rsidP="006B6E8F">
      <w:pPr>
        <w:spacing w:line="240" w:lineRule="auto"/>
        <w:rPr>
          <w:rFonts w:cs="Arial"/>
          <w:color w:val="002F5D"/>
        </w:rPr>
      </w:pPr>
      <w:r w:rsidRPr="00DA2E1E">
        <w:rPr>
          <w:rFonts w:cs="Arial"/>
          <w:b/>
          <w:color w:val="002F5D"/>
        </w:rPr>
        <w:t>Source</w:t>
      </w:r>
      <w:r w:rsidR="00B82936" w:rsidRPr="00DA2E1E">
        <w:rPr>
          <w:rFonts w:cs="Arial"/>
          <w:color w:val="002F5D"/>
        </w:rPr>
        <w:t>: ONS 2016</w:t>
      </w:r>
      <w:r w:rsidRPr="00DA2E1E">
        <w:rPr>
          <w:rFonts w:cs="Arial"/>
          <w:color w:val="002F5D"/>
        </w:rPr>
        <w:t xml:space="preserve">-based </w:t>
      </w:r>
      <w:r w:rsidR="00B1282D" w:rsidRPr="00DA2E1E">
        <w:rPr>
          <w:rFonts w:cs="Arial"/>
          <w:color w:val="002F5D"/>
        </w:rPr>
        <w:t>s</w:t>
      </w:r>
      <w:r w:rsidRPr="00DA2E1E">
        <w:rPr>
          <w:rFonts w:cs="Arial"/>
          <w:color w:val="002F5D"/>
        </w:rPr>
        <w:t>ubnational population projections and CCCRG mid-2015 based population forecasts</w:t>
      </w:r>
    </w:p>
    <w:p w14:paraId="56395EB4" w14:textId="77777777" w:rsidR="006B6E8F" w:rsidRPr="0037351D" w:rsidRDefault="006B6E8F" w:rsidP="006B6E8F">
      <w:pPr>
        <w:spacing w:line="240" w:lineRule="auto"/>
        <w:rPr>
          <w:rFonts w:cs="Arial"/>
          <w:b/>
          <w:color w:val="FF0000"/>
        </w:rPr>
      </w:pPr>
    </w:p>
    <w:p w14:paraId="7738E45D" w14:textId="77777777" w:rsidR="00AD21FA" w:rsidRDefault="00AD21FA">
      <w:pPr>
        <w:rPr>
          <w:color w:val="FF0000"/>
        </w:rPr>
      </w:pPr>
      <w:bookmarkStart w:id="732" w:name="_Toc492908654"/>
    </w:p>
    <w:p w14:paraId="62FC8F95" w14:textId="7738359F" w:rsidR="00610994" w:rsidRDefault="00610994">
      <w:pPr>
        <w:rPr>
          <w:color w:val="FF0000"/>
        </w:rPr>
      </w:pPr>
    </w:p>
    <w:p w14:paraId="2340812E" w14:textId="77777777" w:rsidR="00610994" w:rsidRDefault="00610994">
      <w:pPr>
        <w:rPr>
          <w:color w:val="FF0000"/>
        </w:rPr>
      </w:pPr>
    </w:p>
    <w:p w14:paraId="660360FC" w14:textId="77777777" w:rsidR="00610994" w:rsidRDefault="00610994">
      <w:pPr>
        <w:rPr>
          <w:color w:val="FF0000"/>
        </w:rPr>
      </w:pPr>
    </w:p>
    <w:p w14:paraId="19D43BF9" w14:textId="77777777" w:rsidR="00610994" w:rsidRDefault="00610994">
      <w:pPr>
        <w:rPr>
          <w:color w:val="FF0000"/>
        </w:rPr>
      </w:pPr>
    </w:p>
    <w:p w14:paraId="534D3B49" w14:textId="77777777" w:rsidR="00610994" w:rsidRDefault="00610994">
      <w:pPr>
        <w:rPr>
          <w:color w:val="FF0000"/>
        </w:rPr>
      </w:pPr>
    </w:p>
    <w:p w14:paraId="6C2753AF" w14:textId="77777777" w:rsidR="00610994" w:rsidRDefault="00610994">
      <w:pPr>
        <w:rPr>
          <w:color w:val="FF0000"/>
        </w:rPr>
      </w:pPr>
    </w:p>
    <w:p w14:paraId="016B7B5F" w14:textId="77777777" w:rsidR="00610994" w:rsidRDefault="00610994">
      <w:pPr>
        <w:rPr>
          <w:color w:val="FF0000"/>
        </w:rPr>
      </w:pPr>
    </w:p>
    <w:p w14:paraId="401D366A" w14:textId="6D4D5850" w:rsidR="00610994" w:rsidRDefault="00610994">
      <w:pPr>
        <w:rPr>
          <w:color w:val="FF0000"/>
        </w:rPr>
      </w:pPr>
    </w:p>
    <w:p w14:paraId="4B41D7AB" w14:textId="10DDEF29" w:rsidR="002F12B8" w:rsidRDefault="002F12B8">
      <w:pPr>
        <w:rPr>
          <w:color w:val="FF0000"/>
        </w:rPr>
      </w:pPr>
    </w:p>
    <w:p w14:paraId="2D2CC034" w14:textId="6588E14C" w:rsidR="002F12B8" w:rsidRDefault="002F12B8">
      <w:pPr>
        <w:rPr>
          <w:color w:val="FF0000"/>
        </w:rPr>
      </w:pPr>
    </w:p>
    <w:p w14:paraId="4F37FFC5" w14:textId="19F432CC" w:rsidR="002F12B8" w:rsidRDefault="002F12B8">
      <w:pPr>
        <w:rPr>
          <w:color w:val="FF0000"/>
        </w:rPr>
      </w:pPr>
    </w:p>
    <w:p w14:paraId="484D89E2" w14:textId="77777777" w:rsidR="002F12B8" w:rsidRDefault="002F12B8">
      <w:pPr>
        <w:rPr>
          <w:color w:val="FF0000"/>
        </w:rPr>
      </w:pPr>
    </w:p>
    <w:p w14:paraId="0B47EEDB" w14:textId="77777777" w:rsidR="00610994" w:rsidRDefault="00610994">
      <w:pPr>
        <w:rPr>
          <w:color w:val="FF0000"/>
        </w:rPr>
      </w:pPr>
    </w:p>
    <w:p w14:paraId="47060BA1" w14:textId="77777777" w:rsidR="00610994" w:rsidRDefault="00610994">
      <w:pPr>
        <w:rPr>
          <w:color w:val="FF0000"/>
        </w:rPr>
      </w:pPr>
    </w:p>
    <w:p w14:paraId="04DC6D37" w14:textId="77777777" w:rsidR="00610994" w:rsidRDefault="00610994">
      <w:pPr>
        <w:rPr>
          <w:color w:val="FF0000"/>
        </w:rPr>
      </w:pPr>
    </w:p>
    <w:p w14:paraId="63277807" w14:textId="77777777" w:rsidR="00610994" w:rsidRDefault="00610994">
      <w:pPr>
        <w:rPr>
          <w:color w:val="FF0000"/>
        </w:rPr>
      </w:pPr>
    </w:p>
    <w:p w14:paraId="576E0555" w14:textId="77777777" w:rsidR="00610994" w:rsidRDefault="00610994">
      <w:pPr>
        <w:rPr>
          <w:color w:val="FF0000"/>
        </w:rPr>
      </w:pPr>
    </w:p>
    <w:p w14:paraId="4970EB10" w14:textId="77777777" w:rsidR="00610994" w:rsidRDefault="00610994">
      <w:pPr>
        <w:rPr>
          <w:color w:val="FF0000"/>
        </w:rPr>
      </w:pPr>
    </w:p>
    <w:p w14:paraId="710B5AF8" w14:textId="77777777" w:rsidR="00610994" w:rsidRDefault="00610994">
      <w:pPr>
        <w:rPr>
          <w:color w:val="FF0000"/>
        </w:rPr>
      </w:pPr>
    </w:p>
    <w:p w14:paraId="1E640BCA" w14:textId="77777777" w:rsidR="00610994" w:rsidRDefault="00610994">
      <w:pPr>
        <w:rPr>
          <w:color w:val="FF0000"/>
        </w:rPr>
      </w:pPr>
    </w:p>
    <w:p w14:paraId="259B157E" w14:textId="77777777" w:rsidR="00610994" w:rsidRDefault="00610994">
      <w:pPr>
        <w:rPr>
          <w:color w:val="FF0000"/>
        </w:rPr>
      </w:pPr>
    </w:p>
    <w:p w14:paraId="1FB8FBF0" w14:textId="77777777" w:rsidR="00610994" w:rsidRDefault="00610994">
      <w:pPr>
        <w:rPr>
          <w:color w:val="FF0000"/>
        </w:rPr>
      </w:pPr>
    </w:p>
    <w:p w14:paraId="23A41501" w14:textId="77777777" w:rsidR="00610994" w:rsidRDefault="00610994">
      <w:pPr>
        <w:rPr>
          <w:color w:val="FF0000"/>
        </w:rPr>
      </w:pPr>
    </w:p>
    <w:p w14:paraId="428839B1" w14:textId="77777777" w:rsidR="00610994" w:rsidRDefault="00610994">
      <w:pPr>
        <w:rPr>
          <w:color w:val="FF0000"/>
        </w:rPr>
      </w:pPr>
    </w:p>
    <w:p w14:paraId="5BEB2C8F" w14:textId="77777777" w:rsidR="00610994" w:rsidRDefault="00610994">
      <w:pPr>
        <w:rPr>
          <w:color w:val="FF0000"/>
        </w:rPr>
      </w:pPr>
    </w:p>
    <w:p w14:paraId="41A08A46" w14:textId="77777777" w:rsidR="00AF75DF" w:rsidRDefault="00AF75DF">
      <w:pPr>
        <w:rPr>
          <w:color w:val="FF0000"/>
        </w:rPr>
      </w:pPr>
    </w:p>
    <w:p w14:paraId="46E5870E" w14:textId="77777777" w:rsidR="00AF75DF" w:rsidRPr="0037351D" w:rsidRDefault="00AF75DF">
      <w:pPr>
        <w:rPr>
          <w:rFonts w:eastAsiaTheme="majorEastAsia" w:cstheme="majorBidi"/>
          <w:b/>
          <w:color w:val="FF0000"/>
        </w:rPr>
      </w:pPr>
    </w:p>
    <w:p w14:paraId="12B1AE34" w14:textId="77777777" w:rsidR="006B6E8F" w:rsidRPr="0037351D" w:rsidRDefault="006B6E8F" w:rsidP="00A3568F">
      <w:pPr>
        <w:pStyle w:val="JSNA3"/>
      </w:pPr>
      <w:bookmarkStart w:id="733" w:name="_Toc4407834"/>
      <w:r w:rsidRPr="0037351D">
        <w:lastRenderedPageBreak/>
        <w:t>Population change and house building</w:t>
      </w:r>
      <w:bookmarkEnd w:id="732"/>
      <w:bookmarkEnd w:id="733"/>
    </w:p>
    <w:p w14:paraId="4574ABD3" w14:textId="77777777" w:rsidR="006B6E8F" w:rsidRPr="0037351D" w:rsidRDefault="006B6E8F" w:rsidP="006B6E8F">
      <w:pPr>
        <w:spacing w:line="240" w:lineRule="auto"/>
        <w:rPr>
          <w:rFonts w:cs="Arial"/>
          <w:color w:val="FF0000"/>
        </w:rPr>
      </w:pPr>
    </w:p>
    <w:p w14:paraId="3978F8BE" w14:textId="615B840E" w:rsidR="005E6535" w:rsidRPr="005E6535" w:rsidRDefault="006B6E8F" w:rsidP="005E6535">
      <w:pPr>
        <w:pStyle w:val="Caption"/>
        <w:rPr>
          <w:rFonts w:cs="Arial"/>
          <w:b/>
          <w:color w:val="002F5D"/>
        </w:rPr>
      </w:pPr>
      <w:r w:rsidRPr="005E6535">
        <w:rPr>
          <w:b/>
          <w:color w:val="002F5D"/>
        </w:rPr>
        <w:t xml:space="preserve">Figure </w:t>
      </w:r>
      <w:r w:rsidRPr="005E6535">
        <w:rPr>
          <w:b/>
          <w:color w:val="002F5D"/>
        </w:rPr>
        <w:fldChar w:fldCharType="begin"/>
      </w:r>
      <w:r w:rsidRPr="005E6535">
        <w:rPr>
          <w:b/>
          <w:color w:val="002F5D"/>
        </w:rPr>
        <w:instrText xml:space="preserve"> SEQ Figure \* ARABIC </w:instrText>
      </w:r>
      <w:r w:rsidRPr="005E6535">
        <w:rPr>
          <w:b/>
          <w:color w:val="002F5D"/>
        </w:rPr>
        <w:fldChar w:fldCharType="separate"/>
      </w:r>
      <w:r w:rsidR="00E80CFE">
        <w:rPr>
          <w:b/>
          <w:noProof/>
          <w:color w:val="002F5D"/>
        </w:rPr>
        <w:t>13</w:t>
      </w:r>
      <w:r w:rsidRPr="005E6535">
        <w:rPr>
          <w:b/>
          <w:color w:val="002F5D"/>
        </w:rPr>
        <w:fldChar w:fldCharType="end"/>
      </w:r>
      <w:r w:rsidRPr="005E6535">
        <w:rPr>
          <w:rFonts w:cs="Arial"/>
          <w:b/>
          <w:color w:val="002F5D"/>
        </w:rPr>
        <w:t>. Cambridgeshire and Peterborough Combined Authority – major development sites and dwelling numbers</w:t>
      </w:r>
    </w:p>
    <w:p w14:paraId="11D718D0" w14:textId="6952124F" w:rsidR="005E6535" w:rsidRDefault="005E6535" w:rsidP="005E6535">
      <w:r>
        <w:rPr>
          <w:noProof/>
          <w:lang w:eastAsia="en-GB"/>
        </w:rPr>
        <w:drawing>
          <wp:inline distT="0" distB="0" distL="0" distR="0" wp14:anchorId="0C955F1B" wp14:editId="238E0A8F">
            <wp:extent cx="5381625" cy="3575280"/>
            <wp:effectExtent l="19050" t="19050" r="9525"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4590" cy="3590537"/>
                    </a:xfrm>
                    <a:prstGeom prst="rect">
                      <a:avLst/>
                    </a:prstGeom>
                    <a:ln w="19050">
                      <a:solidFill>
                        <a:srgbClr val="002F5D"/>
                      </a:solidFill>
                    </a:ln>
                  </pic:spPr>
                </pic:pic>
              </a:graphicData>
            </a:graphic>
          </wp:inline>
        </w:drawing>
      </w:r>
    </w:p>
    <w:p w14:paraId="7463FAF8" w14:textId="77777777" w:rsidR="00D11E54" w:rsidRPr="00D11E54" w:rsidRDefault="00D11E54" w:rsidP="00D11E54">
      <w:pPr>
        <w:spacing w:line="240" w:lineRule="auto"/>
        <w:rPr>
          <w:rFonts w:cs="Arial"/>
          <w:color w:val="002F5D"/>
        </w:rPr>
      </w:pPr>
      <w:r w:rsidRPr="00D11E54">
        <w:rPr>
          <w:rFonts w:cs="Arial"/>
          <w:b/>
          <w:color w:val="002F5D"/>
        </w:rPr>
        <w:t xml:space="preserve">Source: </w:t>
      </w:r>
      <w:r w:rsidRPr="00D11E54">
        <w:rPr>
          <w:rFonts w:cs="Arial"/>
          <w:color w:val="002F5D"/>
        </w:rPr>
        <w:t>Cambridgeshire County Council Business Intelligence – Research Group</w:t>
      </w:r>
    </w:p>
    <w:p w14:paraId="38C0C237" w14:textId="77777777" w:rsidR="005E6535" w:rsidRDefault="005E6535" w:rsidP="005E6535">
      <w:pPr>
        <w:pStyle w:val="Caption"/>
        <w:rPr>
          <w:b/>
          <w:color w:val="FF0000"/>
        </w:rPr>
      </w:pPr>
    </w:p>
    <w:p w14:paraId="4DADC17E" w14:textId="3A9FE239" w:rsidR="005E6535" w:rsidRPr="00D11E54" w:rsidRDefault="005E6535" w:rsidP="00D11E54">
      <w:pPr>
        <w:pStyle w:val="Caption"/>
        <w:rPr>
          <w:rFonts w:cs="Arial"/>
          <w:b/>
          <w:color w:val="002F5D"/>
        </w:rPr>
      </w:pPr>
      <w:r w:rsidRPr="005E6535">
        <w:rPr>
          <w:b/>
          <w:color w:val="002F5D"/>
        </w:rPr>
        <w:t>Figure 14</w:t>
      </w:r>
      <w:r w:rsidRPr="005E6535">
        <w:rPr>
          <w:rFonts w:cs="Arial"/>
          <w:b/>
          <w:color w:val="002F5D"/>
        </w:rPr>
        <w:t>. Cambridgeshire and Peterborough Combined Authority – Existing Planned Growth</w:t>
      </w:r>
    </w:p>
    <w:p w14:paraId="604D795F" w14:textId="65C66FAD" w:rsidR="006B6E8F" w:rsidRPr="00D11E54" w:rsidRDefault="005E6535" w:rsidP="00D11E54">
      <w:r>
        <w:rPr>
          <w:noProof/>
          <w:lang w:eastAsia="en-GB"/>
        </w:rPr>
        <w:drawing>
          <wp:inline distT="0" distB="0" distL="0" distR="0" wp14:anchorId="57829FEE" wp14:editId="546CE06B">
            <wp:extent cx="5471369" cy="3829050"/>
            <wp:effectExtent l="19050" t="19050" r="1524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23154" cy="3865291"/>
                    </a:xfrm>
                    <a:prstGeom prst="rect">
                      <a:avLst/>
                    </a:prstGeom>
                    <a:ln w="19050">
                      <a:solidFill>
                        <a:srgbClr val="002F5D"/>
                      </a:solidFill>
                    </a:ln>
                  </pic:spPr>
                </pic:pic>
              </a:graphicData>
            </a:graphic>
          </wp:inline>
        </w:drawing>
      </w:r>
    </w:p>
    <w:p w14:paraId="17362CC6" w14:textId="77777777" w:rsidR="006B6E8F" w:rsidRPr="00D11E54" w:rsidRDefault="006B6E8F" w:rsidP="006B6E8F">
      <w:pPr>
        <w:spacing w:line="240" w:lineRule="auto"/>
        <w:rPr>
          <w:rFonts w:cs="Arial"/>
          <w:color w:val="002F5D"/>
        </w:rPr>
      </w:pPr>
      <w:r w:rsidRPr="00D11E54">
        <w:rPr>
          <w:rFonts w:cs="Arial"/>
          <w:b/>
          <w:color w:val="002F5D"/>
        </w:rPr>
        <w:t xml:space="preserve">Source: </w:t>
      </w:r>
      <w:r w:rsidRPr="00D11E54">
        <w:rPr>
          <w:rFonts w:cs="Arial"/>
          <w:color w:val="002F5D"/>
        </w:rPr>
        <w:t>Cambridgeshire County Council Business Intelligence – Research Group</w:t>
      </w:r>
    </w:p>
    <w:p w14:paraId="146053B1" w14:textId="77777777" w:rsidR="006B6E8F" w:rsidRPr="00D11E54" w:rsidRDefault="006B6E8F" w:rsidP="006B6E8F">
      <w:pPr>
        <w:spacing w:line="240" w:lineRule="auto"/>
        <w:rPr>
          <w:rFonts w:cs="Arial"/>
          <w:color w:val="002F5D"/>
        </w:rPr>
      </w:pPr>
    </w:p>
    <w:p w14:paraId="4E7763C6" w14:textId="77777777" w:rsidR="006B6E8F" w:rsidRPr="00D11E54" w:rsidRDefault="006B6E8F" w:rsidP="006B6E8F">
      <w:pPr>
        <w:spacing w:line="240" w:lineRule="auto"/>
        <w:rPr>
          <w:rFonts w:cs="Arial"/>
          <w:b/>
          <w:color w:val="002F5D"/>
        </w:rPr>
      </w:pPr>
      <w:r w:rsidRPr="00D11E54">
        <w:rPr>
          <w:rFonts w:cs="Arial"/>
          <w:b/>
          <w:color w:val="002F5D"/>
        </w:rPr>
        <w:t>Key points:</w:t>
      </w:r>
    </w:p>
    <w:p w14:paraId="553B7ECA" w14:textId="13357597" w:rsidR="006B6E8F" w:rsidRPr="00D11E54" w:rsidRDefault="006B6E8F" w:rsidP="00ED7FE4">
      <w:pPr>
        <w:pStyle w:val="ListParagraph"/>
        <w:numPr>
          <w:ilvl w:val="0"/>
          <w:numId w:val="25"/>
        </w:numPr>
        <w:spacing w:line="240" w:lineRule="auto"/>
        <w:ind w:left="714" w:hanging="357"/>
        <w:rPr>
          <w:rFonts w:cs="Arial"/>
          <w:color w:val="002F5D"/>
        </w:rPr>
      </w:pPr>
      <w:r w:rsidRPr="00D11E54">
        <w:rPr>
          <w:rFonts w:cs="Arial"/>
          <w:color w:val="002F5D"/>
        </w:rPr>
        <w:t>The map</w:t>
      </w:r>
      <w:r w:rsidR="005E6535" w:rsidRPr="00D11E54">
        <w:rPr>
          <w:rFonts w:cs="Arial"/>
          <w:color w:val="002F5D"/>
        </w:rPr>
        <w:t>s</w:t>
      </w:r>
      <w:r w:rsidR="009002ED" w:rsidRPr="00D11E54">
        <w:rPr>
          <w:rFonts w:cs="Arial"/>
          <w:color w:val="002F5D"/>
        </w:rPr>
        <w:t xml:space="preserve"> above show</w:t>
      </w:r>
      <w:r w:rsidRPr="00D11E54">
        <w:rPr>
          <w:rFonts w:cs="Arial"/>
          <w:color w:val="002F5D"/>
        </w:rPr>
        <w:t xml:space="preserve"> the proposed major new housing development proposed sites and the planned number of dwellings by site.</w:t>
      </w:r>
    </w:p>
    <w:p w14:paraId="667BFFBF" w14:textId="77777777" w:rsidR="006B6E8F" w:rsidRPr="00D11E54" w:rsidRDefault="006B6E8F" w:rsidP="00ED7FE4">
      <w:pPr>
        <w:pStyle w:val="ListParagraph"/>
        <w:numPr>
          <w:ilvl w:val="0"/>
          <w:numId w:val="25"/>
        </w:numPr>
        <w:spacing w:line="240" w:lineRule="auto"/>
        <w:ind w:left="714" w:hanging="357"/>
        <w:rPr>
          <w:rFonts w:cs="Arial"/>
          <w:color w:val="002F5D"/>
        </w:rPr>
      </w:pPr>
      <w:r w:rsidRPr="00D11E54">
        <w:rPr>
          <w:rFonts w:cs="Arial"/>
          <w:color w:val="002F5D"/>
        </w:rPr>
        <w:t xml:space="preserve">Peterborough Urban Extensions is the largest major development site identified across Cambridgeshire and Peterborough. </w:t>
      </w:r>
    </w:p>
    <w:p w14:paraId="653C08EC" w14:textId="10647243" w:rsidR="006B6E8F" w:rsidRPr="00D11E54" w:rsidRDefault="006B6E8F" w:rsidP="00ED7FE4">
      <w:pPr>
        <w:pStyle w:val="ListParagraph"/>
        <w:numPr>
          <w:ilvl w:val="0"/>
          <w:numId w:val="25"/>
        </w:numPr>
        <w:spacing w:line="240" w:lineRule="auto"/>
        <w:ind w:left="714" w:hanging="357"/>
        <w:rPr>
          <w:rFonts w:cs="Arial"/>
          <w:color w:val="002F5D"/>
        </w:rPr>
      </w:pPr>
      <w:r w:rsidRPr="00D11E54">
        <w:rPr>
          <w:rFonts w:cs="Arial"/>
          <w:color w:val="002F5D"/>
        </w:rPr>
        <w:t xml:space="preserve">Within Cambridgeshire, Northstowe and the </w:t>
      </w:r>
      <w:r w:rsidR="009002ED" w:rsidRPr="00D11E54">
        <w:rPr>
          <w:rFonts w:cs="Arial"/>
          <w:color w:val="002F5D"/>
        </w:rPr>
        <w:t>Waterbeach New Town</w:t>
      </w:r>
      <w:r w:rsidRPr="00D11E54">
        <w:rPr>
          <w:rFonts w:cs="Arial"/>
          <w:color w:val="002F5D"/>
        </w:rPr>
        <w:t xml:space="preserve"> are expected</w:t>
      </w:r>
      <w:r w:rsidR="00992528" w:rsidRPr="00D11E54">
        <w:rPr>
          <w:rFonts w:cs="Arial"/>
          <w:color w:val="002F5D"/>
        </w:rPr>
        <w:t xml:space="preserve"> to have the highest indicative number of homes</w:t>
      </w:r>
      <w:r w:rsidRPr="00D11E54">
        <w:rPr>
          <w:rFonts w:cs="Arial"/>
          <w:color w:val="002F5D"/>
        </w:rPr>
        <w:t>.</w:t>
      </w:r>
    </w:p>
    <w:p w14:paraId="4B2F257E" w14:textId="7CA1F2BC" w:rsidR="006B6E8F" w:rsidRPr="00D11E54" w:rsidRDefault="00992528" w:rsidP="00ED7FE4">
      <w:pPr>
        <w:pStyle w:val="ListParagraph"/>
        <w:numPr>
          <w:ilvl w:val="0"/>
          <w:numId w:val="25"/>
        </w:numPr>
        <w:spacing w:line="240" w:lineRule="auto"/>
        <w:ind w:left="714" w:hanging="357"/>
        <w:rPr>
          <w:rFonts w:cs="Arial"/>
          <w:color w:val="002F5D"/>
        </w:rPr>
      </w:pPr>
      <w:r w:rsidRPr="00D11E54">
        <w:rPr>
          <w:rFonts w:cs="Arial"/>
          <w:color w:val="002F5D"/>
        </w:rPr>
        <w:t>Cambridge Northern Fringe East and</w:t>
      </w:r>
      <w:r w:rsidR="006B6E8F" w:rsidRPr="00D11E54">
        <w:rPr>
          <w:rFonts w:cs="Arial"/>
          <w:color w:val="002F5D"/>
        </w:rPr>
        <w:t xml:space="preserve"> Alconbury </w:t>
      </w:r>
      <w:r w:rsidRPr="00D11E54">
        <w:rPr>
          <w:rFonts w:cs="Arial"/>
          <w:color w:val="002F5D"/>
        </w:rPr>
        <w:t xml:space="preserve">Weald </w:t>
      </w:r>
      <w:r w:rsidR="006B6E8F" w:rsidRPr="00D11E54">
        <w:rPr>
          <w:rFonts w:cs="Arial"/>
          <w:color w:val="002F5D"/>
        </w:rPr>
        <w:t>have the next highest proposed numbers of dwellings.</w:t>
      </w:r>
    </w:p>
    <w:p w14:paraId="6ABE31DB" w14:textId="77777777" w:rsidR="006B6E8F" w:rsidRPr="00D11E54" w:rsidRDefault="006B6E8F" w:rsidP="00ED7FE4">
      <w:pPr>
        <w:pStyle w:val="ListParagraph"/>
        <w:numPr>
          <w:ilvl w:val="0"/>
          <w:numId w:val="25"/>
        </w:numPr>
        <w:spacing w:line="240" w:lineRule="auto"/>
        <w:ind w:left="714" w:hanging="357"/>
        <w:rPr>
          <w:rFonts w:cs="Arial"/>
          <w:color w:val="002F5D"/>
        </w:rPr>
      </w:pPr>
      <w:r w:rsidRPr="00D11E54">
        <w:rPr>
          <w:rFonts w:cs="Arial"/>
          <w:color w:val="002F5D"/>
        </w:rPr>
        <w:t>Cambridge and Cambridgeshire market towns are all set to have new housing.</w:t>
      </w:r>
    </w:p>
    <w:p w14:paraId="1D8B8BA8" w14:textId="77777777" w:rsidR="006B6E8F" w:rsidRPr="00D11E54" w:rsidRDefault="006B6E8F" w:rsidP="00ED7FE4">
      <w:pPr>
        <w:pStyle w:val="ListParagraph"/>
        <w:numPr>
          <w:ilvl w:val="0"/>
          <w:numId w:val="25"/>
        </w:numPr>
        <w:spacing w:line="240" w:lineRule="auto"/>
        <w:ind w:left="714" w:hanging="357"/>
        <w:rPr>
          <w:rFonts w:cs="Arial"/>
          <w:color w:val="002F5D"/>
        </w:rPr>
      </w:pPr>
      <w:r w:rsidRPr="00D11E54">
        <w:rPr>
          <w:rFonts w:cs="Arial"/>
          <w:color w:val="002F5D"/>
        </w:rPr>
        <w:t>For Cambridgeshire, the greatest density of proposed housing sites and the greatest numbers of dwellings is proposed to be in South Cambridgeshire.</w:t>
      </w:r>
    </w:p>
    <w:p w14:paraId="0D79717E" w14:textId="77777777" w:rsidR="006B6E8F" w:rsidRPr="0037351D" w:rsidRDefault="006B6E8F" w:rsidP="006B6E8F">
      <w:pPr>
        <w:spacing w:line="240" w:lineRule="auto"/>
        <w:rPr>
          <w:rFonts w:cs="Arial"/>
          <w:color w:val="FF0000"/>
        </w:rPr>
      </w:pPr>
    </w:p>
    <w:p w14:paraId="0703B0DD" w14:textId="77777777" w:rsidR="006B6E8F" w:rsidRPr="0037351D" w:rsidRDefault="006B6E8F" w:rsidP="006B6E8F">
      <w:pPr>
        <w:rPr>
          <w:rFonts w:cs="Arial"/>
          <w:b/>
          <w:color w:val="FF0000"/>
        </w:rPr>
      </w:pPr>
    </w:p>
    <w:p w14:paraId="33A4C9B4" w14:textId="77777777" w:rsidR="00764F70" w:rsidRPr="0037351D" w:rsidRDefault="00764F70">
      <w:pPr>
        <w:rPr>
          <w:rFonts w:eastAsiaTheme="majorEastAsia" w:cstheme="majorBidi"/>
          <w:b/>
          <w:color w:val="FF0000"/>
        </w:rPr>
      </w:pPr>
      <w:bookmarkStart w:id="734" w:name="_Toc492908655"/>
      <w:r w:rsidRPr="0037351D">
        <w:rPr>
          <w:color w:val="FF0000"/>
        </w:rPr>
        <w:br w:type="page"/>
      </w:r>
    </w:p>
    <w:p w14:paraId="53DAD9CD" w14:textId="77777777" w:rsidR="006B6E8F" w:rsidRPr="0037351D" w:rsidRDefault="006B6E8F" w:rsidP="00A3568F">
      <w:pPr>
        <w:pStyle w:val="JSNA3"/>
      </w:pPr>
      <w:bookmarkStart w:id="735" w:name="_Toc4407835"/>
      <w:r w:rsidRPr="0037351D">
        <w:lastRenderedPageBreak/>
        <w:t>Population density</w:t>
      </w:r>
      <w:bookmarkEnd w:id="734"/>
      <w:bookmarkEnd w:id="735"/>
    </w:p>
    <w:p w14:paraId="0DE27E65" w14:textId="77777777" w:rsidR="006B6E8F" w:rsidRPr="0037351D" w:rsidRDefault="006B6E8F" w:rsidP="006B6E8F">
      <w:pPr>
        <w:spacing w:line="240" w:lineRule="auto"/>
        <w:rPr>
          <w:rFonts w:cs="Arial"/>
          <w:color w:val="FF0000"/>
        </w:rPr>
      </w:pPr>
    </w:p>
    <w:p w14:paraId="451791E7" w14:textId="092CCAC5" w:rsidR="006B6E8F" w:rsidRDefault="006B6E8F" w:rsidP="00764F70">
      <w:pPr>
        <w:pStyle w:val="Caption"/>
        <w:rPr>
          <w:rFonts w:cs="Arial"/>
          <w:color w:val="002F5D"/>
        </w:rPr>
      </w:pPr>
      <w:r w:rsidRPr="00E82583">
        <w:rPr>
          <w:b/>
          <w:color w:val="002F5D"/>
        </w:rPr>
        <w:t xml:space="preserve">Table </w:t>
      </w:r>
      <w:r w:rsidRPr="00E82583">
        <w:rPr>
          <w:b/>
          <w:color w:val="002F5D"/>
        </w:rPr>
        <w:fldChar w:fldCharType="begin"/>
      </w:r>
      <w:r w:rsidRPr="00E82583">
        <w:rPr>
          <w:b/>
          <w:color w:val="002F5D"/>
        </w:rPr>
        <w:instrText xml:space="preserve"> SEQ Table \* ARABIC </w:instrText>
      </w:r>
      <w:r w:rsidRPr="00E82583">
        <w:rPr>
          <w:b/>
          <w:color w:val="002F5D"/>
        </w:rPr>
        <w:fldChar w:fldCharType="separate"/>
      </w:r>
      <w:r w:rsidR="00E80CFE">
        <w:rPr>
          <w:b/>
          <w:noProof/>
          <w:color w:val="002F5D"/>
        </w:rPr>
        <w:t>11</w:t>
      </w:r>
      <w:r w:rsidRPr="00E82583">
        <w:rPr>
          <w:b/>
          <w:color w:val="002F5D"/>
        </w:rPr>
        <w:fldChar w:fldCharType="end"/>
      </w:r>
      <w:r w:rsidRPr="00E82583">
        <w:rPr>
          <w:rFonts w:cs="Arial"/>
          <w:b/>
          <w:color w:val="002F5D"/>
        </w:rPr>
        <w:t xml:space="preserve">. </w:t>
      </w:r>
      <w:r w:rsidR="00E82583" w:rsidRPr="00E82583">
        <w:rPr>
          <w:rFonts w:cs="Arial"/>
          <w:color w:val="002F5D"/>
        </w:rPr>
        <w:t>Population density, mid-2017</w:t>
      </w:r>
    </w:p>
    <w:p w14:paraId="57ADD203" w14:textId="2BE5135A" w:rsidR="00CC4D2C" w:rsidRDefault="00CC4D2C" w:rsidP="00971CD4">
      <w:r w:rsidRPr="00CC4D2C">
        <w:rPr>
          <w:noProof/>
          <w:lang w:eastAsia="en-GB"/>
        </w:rPr>
        <w:drawing>
          <wp:inline distT="0" distB="0" distL="0" distR="0" wp14:anchorId="6202944F" wp14:editId="567D9C61">
            <wp:extent cx="5276850" cy="23622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6850" cy="2362200"/>
                    </a:xfrm>
                    <a:prstGeom prst="rect">
                      <a:avLst/>
                    </a:prstGeom>
                    <a:noFill/>
                    <a:ln>
                      <a:noFill/>
                    </a:ln>
                  </pic:spPr>
                </pic:pic>
              </a:graphicData>
            </a:graphic>
          </wp:inline>
        </w:drawing>
      </w:r>
    </w:p>
    <w:p w14:paraId="193EF4AA" w14:textId="77777777" w:rsidR="006B6E8F" w:rsidRPr="0037351D" w:rsidRDefault="006B6E8F" w:rsidP="00764F70">
      <w:pPr>
        <w:spacing w:line="240" w:lineRule="auto"/>
        <w:rPr>
          <w:color w:val="FF0000"/>
        </w:rPr>
      </w:pPr>
    </w:p>
    <w:p w14:paraId="1F3CD941" w14:textId="129EE58F" w:rsidR="006B6E8F" w:rsidRPr="0037351D" w:rsidRDefault="006B6E8F" w:rsidP="00764F70">
      <w:pPr>
        <w:spacing w:line="240" w:lineRule="auto"/>
        <w:rPr>
          <w:rFonts w:cs="Arial"/>
          <w:color w:val="FF0000"/>
        </w:rPr>
      </w:pPr>
      <w:r w:rsidRPr="00E82583">
        <w:rPr>
          <w:rFonts w:cs="Arial"/>
          <w:b/>
          <w:color w:val="002F5D"/>
        </w:rPr>
        <w:t>Source</w:t>
      </w:r>
      <w:r w:rsidRPr="00E82583">
        <w:rPr>
          <w:rFonts w:cs="Arial"/>
          <w:color w:val="002F5D"/>
        </w:rPr>
        <w:t xml:space="preserve">: </w:t>
      </w:r>
      <w:r w:rsidR="000C6516">
        <w:rPr>
          <w:rFonts w:cs="Arial"/>
          <w:color w:val="002F5D"/>
        </w:rPr>
        <w:t>ONS table MYE5</w:t>
      </w:r>
    </w:p>
    <w:p w14:paraId="7C674EA1" w14:textId="77777777" w:rsidR="006B6E8F" w:rsidRPr="00E82583" w:rsidRDefault="006B6E8F" w:rsidP="00764F70">
      <w:pPr>
        <w:spacing w:line="240" w:lineRule="auto"/>
        <w:rPr>
          <w:rFonts w:cs="Arial"/>
          <w:color w:val="002F5D"/>
        </w:rPr>
      </w:pPr>
    </w:p>
    <w:p w14:paraId="22406349" w14:textId="77777777" w:rsidR="006B6E8F" w:rsidRPr="00E82583" w:rsidRDefault="006B6E8F" w:rsidP="00764F70">
      <w:pPr>
        <w:spacing w:line="240" w:lineRule="auto"/>
        <w:rPr>
          <w:rFonts w:cs="Arial"/>
          <w:b/>
          <w:color w:val="002F5D"/>
        </w:rPr>
      </w:pPr>
      <w:r w:rsidRPr="00E82583">
        <w:rPr>
          <w:rFonts w:cs="Arial"/>
          <w:b/>
          <w:color w:val="002F5D"/>
        </w:rPr>
        <w:t>Key points:</w:t>
      </w:r>
    </w:p>
    <w:p w14:paraId="1B2DB778" w14:textId="21454D25" w:rsidR="006B6E8F" w:rsidRPr="003C086C" w:rsidRDefault="006B6E8F" w:rsidP="00764F70">
      <w:pPr>
        <w:pStyle w:val="ListParagraph"/>
        <w:numPr>
          <w:ilvl w:val="0"/>
          <w:numId w:val="24"/>
        </w:numPr>
        <w:spacing w:line="240" w:lineRule="auto"/>
        <w:rPr>
          <w:rFonts w:cs="Arial"/>
          <w:color w:val="002F5D"/>
        </w:rPr>
      </w:pPr>
      <w:r w:rsidRPr="003C086C">
        <w:rPr>
          <w:rFonts w:cs="Arial"/>
          <w:color w:val="002F5D"/>
        </w:rPr>
        <w:t>Cambridgeshire is a relatively rural area, with lower population density than in England and the East of England.</w:t>
      </w:r>
    </w:p>
    <w:p w14:paraId="2DEEE605" w14:textId="4401E246" w:rsidR="003C086C" w:rsidRPr="001A1857" w:rsidRDefault="003C086C">
      <w:pPr>
        <w:pStyle w:val="ListParagraph"/>
        <w:numPr>
          <w:ilvl w:val="0"/>
          <w:numId w:val="24"/>
        </w:numPr>
        <w:spacing w:line="240" w:lineRule="auto"/>
        <w:rPr>
          <w:rFonts w:cs="Arial"/>
          <w:color w:val="002F5D"/>
        </w:rPr>
      </w:pPr>
      <w:r w:rsidRPr="003C086C">
        <w:rPr>
          <w:rFonts w:cs="Arial"/>
          <w:color w:val="002F5D"/>
        </w:rPr>
        <w:t>Cambridge has by far the gre</w:t>
      </w:r>
      <w:r w:rsidRPr="001A1857">
        <w:rPr>
          <w:rFonts w:cs="Arial"/>
          <w:color w:val="002F5D"/>
        </w:rPr>
        <w:t>atest level of population density in Cambridgeshire. Other districts have relatively similar levels, with East Cambridgeshire having the least density of population.</w:t>
      </w:r>
    </w:p>
    <w:p w14:paraId="43E4492A" w14:textId="757A83D6" w:rsidR="006B6E8F" w:rsidRPr="003C086C" w:rsidRDefault="006B6E8F" w:rsidP="00764F70">
      <w:pPr>
        <w:pStyle w:val="ListParagraph"/>
        <w:numPr>
          <w:ilvl w:val="0"/>
          <w:numId w:val="24"/>
        </w:numPr>
        <w:spacing w:line="240" w:lineRule="auto"/>
        <w:rPr>
          <w:rFonts w:cs="Arial"/>
          <w:color w:val="002F5D"/>
        </w:rPr>
      </w:pPr>
      <w:r w:rsidRPr="003C086C">
        <w:rPr>
          <w:rFonts w:cs="Arial"/>
          <w:color w:val="002F5D"/>
        </w:rPr>
        <w:t>Peterborough is a more relatively urban area, and is more densely populated than the Cambridgeshire districts</w:t>
      </w:r>
      <w:r w:rsidR="003C086C" w:rsidRPr="003C086C">
        <w:rPr>
          <w:rFonts w:cs="Arial"/>
          <w:color w:val="002F5D"/>
        </w:rPr>
        <w:t xml:space="preserve"> except Cambridge</w:t>
      </w:r>
      <w:r w:rsidRPr="003C086C">
        <w:rPr>
          <w:rFonts w:cs="Arial"/>
          <w:color w:val="002F5D"/>
        </w:rPr>
        <w:t>, Cambridgeshire, the East of England</w:t>
      </w:r>
      <w:r w:rsidR="00FB10EB">
        <w:rPr>
          <w:rFonts w:cs="Arial"/>
          <w:color w:val="002F5D"/>
        </w:rPr>
        <w:t xml:space="preserve"> and </w:t>
      </w:r>
      <w:r w:rsidRPr="003C086C">
        <w:rPr>
          <w:rFonts w:cs="Arial"/>
          <w:color w:val="002F5D"/>
        </w:rPr>
        <w:t>England.</w:t>
      </w:r>
    </w:p>
    <w:p w14:paraId="14850788" w14:textId="0B88213A" w:rsidR="006B6E8F" w:rsidRPr="0037351D" w:rsidRDefault="006B6E8F" w:rsidP="006B6E8F">
      <w:pPr>
        <w:rPr>
          <w:rFonts w:cs="Arial"/>
          <w:b/>
          <w:color w:val="FF0000"/>
        </w:rPr>
      </w:pPr>
      <w:r w:rsidRPr="0037351D">
        <w:rPr>
          <w:rFonts w:cs="Arial"/>
          <w:b/>
          <w:color w:val="FF0000"/>
        </w:rPr>
        <w:br w:type="page"/>
      </w:r>
    </w:p>
    <w:p w14:paraId="4E7E95D7" w14:textId="77777777" w:rsidR="006B6E8F" w:rsidRPr="0037351D" w:rsidRDefault="006B6E8F" w:rsidP="00A3568F">
      <w:pPr>
        <w:pStyle w:val="JSNA3"/>
      </w:pPr>
      <w:bookmarkStart w:id="736" w:name="_Toc492908656"/>
      <w:bookmarkStart w:id="737" w:name="_Toc4407836"/>
      <w:r w:rsidRPr="0037351D">
        <w:lastRenderedPageBreak/>
        <w:t>Fertility, components of population change, national insurance number registrations and ethnicity</w:t>
      </w:r>
      <w:bookmarkEnd w:id="736"/>
      <w:bookmarkEnd w:id="737"/>
    </w:p>
    <w:p w14:paraId="6947441A" w14:textId="77777777" w:rsidR="006B6E8F" w:rsidRPr="0037351D" w:rsidRDefault="006B6E8F" w:rsidP="006B6E8F">
      <w:pPr>
        <w:spacing w:line="240" w:lineRule="auto"/>
        <w:rPr>
          <w:rFonts w:cs="Arial"/>
          <w:color w:val="FF0000"/>
        </w:rPr>
      </w:pPr>
    </w:p>
    <w:p w14:paraId="6E0C81F8" w14:textId="255DC321" w:rsidR="006B6E8F" w:rsidRPr="007A2743" w:rsidRDefault="006B6E8F" w:rsidP="00764F70">
      <w:pPr>
        <w:pStyle w:val="Caption"/>
        <w:rPr>
          <w:rFonts w:eastAsia="Times New Roman" w:cs="Times New Roman"/>
          <w:bCs/>
          <w:color w:val="002F5D"/>
          <w:lang w:eastAsia="en-GB"/>
        </w:rPr>
      </w:pPr>
      <w:r w:rsidRPr="007A2743">
        <w:rPr>
          <w:b/>
          <w:color w:val="002F5D"/>
        </w:rPr>
        <w:t xml:space="preserve">Table </w:t>
      </w:r>
      <w:r w:rsidRPr="007A2743">
        <w:rPr>
          <w:b/>
          <w:color w:val="002F5D"/>
        </w:rPr>
        <w:fldChar w:fldCharType="begin"/>
      </w:r>
      <w:r w:rsidRPr="007A2743">
        <w:rPr>
          <w:b/>
          <w:color w:val="002F5D"/>
        </w:rPr>
        <w:instrText xml:space="preserve"> SEQ Table \* ARABIC </w:instrText>
      </w:r>
      <w:r w:rsidRPr="007A2743">
        <w:rPr>
          <w:b/>
          <w:color w:val="002F5D"/>
        </w:rPr>
        <w:fldChar w:fldCharType="separate"/>
      </w:r>
      <w:r w:rsidR="00E80CFE">
        <w:rPr>
          <w:b/>
          <w:noProof/>
          <w:color w:val="002F5D"/>
        </w:rPr>
        <w:t>12</w:t>
      </w:r>
      <w:r w:rsidRPr="007A2743">
        <w:rPr>
          <w:b/>
          <w:color w:val="002F5D"/>
        </w:rPr>
        <w:fldChar w:fldCharType="end"/>
      </w:r>
      <w:r w:rsidRPr="007A2743">
        <w:rPr>
          <w:rFonts w:cs="Arial"/>
          <w:b/>
          <w:color w:val="002F5D"/>
        </w:rPr>
        <w:t xml:space="preserve">. </w:t>
      </w:r>
      <w:r w:rsidRPr="007A2743">
        <w:rPr>
          <w:rFonts w:cs="Arial"/>
          <w:color w:val="002F5D"/>
        </w:rPr>
        <w:t xml:space="preserve">Population change: </w:t>
      </w:r>
      <w:r w:rsidRPr="007A2743">
        <w:rPr>
          <w:rFonts w:eastAsia="Times New Roman" w:cs="Times New Roman"/>
          <w:bCs/>
          <w:color w:val="002F5D"/>
          <w:lang w:eastAsia="en-GB"/>
        </w:rPr>
        <w:t>trend in general fertility rate (live birth rate per 1,000 women aged 15-44 years) by local autho</w:t>
      </w:r>
      <w:r w:rsidR="007A2743" w:rsidRPr="007A2743">
        <w:rPr>
          <w:rFonts w:eastAsia="Times New Roman" w:cs="Times New Roman"/>
          <w:bCs/>
          <w:color w:val="002F5D"/>
          <w:lang w:eastAsia="en-GB"/>
        </w:rPr>
        <w:t>rity of mother's residence, 2005-0</w:t>
      </w:r>
      <w:r w:rsidR="00172365">
        <w:rPr>
          <w:rFonts w:eastAsia="Times New Roman" w:cs="Times New Roman"/>
          <w:bCs/>
          <w:color w:val="002F5D"/>
          <w:lang w:eastAsia="en-GB"/>
        </w:rPr>
        <w:t>7</w:t>
      </w:r>
      <w:r w:rsidR="007A2743" w:rsidRPr="007A2743">
        <w:rPr>
          <w:rFonts w:eastAsia="Times New Roman" w:cs="Times New Roman"/>
          <w:bCs/>
          <w:color w:val="002F5D"/>
          <w:lang w:eastAsia="en-GB"/>
        </w:rPr>
        <w:t xml:space="preserve"> to 2014-16</w:t>
      </w:r>
    </w:p>
    <w:p w14:paraId="2DA262C0" w14:textId="77777777" w:rsidR="007A2743" w:rsidRPr="007A2743" w:rsidRDefault="007A2743" w:rsidP="007A2743">
      <w:pPr>
        <w:rPr>
          <w:lang w:eastAsia="en-GB"/>
        </w:rPr>
      </w:pPr>
    </w:p>
    <w:p w14:paraId="70E2EFD7" w14:textId="58F65FBE" w:rsidR="006B6E8F" w:rsidRPr="0037351D" w:rsidRDefault="007A2743" w:rsidP="00764F70">
      <w:pPr>
        <w:spacing w:line="240" w:lineRule="auto"/>
        <w:rPr>
          <w:color w:val="FF0000"/>
          <w:lang w:eastAsia="en-GB"/>
        </w:rPr>
      </w:pPr>
      <w:r w:rsidRPr="007A2743">
        <w:rPr>
          <w:noProof/>
          <w:lang w:eastAsia="en-GB"/>
        </w:rPr>
        <w:drawing>
          <wp:inline distT="0" distB="0" distL="0" distR="0" wp14:anchorId="1CB6637A" wp14:editId="396E0D28">
            <wp:extent cx="6120130" cy="146798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1467980"/>
                    </a:xfrm>
                    <a:prstGeom prst="rect">
                      <a:avLst/>
                    </a:prstGeom>
                    <a:noFill/>
                    <a:ln>
                      <a:noFill/>
                    </a:ln>
                  </pic:spPr>
                </pic:pic>
              </a:graphicData>
            </a:graphic>
          </wp:inline>
        </w:drawing>
      </w:r>
    </w:p>
    <w:p w14:paraId="2E1AAB96" w14:textId="77777777" w:rsidR="006B6E8F" w:rsidRPr="0037351D" w:rsidRDefault="006B6E8F" w:rsidP="00764F70">
      <w:pPr>
        <w:spacing w:line="240" w:lineRule="auto"/>
        <w:rPr>
          <w:rFonts w:eastAsia="Times New Roman" w:cs="Times New Roman"/>
          <w:b/>
          <w:bCs/>
          <w:color w:val="FF0000"/>
          <w:lang w:eastAsia="en-GB"/>
        </w:rPr>
      </w:pPr>
    </w:p>
    <w:p w14:paraId="50356445" w14:textId="6268C449" w:rsidR="006B6E8F" w:rsidRPr="007A2743" w:rsidRDefault="006B6E8F" w:rsidP="00764F70">
      <w:pPr>
        <w:spacing w:line="240" w:lineRule="auto"/>
        <w:rPr>
          <w:rFonts w:eastAsia="Times New Roman" w:cs="Times New Roman"/>
          <w:color w:val="002F5D"/>
          <w:lang w:eastAsia="en-GB"/>
        </w:rPr>
      </w:pPr>
      <w:r w:rsidRPr="007A2743">
        <w:rPr>
          <w:rFonts w:eastAsia="Times New Roman" w:cs="Times New Roman"/>
          <w:b/>
          <w:bCs/>
          <w:color w:val="002F5D"/>
          <w:lang w:eastAsia="en-GB"/>
        </w:rPr>
        <w:t xml:space="preserve">Sources: </w:t>
      </w:r>
      <w:r w:rsidR="000C6516">
        <w:rPr>
          <w:rFonts w:eastAsia="Times New Roman" w:cs="Times New Roman"/>
          <w:color w:val="002F5D"/>
          <w:lang w:eastAsia="en-GB"/>
        </w:rPr>
        <w:t xml:space="preserve">ONS </w:t>
      </w:r>
      <w:r w:rsidRPr="007A2743">
        <w:rPr>
          <w:rFonts w:eastAsia="Times New Roman" w:cs="Times New Roman"/>
          <w:color w:val="002F5D"/>
          <w:lang w:eastAsia="en-GB"/>
        </w:rPr>
        <w:t xml:space="preserve">birth registrations, </w:t>
      </w:r>
      <w:r w:rsidR="000C6516">
        <w:rPr>
          <w:rFonts w:eastAsia="Times New Roman" w:cs="Times New Roman"/>
          <w:color w:val="002F5D"/>
          <w:lang w:eastAsia="en-GB"/>
        </w:rPr>
        <w:t>ONS</w:t>
      </w:r>
      <w:r w:rsidRPr="007A2743">
        <w:rPr>
          <w:rFonts w:eastAsia="Times New Roman" w:cs="Times New Roman"/>
          <w:color w:val="002F5D"/>
          <w:lang w:eastAsia="en-GB"/>
        </w:rPr>
        <w:t xml:space="preserve"> mid-year population estimates</w:t>
      </w:r>
    </w:p>
    <w:p w14:paraId="2B548F8C" w14:textId="77777777" w:rsidR="006B6E8F" w:rsidRPr="0037351D" w:rsidRDefault="006B6E8F" w:rsidP="00764F70">
      <w:pPr>
        <w:spacing w:line="240" w:lineRule="auto"/>
        <w:rPr>
          <w:rFonts w:eastAsia="Times New Roman" w:cs="Times New Roman"/>
          <w:color w:val="FF0000"/>
          <w:lang w:eastAsia="en-GB"/>
        </w:rPr>
      </w:pPr>
    </w:p>
    <w:p w14:paraId="6613B796" w14:textId="49C174C5" w:rsidR="006B6E8F" w:rsidRPr="007A2743" w:rsidRDefault="006B6E8F" w:rsidP="00764F70">
      <w:pPr>
        <w:pStyle w:val="Caption"/>
        <w:rPr>
          <w:rFonts w:eastAsia="Times New Roman" w:cs="Times New Roman"/>
          <w:bCs/>
          <w:color w:val="002F5D"/>
          <w:lang w:eastAsia="en-GB"/>
        </w:rPr>
      </w:pPr>
      <w:r w:rsidRPr="007A2743">
        <w:rPr>
          <w:b/>
          <w:color w:val="002F5D"/>
        </w:rPr>
        <w:t xml:space="preserve">Figure </w:t>
      </w:r>
      <w:r w:rsidR="00610994">
        <w:rPr>
          <w:b/>
          <w:color w:val="002F5D"/>
        </w:rPr>
        <w:t>15</w:t>
      </w:r>
      <w:r w:rsidRPr="007A2743">
        <w:rPr>
          <w:rFonts w:cs="Arial"/>
          <w:b/>
          <w:color w:val="002F5D"/>
        </w:rPr>
        <w:t xml:space="preserve">. </w:t>
      </w:r>
      <w:r w:rsidRPr="007A2743">
        <w:rPr>
          <w:rFonts w:cs="Arial"/>
          <w:color w:val="002F5D"/>
        </w:rPr>
        <w:t xml:space="preserve">Cambridgeshire and the districts – population change: </w:t>
      </w:r>
      <w:r w:rsidRPr="007A2743">
        <w:rPr>
          <w:rFonts w:eastAsia="Times New Roman" w:cs="Times New Roman"/>
          <w:bCs/>
          <w:color w:val="002F5D"/>
          <w:lang w:eastAsia="en-GB"/>
        </w:rPr>
        <w:t>trend in general fertility rate (live birth rate per 1,000 women aged 15-44 years) by local autho</w:t>
      </w:r>
      <w:r w:rsidR="007A2743" w:rsidRPr="007A2743">
        <w:rPr>
          <w:rFonts w:eastAsia="Times New Roman" w:cs="Times New Roman"/>
          <w:bCs/>
          <w:color w:val="002F5D"/>
          <w:lang w:eastAsia="en-GB"/>
        </w:rPr>
        <w:t>rity of mother's residence, 2005-07 to 2014-1</w:t>
      </w:r>
      <w:r w:rsidR="00CC4D2C">
        <w:rPr>
          <w:rFonts w:eastAsia="Times New Roman" w:cs="Times New Roman"/>
          <w:bCs/>
          <w:color w:val="002F5D"/>
          <w:lang w:eastAsia="en-GB"/>
        </w:rPr>
        <w:t>6</w:t>
      </w:r>
    </w:p>
    <w:p w14:paraId="08E0610A" w14:textId="77777777" w:rsidR="007A2743" w:rsidRDefault="007A2743" w:rsidP="007A2743">
      <w:pPr>
        <w:rPr>
          <w:lang w:eastAsia="en-GB"/>
        </w:rPr>
      </w:pPr>
    </w:p>
    <w:p w14:paraId="22F77A27" w14:textId="0C1D764A" w:rsidR="007A2743" w:rsidRPr="007A2743" w:rsidRDefault="007A2743" w:rsidP="007A2743">
      <w:pPr>
        <w:rPr>
          <w:lang w:eastAsia="en-GB"/>
        </w:rPr>
      </w:pPr>
      <w:r>
        <w:rPr>
          <w:noProof/>
          <w:lang w:eastAsia="en-GB"/>
        </w:rPr>
        <w:drawing>
          <wp:inline distT="0" distB="0" distL="0" distR="0" wp14:anchorId="1C7C4FAE" wp14:editId="33CB932C">
            <wp:extent cx="5871718" cy="321945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03143" cy="3236680"/>
                    </a:xfrm>
                    <a:prstGeom prst="rect">
                      <a:avLst/>
                    </a:prstGeom>
                    <a:noFill/>
                  </pic:spPr>
                </pic:pic>
              </a:graphicData>
            </a:graphic>
          </wp:inline>
        </w:drawing>
      </w:r>
    </w:p>
    <w:p w14:paraId="00059E81" w14:textId="77777777" w:rsidR="00012AD0" w:rsidRPr="007A2743" w:rsidRDefault="00012AD0" w:rsidP="00764F70">
      <w:pPr>
        <w:spacing w:line="240" w:lineRule="auto"/>
        <w:rPr>
          <w:rFonts w:eastAsia="Times New Roman" w:cs="Times New Roman"/>
          <w:b/>
          <w:bCs/>
          <w:color w:val="002F5D"/>
          <w:lang w:eastAsia="en-GB"/>
        </w:rPr>
      </w:pPr>
    </w:p>
    <w:p w14:paraId="729E7C93" w14:textId="108B76D7" w:rsidR="006B6E8F" w:rsidRPr="007A2743" w:rsidRDefault="006B6E8F" w:rsidP="00764F70">
      <w:pPr>
        <w:spacing w:line="240" w:lineRule="auto"/>
        <w:rPr>
          <w:rFonts w:eastAsia="Times New Roman" w:cs="Times New Roman"/>
          <w:bCs/>
          <w:color w:val="002F5D"/>
          <w:lang w:eastAsia="en-GB"/>
        </w:rPr>
      </w:pPr>
      <w:r w:rsidRPr="007A2743">
        <w:rPr>
          <w:rFonts w:eastAsia="Times New Roman" w:cs="Times New Roman"/>
          <w:b/>
          <w:bCs/>
          <w:color w:val="002F5D"/>
          <w:lang w:eastAsia="en-GB"/>
        </w:rPr>
        <w:t>Sources</w:t>
      </w:r>
      <w:r w:rsidRPr="007A2743">
        <w:rPr>
          <w:rFonts w:eastAsia="Times New Roman" w:cs="Times New Roman"/>
          <w:bCs/>
          <w:color w:val="002F5D"/>
          <w:lang w:eastAsia="en-GB"/>
        </w:rPr>
        <w:t xml:space="preserve">: </w:t>
      </w:r>
      <w:r w:rsidR="007750E0">
        <w:rPr>
          <w:rFonts w:eastAsia="Times New Roman" w:cs="Times New Roman"/>
          <w:bCs/>
          <w:color w:val="002F5D"/>
          <w:lang w:eastAsia="en-GB"/>
        </w:rPr>
        <w:t xml:space="preserve">ONS </w:t>
      </w:r>
      <w:r w:rsidRPr="007A2743">
        <w:rPr>
          <w:rFonts w:eastAsia="Times New Roman" w:cs="Times New Roman"/>
          <w:bCs/>
          <w:color w:val="002F5D"/>
          <w:lang w:eastAsia="en-GB"/>
        </w:rPr>
        <w:t xml:space="preserve">birth registrations, </w:t>
      </w:r>
      <w:r w:rsidR="007750E0">
        <w:rPr>
          <w:rFonts w:eastAsia="Times New Roman" w:cs="Times New Roman"/>
          <w:bCs/>
          <w:color w:val="002F5D"/>
          <w:lang w:eastAsia="en-GB"/>
        </w:rPr>
        <w:t>ONS</w:t>
      </w:r>
      <w:r w:rsidRPr="007A2743">
        <w:rPr>
          <w:rFonts w:eastAsia="Times New Roman" w:cs="Times New Roman"/>
          <w:bCs/>
          <w:color w:val="002F5D"/>
          <w:lang w:eastAsia="en-GB"/>
        </w:rPr>
        <w:t xml:space="preserve"> mid-year population estimates</w:t>
      </w:r>
    </w:p>
    <w:p w14:paraId="451DF8B5" w14:textId="77777777" w:rsidR="006B6E8F" w:rsidRPr="0037351D" w:rsidRDefault="006B6E8F" w:rsidP="00764F70">
      <w:pPr>
        <w:spacing w:line="240" w:lineRule="auto"/>
        <w:rPr>
          <w:rFonts w:eastAsia="Times New Roman" w:cs="Times New Roman"/>
          <w:bCs/>
          <w:color w:val="FF0000"/>
          <w:lang w:eastAsia="en-GB"/>
        </w:rPr>
      </w:pPr>
    </w:p>
    <w:p w14:paraId="29DB0F59" w14:textId="77777777" w:rsidR="006B6E8F" w:rsidRPr="0037351D" w:rsidRDefault="006B6E8F" w:rsidP="00764F70">
      <w:pPr>
        <w:spacing w:line="240" w:lineRule="auto"/>
        <w:rPr>
          <w:rFonts w:cs="Arial"/>
          <w:b/>
          <w:color w:val="FF0000"/>
        </w:rPr>
      </w:pPr>
      <w:r w:rsidRPr="0037351D">
        <w:rPr>
          <w:rFonts w:cs="Arial"/>
          <w:b/>
          <w:color w:val="FF0000"/>
        </w:rPr>
        <w:br w:type="page"/>
      </w:r>
    </w:p>
    <w:p w14:paraId="53E889C5" w14:textId="4857AA8D" w:rsidR="006B6E8F" w:rsidRPr="007A2743" w:rsidRDefault="006B6E8F" w:rsidP="00764F70">
      <w:pPr>
        <w:pStyle w:val="Caption"/>
        <w:rPr>
          <w:rFonts w:eastAsia="Times New Roman" w:cs="Times New Roman"/>
          <w:bCs/>
          <w:color w:val="002F5D"/>
          <w:lang w:eastAsia="en-GB"/>
        </w:rPr>
      </w:pPr>
      <w:r w:rsidRPr="007A2743">
        <w:rPr>
          <w:b/>
          <w:color w:val="002F5D"/>
        </w:rPr>
        <w:lastRenderedPageBreak/>
        <w:t xml:space="preserve">Figure </w:t>
      </w:r>
      <w:r w:rsidR="00610994">
        <w:rPr>
          <w:b/>
          <w:color w:val="002F5D"/>
        </w:rPr>
        <w:t>16</w:t>
      </w:r>
      <w:r w:rsidRPr="007A2743">
        <w:rPr>
          <w:rFonts w:cs="Arial"/>
          <w:b/>
          <w:color w:val="002F5D"/>
        </w:rPr>
        <w:t xml:space="preserve">. </w:t>
      </w:r>
      <w:r w:rsidRPr="007A2743">
        <w:rPr>
          <w:rFonts w:cs="Arial"/>
          <w:color w:val="002F5D"/>
        </w:rPr>
        <w:t>G</w:t>
      </w:r>
      <w:r w:rsidRPr="007A2743">
        <w:rPr>
          <w:rFonts w:eastAsia="Times New Roman" w:cs="Times New Roman"/>
          <w:bCs/>
          <w:color w:val="002F5D"/>
          <w:lang w:eastAsia="en-GB"/>
        </w:rPr>
        <w:t>eneral fertility rate (live birth rate per 1,000 women aged 15-44 years) by local autho</w:t>
      </w:r>
      <w:r w:rsidR="007A2743" w:rsidRPr="007A2743">
        <w:rPr>
          <w:rFonts w:eastAsia="Times New Roman" w:cs="Times New Roman"/>
          <w:bCs/>
          <w:color w:val="002F5D"/>
          <w:lang w:eastAsia="en-GB"/>
        </w:rPr>
        <w:t>rity of mother's residence, 2014-16</w:t>
      </w:r>
    </w:p>
    <w:p w14:paraId="1C174CB7" w14:textId="77777777" w:rsidR="007A2743" w:rsidRPr="007A2743" w:rsidRDefault="007A2743" w:rsidP="007A2743">
      <w:pPr>
        <w:rPr>
          <w:lang w:eastAsia="en-GB"/>
        </w:rPr>
      </w:pPr>
    </w:p>
    <w:p w14:paraId="0A89ED7D" w14:textId="32A4FF78" w:rsidR="006B6E8F" w:rsidRPr="0037351D" w:rsidRDefault="007A2743" w:rsidP="006B6E8F">
      <w:pPr>
        <w:rPr>
          <w:color w:val="FF0000"/>
          <w:lang w:eastAsia="en-GB"/>
        </w:rPr>
      </w:pPr>
      <w:r>
        <w:rPr>
          <w:noProof/>
          <w:color w:val="FF0000"/>
          <w:lang w:eastAsia="en-GB"/>
        </w:rPr>
        <w:drawing>
          <wp:inline distT="0" distB="0" distL="0" distR="0" wp14:anchorId="37BBF1C1" wp14:editId="2A001C3F">
            <wp:extent cx="5633085" cy="4109085"/>
            <wp:effectExtent l="0" t="0" r="5715"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3085" cy="4109085"/>
                    </a:xfrm>
                    <a:prstGeom prst="rect">
                      <a:avLst/>
                    </a:prstGeom>
                    <a:noFill/>
                  </pic:spPr>
                </pic:pic>
              </a:graphicData>
            </a:graphic>
          </wp:inline>
        </w:drawing>
      </w:r>
    </w:p>
    <w:p w14:paraId="686896B8" w14:textId="77777777" w:rsidR="006B6E8F" w:rsidRPr="0037351D" w:rsidRDefault="006B6E8F" w:rsidP="00764F70">
      <w:pPr>
        <w:spacing w:line="240" w:lineRule="auto"/>
        <w:rPr>
          <w:color w:val="FF0000"/>
          <w:lang w:eastAsia="en-GB"/>
        </w:rPr>
      </w:pPr>
    </w:p>
    <w:p w14:paraId="0F6B0789" w14:textId="4859D33B" w:rsidR="006B6E8F" w:rsidRPr="007A2743" w:rsidRDefault="006B6E8F" w:rsidP="00764F70">
      <w:pPr>
        <w:spacing w:line="240" w:lineRule="auto"/>
        <w:rPr>
          <w:rFonts w:eastAsia="Times New Roman" w:cs="Times New Roman"/>
          <w:bCs/>
          <w:color w:val="002F5D"/>
          <w:lang w:eastAsia="en-GB"/>
        </w:rPr>
      </w:pPr>
      <w:r w:rsidRPr="007A2743">
        <w:rPr>
          <w:rFonts w:eastAsia="Times New Roman" w:cs="Times New Roman"/>
          <w:b/>
          <w:bCs/>
          <w:color w:val="002F5D"/>
          <w:lang w:eastAsia="en-GB"/>
        </w:rPr>
        <w:t>Sources</w:t>
      </w:r>
      <w:r w:rsidRPr="007A2743">
        <w:rPr>
          <w:rFonts w:eastAsia="Times New Roman" w:cs="Times New Roman"/>
          <w:bCs/>
          <w:color w:val="002F5D"/>
          <w:lang w:eastAsia="en-GB"/>
        </w:rPr>
        <w:t xml:space="preserve">: </w:t>
      </w:r>
      <w:r w:rsidR="007750E0">
        <w:rPr>
          <w:rFonts w:eastAsia="Times New Roman" w:cs="Times New Roman"/>
          <w:bCs/>
          <w:color w:val="002F5D"/>
          <w:lang w:eastAsia="en-GB"/>
        </w:rPr>
        <w:t>ONS</w:t>
      </w:r>
      <w:r w:rsidRPr="007A2743">
        <w:rPr>
          <w:rFonts w:eastAsia="Times New Roman" w:cs="Times New Roman"/>
          <w:bCs/>
          <w:color w:val="002F5D"/>
          <w:lang w:eastAsia="en-GB"/>
        </w:rPr>
        <w:t xml:space="preserve"> birth registrations, </w:t>
      </w:r>
      <w:r w:rsidR="007750E0">
        <w:rPr>
          <w:rFonts w:eastAsia="Times New Roman" w:cs="Times New Roman"/>
          <w:bCs/>
          <w:color w:val="002F5D"/>
          <w:lang w:eastAsia="en-GB"/>
        </w:rPr>
        <w:t>ONS</w:t>
      </w:r>
      <w:r w:rsidRPr="007A2743">
        <w:rPr>
          <w:rFonts w:eastAsia="Times New Roman" w:cs="Times New Roman"/>
          <w:bCs/>
          <w:color w:val="002F5D"/>
          <w:lang w:eastAsia="en-GB"/>
        </w:rPr>
        <w:t xml:space="preserve"> Statistics mid-year population estimates</w:t>
      </w:r>
    </w:p>
    <w:p w14:paraId="180CBB75" w14:textId="77777777" w:rsidR="006B6E8F" w:rsidRPr="007A2743" w:rsidRDefault="006B6E8F" w:rsidP="00764F70">
      <w:pPr>
        <w:spacing w:line="240" w:lineRule="auto"/>
        <w:rPr>
          <w:rFonts w:eastAsia="Times New Roman" w:cs="Times New Roman"/>
          <w:bCs/>
          <w:color w:val="002F5D"/>
          <w:lang w:eastAsia="en-GB"/>
        </w:rPr>
      </w:pPr>
    </w:p>
    <w:p w14:paraId="3B80432F" w14:textId="77777777" w:rsidR="006B6E8F" w:rsidRPr="007A2743" w:rsidRDefault="006B6E8F" w:rsidP="00764F70">
      <w:pPr>
        <w:spacing w:line="240" w:lineRule="auto"/>
        <w:rPr>
          <w:rFonts w:cs="Arial"/>
          <w:b/>
          <w:color w:val="002F5D"/>
        </w:rPr>
      </w:pPr>
      <w:r w:rsidRPr="007A2743">
        <w:rPr>
          <w:rFonts w:cs="Arial"/>
          <w:b/>
          <w:color w:val="002F5D"/>
        </w:rPr>
        <w:t>Key points:</w:t>
      </w:r>
    </w:p>
    <w:p w14:paraId="429E2715" w14:textId="76903DE0" w:rsidR="006B6E8F" w:rsidRPr="007A2743" w:rsidRDefault="006B6E8F" w:rsidP="00764F70">
      <w:pPr>
        <w:pStyle w:val="ListParagraph"/>
        <w:numPr>
          <w:ilvl w:val="0"/>
          <w:numId w:val="23"/>
        </w:numPr>
        <w:spacing w:line="240" w:lineRule="auto"/>
        <w:ind w:left="714" w:hanging="357"/>
        <w:rPr>
          <w:rFonts w:eastAsia="Times New Roman" w:cs="Times New Roman"/>
          <w:bCs/>
          <w:color w:val="002F5D"/>
          <w:lang w:eastAsia="en-GB"/>
        </w:rPr>
      </w:pPr>
      <w:r w:rsidRPr="007A2743">
        <w:rPr>
          <w:rFonts w:cs="Arial"/>
          <w:color w:val="002F5D"/>
        </w:rPr>
        <w:t>Peterborough has the highest fertility rate of all the areas</w:t>
      </w:r>
      <w:r w:rsidR="00896491">
        <w:rPr>
          <w:rFonts w:cs="Arial"/>
          <w:color w:val="002F5D"/>
        </w:rPr>
        <w:t xml:space="preserve"> at 80.1</w:t>
      </w:r>
      <w:r w:rsidRPr="007A2743">
        <w:rPr>
          <w:rFonts w:cs="Arial"/>
          <w:color w:val="002F5D"/>
        </w:rPr>
        <w:t>. It exceeds the Cambridgeshi</w:t>
      </w:r>
      <w:r w:rsidR="007A2743" w:rsidRPr="007A2743">
        <w:rPr>
          <w:rFonts w:cs="Arial"/>
          <w:color w:val="002F5D"/>
        </w:rPr>
        <w:t xml:space="preserve">re and Peterborough rate </w:t>
      </w:r>
      <w:r w:rsidR="00525E7F">
        <w:rPr>
          <w:rFonts w:cs="Arial"/>
          <w:color w:val="002F5D"/>
        </w:rPr>
        <w:t xml:space="preserve">of 65.2 </w:t>
      </w:r>
      <w:r w:rsidR="007A2743" w:rsidRPr="007A2743">
        <w:rPr>
          <w:rFonts w:cs="Arial"/>
          <w:color w:val="002F5D"/>
        </w:rPr>
        <w:t>by 14.9</w:t>
      </w:r>
      <w:r w:rsidR="00A54F7E" w:rsidRPr="007A2743">
        <w:rPr>
          <w:rFonts w:cs="Arial"/>
          <w:color w:val="002F5D"/>
        </w:rPr>
        <w:t xml:space="preserve"> live births per 1,000 women aged 15-44 years</w:t>
      </w:r>
      <w:r w:rsidRPr="007A2743">
        <w:rPr>
          <w:rFonts w:cs="Arial"/>
          <w:color w:val="002F5D"/>
        </w:rPr>
        <w:t>.</w:t>
      </w:r>
    </w:p>
    <w:p w14:paraId="484E35A2" w14:textId="77777777" w:rsidR="006B6E8F" w:rsidRPr="00A7748E" w:rsidRDefault="006B6E8F" w:rsidP="00764F70">
      <w:pPr>
        <w:pStyle w:val="ListParagraph"/>
        <w:numPr>
          <w:ilvl w:val="0"/>
          <w:numId w:val="23"/>
        </w:numPr>
        <w:spacing w:line="240" w:lineRule="auto"/>
        <w:ind w:left="714" w:hanging="357"/>
        <w:rPr>
          <w:rFonts w:eastAsia="Times New Roman" w:cs="Times New Roman"/>
          <w:bCs/>
          <w:color w:val="002F5D"/>
          <w:lang w:eastAsia="en-GB"/>
        </w:rPr>
      </w:pPr>
      <w:r w:rsidRPr="00A7748E">
        <w:rPr>
          <w:rFonts w:cs="Arial"/>
          <w:color w:val="002F5D"/>
        </w:rPr>
        <w:t>The most marked difference in birth rates within Cambridgeshire is in Cambridge where there is a relatively low birth rate compared with other districts in Cambridgeshire. This rate is statistically significantly lower than the county average. All other districts have significantly higher rates than the Cambridgeshire rate, which is obviously influenced by the low Cambridge rate.</w:t>
      </w:r>
    </w:p>
    <w:p w14:paraId="7B6C5BFE" w14:textId="1FA4D53F" w:rsidR="006B6E8F" w:rsidRPr="00A7748E" w:rsidRDefault="006B6E8F" w:rsidP="00764F70">
      <w:pPr>
        <w:pStyle w:val="ListParagraph"/>
        <w:numPr>
          <w:ilvl w:val="0"/>
          <w:numId w:val="23"/>
        </w:numPr>
        <w:spacing w:line="240" w:lineRule="auto"/>
        <w:ind w:left="714" w:hanging="357"/>
        <w:rPr>
          <w:rFonts w:eastAsia="Times New Roman" w:cs="Times New Roman"/>
          <w:bCs/>
          <w:color w:val="002F5D"/>
          <w:lang w:eastAsia="en-GB"/>
        </w:rPr>
      </w:pPr>
      <w:r w:rsidRPr="00A7748E">
        <w:rPr>
          <w:rFonts w:cs="Arial"/>
          <w:color w:val="002F5D"/>
        </w:rPr>
        <w:t>For Cambridgeshire and Peterborough birth ra</w:t>
      </w:r>
      <w:r w:rsidR="00A7748E">
        <w:rPr>
          <w:rFonts w:cs="Arial"/>
          <w:color w:val="002F5D"/>
        </w:rPr>
        <w:t>tes generally increase</w:t>
      </w:r>
      <w:r w:rsidR="00567994">
        <w:rPr>
          <w:rFonts w:cs="Arial"/>
          <w:color w:val="002F5D"/>
        </w:rPr>
        <w:t>d</w:t>
      </w:r>
      <w:r w:rsidR="00A7748E">
        <w:rPr>
          <w:rFonts w:cs="Arial"/>
          <w:color w:val="002F5D"/>
        </w:rPr>
        <w:t xml:space="preserve"> from 2005-2007</w:t>
      </w:r>
      <w:r w:rsidRPr="00A7748E">
        <w:rPr>
          <w:rFonts w:cs="Arial"/>
          <w:color w:val="002F5D"/>
        </w:rPr>
        <w:t xml:space="preserve"> to around 2010-2012, but have tended to generally level off since then.</w:t>
      </w:r>
    </w:p>
    <w:p w14:paraId="07121ECE" w14:textId="4D38099B" w:rsidR="006B6E8F" w:rsidRPr="00A7748E" w:rsidRDefault="006B6E8F" w:rsidP="00764F70">
      <w:pPr>
        <w:pStyle w:val="ListParagraph"/>
        <w:numPr>
          <w:ilvl w:val="0"/>
          <w:numId w:val="23"/>
        </w:numPr>
        <w:spacing w:line="240" w:lineRule="auto"/>
        <w:ind w:left="714" w:hanging="357"/>
        <w:rPr>
          <w:rFonts w:eastAsia="Times New Roman" w:cs="Times New Roman"/>
          <w:bCs/>
          <w:color w:val="002F5D"/>
          <w:lang w:eastAsia="en-GB"/>
        </w:rPr>
      </w:pPr>
      <w:r w:rsidRPr="00A7748E">
        <w:rPr>
          <w:rFonts w:cs="Arial"/>
          <w:color w:val="002F5D"/>
        </w:rPr>
        <w:t>The fertility</w:t>
      </w:r>
      <w:r w:rsidR="00A7748E" w:rsidRPr="00A7748E">
        <w:rPr>
          <w:rFonts w:cs="Arial"/>
          <w:color w:val="002F5D"/>
        </w:rPr>
        <w:t xml:space="preserve"> rate has increased between 2005-07 and 2014-16</w:t>
      </w:r>
      <w:r w:rsidRPr="00A7748E">
        <w:rPr>
          <w:rFonts w:cs="Arial"/>
          <w:color w:val="002F5D"/>
        </w:rPr>
        <w:t xml:space="preserve"> for both Cambridgeshire and Peterborough. The fertility rate in Peterborough</w:t>
      </w:r>
      <w:r w:rsidR="00A7748E" w:rsidRPr="00A7748E">
        <w:rPr>
          <w:rFonts w:cs="Arial"/>
          <w:color w:val="002F5D"/>
        </w:rPr>
        <w:t xml:space="preserve"> has seen the most increase (from 70.4</w:t>
      </w:r>
      <w:r w:rsidR="00EC60D3" w:rsidRPr="00A7748E">
        <w:rPr>
          <w:rFonts w:cs="Arial"/>
          <w:color w:val="002F5D"/>
        </w:rPr>
        <w:t xml:space="preserve"> per 1</w:t>
      </w:r>
      <w:r w:rsidR="00A7748E" w:rsidRPr="00A7748E">
        <w:rPr>
          <w:rFonts w:cs="Arial"/>
          <w:color w:val="002F5D"/>
        </w:rPr>
        <w:t>,</w:t>
      </w:r>
      <w:r w:rsidR="00EC60D3" w:rsidRPr="00A7748E">
        <w:rPr>
          <w:rFonts w:cs="Arial"/>
          <w:color w:val="002F5D"/>
        </w:rPr>
        <w:t xml:space="preserve">000 </w:t>
      </w:r>
      <w:r w:rsidR="007E0984" w:rsidRPr="00A7748E">
        <w:rPr>
          <w:rFonts w:cs="Arial"/>
          <w:color w:val="002F5D"/>
        </w:rPr>
        <w:t>women to</w:t>
      </w:r>
      <w:r w:rsidR="00A7748E" w:rsidRPr="00A7748E">
        <w:rPr>
          <w:rFonts w:cs="Arial"/>
          <w:color w:val="002F5D"/>
        </w:rPr>
        <w:t xml:space="preserve"> 80.1</w:t>
      </w:r>
      <w:r w:rsidRPr="00A7748E">
        <w:rPr>
          <w:rFonts w:cs="Arial"/>
          <w:color w:val="002F5D"/>
        </w:rPr>
        <w:t>).</w:t>
      </w:r>
    </w:p>
    <w:p w14:paraId="5D347E4E" w14:textId="77777777" w:rsidR="006B6E8F" w:rsidRPr="00A7748E" w:rsidRDefault="006B6E8F" w:rsidP="00764F70">
      <w:pPr>
        <w:pStyle w:val="ListParagraph"/>
        <w:numPr>
          <w:ilvl w:val="0"/>
          <w:numId w:val="23"/>
        </w:numPr>
        <w:spacing w:line="240" w:lineRule="auto"/>
        <w:ind w:left="714" w:hanging="357"/>
        <w:rPr>
          <w:rFonts w:eastAsia="Times New Roman" w:cs="Times New Roman"/>
          <w:bCs/>
          <w:color w:val="002F5D"/>
          <w:lang w:eastAsia="en-GB"/>
        </w:rPr>
      </w:pPr>
      <w:r w:rsidRPr="00A7748E">
        <w:rPr>
          <w:rFonts w:cs="Arial"/>
          <w:color w:val="002F5D"/>
        </w:rPr>
        <w:t>In Cambridgeshire, historically East Cambridgeshire had the highest rates, but Fenland’s rate has increased in recent years and it now has the highest fertility rate in the county.</w:t>
      </w:r>
    </w:p>
    <w:p w14:paraId="41DE5C63" w14:textId="77777777" w:rsidR="006B6E8F" w:rsidRPr="0037351D" w:rsidRDefault="006B6E8F" w:rsidP="006B6E8F">
      <w:pPr>
        <w:spacing w:line="240" w:lineRule="auto"/>
        <w:rPr>
          <w:rFonts w:cs="Arial"/>
          <w:b/>
          <w:color w:val="FF0000"/>
        </w:rPr>
      </w:pPr>
    </w:p>
    <w:p w14:paraId="0A8B2AF1" w14:textId="77777777" w:rsidR="00E74CEA" w:rsidRPr="0037351D" w:rsidRDefault="00E74CEA" w:rsidP="006B6E8F">
      <w:pPr>
        <w:spacing w:line="240" w:lineRule="auto"/>
        <w:rPr>
          <w:rFonts w:cs="Arial"/>
          <w:b/>
          <w:color w:val="FF0000"/>
        </w:rPr>
      </w:pPr>
    </w:p>
    <w:p w14:paraId="17FB2563" w14:textId="77777777" w:rsidR="00E74CEA" w:rsidRPr="0037351D" w:rsidRDefault="00E74CEA" w:rsidP="006B6E8F">
      <w:pPr>
        <w:spacing w:line="240" w:lineRule="auto"/>
        <w:rPr>
          <w:rFonts w:cs="Arial"/>
          <w:b/>
          <w:color w:val="FF0000"/>
        </w:rPr>
      </w:pPr>
    </w:p>
    <w:p w14:paraId="18D60588" w14:textId="6F80A19E" w:rsidR="00E74CEA" w:rsidRDefault="00E74CEA" w:rsidP="006B6E8F">
      <w:pPr>
        <w:spacing w:line="240" w:lineRule="auto"/>
        <w:rPr>
          <w:rFonts w:cs="Arial"/>
          <w:b/>
          <w:color w:val="FF0000"/>
        </w:rPr>
      </w:pPr>
    </w:p>
    <w:p w14:paraId="34C52582" w14:textId="77777777" w:rsidR="00E3273F" w:rsidRDefault="00E3273F" w:rsidP="006B6E8F">
      <w:pPr>
        <w:spacing w:line="240" w:lineRule="auto"/>
        <w:rPr>
          <w:rFonts w:cs="Arial"/>
          <w:b/>
          <w:color w:val="FF0000"/>
        </w:rPr>
      </w:pPr>
    </w:p>
    <w:p w14:paraId="2B22C421" w14:textId="77777777" w:rsidR="00B95F8F" w:rsidRPr="0037351D" w:rsidRDefault="00B95F8F" w:rsidP="006B6E8F">
      <w:pPr>
        <w:spacing w:line="240" w:lineRule="auto"/>
        <w:rPr>
          <w:rFonts w:cs="Arial"/>
          <w:b/>
          <w:color w:val="FF0000"/>
        </w:rPr>
      </w:pPr>
    </w:p>
    <w:p w14:paraId="659EFF95" w14:textId="77777777" w:rsidR="006B6E8F" w:rsidRPr="0037351D" w:rsidRDefault="006B6E8F" w:rsidP="006B6E8F">
      <w:pPr>
        <w:spacing w:line="240" w:lineRule="auto"/>
        <w:rPr>
          <w:rFonts w:cs="Arial"/>
          <w:b/>
          <w:color w:val="FF0000"/>
        </w:rPr>
      </w:pPr>
    </w:p>
    <w:p w14:paraId="1D44C5D2" w14:textId="73BDD7D7" w:rsidR="00987C7B" w:rsidRDefault="006B6E8F" w:rsidP="00626F2D">
      <w:pPr>
        <w:pStyle w:val="Caption"/>
        <w:rPr>
          <w:rFonts w:cs="Arial"/>
          <w:color w:val="002F5D"/>
        </w:rPr>
      </w:pPr>
      <w:r w:rsidRPr="00626F2D">
        <w:rPr>
          <w:b/>
          <w:color w:val="002F5D"/>
        </w:rPr>
        <w:lastRenderedPageBreak/>
        <w:t xml:space="preserve">Table </w:t>
      </w:r>
      <w:r w:rsidRPr="00626F2D">
        <w:rPr>
          <w:b/>
          <w:color w:val="002F5D"/>
        </w:rPr>
        <w:fldChar w:fldCharType="begin"/>
      </w:r>
      <w:r w:rsidRPr="00626F2D">
        <w:rPr>
          <w:b/>
          <w:color w:val="002F5D"/>
        </w:rPr>
        <w:instrText xml:space="preserve"> SEQ Table \* ARABIC </w:instrText>
      </w:r>
      <w:r w:rsidRPr="00626F2D">
        <w:rPr>
          <w:b/>
          <w:color w:val="002F5D"/>
        </w:rPr>
        <w:fldChar w:fldCharType="separate"/>
      </w:r>
      <w:r w:rsidR="00E80CFE">
        <w:rPr>
          <w:b/>
          <w:noProof/>
          <w:color w:val="002F5D"/>
        </w:rPr>
        <w:t>13</w:t>
      </w:r>
      <w:r w:rsidRPr="00626F2D">
        <w:rPr>
          <w:b/>
          <w:color w:val="002F5D"/>
        </w:rPr>
        <w:fldChar w:fldCharType="end"/>
      </w:r>
      <w:r w:rsidRPr="00626F2D">
        <w:rPr>
          <w:rFonts w:cs="Arial"/>
          <w:b/>
          <w:color w:val="002F5D"/>
        </w:rPr>
        <w:t xml:space="preserve">. </w:t>
      </w:r>
      <w:r w:rsidR="00CA336D">
        <w:rPr>
          <w:rFonts w:cs="Arial"/>
          <w:color w:val="002F5D"/>
        </w:rPr>
        <w:t>ONS mid-2016 to ONS mid-2017</w:t>
      </w:r>
      <w:r w:rsidRPr="00626F2D">
        <w:rPr>
          <w:rFonts w:cs="Arial"/>
          <w:color w:val="002F5D"/>
        </w:rPr>
        <w:t xml:space="preserve"> population estimates – absolute and proportional contribution of each component of population change</w:t>
      </w:r>
    </w:p>
    <w:p w14:paraId="7CC53F96" w14:textId="77777777" w:rsidR="00C05935" w:rsidRPr="001A1857" w:rsidRDefault="00C05935" w:rsidP="00E61D24"/>
    <w:p w14:paraId="0596C433" w14:textId="6D84F6C6" w:rsidR="00626F2D" w:rsidRDefault="00C05935" w:rsidP="00626F2D">
      <w:r w:rsidRPr="00C05935">
        <w:rPr>
          <w:noProof/>
          <w:lang w:eastAsia="en-GB"/>
        </w:rPr>
        <w:drawing>
          <wp:inline distT="0" distB="0" distL="0" distR="0" wp14:anchorId="7A8E2852" wp14:editId="69AB4776">
            <wp:extent cx="6120130" cy="2172872"/>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2172872"/>
                    </a:xfrm>
                    <a:prstGeom prst="rect">
                      <a:avLst/>
                    </a:prstGeom>
                    <a:noFill/>
                    <a:ln>
                      <a:noFill/>
                    </a:ln>
                  </pic:spPr>
                </pic:pic>
              </a:graphicData>
            </a:graphic>
          </wp:inline>
        </w:drawing>
      </w:r>
    </w:p>
    <w:p w14:paraId="444C79C5" w14:textId="21203790" w:rsidR="006B6E8F" w:rsidRPr="0037351D" w:rsidRDefault="006B6E8F" w:rsidP="006B6E8F">
      <w:pPr>
        <w:spacing w:line="240" w:lineRule="auto"/>
        <w:rPr>
          <w:rFonts w:cs="Arial"/>
          <w:b/>
          <w:color w:val="FF0000"/>
          <w:sz w:val="16"/>
          <w:szCs w:val="16"/>
        </w:rPr>
      </w:pPr>
    </w:p>
    <w:p w14:paraId="44E8644A" w14:textId="63AC5FE7" w:rsidR="006B6E8F" w:rsidRPr="00626F2D" w:rsidRDefault="006B6E8F" w:rsidP="006B6E8F">
      <w:pPr>
        <w:spacing w:line="240" w:lineRule="auto"/>
        <w:rPr>
          <w:rFonts w:cs="Arial"/>
          <w:color w:val="002F5D"/>
        </w:rPr>
      </w:pPr>
      <w:r w:rsidRPr="00626F2D">
        <w:rPr>
          <w:rFonts w:cs="Arial"/>
          <w:b/>
          <w:color w:val="002F5D"/>
        </w:rPr>
        <w:t>Source</w:t>
      </w:r>
      <w:r w:rsidRPr="00626F2D">
        <w:rPr>
          <w:rFonts w:cs="Arial"/>
          <w:color w:val="002F5D"/>
        </w:rPr>
        <w:t>: O</w:t>
      </w:r>
      <w:r w:rsidR="007750E0">
        <w:rPr>
          <w:rFonts w:cs="Arial"/>
          <w:color w:val="002F5D"/>
        </w:rPr>
        <w:t xml:space="preserve">NS </w:t>
      </w:r>
      <w:r w:rsidR="00CA336D">
        <w:rPr>
          <w:rFonts w:cs="Arial"/>
          <w:color w:val="002F5D"/>
        </w:rPr>
        <w:t>population estimates mid-2017</w:t>
      </w:r>
    </w:p>
    <w:p w14:paraId="225C500A" w14:textId="77777777" w:rsidR="006B6E8F" w:rsidRPr="0037351D" w:rsidRDefault="006B6E8F" w:rsidP="006B6E8F">
      <w:pPr>
        <w:spacing w:line="240" w:lineRule="auto"/>
        <w:rPr>
          <w:rFonts w:cs="Arial"/>
          <w:color w:val="FF0000"/>
          <w:sz w:val="16"/>
          <w:szCs w:val="16"/>
        </w:rPr>
      </w:pPr>
    </w:p>
    <w:p w14:paraId="4A774B5A" w14:textId="5E3FA115" w:rsidR="006B6E8F" w:rsidRPr="00626F2D" w:rsidRDefault="006B6E8F" w:rsidP="006B6E8F">
      <w:pPr>
        <w:pStyle w:val="Caption"/>
        <w:rPr>
          <w:rFonts w:cs="Arial"/>
          <w:color w:val="002F5D"/>
        </w:rPr>
      </w:pPr>
      <w:r w:rsidRPr="00626F2D">
        <w:rPr>
          <w:b/>
          <w:color w:val="002F5D"/>
        </w:rPr>
        <w:t xml:space="preserve">Figure </w:t>
      </w:r>
      <w:r w:rsidR="004061DD">
        <w:rPr>
          <w:b/>
          <w:color w:val="002F5D"/>
        </w:rPr>
        <w:t>17</w:t>
      </w:r>
      <w:r w:rsidRPr="00626F2D">
        <w:rPr>
          <w:rFonts w:cs="Arial"/>
          <w:b/>
          <w:color w:val="002F5D"/>
        </w:rPr>
        <w:t>.</w:t>
      </w:r>
      <w:r w:rsidR="004061DD">
        <w:rPr>
          <w:rFonts w:cs="Arial"/>
          <w:b/>
          <w:color w:val="002F5D"/>
        </w:rPr>
        <w:t xml:space="preserve"> </w:t>
      </w:r>
      <w:r w:rsidR="00626F2D" w:rsidRPr="00626F2D">
        <w:rPr>
          <w:rFonts w:cs="Arial"/>
          <w:color w:val="002F5D"/>
        </w:rPr>
        <w:t>ONS mid-2016 to ONS mid-2017</w:t>
      </w:r>
      <w:r w:rsidRPr="00626F2D">
        <w:rPr>
          <w:rFonts w:cs="Arial"/>
          <w:color w:val="002F5D"/>
        </w:rPr>
        <w:t xml:space="preserve"> population estimates – absolute and proportional contribution of each component of population change, Cambridgeshire and Peterborough</w:t>
      </w:r>
    </w:p>
    <w:p w14:paraId="6E4C5BCA" w14:textId="2488553C" w:rsidR="00626F2D" w:rsidRDefault="00626F2D" w:rsidP="00626F2D"/>
    <w:p w14:paraId="1D3AAADA" w14:textId="14E867AA" w:rsidR="00172E76" w:rsidRDefault="00172E76" w:rsidP="00626F2D">
      <w:r>
        <w:rPr>
          <w:noProof/>
          <w:lang w:eastAsia="en-GB"/>
        </w:rPr>
        <w:drawing>
          <wp:inline distT="0" distB="0" distL="0" distR="0" wp14:anchorId="701D7DDD" wp14:editId="0196E554">
            <wp:extent cx="5736590" cy="3542030"/>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6590" cy="3542030"/>
                    </a:xfrm>
                    <a:prstGeom prst="rect">
                      <a:avLst/>
                    </a:prstGeom>
                    <a:noFill/>
                  </pic:spPr>
                </pic:pic>
              </a:graphicData>
            </a:graphic>
          </wp:inline>
        </w:drawing>
      </w:r>
    </w:p>
    <w:p w14:paraId="6B6B6E00" w14:textId="77777777" w:rsidR="00172E76" w:rsidRDefault="00172E76" w:rsidP="00626F2D"/>
    <w:p w14:paraId="524EE725" w14:textId="190B0B98" w:rsidR="006B6E8F" w:rsidRPr="00626F2D" w:rsidRDefault="006B6E8F" w:rsidP="006B6E8F">
      <w:pPr>
        <w:spacing w:line="240" w:lineRule="auto"/>
        <w:rPr>
          <w:rFonts w:cs="Arial"/>
          <w:color w:val="002F5D"/>
        </w:rPr>
      </w:pPr>
      <w:r w:rsidRPr="00626F2D">
        <w:rPr>
          <w:rFonts w:cs="Arial"/>
          <w:b/>
          <w:color w:val="002F5D"/>
        </w:rPr>
        <w:t>Source</w:t>
      </w:r>
      <w:r w:rsidRPr="00626F2D">
        <w:rPr>
          <w:rFonts w:cs="Arial"/>
          <w:color w:val="002F5D"/>
        </w:rPr>
        <w:t xml:space="preserve">: </w:t>
      </w:r>
      <w:r w:rsidR="007750E0">
        <w:rPr>
          <w:rFonts w:cs="Arial"/>
          <w:color w:val="002F5D"/>
        </w:rPr>
        <w:t>ONS</w:t>
      </w:r>
      <w:r w:rsidR="00626F2D" w:rsidRPr="00626F2D">
        <w:rPr>
          <w:rFonts w:cs="Arial"/>
          <w:color w:val="002F5D"/>
        </w:rPr>
        <w:t xml:space="preserve"> population estimates mid-2017</w:t>
      </w:r>
      <w:r w:rsidRPr="00626F2D">
        <w:rPr>
          <w:rFonts w:cs="Arial"/>
          <w:color w:val="002F5D"/>
        </w:rPr>
        <w:t xml:space="preserve"> </w:t>
      </w:r>
    </w:p>
    <w:p w14:paraId="380665A3" w14:textId="77777777" w:rsidR="006B6E8F" w:rsidRPr="0037351D" w:rsidRDefault="006B6E8F" w:rsidP="006B6E8F">
      <w:pPr>
        <w:spacing w:line="240" w:lineRule="auto"/>
        <w:rPr>
          <w:rFonts w:cs="Arial"/>
          <w:color w:val="FF0000"/>
          <w:sz w:val="16"/>
          <w:szCs w:val="16"/>
        </w:rPr>
      </w:pPr>
    </w:p>
    <w:p w14:paraId="6875FDF9" w14:textId="77777777" w:rsidR="006B6E8F" w:rsidRPr="00626F2D" w:rsidRDefault="006B6E8F" w:rsidP="006B6E8F">
      <w:pPr>
        <w:spacing w:line="240" w:lineRule="auto"/>
        <w:rPr>
          <w:rFonts w:cs="Arial"/>
          <w:b/>
          <w:color w:val="002F5D"/>
        </w:rPr>
      </w:pPr>
      <w:r w:rsidRPr="00626F2D">
        <w:rPr>
          <w:rFonts w:cs="Arial"/>
          <w:b/>
          <w:color w:val="002F5D"/>
        </w:rPr>
        <w:t>Key points:</w:t>
      </w:r>
    </w:p>
    <w:p w14:paraId="119D188B" w14:textId="77777777" w:rsidR="006B6E8F" w:rsidRPr="00CA336D" w:rsidRDefault="006B6E8F" w:rsidP="00A938F7">
      <w:pPr>
        <w:pStyle w:val="ListParagraph"/>
        <w:numPr>
          <w:ilvl w:val="0"/>
          <w:numId w:val="20"/>
        </w:numPr>
        <w:spacing w:line="240" w:lineRule="auto"/>
        <w:ind w:left="714" w:hanging="357"/>
        <w:rPr>
          <w:rFonts w:cs="Arial"/>
          <w:color w:val="002F5D"/>
        </w:rPr>
      </w:pPr>
      <w:r w:rsidRPr="00626F2D">
        <w:rPr>
          <w:rFonts w:cs="Arial"/>
          <w:color w:val="002F5D"/>
        </w:rPr>
        <w:t>Natural change (births and deaths) and internal and international migration are the major components of populatio</w:t>
      </w:r>
      <w:r w:rsidRPr="00CA336D">
        <w:rPr>
          <w:rFonts w:cs="Arial"/>
          <w:color w:val="002F5D"/>
        </w:rPr>
        <w:t>n change considered here.</w:t>
      </w:r>
    </w:p>
    <w:p w14:paraId="52C3533A" w14:textId="6C1FA0E0" w:rsidR="006B6E8F" w:rsidRDefault="00CA336D" w:rsidP="00A938F7">
      <w:pPr>
        <w:pStyle w:val="ListParagraph"/>
        <w:numPr>
          <w:ilvl w:val="0"/>
          <w:numId w:val="20"/>
        </w:numPr>
        <w:spacing w:line="240" w:lineRule="auto"/>
        <w:ind w:left="714" w:hanging="357"/>
        <w:rPr>
          <w:rFonts w:cs="Arial"/>
          <w:color w:val="002F5D"/>
        </w:rPr>
      </w:pPr>
      <w:r w:rsidRPr="00CA336D">
        <w:rPr>
          <w:rFonts w:cs="Arial"/>
          <w:color w:val="002F5D"/>
        </w:rPr>
        <w:t xml:space="preserve">In 2016 to 2017 </w:t>
      </w:r>
      <w:r w:rsidR="006B6E8F" w:rsidRPr="00CA336D">
        <w:rPr>
          <w:rFonts w:cs="Arial"/>
          <w:color w:val="002F5D"/>
        </w:rPr>
        <w:t xml:space="preserve">natural change and migration made an approximately equal contribution to population change </w:t>
      </w:r>
      <w:r w:rsidR="0052541C" w:rsidRPr="00CA336D">
        <w:rPr>
          <w:rFonts w:cs="Arial"/>
          <w:color w:val="002F5D"/>
        </w:rPr>
        <w:t>in Cambridgeshire and Peterborough combined</w:t>
      </w:r>
      <w:r w:rsidR="006B6E8F" w:rsidRPr="00CA336D">
        <w:rPr>
          <w:rFonts w:cs="Arial"/>
          <w:color w:val="002F5D"/>
        </w:rPr>
        <w:t>. This is also true for</w:t>
      </w:r>
      <w:r w:rsidRPr="00CA336D">
        <w:rPr>
          <w:rFonts w:cs="Arial"/>
          <w:color w:val="002F5D"/>
        </w:rPr>
        <w:t xml:space="preserve"> Peterborough. In Cambridgeshire</w:t>
      </w:r>
      <w:r w:rsidR="006B6E8F" w:rsidRPr="00CA336D">
        <w:rPr>
          <w:rFonts w:cs="Arial"/>
          <w:color w:val="002F5D"/>
        </w:rPr>
        <w:t xml:space="preserve">, natural change accounted for a larger proportion of the </w:t>
      </w:r>
      <w:r w:rsidR="006B6E8F" w:rsidRPr="00CA336D">
        <w:rPr>
          <w:rFonts w:cs="Arial"/>
          <w:color w:val="002F5D"/>
        </w:rPr>
        <w:lastRenderedPageBreak/>
        <w:t>population change. Nationally</w:t>
      </w:r>
      <w:r w:rsidR="00AF7A25" w:rsidRPr="00CA336D">
        <w:rPr>
          <w:rFonts w:cs="Arial"/>
          <w:color w:val="002F5D"/>
        </w:rPr>
        <w:t xml:space="preserve"> and regionally</w:t>
      </w:r>
      <w:r w:rsidR="006B6E8F" w:rsidRPr="00CA336D">
        <w:rPr>
          <w:rFonts w:cs="Arial"/>
          <w:color w:val="002F5D"/>
        </w:rPr>
        <w:t xml:space="preserve"> migration made a larger contribution </w:t>
      </w:r>
      <w:r w:rsidR="0052541C" w:rsidRPr="00CA336D">
        <w:rPr>
          <w:rFonts w:cs="Arial"/>
          <w:color w:val="002F5D"/>
        </w:rPr>
        <w:t xml:space="preserve">to population change </w:t>
      </w:r>
      <w:r w:rsidR="006B6E8F" w:rsidRPr="00CA336D">
        <w:rPr>
          <w:rFonts w:cs="Arial"/>
          <w:color w:val="002F5D"/>
        </w:rPr>
        <w:t>than natural change.</w:t>
      </w:r>
    </w:p>
    <w:p w14:paraId="146BA6DE" w14:textId="05757E86" w:rsidR="00C05935" w:rsidRPr="00723B06" w:rsidRDefault="00C05935" w:rsidP="00A938F7">
      <w:pPr>
        <w:pStyle w:val="ListParagraph"/>
        <w:numPr>
          <w:ilvl w:val="0"/>
          <w:numId w:val="20"/>
        </w:numPr>
        <w:spacing w:line="240" w:lineRule="auto"/>
        <w:ind w:left="714" w:hanging="357"/>
        <w:rPr>
          <w:rFonts w:cs="Arial"/>
          <w:color w:val="002F5D"/>
        </w:rPr>
      </w:pPr>
      <w:r w:rsidRPr="001A1857">
        <w:rPr>
          <w:color w:val="002F5D"/>
        </w:rPr>
        <w:t>Especially in Cambridge, but also in South Cambridgeshire to a lesser extent, natural change makes by far the greatest contribution to population change. The contribution of migration has decreased in Cambridge since the last period reported.</w:t>
      </w:r>
    </w:p>
    <w:p w14:paraId="0783938E" w14:textId="43362F50" w:rsidR="00C05935" w:rsidRPr="00C05935" w:rsidRDefault="00C05935" w:rsidP="00A938F7">
      <w:pPr>
        <w:pStyle w:val="ListParagraph"/>
        <w:numPr>
          <w:ilvl w:val="0"/>
          <w:numId w:val="20"/>
        </w:numPr>
        <w:spacing w:line="240" w:lineRule="auto"/>
        <w:ind w:left="714" w:hanging="357"/>
        <w:rPr>
          <w:rFonts w:cs="Arial"/>
          <w:color w:val="002F5D"/>
        </w:rPr>
      </w:pPr>
      <w:r w:rsidRPr="001A1857">
        <w:rPr>
          <w:color w:val="002F5D"/>
        </w:rPr>
        <w:t>The contributions of natural change and migration are relatively balanced in East Camb</w:t>
      </w:r>
      <w:r>
        <w:rPr>
          <w:color w:val="002F5D"/>
        </w:rPr>
        <w:t>ridgeshire</w:t>
      </w:r>
      <w:r w:rsidRPr="001A1857">
        <w:rPr>
          <w:color w:val="002F5D"/>
        </w:rPr>
        <w:t xml:space="preserve"> and Huntingdonshire, though the contribution of migration has increased in Huntingdonshire since the last reporting period.</w:t>
      </w:r>
    </w:p>
    <w:p w14:paraId="0793B824" w14:textId="43B2126C" w:rsidR="00CA336D" w:rsidRDefault="006B6E8F" w:rsidP="00252388">
      <w:pPr>
        <w:pStyle w:val="ListParagraph"/>
        <w:numPr>
          <w:ilvl w:val="0"/>
          <w:numId w:val="20"/>
        </w:numPr>
        <w:spacing w:line="240" w:lineRule="auto"/>
        <w:ind w:left="714" w:hanging="357"/>
        <w:rPr>
          <w:rFonts w:cs="Arial"/>
          <w:color w:val="002F5D"/>
        </w:rPr>
      </w:pPr>
      <w:r w:rsidRPr="00CA336D">
        <w:rPr>
          <w:rFonts w:cs="Arial"/>
          <w:color w:val="002F5D"/>
        </w:rPr>
        <w:t>In Fenland migration makes the largest proportional impact in Cambridgeshire and in that district it is the dominant component of annual population change.</w:t>
      </w:r>
    </w:p>
    <w:p w14:paraId="21798A62" w14:textId="77777777" w:rsidR="00252388" w:rsidRPr="00252388" w:rsidRDefault="00252388" w:rsidP="00252388">
      <w:pPr>
        <w:pStyle w:val="ListParagraph"/>
        <w:spacing w:line="240" w:lineRule="auto"/>
        <w:ind w:left="714"/>
        <w:rPr>
          <w:rFonts w:cs="Arial"/>
          <w:color w:val="002F5D"/>
        </w:rPr>
      </w:pPr>
    </w:p>
    <w:p w14:paraId="43D3EA47" w14:textId="77777777" w:rsidR="006B6E8F" w:rsidRPr="00CA336D" w:rsidRDefault="004841BA" w:rsidP="004841BA">
      <w:pPr>
        <w:spacing w:line="240" w:lineRule="auto"/>
        <w:rPr>
          <w:rStyle w:val="Hyperlink"/>
          <w:rFonts w:cs="Arial"/>
          <w:color w:val="002F5D"/>
        </w:rPr>
      </w:pPr>
      <w:r w:rsidRPr="00CA336D">
        <w:rPr>
          <w:rFonts w:cs="Arial"/>
          <w:color w:val="002F5D"/>
        </w:rPr>
        <w:t>U</w:t>
      </w:r>
      <w:r w:rsidR="006B6E8F" w:rsidRPr="00CA336D">
        <w:rPr>
          <w:rFonts w:cs="Arial"/>
          <w:color w:val="002F5D"/>
        </w:rPr>
        <w:t>SEFUL LINK:</w:t>
      </w:r>
      <w:r w:rsidR="002104F8" w:rsidRPr="00CA336D">
        <w:rPr>
          <w:rFonts w:cs="Arial"/>
          <w:color w:val="002F5D"/>
        </w:rPr>
        <w:t xml:space="preserve"> </w:t>
      </w:r>
      <w:hyperlink r:id="rId75" w:history="1">
        <w:r w:rsidR="006B6E8F" w:rsidRPr="00CA336D">
          <w:rPr>
            <w:rStyle w:val="Hyperlink"/>
            <w:rFonts w:cs="Arial"/>
            <w:color w:val="002F5D"/>
          </w:rPr>
          <w:t>https://www.ons.gov.uk/peoplepopulationandcommunity/populationandmigration/populationestimates</w:t>
        </w:r>
      </w:hyperlink>
    </w:p>
    <w:p w14:paraId="1AD8B09C" w14:textId="77777777" w:rsidR="00626F2D" w:rsidRPr="00CA336D" w:rsidRDefault="00626F2D" w:rsidP="004841BA">
      <w:pPr>
        <w:spacing w:line="240" w:lineRule="auto"/>
        <w:rPr>
          <w:rFonts w:cs="Arial"/>
          <w:color w:val="002F5D"/>
        </w:rPr>
      </w:pPr>
    </w:p>
    <w:p w14:paraId="33CF8793" w14:textId="5D89BD26" w:rsidR="006B6E8F" w:rsidRDefault="006B6E8F" w:rsidP="00764F70">
      <w:pPr>
        <w:pStyle w:val="Caption"/>
        <w:rPr>
          <w:rFonts w:cs="Arial"/>
          <w:color w:val="002F5D"/>
        </w:rPr>
      </w:pPr>
      <w:r w:rsidRPr="00CE1393">
        <w:rPr>
          <w:b/>
          <w:color w:val="002F5D"/>
        </w:rPr>
        <w:t xml:space="preserve">Table </w:t>
      </w:r>
      <w:r w:rsidRPr="00CE1393">
        <w:rPr>
          <w:b/>
          <w:color w:val="002F5D"/>
        </w:rPr>
        <w:fldChar w:fldCharType="begin"/>
      </w:r>
      <w:r w:rsidRPr="00CE1393">
        <w:rPr>
          <w:b/>
          <w:color w:val="002F5D"/>
        </w:rPr>
        <w:instrText xml:space="preserve"> SEQ Table \* ARABIC </w:instrText>
      </w:r>
      <w:r w:rsidRPr="00CE1393">
        <w:rPr>
          <w:b/>
          <w:color w:val="002F5D"/>
        </w:rPr>
        <w:fldChar w:fldCharType="separate"/>
      </w:r>
      <w:r w:rsidR="00E80CFE">
        <w:rPr>
          <w:b/>
          <w:noProof/>
          <w:color w:val="002F5D"/>
        </w:rPr>
        <w:t>14</w:t>
      </w:r>
      <w:r w:rsidRPr="00CE1393">
        <w:rPr>
          <w:b/>
          <w:color w:val="002F5D"/>
        </w:rPr>
        <w:fldChar w:fldCharType="end"/>
      </w:r>
      <w:r w:rsidRPr="00CE1393">
        <w:rPr>
          <w:rFonts w:cs="Arial"/>
          <w:b/>
          <w:color w:val="002F5D"/>
        </w:rPr>
        <w:t xml:space="preserve">. </w:t>
      </w:r>
      <w:r w:rsidRPr="00CE1393">
        <w:rPr>
          <w:rFonts w:cs="Arial"/>
          <w:color w:val="002F5D"/>
        </w:rPr>
        <w:t>National insurance</w:t>
      </w:r>
      <w:r w:rsidR="009B7D33" w:rsidRPr="00CE1393">
        <w:rPr>
          <w:rFonts w:cs="Arial"/>
          <w:color w:val="002F5D"/>
        </w:rPr>
        <w:t xml:space="preserve"> number (NINo)</w:t>
      </w:r>
      <w:r w:rsidRPr="00CE1393">
        <w:rPr>
          <w:rFonts w:cs="Arial"/>
          <w:color w:val="002F5D"/>
        </w:rPr>
        <w:t xml:space="preserve"> registrations to adult overseas nationals entering Cambridgeshire and Peterborough - r</w:t>
      </w:r>
      <w:r w:rsidR="009274AA">
        <w:rPr>
          <w:rFonts w:cs="Arial"/>
          <w:color w:val="002F5D"/>
        </w:rPr>
        <w:t>egistration's year to September</w:t>
      </w:r>
      <w:r w:rsidR="00CE1393" w:rsidRPr="00CE1393">
        <w:rPr>
          <w:rFonts w:cs="Arial"/>
          <w:color w:val="002F5D"/>
        </w:rPr>
        <w:t xml:space="preserve"> 2018</w:t>
      </w:r>
    </w:p>
    <w:p w14:paraId="01923631" w14:textId="77777777" w:rsidR="00C03C9A" w:rsidRPr="001A1857" w:rsidRDefault="00C03C9A" w:rsidP="00E61D24"/>
    <w:p w14:paraId="4200357B" w14:textId="2D951E57" w:rsidR="006B6E8F" w:rsidRPr="00522B48" w:rsidRDefault="00C03C9A" w:rsidP="00522B48">
      <w:r w:rsidRPr="00C03C9A">
        <w:rPr>
          <w:noProof/>
          <w:lang w:eastAsia="en-GB"/>
        </w:rPr>
        <w:drawing>
          <wp:inline distT="0" distB="0" distL="0" distR="0" wp14:anchorId="2C21A845" wp14:editId="7FB1A77E">
            <wp:extent cx="6459762" cy="1733107"/>
            <wp:effectExtent l="0" t="0" r="0" b="63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1892" cy="1736361"/>
                    </a:xfrm>
                    <a:prstGeom prst="rect">
                      <a:avLst/>
                    </a:prstGeom>
                    <a:noFill/>
                    <a:ln>
                      <a:noFill/>
                    </a:ln>
                  </pic:spPr>
                </pic:pic>
              </a:graphicData>
            </a:graphic>
          </wp:inline>
        </w:drawing>
      </w:r>
    </w:p>
    <w:p w14:paraId="1D107F43" w14:textId="77777777" w:rsidR="009D2E42" w:rsidRPr="00CE1393" w:rsidRDefault="009D2E42" w:rsidP="006B6E8F">
      <w:pPr>
        <w:spacing w:line="240" w:lineRule="auto"/>
        <w:rPr>
          <w:rFonts w:cs="Arial"/>
          <w:b/>
          <w:color w:val="002F5D"/>
          <w:sz w:val="18"/>
        </w:rPr>
      </w:pPr>
    </w:p>
    <w:p w14:paraId="1CEEDD12" w14:textId="77777777" w:rsidR="006B6E8F" w:rsidRPr="00CE1393" w:rsidRDefault="006B6E8F" w:rsidP="006B6E8F">
      <w:pPr>
        <w:spacing w:line="240" w:lineRule="auto"/>
        <w:rPr>
          <w:rFonts w:cs="Arial"/>
          <w:color w:val="002F5D"/>
          <w:sz w:val="18"/>
        </w:rPr>
      </w:pPr>
      <w:r w:rsidRPr="00CE1393">
        <w:rPr>
          <w:rFonts w:cs="Arial"/>
          <w:b/>
          <w:color w:val="002F5D"/>
          <w:sz w:val="18"/>
        </w:rPr>
        <w:t>Note1*</w:t>
      </w:r>
      <w:r w:rsidRPr="00CE1393">
        <w:rPr>
          <w:rFonts w:cs="Arial"/>
          <w:color w:val="002F5D"/>
          <w:sz w:val="18"/>
        </w:rPr>
        <w:t>: Cells in this table have been randomly adjusted by DWP to avoid the release of confidential data and may not aggregate to the total registrations.</w:t>
      </w:r>
    </w:p>
    <w:p w14:paraId="12A3CA11" w14:textId="77777777" w:rsidR="006B6E8F" w:rsidRPr="00CE1393" w:rsidRDefault="006B6E8F" w:rsidP="006B6E8F">
      <w:pPr>
        <w:spacing w:line="240" w:lineRule="auto"/>
        <w:rPr>
          <w:rFonts w:cs="Arial"/>
          <w:color w:val="002F5D"/>
          <w:sz w:val="18"/>
        </w:rPr>
      </w:pPr>
      <w:r w:rsidRPr="00CE1393">
        <w:rPr>
          <w:rFonts w:cs="Arial"/>
          <w:b/>
          <w:color w:val="002F5D"/>
          <w:sz w:val="18"/>
        </w:rPr>
        <w:t>Note2</w:t>
      </w:r>
      <w:r w:rsidRPr="00CE1393">
        <w:rPr>
          <w:rFonts w:cs="Arial"/>
          <w:color w:val="002F5D"/>
          <w:sz w:val="18"/>
        </w:rPr>
        <w:t>: EU15 member countries = EU members prior to the accession of 10 candidate countries on 1/5/2004; EU8 = the 10 accession countries; EU2 = those countries joining from 2007 (Bulgaria and Romania)</w:t>
      </w:r>
    </w:p>
    <w:p w14:paraId="308BAF71" w14:textId="77777777" w:rsidR="006B6E8F" w:rsidRPr="00CE1393" w:rsidRDefault="006B6E8F" w:rsidP="006B6E8F">
      <w:pPr>
        <w:spacing w:line="240" w:lineRule="auto"/>
        <w:rPr>
          <w:rFonts w:cs="Arial"/>
          <w:b/>
          <w:color w:val="002F5D"/>
        </w:rPr>
      </w:pPr>
    </w:p>
    <w:p w14:paraId="79D63D8A" w14:textId="77777777" w:rsidR="006B6E8F" w:rsidRPr="00CE1393" w:rsidRDefault="006B6E8F" w:rsidP="006B6E8F">
      <w:pPr>
        <w:spacing w:line="240" w:lineRule="auto"/>
        <w:rPr>
          <w:rFonts w:cs="Arial"/>
          <w:color w:val="002F5D"/>
        </w:rPr>
      </w:pPr>
      <w:r w:rsidRPr="00CE1393">
        <w:rPr>
          <w:rFonts w:cs="Arial"/>
          <w:b/>
          <w:color w:val="002F5D"/>
        </w:rPr>
        <w:t>Source</w:t>
      </w:r>
      <w:r w:rsidRPr="00CE1393">
        <w:rPr>
          <w:rFonts w:cs="Arial"/>
          <w:color w:val="002F5D"/>
        </w:rPr>
        <w:t xml:space="preserve">: Department for Work and Pensions (DWP) </w:t>
      </w:r>
    </w:p>
    <w:p w14:paraId="2B03DFE1" w14:textId="77777777" w:rsidR="009B7D33" w:rsidRPr="0037351D" w:rsidRDefault="009B7D33" w:rsidP="006B6E8F">
      <w:pPr>
        <w:spacing w:line="240" w:lineRule="auto"/>
        <w:rPr>
          <w:rFonts w:cs="Arial"/>
          <w:color w:val="FF0000"/>
        </w:rPr>
      </w:pPr>
    </w:p>
    <w:p w14:paraId="4EB0813F" w14:textId="77777777" w:rsidR="009B7D33" w:rsidRPr="00CE1393" w:rsidRDefault="009B7D33" w:rsidP="006B6E8F">
      <w:pPr>
        <w:spacing w:line="240" w:lineRule="auto"/>
        <w:rPr>
          <w:rFonts w:cs="Arial"/>
          <w:b/>
          <w:color w:val="002F5D"/>
        </w:rPr>
      </w:pPr>
      <w:r w:rsidRPr="00CE1393">
        <w:rPr>
          <w:rFonts w:cs="Arial"/>
          <w:b/>
          <w:color w:val="002F5D"/>
        </w:rPr>
        <w:t>Key points:</w:t>
      </w:r>
    </w:p>
    <w:p w14:paraId="645B24CD" w14:textId="2A766247" w:rsidR="00A51948" w:rsidRPr="00CE1393" w:rsidRDefault="009B7D33" w:rsidP="00A938F7">
      <w:pPr>
        <w:pStyle w:val="ListParagraph"/>
        <w:numPr>
          <w:ilvl w:val="0"/>
          <w:numId w:val="68"/>
        </w:numPr>
        <w:spacing w:line="240" w:lineRule="auto"/>
        <w:rPr>
          <w:rFonts w:cs="Arial"/>
          <w:color w:val="002F5D"/>
        </w:rPr>
      </w:pPr>
      <w:r w:rsidRPr="00CE1393">
        <w:rPr>
          <w:rFonts w:cs="Arial"/>
          <w:color w:val="002F5D"/>
        </w:rPr>
        <w:t xml:space="preserve">Cambridgeshire and Peterborough received </w:t>
      </w:r>
      <w:r w:rsidR="009274AA">
        <w:rPr>
          <w:rFonts w:cs="Arial"/>
          <w:color w:val="002F5D"/>
        </w:rPr>
        <w:t>over</w:t>
      </w:r>
      <w:r w:rsidR="00552078" w:rsidRPr="00CE1393">
        <w:rPr>
          <w:rFonts w:cs="Arial"/>
          <w:color w:val="002F5D"/>
        </w:rPr>
        <w:t xml:space="preserve"> </w:t>
      </w:r>
      <w:r w:rsidRPr="00CE1393">
        <w:rPr>
          <w:rFonts w:cs="Arial"/>
          <w:color w:val="002F5D"/>
        </w:rPr>
        <w:t>1</w:t>
      </w:r>
      <w:r w:rsidR="009274AA">
        <w:rPr>
          <w:rFonts w:cs="Arial"/>
          <w:color w:val="002F5D"/>
        </w:rPr>
        <w:t>2</w:t>
      </w:r>
      <w:r w:rsidRPr="00CE1393">
        <w:rPr>
          <w:rFonts w:cs="Arial"/>
          <w:color w:val="002F5D"/>
        </w:rPr>
        <w:t>,</w:t>
      </w:r>
      <w:r w:rsidR="00552078" w:rsidRPr="00CE1393">
        <w:rPr>
          <w:rFonts w:cs="Arial"/>
          <w:color w:val="002F5D"/>
        </w:rPr>
        <w:t>00</w:t>
      </w:r>
      <w:r w:rsidRPr="00CE1393">
        <w:rPr>
          <w:rFonts w:cs="Arial"/>
          <w:color w:val="002F5D"/>
        </w:rPr>
        <w:t>0 NINo registrations</w:t>
      </w:r>
      <w:r w:rsidR="009274AA">
        <w:rPr>
          <w:rFonts w:cs="Arial"/>
          <w:color w:val="002F5D"/>
        </w:rPr>
        <w:t xml:space="preserve"> for the year to September </w:t>
      </w:r>
      <w:r w:rsidR="00CE1393" w:rsidRPr="00CE1393">
        <w:rPr>
          <w:rFonts w:cs="Arial"/>
          <w:color w:val="002F5D"/>
        </w:rPr>
        <w:t>2018</w:t>
      </w:r>
      <w:r w:rsidR="00C560F9">
        <w:rPr>
          <w:rFonts w:cs="Arial"/>
          <w:color w:val="002F5D"/>
        </w:rPr>
        <w:t>.</w:t>
      </w:r>
    </w:p>
    <w:p w14:paraId="179FC14A" w14:textId="4B2CBA92" w:rsidR="00A51948" w:rsidRPr="00CE1393" w:rsidRDefault="009274AA" w:rsidP="00A938F7">
      <w:pPr>
        <w:pStyle w:val="ListParagraph"/>
        <w:numPr>
          <w:ilvl w:val="0"/>
          <w:numId w:val="68"/>
        </w:numPr>
        <w:spacing w:line="240" w:lineRule="auto"/>
        <w:rPr>
          <w:rFonts w:cs="Arial"/>
          <w:color w:val="002F5D"/>
        </w:rPr>
      </w:pPr>
      <w:r>
        <w:rPr>
          <w:rFonts w:cs="Arial"/>
          <w:color w:val="002F5D"/>
        </w:rPr>
        <w:t>69%</w:t>
      </w:r>
      <w:r w:rsidR="00A51948" w:rsidRPr="00CE1393">
        <w:rPr>
          <w:rFonts w:cs="Arial"/>
          <w:color w:val="002F5D"/>
        </w:rPr>
        <w:t xml:space="preserve"> of NINo registrations for Cambridgeshire and Peterborough combined were in Cambridgeshire.</w:t>
      </w:r>
    </w:p>
    <w:p w14:paraId="66C6EE2D" w14:textId="6E8AB469" w:rsidR="00A51948" w:rsidRPr="00CE1393" w:rsidRDefault="009274AA" w:rsidP="00A938F7">
      <w:pPr>
        <w:pStyle w:val="ListParagraph"/>
        <w:numPr>
          <w:ilvl w:val="0"/>
          <w:numId w:val="68"/>
        </w:numPr>
        <w:spacing w:line="240" w:lineRule="auto"/>
        <w:rPr>
          <w:rFonts w:cs="Arial"/>
          <w:color w:val="002F5D"/>
        </w:rPr>
      </w:pPr>
      <w:r>
        <w:rPr>
          <w:rFonts w:cs="Arial"/>
          <w:color w:val="002F5D"/>
        </w:rPr>
        <w:t>73</w:t>
      </w:r>
      <w:r w:rsidR="00A51948" w:rsidRPr="00CE1393">
        <w:rPr>
          <w:rFonts w:cs="Arial"/>
          <w:color w:val="002F5D"/>
        </w:rPr>
        <w:t>% of NINo registrations for Cambridgeshire and Peterborough combined were from people from EU countries.</w:t>
      </w:r>
    </w:p>
    <w:p w14:paraId="78AC1A52" w14:textId="33132C8D" w:rsidR="009B7D33" w:rsidRPr="00CE1393" w:rsidRDefault="009274AA" w:rsidP="00A938F7">
      <w:pPr>
        <w:pStyle w:val="ListParagraph"/>
        <w:numPr>
          <w:ilvl w:val="0"/>
          <w:numId w:val="68"/>
        </w:numPr>
        <w:spacing w:line="240" w:lineRule="auto"/>
        <w:rPr>
          <w:rFonts w:cs="Arial"/>
          <w:color w:val="002F5D"/>
        </w:rPr>
      </w:pPr>
      <w:r>
        <w:rPr>
          <w:rFonts w:cs="Arial"/>
          <w:color w:val="002F5D"/>
        </w:rPr>
        <w:t>In Peterborough, almost 83</w:t>
      </w:r>
      <w:r w:rsidR="00A51948" w:rsidRPr="00CE1393">
        <w:rPr>
          <w:rFonts w:cs="Arial"/>
          <w:color w:val="002F5D"/>
        </w:rPr>
        <w:t>% of registrations were from EU countries.</w:t>
      </w:r>
    </w:p>
    <w:p w14:paraId="7D7AC428" w14:textId="768C72A6" w:rsidR="00A51948" w:rsidRPr="00522B48" w:rsidRDefault="009274AA" w:rsidP="00A938F7">
      <w:pPr>
        <w:pStyle w:val="ListParagraph"/>
        <w:numPr>
          <w:ilvl w:val="0"/>
          <w:numId w:val="68"/>
        </w:numPr>
        <w:spacing w:line="240" w:lineRule="auto"/>
        <w:rPr>
          <w:rFonts w:cs="Arial"/>
          <w:color w:val="002F5D"/>
        </w:rPr>
      </w:pPr>
      <w:r>
        <w:rPr>
          <w:rFonts w:cs="Arial"/>
          <w:color w:val="002F5D"/>
        </w:rPr>
        <w:t>In Cambridgeshire, 69</w:t>
      </w:r>
      <w:r w:rsidR="00522B48" w:rsidRPr="00522B48">
        <w:rPr>
          <w:rFonts w:cs="Arial"/>
          <w:color w:val="002F5D"/>
        </w:rPr>
        <w:t xml:space="preserve">% </w:t>
      </w:r>
      <w:r w:rsidR="00A51948" w:rsidRPr="00522B48">
        <w:rPr>
          <w:rFonts w:cs="Arial"/>
          <w:color w:val="002F5D"/>
        </w:rPr>
        <w:t xml:space="preserve">of registrations were </w:t>
      </w:r>
      <w:r>
        <w:rPr>
          <w:rFonts w:cs="Arial"/>
          <w:color w:val="002F5D"/>
        </w:rPr>
        <w:t>from EU countries, and 31</w:t>
      </w:r>
      <w:r w:rsidR="00A51948" w:rsidRPr="00522B48">
        <w:rPr>
          <w:rFonts w:cs="Arial"/>
          <w:color w:val="002F5D"/>
        </w:rPr>
        <w:t>% from elsewhere in the world.</w:t>
      </w:r>
    </w:p>
    <w:p w14:paraId="69C422D9" w14:textId="6B0F0DCC" w:rsidR="00402CC9" w:rsidRPr="00522B48" w:rsidRDefault="009274AA" w:rsidP="00A938F7">
      <w:pPr>
        <w:pStyle w:val="ListParagraph"/>
        <w:numPr>
          <w:ilvl w:val="0"/>
          <w:numId w:val="68"/>
        </w:numPr>
        <w:spacing w:line="240" w:lineRule="auto"/>
        <w:rPr>
          <w:rFonts w:cs="Arial"/>
          <w:color w:val="002F5D"/>
        </w:rPr>
      </w:pPr>
      <w:r>
        <w:rPr>
          <w:rFonts w:cs="Arial"/>
          <w:color w:val="002F5D"/>
        </w:rPr>
        <w:t>85% (2,584</w:t>
      </w:r>
      <w:r w:rsidR="00402CC9" w:rsidRPr="00522B48">
        <w:rPr>
          <w:rFonts w:cs="Arial"/>
          <w:color w:val="002F5D"/>
        </w:rPr>
        <w:t>) of all EU15 registrations were in Cambridgeshire.</w:t>
      </w:r>
      <w:r w:rsidR="00522B48" w:rsidRPr="00522B48">
        <w:rPr>
          <w:rFonts w:cs="Arial"/>
          <w:color w:val="002F5D"/>
        </w:rPr>
        <w:t xml:space="preserve"> This contributed to around 31</w:t>
      </w:r>
      <w:r w:rsidR="00AD6003" w:rsidRPr="00522B48">
        <w:rPr>
          <w:rFonts w:cs="Arial"/>
          <w:color w:val="002F5D"/>
        </w:rPr>
        <w:t>% of all registrations for the county.</w:t>
      </w:r>
    </w:p>
    <w:p w14:paraId="2479C376" w14:textId="6F5D16DA" w:rsidR="00AD6003" w:rsidRPr="00EB4D3F" w:rsidRDefault="009274AA" w:rsidP="00A938F7">
      <w:pPr>
        <w:pStyle w:val="ListParagraph"/>
        <w:numPr>
          <w:ilvl w:val="0"/>
          <w:numId w:val="68"/>
        </w:numPr>
        <w:spacing w:line="240" w:lineRule="auto"/>
        <w:rPr>
          <w:rFonts w:cs="Arial"/>
          <w:color w:val="002F5D"/>
        </w:rPr>
      </w:pPr>
      <w:r>
        <w:rPr>
          <w:rFonts w:cs="Arial"/>
          <w:color w:val="002F5D"/>
        </w:rPr>
        <w:t>48% (1,353)</w:t>
      </w:r>
      <w:r w:rsidR="00AD6003" w:rsidRPr="00EB4D3F">
        <w:rPr>
          <w:rFonts w:cs="Arial"/>
          <w:color w:val="002F5D"/>
        </w:rPr>
        <w:t xml:space="preserve"> of all EU8 registrations were in Peterboroug</w:t>
      </w:r>
      <w:r>
        <w:rPr>
          <w:rFonts w:cs="Arial"/>
          <w:color w:val="002F5D"/>
        </w:rPr>
        <w:t>h. This contributed to around 36</w:t>
      </w:r>
      <w:r w:rsidR="00AD6003" w:rsidRPr="00EB4D3F">
        <w:rPr>
          <w:rFonts w:cs="Arial"/>
          <w:color w:val="002F5D"/>
        </w:rPr>
        <w:t>% of all registrations for Peterborough.</w:t>
      </w:r>
    </w:p>
    <w:p w14:paraId="6E4C5D88" w14:textId="17A7216C" w:rsidR="00AD6003" w:rsidRPr="00572489" w:rsidRDefault="009274AA" w:rsidP="00A938F7">
      <w:pPr>
        <w:pStyle w:val="ListParagraph"/>
        <w:numPr>
          <w:ilvl w:val="0"/>
          <w:numId w:val="68"/>
        </w:numPr>
        <w:spacing w:line="240" w:lineRule="auto"/>
        <w:rPr>
          <w:rFonts w:cs="Arial"/>
          <w:color w:val="002F5D"/>
        </w:rPr>
      </w:pPr>
      <w:r>
        <w:rPr>
          <w:rFonts w:cs="Arial"/>
          <w:color w:val="002F5D"/>
        </w:rPr>
        <w:t>4</w:t>
      </w:r>
      <w:r w:rsidR="00714D83">
        <w:rPr>
          <w:rFonts w:cs="Arial"/>
          <w:color w:val="002F5D"/>
        </w:rPr>
        <w:t>4</w:t>
      </w:r>
      <w:r>
        <w:rPr>
          <w:rFonts w:cs="Arial"/>
          <w:color w:val="002F5D"/>
        </w:rPr>
        <w:t>% (1,323</w:t>
      </w:r>
      <w:r w:rsidR="00AD6003" w:rsidRPr="00572489">
        <w:rPr>
          <w:rFonts w:cs="Arial"/>
          <w:color w:val="002F5D"/>
        </w:rPr>
        <w:t>) of all EU2 registrations were in Peterboroug</w:t>
      </w:r>
      <w:r w:rsidR="00EB4D3F" w:rsidRPr="00572489">
        <w:rPr>
          <w:rFonts w:cs="Arial"/>
          <w:color w:val="002F5D"/>
        </w:rPr>
        <w:t>h. This contributed to around 35</w:t>
      </w:r>
      <w:r w:rsidR="00AD6003" w:rsidRPr="00572489">
        <w:rPr>
          <w:rFonts w:cs="Arial"/>
          <w:color w:val="002F5D"/>
        </w:rPr>
        <w:t>% of all registrations for Peterborough.</w:t>
      </w:r>
    </w:p>
    <w:p w14:paraId="218F4778" w14:textId="2555FEBC" w:rsidR="002104F8" w:rsidRPr="000D126D" w:rsidRDefault="009274AA" w:rsidP="001A1857">
      <w:pPr>
        <w:pStyle w:val="ListParagraph"/>
        <w:numPr>
          <w:ilvl w:val="0"/>
          <w:numId w:val="68"/>
        </w:numPr>
        <w:spacing w:line="240" w:lineRule="auto"/>
      </w:pPr>
      <w:r>
        <w:rPr>
          <w:rFonts w:cs="Arial"/>
          <w:color w:val="002F5D"/>
        </w:rPr>
        <w:t>80% (2,636</w:t>
      </w:r>
      <w:r w:rsidR="00402CC9" w:rsidRPr="00572489">
        <w:rPr>
          <w:rFonts w:cs="Arial"/>
          <w:color w:val="002F5D"/>
        </w:rPr>
        <w:t>) of registrations from elsewhere in the world were</w:t>
      </w:r>
      <w:r w:rsidR="008A4D5D">
        <w:rPr>
          <w:rFonts w:cs="Arial"/>
          <w:color w:val="002F5D"/>
        </w:rPr>
        <w:t xml:space="preserve"> in Cambridgeshire. Of these, 74% (1,953</w:t>
      </w:r>
      <w:r w:rsidR="00402CC9" w:rsidRPr="00572489">
        <w:rPr>
          <w:rFonts w:cs="Arial"/>
          <w:color w:val="002F5D"/>
        </w:rPr>
        <w:t xml:space="preserve">) were in Cambridge. </w:t>
      </w:r>
    </w:p>
    <w:p w14:paraId="10B59B1E" w14:textId="4B308185" w:rsidR="006B6E8F" w:rsidRDefault="006B6E8F" w:rsidP="00764F70">
      <w:pPr>
        <w:pStyle w:val="Caption"/>
        <w:rPr>
          <w:rFonts w:cs="Arial"/>
          <w:color w:val="002F5D"/>
        </w:rPr>
      </w:pPr>
      <w:r w:rsidRPr="00572489">
        <w:rPr>
          <w:b/>
          <w:color w:val="002F5D"/>
        </w:rPr>
        <w:lastRenderedPageBreak/>
        <w:t xml:space="preserve">Figure </w:t>
      </w:r>
      <w:r w:rsidR="004061DD">
        <w:rPr>
          <w:b/>
          <w:color w:val="002F5D"/>
        </w:rPr>
        <w:t>18</w:t>
      </w:r>
      <w:r w:rsidRPr="00572489">
        <w:rPr>
          <w:rFonts w:cs="Arial"/>
          <w:b/>
          <w:color w:val="002F5D"/>
        </w:rPr>
        <w:t xml:space="preserve">. </w:t>
      </w:r>
      <w:r w:rsidRPr="00572489">
        <w:rPr>
          <w:rFonts w:cs="Arial"/>
          <w:color w:val="002F5D"/>
        </w:rPr>
        <w:t xml:space="preserve">National insurance </w:t>
      </w:r>
      <w:r w:rsidR="009B7D33" w:rsidRPr="00572489">
        <w:rPr>
          <w:rFonts w:cs="Arial"/>
          <w:color w:val="002F5D"/>
        </w:rPr>
        <w:t xml:space="preserve">number (NINo) </w:t>
      </w:r>
      <w:r w:rsidRPr="00572489">
        <w:rPr>
          <w:rFonts w:cs="Arial"/>
          <w:color w:val="002F5D"/>
        </w:rPr>
        <w:t>registrations to adult overseas nationals entering Cambridgeshire and Peterborough from the European Union - r</w:t>
      </w:r>
      <w:r w:rsidR="000A3558">
        <w:rPr>
          <w:rFonts w:cs="Arial"/>
          <w:color w:val="002F5D"/>
        </w:rPr>
        <w:t>egistration's year to September</w:t>
      </w:r>
      <w:r w:rsidR="00572489">
        <w:rPr>
          <w:rFonts w:cs="Arial"/>
          <w:color w:val="002F5D"/>
        </w:rPr>
        <w:t xml:space="preserve"> 2018</w:t>
      </w:r>
    </w:p>
    <w:p w14:paraId="1C5E16F7" w14:textId="77777777" w:rsidR="000A3558" w:rsidRPr="000A3558" w:rsidRDefault="000A3558" w:rsidP="000A3558"/>
    <w:p w14:paraId="220C7D2E" w14:textId="5D53206D" w:rsidR="006B6E8F" w:rsidRPr="0037351D" w:rsidRDefault="000A3558" w:rsidP="00764F70">
      <w:pPr>
        <w:spacing w:line="240" w:lineRule="auto"/>
        <w:rPr>
          <w:color w:val="FF0000"/>
        </w:rPr>
      </w:pPr>
      <w:r>
        <w:rPr>
          <w:noProof/>
          <w:color w:val="FF0000"/>
          <w:lang w:eastAsia="en-GB"/>
        </w:rPr>
        <w:drawing>
          <wp:inline distT="0" distB="0" distL="0" distR="0" wp14:anchorId="18B7D3B4" wp14:editId="253C7B97">
            <wp:extent cx="5438775" cy="3827308"/>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5039" cy="3831716"/>
                    </a:xfrm>
                    <a:prstGeom prst="rect">
                      <a:avLst/>
                    </a:prstGeom>
                    <a:noFill/>
                  </pic:spPr>
                </pic:pic>
              </a:graphicData>
            </a:graphic>
          </wp:inline>
        </w:drawing>
      </w:r>
    </w:p>
    <w:p w14:paraId="1462D760" w14:textId="77777777" w:rsidR="006B6E8F" w:rsidRPr="0037351D" w:rsidRDefault="006B6E8F" w:rsidP="00764F70">
      <w:pPr>
        <w:spacing w:line="240" w:lineRule="auto"/>
        <w:rPr>
          <w:color w:val="FF0000"/>
        </w:rPr>
      </w:pPr>
    </w:p>
    <w:p w14:paraId="2EED371F" w14:textId="77777777" w:rsidR="006B6E8F" w:rsidRPr="00572489" w:rsidRDefault="006B6E8F" w:rsidP="00764F70">
      <w:pPr>
        <w:spacing w:line="240" w:lineRule="auto"/>
        <w:rPr>
          <w:rFonts w:cs="Arial"/>
          <w:color w:val="002F5D"/>
          <w:sz w:val="18"/>
        </w:rPr>
      </w:pPr>
      <w:r w:rsidRPr="00572489">
        <w:rPr>
          <w:rFonts w:cs="Arial"/>
          <w:b/>
          <w:color w:val="002F5D"/>
          <w:sz w:val="18"/>
        </w:rPr>
        <w:t>Note</w:t>
      </w:r>
      <w:r w:rsidRPr="00572489">
        <w:rPr>
          <w:rFonts w:cs="Arial"/>
          <w:color w:val="002F5D"/>
          <w:sz w:val="18"/>
        </w:rPr>
        <w:t>: EU15 member countries = EU members prior to the accession of 10 candidate countries on 1/5/2004; EU8 = the 10 accession countries; EU2 = those countries joining from 2007 (Bulgaria and Romania)</w:t>
      </w:r>
    </w:p>
    <w:p w14:paraId="5D687168" w14:textId="77777777" w:rsidR="006B6E8F" w:rsidRPr="00572489" w:rsidRDefault="006B6E8F" w:rsidP="00764F70">
      <w:pPr>
        <w:spacing w:line="240" w:lineRule="auto"/>
        <w:rPr>
          <w:rFonts w:cs="Arial"/>
          <w:b/>
          <w:color w:val="002F5D"/>
        </w:rPr>
      </w:pPr>
    </w:p>
    <w:p w14:paraId="0AD3981F" w14:textId="77777777" w:rsidR="006B6E8F" w:rsidRPr="00572489" w:rsidRDefault="006B6E8F" w:rsidP="00764F70">
      <w:pPr>
        <w:spacing w:line="240" w:lineRule="auto"/>
        <w:rPr>
          <w:rFonts w:cs="Arial"/>
          <w:color w:val="002F5D"/>
        </w:rPr>
      </w:pPr>
      <w:r w:rsidRPr="00572489">
        <w:rPr>
          <w:rFonts w:cs="Arial"/>
          <w:b/>
          <w:color w:val="002F5D"/>
        </w:rPr>
        <w:t>Source</w:t>
      </w:r>
      <w:r w:rsidRPr="00572489">
        <w:rPr>
          <w:rFonts w:cs="Arial"/>
          <w:color w:val="002F5D"/>
        </w:rPr>
        <w:t>: Department for Work and Pensions (DWP)</w:t>
      </w:r>
    </w:p>
    <w:p w14:paraId="727FA1F8" w14:textId="77777777" w:rsidR="006B6E8F" w:rsidRPr="0037351D" w:rsidRDefault="006B6E8F" w:rsidP="00764F70">
      <w:pPr>
        <w:spacing w:line="240" w:lineRule="auto"/>
        <w:rPr>
          <w:rFonts w:cs="Arial"/>
          <w:b/>
          <w:color w:val="FF0000"/>
        </w:rPr>
      </w:pPr>
    </w:p>
    <w:p w14:paraId="25759697" w14:textId="77777777" w:rsidR="006B6E8F" w:rsidRPr="009D4E64" w:rsidRDefault="006B6E8F" w:rsidP="00764F70">
      <w:pPr>
        <w:spacing w:line="240" w:lineRule="auto"/>
        <w:rPr>
          <w:rFonts w:cs="Arial"/>
          <w:b/>
          <w:color w:val="002F5D"/>
        </w:rPr>
      </w:pPr>
      <w:r w:rsidRPr="009D4E64">
        <w:rPr>
          <w:rFonts w:cs="Arial"/>
          <w:b/>
          <w:color w:val="002F5D"/>
        </w:rPr>
        <w:t>Key points:</w:t>
      </w:r>
    </w:p>
    <w:p w14:paraId="2B1EDD1F" w14:textId="77777777" w:rsidR="006B6E8F" w:rsidRPr="009D4E64" w:rsidRDefault="006B6E8F" w:rsidP="00764F70">
      <w:pPr>
        <w:pStyle w:val="ListParagraph"/>
        <w:numPr>
          <w:ilvl w:val="0"/>
          <w:numId w:val="21"/>
        </w:numPr>
        <w:spacing w:line="240" w:lineRule="auto"/>
        <w:ind w:left="714" w:hanging="357"/>
        <w:rPr>
          <w:rFonts w:cs="Arial"/>
          <w:color w:val="002F5D"/>
        </w:rPr>
      </w:pPr>
      <w:r w:rsidRPr="009D4E64">
        <w:rPr>
          <w:rFonts w:cs="Arial"/>
          <w:color w:val="002F5D"/>
        </w:rPr>
        <w:t xml:space="preserve">The data shows new national insurance </w:t>
      </w:r>
      <w:r w:rsidR="009B7D33" w:rsidRPr="009D4E64">
        <w:rPr>
          <w:rFonts w:cs="Arial"/>
          <w:color w:val="002F5D"/>
        </w:rPr>
        <w:t xml:space="preserve">number (NINo) </w:t>
      </w:r>
      <w:r w:rsidRPr="009D4E64">
        <w:rPr>
          <w:rFonts w:cs="Arial"/>
          <w:color w:val="002F5D"/>
        </w:rPr>
        <w:t>registrations for adult overseas nationals entering Cambridgeshire</w:t>
      </w:r>
      <w:r w:rsidR="0098399D" w:rsidRPr="009D4E64">
        <w:rPr>
          <w:rFonts w:cs="Arial"/>
          <w:color w:val="002F5D"/>
        </w:rPr>
        <w:t xml:space="preserve"> and Peterborough</w:t>
      </w:r>
      <w:r w:rsidRPr="009D4E64">
        <w:rPr>
          <w:rFonts w:cs="Arial"/>
          <w:color w:val="002F5D"/>
        </w:rPr>
        <w:t xml:space="preserve"> and indicates where people are migrating</w:t>
      </w:r>
      <w:r w:rsidR="0098399D" w:rsidRPr="009D4E64">
        <w:rPr>
          <w:rFonts w:cs="Arial"/>
          <w:color w:val="002F5D"/>
        </w:rPr>
        <w:t xml:space="preserve"> </w:t>
      </w:r>
      <w:r w:rsidRPr="009D4E64">
        <w:rPr>
          <w:rFonts w:cs="Arial"/>
          <w:color w:val="002F5D"/>
        </w:rPr>
        <w:t>from.</w:t>
      </w:r>
    </w:p>
    <w:p w14:paraId="5A15C5ED" w14:textId="05964AF8" w:rsidR="006B6E8F" w:rsidRPr="009D4E64" w:rsidRDefault="006B6E8F" w:rsidP="00764F70">
      <w:pPr>
        <w:pStyle w:val="ListParagraph"/>
        <w:numPr>
          <w:ilvl w:val="0"/>
          <w:numId w:val="21"/>
        </w:numPr>
        <w:spacing w:line="240" w:lineRule="auto"/>
        <w:ind w:left="714" w:hanging="357"/>
        <w:rPr>
          <w:rFonts w:cs="Arial"/>
          <w:color w:val="002F5D"/>
        </w:rPr>
      </w:pPr>
      <w:r w:rsidRPr="009D4E64">
        <w:rPr>
          <w:rFonts w:cs="Arial"/>
          <w:color w:val="002F5D"/>
        </w:rPr>
        <w:t xml:space="preserve">In Cambridgeshire </w:t>
      </w:r>
      <w:r w:rsidR="0098399D" w:rsidRPr="009D4E64">
        <w:rPr>
          <w:rFonts w:cs="Arial"/>
          <w:color w:val="002F5D"/>
        </w:rPr>
        <w:t xml:space="preserve">and Peterborough combined, </w:t>
      </w:r>
      <w:r w:rsidRPr="009D4E64">
        <w:rPr>
          <w:rFonts w:cs="Arial"/>
          <w:color w:val="002F5D"/>
        </w:rPr>
        <w:t xml:space="preserve">European Union (EU) countries make up around </w:t>
      </w:r>
      <w:r w:rsidR="000A3558">
        <w:rPr>
          <w:rFonts w:cs="Arial"/>
          <w:color w:val="002F5D"/>
        </w:rPr>
        <w:t>73</w:t>
      </w:r>
      <w:r w:rsidR="0098399D" w:rsidRPr="009D4E64">
        <w:rPr>
          <w:rFonts w:cs="Arial"/>
          <w:color w:val="002F5D"/>
        </w:rPr>
        <w:t>%</w:t>
      </w:r>
      <w:r w:rsidR="009D4E64" w:rsidRPr="009D4E64">
        <w:rPr>
          <w:rFonts w:cs="Arial"/>
          <w:color w:val="002F5D"/>
        </w:rPr>
        <w:t xml:space="preserve"> </w:t>
      </w:r>
      <w:r w:rsidRPr="009D4E64">
        <w:rPr>
          <w:rFonts w:cs="Arial"/>
          <w:color w:val="002F5D"/>
        </w:rPr>
        <w:t>of all registrations and there is a</w:t>
      </w:r>
      <w:r w:rsidR="003714A5">
        <w:rPr>
          <w:rFonts w:cs="Arial"/>
          <w:color w:val="002F5D"/>
        </w:rPr>
        <w:t>n</w:t>
      </w:r>
      <w:r w:rsidRPr="009D4E64">
        <w:rPr>
          <w:rFonts w:cs="Arial"/>
          <w:color w:val="002F5D"/>
        </w:rPr>
        <w:t xml:space="preserve"> equal balance among EU country groupings</w:t>
      </w:r>
    </w:p>
    <w:p w14:paraId="105702DF" w14:textId="7228A4C4" w:rsidR="0098399D" w:rsidRPr="003714A5" w:rsidRDefault="0098399D" w:rsidP="00764F70">
      <w:pPr>
        <w:pStyle w:val="ListParagraph"/>
        <w:numPr>
          <w:ilvl w:val="0"/>
          <w:numId w:val="21"/>
        </w:numPr>
        <w:spacing w:line="240" w:lineRule="auto"/>
        <w:ind w:left="714" w:hanging="357"/>
        <w:rPr>
          <w:rFonts w:cs="Arial"/>
          <w:color w:val="002F5D"/>
        </w:rPr>
      </w:pPr>
      <w:r w:rsidRPr="003714A5">
        <w:rPr>
          <w:rFonts w:cs="Arial"/>
          <w:color w:val="002F5D"/>
        </w:rPr>
        <w:t xml:space="preserve">Cambridgeshire presents a similar pattern to Cambridgeshire and Peterborough as a whole, with around </w:t>
      </w:r>
      <w:r w:rsidR="000A3558">
        <w:rPr>
          <w:rFonts w:cs="Arial"/>
          <w:color w:val="002F5D"/>
        </w:rPr>
        <w:t>69</w:t>
      </w:r>
      <w:r w:rsidR="003714A5" w:rsidRPr="003714A5">
        <w:rPr>
          <w:rFonts w:cs="Arial"/>
          <w:color w:val="002F5D"/>
        </w:rPr>
        <w:t>%</w:t>
      </w:r>
      <w:r w:rsidRPr="003714A5">
        <w:rPr>
          <w:rFonts w:cs="Arial"/>
          <w:color w:val="002F5D"/>
        </w:rPr>
        <w:t xml:space="preserve"> of registrations from people from EU countries</w:t>
      </w:r>
      <w:r w:rsidR="003714A5" w:rsidRPr="003714A5">
        <w:rPr>
          <w:rFonts w:cs="Arial"/>
          <w:color w:val="002F5D"/>
        </w:rPr>
        <w:t>, with the largest proportion of registrations from people from EU15 countries (31%)</w:t>
      </w:r>
      <w:r w:rsidRPr="003714A5">
        <w:rPr>
          <w:rFonts w:cs="Arial"/>
          <w:color w:val="002F5D"/>
        </w:rPr>
        <w:t xml:space="preserve">. </w:t>
      </w:r>
    </w:p>
    <w:p w14:paraId="7515DC75" w14:textId="35E4FF8D" w:rsidR="0098399D" w:rsidRDefault="000A3558" w:rsidP="00764F70">
      <w:pPr>
        <w:pStyle w:val="ListParagraph"/>
        <w:numPr>
          <w:ilvl w:val="0"/>
          <w:numId w:val="21"/>
        </w:numPr>
        <w:spacing w:line="240" w:lineRule="auto"/>
        <w:ind w:left="714" w:hanging="357"/>
        <w:rPr>
          <w:rFonts w:cs="Arial"/>
          <w:color w:val="002F5D"/>
        </w:rPr>
      </w:pPr>
      <w:r>
        <w:rPr>
          <w:rFonts w:cs="Arial"/>
          <w:color w:val="002F5D"/>
        </w:rPr>
        <w:t>Around 83</w:t>
      </w:r>
      <w:r w:rsidR="0098399D" w:rsidRPr="003714A5">
        <w:rPr>
          <w:rFonts w:cs="Arial"/>
          <w:color w:val="002F5D"/>
        </w:rPr>
        <w:t>% of registration</w:t>
      </w:r>
      <w:r>
        <w:rPr>
          <w:rFonts w:cs="Arial"/>
          <w:color w:val="002F5D"/>
        </w:rPr>
        <w:t>s</w:t>
      </w:r>
      <w:r w:rsidR="0098399D" w:rsidRPr="003714A5">
        <w:rPr>
          <w:rFonts w:cs="Arial"/>
          <w:color w:val="002F5D"/>
        </w:rPr>
        <w:t xml:space="preserve"> in Peterborough come from EU citizens. The largest proportion of registrations come from</w:t>
      </w:r>
      <w:r>
        <w:rPr>
          <w:rFonts w:cs="Arial"/>
          <w:color w:val="002F5D"/>
        </w:rPr>
        <w:t xml:space="preserve"> people from EU8 countries (36</w:t>
      </w:r>
      <w:r w:rsidR="0098399D" w:rsidRPr="003714A5">
        <w:rPr>
          <w:rFonts w:cs="Arial"/>
          <w:color w:val="002F5D"/>
        </w:rPr>
        <w:t>%)</w:t>
      </w:r>
      <w:r>
        <w:rPr>
          <w:rFonts w:cs="Arial"/>
          <w:color w:val="002F5D"/>
        </w:rPr>
        <w:t xml:space="preserve"> with 35% coming from people from EU2 countries.</w:t>
      </w:r>
    </w:p>
    <w:p w14:paraId="2D2C9453" w14:textId="59366BBD" w:rsidR="002027D2" w:rsidRPr="003714A5" w:rsidRDefault="002027D2" w:rsidP="00764F70">
      <w:pPr>
        <w:pStyle w:val="ListParagraph"/>
        <w:numPr>
          <w:ilvl w:val="0"/>
          <w:numId w:val="21"/>
        </w:numPr>
        <w:spacing w:line="240" w:lineRule="auto"/>
        <w:ind w:left="714" w:hanging="357"/>
        <w:rPr>
          <w:rFonts w:cs="Arial"/>
          <w:color w:val="002F5D"/>
        </w:rPr>
      </w:pPr>
      <w:r w:rsidRPr="003714A5">
        <w:rPr>
          <w:rFonts w:cs="Arial"/>
          <w:color w:val="002F5D"/>
        </w:rPr>
        <w:t>All districts have registrat</w:t>
      </w:r>
      <w:r>
        <w:rPr>
          <w:rFonts w:cs="Arial"/>
          <w:color w:val="002F5D"/>
        </w:rPr>
        <w:t>ions from the</w:t>
      </w:r>
      <w:r w:rsidRPr="00866562">
        <w:rPr>
          <w:rFonts w:cs="Arial"/>
          <w:color w:val="002F5D"/>
        </w:rPr>
        <w:t xml:space="preserve"> 3 groups of EU countries</w:t>
      </w:r>
      <w:r>
        <w:rPr>
          <w:rFonts w:cs="Arial"/>
          <w:color w:val="002F5D"/>
        </w:rPr>
        <w:t xml:space="preserve"> and from the rest of the world</w:t>
      </w:r>
      <w:r w:rsidRPr="00866562">
        <w:rPr>
          <w:rFonts w:cs="Arial"/>
          <w:color w:val="002F5D"/>
        </w:rPr>
        <w:t>.</w:t>
      </w:r>
      <w:r>
        <w:rPr>
          <w:rFonts w:cs="Arial"/>
          <w:color w:val="002F5D"/>
        </w:rPr>
        <w:t xml:space="preserve"> The proportional contribution of specific EU country groups </w:t>
      </w:r>
      <w:r w:rsidRPr="00866562">
        <w:rPr>
          <w:rFonts w:cs="Arial"/>
          <w:color w:val="002F5D"/>
        </w:rPr>
        <w:t>varies between districts</w:t>
      </w:r>
      <w:r>
        <w:rPr>
          <w:rFonts w:cs="Arial"/>
          <w:color w:val="002F5D"/>
        </w:rPr>
        <w:t>. However, EU migrants dominate most strongly in each district other than Cambridge where the balance between EU and rest of the world migrants is more even</w:t>
      </w:r>
    </w:p>
    <w:p w14:paraId="2FA6BC4D" w14:textId="29AD609B" w:rsidR="00C77DBF" w:rsidRPr="003714A5" w:rsidRDefault="0098399D" w:rsidP="00764F70">
      <w:pPr>
        <w:pStyle w:val="ListParagraph"/>
        <w:numPr>
          <w:ilvl w:val="0"/>
          <w:numId w:val="21"/>
        </w:numPr>
        <w:spacing w:line="240" w:lineRule="auto"/>
        <w:ind w:left="714" w:hanging="357"/>
        <w:rPr>
          <w:rFonts w:cs="Arial"/>
          <w:color w:val="002F5D"/>
        </w:rPr>
      </w:pPr>
      <w:r w:rsidRPr="003714A5">
        <w:rPr>
          <w:rFonts w:cs="Arial"/>
          <w:color w:val="002F5D"/>
        </w:rPr>
        <w:t>In</w:t>
      </w:r>
      <w:r w:rsidR="002027D2" w:rsidRPr="003714A5">
        <w:rPr>
          <w:rFonts w:cs="Arial"/>
          <w:color w:val="002F5D"/>
        </w:rPr>
        <w:t xml:space="preserve"> Cambridge, </w:t>
      </w:r>
      <w:r w:rsidR="002027D2">
        <w:rPr>
          <w:rFonts w:cs="Arial"/>
          <w:color w:val="002F5D"/>
        </w:rPr>
        <w:t xml:space="preserve">there tends to be more balanced levels of migration between the EU and the rest of the world. In terms of EU registrations, those </w:t>
      </w:r>
      <w:r w:rsidR="002027D2" w:rsidRPr="003714A5">
        <w:rPr>
          <w:rFonts w:cs="Arial"/>
          <w:color w:val="002F5D"/>
        </w:rPr>
        <w:t xml:space="preserve">from </w:t>
      </w:r>
      <w:r w:rsidR="002027D2">
        <w:rPr>
          <w:rFonts w:cs="Arial"/>
          <w:color w:val="002F5D"/>
        </w:rPr>
        <w:t>E</w:t>
      </w:r>
      <w:r w:rsidR="002027D2" w:rsidRPr="003714A5">
        <w:rPr>
          <w:rFonts w:cs="Arial"/>
          <w:color w:val="002F5D"/>
        </w:rPr>
        <w:t xml:space="preserve">U15 countries </w:t>
      </w:r>
      <w:r w:rsidR="002027D2">
        <w:rPr>
          <w:rFonts w:cs="Arial"/>
          <w:color w:val="002F5D"/>
        </w:rPr>
        <w:t>are dominant (42</w:t>
      </w:r>
      <w:r w:rsidR="002027D2" w:rsidRPr="003714A5">
        <w:rPr>
          <w:rFonts w:cs="Arial"/>
          <w:color w:val="002F5D"/>
        </w:rPr>
        <w:t>%)</w:t>
      </w:r>
      <w:r w:rsidR="002027D2">
        <w:rPr>
          <w:rFonts w:cs="Arial"/>
          <w:color w:val="002F5D"/>
        </w:rPr>
        <w:t>, but there a similar proportion of registrations from elsewhere in the world (43%)</w:t>
      </w:r>
      <w:r w:rsidR="002027D2" w:rsidRPr="003714A5">
        <w:rPr>
          <w:rFonts w:cs="Arial"/>
          <w:color w:val="002F5D"/>
        </w:rPr>
        <w:t>.</w:t>
      </w:r>
      <w:r w:rsidR="002027D2">
        <w:rPr>
          <w:rFonts w:cs="Arial"/>
          <w:color w:val="002F5D"/>
        </w:rPr>
        <w:t xml:space="preserve"> In most other districts, apart from South Cambs, EU15 registrations are proportionately fewer.</w:t>
      </w:r>
    </w:p>
    <w:p w14:paraId="2A9298A9" w14:textId="33340742" w:rsidR="006B6E8F" w:rsidRDefault="000A3558" w:rsidP="00764F70">
      <w:pPr>
        <w:pStyle w:val="ListParagraph"/>
        <w:numPr>
          <w:ilvl w:val="0"/>
          <w:numId w:val="21"/>
        </w:numPr>
        <w:spacing w:line="240" w:lineRule="auto"/>
        <w:ind w:left="714" w:hanging="357"/>
        <w:rPr>
          <w:rFonts w:cs="Arial"/>
          <w:color w:val="002F5D"/>
        </w:rPr>
      </w:pPr>
      <w:r>
        <w:rPr>
          <w:rFonts w:cs="Arial"/>
          <w:color w:val="002F5D"/>
        </w:rPr>
        <w:t>In East Cambridgeshire, 56</w:t>
      </w:r>
      <w:r w:rsidR="00C77DBF" w:rsidRPr="003714A5">
        <w:rPr>
          <w:rFonts w:cs="Arial"/>
          <w:color w:val="002F5D"/>
        </w:rPr>
        <w:t xml:space="preserve">% of registrations </w:t>
      </w:r>
      <w:r>
        <w:rPr>
          <w:rFonts w:cs="Arial"/>
          <w:color w:val="002F5D"/>
        </w:rPr>
        <w:t>(424</w:t>
      </w:r>
      <w:r w:rsidR="009B7D33" w:rsidRPr="003714A5">
        <w:rPr>
          <w:rFonts w:cs="Arial"/>
          <w:color w:val="002F5D"/>
        </w:rPr>
        <w:t xml:space="preserve">) </w:t>
      </w:r>
      <w:r w:rsidR="00C77DBF" w:rsidRPr="003714A5">
        <w:rPr>
          <w:rFonts w:cs="Arial"/>
          <w:color w:val="002F5D"/>
        </w:rPr>
        <w:t>are from EU2 countries.</w:t>
      </w:r>
      <w:r w:rsidR="009B7D33" w:rsidRPr="003714A5">
        <w:rPr>
          <w:rFonts w:cs="Arial"/>
          <w:color w:val="002F5D"/>
        </w:rPr>
        <w:t xml:space="preserve"> </w:t>
      </w:r>
    </w:p>
    <w:p w14:paraId="4EE07F40" w14:textId="79B744ED" w:rsidR="002027D2" w:rsidRPr="002027D2" w:rsidRDefault="002027D2" w:rsidP="00764F70">
      <w:pPr>
        <w:pStyle w:val="ListParagraph"/>
        <w:numPr>
          <w:ilvl w:val="0"/>
          <w:numId w:val="21"/>
        </w:numPr>
        <w:spacing w:line="240" w:lineRule="auto"/>
        <w:ind w:left="714" w:hanging="357"/>
        <w:rPr>
          <w:rFonts w:cs="Arial"/>
          <w:color w:val="002F5D"/>
        </w:rPr>
      </w:pPr>
      <w:r w:rsidRPr="00466722">
        <w:rPr>
          <w:color w:val="002F5D"/>
        </w:rPr>
        <w:lastRenderedPageBreak/>
        <w:t>Most registrations in Fenland are from EU countries (93%) with EU8 and EU2 countries the greatest proportions and EU15 countries the smallest at only 5%</w:t>
      </w:r>
    </w:p>
    <w:p w14:paraId="54F75832" w14:textId="77777777" w:rsidR="009D2E42" w:rsidRPr="0037351D" w:rsidRDefault="009D2E42" w:rsidP="006B6E8F">
      <w:pPr>
        <w:spacing w:line="240" w:lineRule="auto"/>
        <w:rPr>
          <w:rFonts w:cs="Arial"/>
          <w:color w:val="FF0000"/>
        </w:rPr>
      </w:pPr>
    </w:p>
    <w:p w14:paraId="2FFF56F9" w14:textId="7BBF675D" w:rsidR="006B6E8F" w:rsidRPr="00466722" w:rsidRDefault="006B6E8F" w:rsidP="006B6E8F">
      <w:pPr>
        <w:spacing w:line="240" w:lineRule="auto"/>
        <w:rPr>
          <w:rFonts w:cs="Arial"/>
          <w:color w:val="002F5D"/>
        </w:rPr>
      </w:pPr>
      <w:r w:rsidRPr="00343AD4">
        <w:rPr>
          <w:rFonts w:cs="Arial"/>
          <w:color w:val="002F5D"/>
        </w:rPr>
        <w:t>USEFUL LINK:</w:t>
      </w:r>
      <w:r w:rsidR="00764F70" w:rsidRPr="00343AD4">
        <w:rPr>
          <w:rFonts w:cs="Arial"/>
          <w:color w:val="002F5D"/>
        </w:rPr>
        <w:t xml:space="preserve"> </w:t>
      </w:r>
      <w:hyperlink r:id="rId78" w:history="1">
        <w:r w:rsidR="003714A5" w:rsidRPr="00466722">
          <w:rPr>
            <w:rStyle w:val="Hyperlink"/>
            <w:rFonts w:cs="Arial"/>
            <w:color w:val="002F5D"/>
          </w:rPr>
          <w:t>https://www.gov.uk/government/statistics/national-insurance-number-allocations-to-adult-overseas-nationals-to-june-2018</w:t>
        </w:r>
      </w:hyperlink>
    </w:p>
    <w:p w14:paraId="116CF1FB" w14:textId="77777777" w:rsidR="003714A5" w:rsidRPr="0037351D" w:rsidRDefault="003714A5" w:rsidP="006B6E8F">
      <w:pPr>
        <w:spacing w:line="240" w:lineRule="auto"/>
        <w:rPr>
          <w:rFonts w:cs="Arial"/>
          <w:color w:val="FF0000"/>
        </w:rPr>
      </w:pPr>
    </w:p>
    <w:p w14:paraId="71B85C01" w14:textId="35CEFCA6" w:rsidR="006B6E8F" w:rsidRDefault="006B6E8F" w:rsidP="006B6E8F">
      <w:pPr>
        <w:pStyle w:val="Caption"/>
        <w:rPr>
          <w:rFonts w:cs="Arial"/>
          <w:color w:val="002F5D"/>
        </w:rPr>
      </w:pPr>
      <w:r w:rsidRPr="00C55E0D">
        <w:rPr>
          <w:b/>
          <w:color w:val="002F5D"/>
        </w:rPr>
        <w:t xml:space="preserve">Table </w:t>
      </w:r>
      <w:r w:rsidRPr="00C55E0D">
        <w:rPr>
          <w:b/>
          <w:color w:val="002F5D"/>
        </w:rPr>
        <w:fldChar w:fldCharType="begin"/>
      </w:r>
      <w:r w:rsidRPr="00C55E0D">
        <w:rPr>
          <w:b/>
          <w:color w:val="002F5D"/>
        </w:rPr>
        <w:instrText xml:space="preserve"> SEQ Table \* ARABIC </w:instrText>
      </w:r>
      <w:r w:rsidRPr="00C55E0D">
        <w:rPr>
          <w:b/>
          <w:color w:val="002F5D"/>
        </w:rPr>
        <w:fldChar w:fldCharType="separate"/>
      </w:r>
      <w:r w:rsidR="00E80CFE">
        <w:rPr>
          <w:b/>
          <w:noProof/>
          <w:color w:val="002F5D"/>
        </w:rPr>
        <w:t>15</w:t>
      </w:r>
      <w:r w:rsidRPr="00C55E0D">
        <w:rPr>
          <w:b/>
          <w:color w:val="002F5D"/>
        </w:rPr>
        <w:fldChar w:fldCharType="end"/>
      </w:r>
      <w:r w:rsidRPr="00C55E0D">
        <w:rPr>
          <w:rFonts w:cs="Arial"/>
          <w:b/>
          <w:color w:val="002F5D"/>
        </w:rPr>
        <w:t xml:space="preserve">. </w:t>
      </w:r>
      <w:r w:rsidRPr="00C55E0D">
        <w:rPr>
          <w:rFonts w:cs="Arial"/>
          <w:color w:val="002F5D"/>
        </w:rPr>
        <w:t>Population</w:t>
      </w:r>
      <w:r w:rsidR="00A37CD6">
        <w:rPr>
          <w:rFonts w:cs="Arial"/>
          <w:color w:val="002F5D"/>
        </w:rPr>
        <w:t xml:space="preserve"> estimates</w:t>
      </w:r>
      <w:r w:rsidRPr="00C55E0D">
        <w:rPr>
          <w:rFonts w:cs="Arial"/>
          <w:color w:val="002F5D"/>
        </w:rPr>
        <w:t xml:space="preserve"> by broad ethnic group and local authority district, Cambridgeshire and Peterborough, </w:t>
      </w:r>
      <w:r w:rsidR="00A37CD6">
        <w:rPr>
          <w:rFonts w:cs="Arial"/>
          <w:color w:val="002F5D"/>
        </w:rPr>
        <w:t xml:space="preserve">Census </w:t>
      </w:r>
      <w:r w:rsidRPr="00C55E0D">
        <w:rPr>
          <w:rFonts w:cs="Arial"/>
          <w:color w:val="002F5D"/>
        </w:rPr>
        <w:t>2011</w:t>
      </w:r>
      <w:r w:rsidR="00A37CD6">
        <w:rPr>
          <w:rFonts w:cs="Arial"/>
          <w:color w:val="002F5D"/>
        </w:rPr>
        <w:t xml:space="preserve"> percentages applied to ONS Mid-2017 Population</w:t>
      </w:r>
    </w:p>
    <w:p w14:paraId="168CC787" w14:textId="77777777" w:rsidR="003C0AA9" w:rsidRPr="003C0AA9" w:rsidRDefault="003C0AA9" w:rsidP="003C0AA9"/>
    <w:p w14:paraId="48AE927E" w14:textId="61445C10" w:rsidR="00AC3267" w:rsidRPr="00C55E0D" w:rsidRDefault="00B16F64" w:rsidP="00AC3267">
      <w:pPr>
        <w:rPr>
          <w:color w:val="002F5D"/>
        </w:rPr>
      </w:pPr>
      <w:r w:rsidRPr="00B16F64">
        <w:rPr>
          <w:noProof/>
          <w:lang w:eastAsia="en-GB"/>
        </w:rPr>
        <w:drawing>
          <wp:inline distT="0" distB="0" distL="0" distR="0" wp14:anchorId="0AFF944E" wp14:editId="14D8C34D">
            <wp:extent cx="6616075" cy="164782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25542" cy="1650183"/>
                    </a:xfrm>
                    <a:prstGeom prst="rect">
                      <a:avLst/>
                    </a:prstGeom>
                    <a:noFill/>
                    <a:ln>
                      <a:noFill/>
                    </a:ln>
                  </pic:spPr>
                </pic:pic>
              </a:graphicData>
            </a:graphic>
          </wp:inline>
        </w:drawing>
      </w:r>
    </w:p>
    <w:p w14:paraId="6C36B6A0" w14:textId="77777777" w:rsidR="006B6E8F" w:rsidRPr="00C55E0D" w:rsidRDefault="006B6E8F" w:rsidP="006B6E8F">
      <w:pPr>
        <w:spacing w:line="240" w:lineRule="auto"/>
        <w:rPr>
          <w:rFonts w:cs="Arial"/>
          <w:color w:val="002F5D"/>
        </w:rPr>
      </w:pPr>
    </w:p>
    <w:p w14:paraId="0A090393" w14:textId="29019D3B" w:rsidR="006B6E8F" w:rsidRPr="00C55E0D" w:rsidRDefault="006B6E8F" w:rsidP="006B6E8F">
      <w:pPr>
        <w:spacing w:line="240" w:lineRule="auto"/>
        <w:rPr>
          <w:rFonts w:eastAsia="Times New Roman" w:cs="Times New Roman"/>
          <w:color w:val="002F5D"/>
          <w:lang w:eastAsia="en-GB"/>
        </w:rPr>
      </w:pPr>
      <w:r w:rsidRPr="00C55E0D">
        <w:rPr>
          <w:rFonts w:eastAsia="Times New Roman" w:cs="Times New Roman"/>
          <w:b/>
          <w:bCs/>
          <w:color w:val="002F5D"/>
          <w:lang w:eastAsia="en-GB"/>
        </w:rPr>
        <w:t>Source</w:t>
      </w:r>
      <w:r w:rsidRPr="00C55E0D">
        <w:rPr>
          <w:rFonts w:eastAsia="Times New Roman" w:cs="Times New Roman"/>
          <w:color w:val="002F5D"/>
          <w:lang w:eastAsia="en-GB"/>
        </w:rPr>
        <w:t>: O</w:t>
      </w:r>
      <w:r w:rsidR="007750E0">
        <w:rPr>
          <w:rFonts w:eastAsia="Times New Roman" w:cs="Times New Roman"/>
          <w:color w:val="002F5D"/>
          <w:lang w:eastAsia="en-GB"/>
        </w:rPr>
        <w:t>NS</w:t>
      </w:r>
      <w:r w:rsidRPr="00C55E0D">
        <w:rPr>
          <w:rFonts w:eastAsia="Times New Roman" w:cs="Times New Roman"/>
          <w:color w:val="002F5D"/>
          <w:lang w:eastAsia="en-GB"/>
        </w:rPr>
        <w:t>, Census 2011, Table QS211EW</w:t>
      </w:r>
      <w:r w:rsidR="00A37CD6">
        <w:rPr>
          <w:rFonts w:eastAsia="Times New Roman" w:cs="Times New Roman"/>
          <w:color w:val="002F5D"/>
          <w:lang w:eastAsia="en-GB"/>
        </w:rPr>
        <w:t xml:space="preserve"> applied to ONS Mid-2017 population estimates</w:t>
      </w:r>
    </w:p>
    <w:p w14:paraId="5B9B75F5" w14:textId="360FA05B" w:rsidR="00172E76" w:rsidRPr="00C55E0D" w:rsidRDefault="00172E76" w:rsidP="006B6E8F">
      <w:pPr>
        <w:spacing w:line="240" w:lineRule="auto"/>
        <w:rPr>
          <w:rFonts w:cs="Arial"/>
          <w:color w:val="002F5D"/>
        </w:rPr>
      </w:pPr>
    </w:p>
    <w:p w14:paraId="7AE2EEA7" w14:textId="42A5015B" w:rsidR="002F6633" w:rsidRPr="00C55E0D" w:rsidRDefault="006B6E8F" w:rsidP="00217BDD">
      <w:pPr>
        <w:spacing w:line="240" w:lineRule="auto"/>
        <w:rPr>
          <w:rFonts w:cs="Arial"/>
          <w:b/>
          <w:color w:val="002F5D"/>
        </w:rPr>
      </w:pPr>
      <w:r w:rsidRPr="00C55E0D">
        <w:rPr>
          <w:rFonts w:cs="Arial"/>
          <w:b/>
          <w:color w:val="002F5D"/>
        </w:rPr>
        <w:t>Key points:</w:t>
      </w:r>
    </w:p>
    <w:p w14:paraId="6B9260DA" w14:textId="77777777" w:rsidR="00E74CEA" w:rsidRPr="00C55E0D" w:rsidRDefault="00E74CEA" w:rsidP="00217BDD">
      <w:pPr>
        <w:spacing w:line="240" w:lineRule="auto"/>
        <w:rPr>
          <w:rFonts w:cs="Arial"/>
          <w:b/>
          <w:color w:val="002F5D"/>
        </w:rPr>
      </w:pPr>
    </w:p>
    <w:p w14:paraId="699A8E78" w14:textId="77777777" w:rsidR="004514E4" w:rsidRPr="00C55E0D" w:rsidRDefault="004514E4" w:rsidP="004514E4">
      <w:pPr>
        <w:pStyle w:val="ListParagraph"/>
        <w:numPr>
          <w:ilvl w:val="0"/>
          <w:numId w:val="69"/>
        </w:numPr>
        <w:spacing w:line="240" w:lineRule="auto"/>
        <w:rPr>
          <w:rFonts w:cs="Arial"/>
          <w:color w:val="002F5D"/>
        </w:rPr>
      </w:pPr>
      <w:r w:rsidRPr="00C55E0D">
        <w:rPr>
          <w:rFonts w:cs="Arial"/>
          <w:color w:val="002F5D"/>
        </w:rPr>
        <w:t>The ethnic make-up of Cambridgeshire and Peterborough as separate areas can differ. When comparing figures for Cambridgeshire and Peterborough as a whole, they may appear more comparable to those found nationally. It is important, though, to note variations between the two areas.</w:t>
      </w:r>
    </w:p>
    <w:p w14:paraId="57647CE8" w14:textId="77777777" w:rsidR="006B6E8F" w:rsidRPr="00C55E0D" w:rsidRDefault="006B6E8F" w:rsidP="00A938F7">
      <w:pPr>
        <w:pStyle w:val="ListParagraph"/>
        <w:numPr>
          <w:ilvl w:val="0"/>
          <w:numId w:val="22"/>
        </w:numPr>
        <w:spacing w:line="240" w:lineRule="auto"/>
        <w:rPr>
          <w:rFonts w:cs="Arial"/>
          <w:color w:val="002F5D"/>
        </w:rPr>
      </w:pPr>
      <w:r w:rsidRPr="00C55E0D">
        <w:rPr>
          <w:rFonts w:cs="Arial"/>
          <w:color w:val="002F5D"/>
        </w:rPr>
        <w:t>Cambridgeshire has higher proportions of people from the White British and White Other groups than found nationally.  Here the ‘White Other’ group includes the White Gypsy or Irish Traveller and the original Census ‘White Other’ grouping.</w:t>
      </w:r>
    </w:p>
    <w:p w14:paraId="4518A51A" w14:textId="11DCB560" w:rsidR="006B6E8F" w:rsidRPr="00C55E0D" w:rsidRDefault="004514E4" w:rsidP="001C23A4">
      <w:pPr>
        <w:pStyle w:val="ListParagraph"/>
        <w:numPr>
          <w:ilvl w:val="0"/>
          <w:numId w:val="22"/>
        </w:numPr>
        <w:spacing w:line="240" w:lineRule="auto"/>
        <w:rPr>
          <w:rFonts w:cs="Arial"/>
          <w:color w:val="002F5D"/>
        </w:rPr>
      </w:pPr>
      <w:r w:rsidRPr="00C55E0D">
        <w:rPr>
          <w:rFonts w:cs="Arial"/>
          <w:color w:val="002F5D"/>
        </w:rPr>
        <w:t>Peterborough has almost 10 percentage points</w:t>
      </w:r>
      <w:r w:rsidR="006B6E8F" w:rsidRPr="00C55E0D">
        <w:rPr>
          <w:rFonts w:cs="Arial"/>
          <w:color w:val="002F5D"/>
        </w:rPr>
        <w:t xml:space="preserve"> </w:t>
      </w:r>
      <w:r w:rsidR="00DD00A8">
        <w:rPr>
          <w:rFonts w:cs="Arial"/>
          <w:color w:val="002F5D"/>
        </w:rPr>
        <w:t>fewer</w:t>
      </w:r>
      <w:r w:rsidR="006B6E8F" w:rsidRPr="00C55E0D">
        <w:rPr>
          <w:rFonts w:cs="Arial"/>
          <w:color w:val="002F5D"/>
        </w:rPr>
        <w:t xml:space="preserve"> people from the White:</w:t>
      </w:r>
      <w:r w:rsidR="00E74CEA" w:rsidRPr="00C55E0D">
        <w:rPr>
          <w:rFonts w:cs="Arial"/>
          <w:color w:val="002F5D"/>
        </w:rPr>
        <w:t xml:space="preserve"> </w:t>
      </w:r>
      <w:r w:rsidR="006B6E8F" w:rsidRPr="00C55E0D">
        <w:rPr>
          <w:rFonts w:cs="Arial"/>
          <w:color w:val="002F5D"/>
        </w:rPr>
        <w:t>British group than England</w:t>
      </w:r>
      <w:r w:rsidR="00DD00A8">
        <w:rPr>
          <w:rFonts w:cs="Arial"/>
          <w:color w:val="002F5D"/>
        </w:rPr>
        <w:t>;</w:t>
      </w:r>
      <w:r w:rsidR="006B6E8F" w:rsidRPr="00C55E0D">
        <w:rPr>
          <w:rFonts w:cs="Arial"/>
          <w:color w:val="002F5D"/>
        </w:rPr>
        <w:t xml:space="preserve"> this is in contrast to Cambridgeshire where the proportion is larger than the national figure.     </w:t>
      </w:r>
      <w:r w:rsidR="001C23A4" w:rsidRPr="00C55E0D">
        <w:rPr>
          <w:rFonts w:cs="Arial"/>
          <w:color w:val="002F5D"/>
        </w:rPr>
        <w:t>Peterborough is much more diverse, with a larger proportion of people from ‘Asian; Indian/Pakistani/Bangladeshi’</w:t>
      </w:r>
      <w:r w:rsidR="001C23A4">
        <w:rPr>
          <w:rFonts w:cs="Arial"/>
          <w:color w:val="002F5D"/>
        </w:rPr>
        <w:t xml:space="preserve"> and ‘White Other’</w:t>
      </w:r>
      <w:r w:rsidR="001C23A4" w:rsidRPr="00C55E0D">
        <w:rPr>
          <w:rFonts w:cs="Arial"/>
          <w:color w:val="002F5D"/>
        </w:rPr>
        <w:t xml:space="preserve"> ethnicities.</w:t>
      </w:r>
    </w:p>
    <w:p w14:paraId="5D82AD10" w14:textId="436FD9E8" w:rsidR="006B6E8F" w:rsidRDefault="006B6E8F" w:rsidP="00A938F7">
      <w:pPr>
        <w:pStyle w:val="ListParagraph"/>
        <w:numPr>
          <w:ilvl w:val="0"/>
          <w:numId w:val="22"/>
        </w:numPr>
        <w:spacing w:line="240" w:lineRule="auto"/>
        <w:rPr>
          <w:rFonts w:cs="Arial"/>
          <w:color w:val="002F5D"/>
        </w:rPr>
      </w:pPr>
      <w:r w:rsidRPr="00C55E0D">
        <w:rPr>
          <w:rFonts w:cs="Arial"/>
          <w:color w:val="002F5D"/>
        </w:rPr>
        <w:t>In most Cambridgeshire districts the White British group comprises around 90% of the population. In Cambridge, this is around 66% with a larger proportional contribution made by the White Other group and the Mixed/Others group where the proportion is bigger than in England.</w:t>
      </w:r>
    </w:p>
    <w:p w14:paraId="0D4ADF26" w14:textId="22E084DF" w:rsidR="001C23A4" w:rsidRPr="00466722" w:rsidRDefault="001C23A4" w:rsidP="001C23A4">
      <w:pPr>
        <w:pStyle w:val="ListParagraph"/>
        <w:numPr>
          <w:ilvl w:val="0"/>
          <w:numId w:val="22"/>
        </w:numPr>
        <w:spacing w:line="240" w:lineRule="auto"/>
        <w:rPr>
          <w:rFonts w:cs="Arial"/>
          <w:color w:val="002F5D"/>
        </w:rPr>
      </w:pPr>
      <w:r w:rsidRPr="00314A8F">
        <w:rPr>
          <w:rFonts w:cs="Arial"/>
          <w:color w:val="002F5D"/>
        </w:rPr>
        <w:t>Cambridge does have a higher proportion of people with Chinese ethnicity than England and a fairly similar proportion of people from the Indian/Pakistani/ Bangladeshi group than found nationally.</w:t>
      </w:r>
    </w:p>
    <w:p w14:paraId="793617C0" w14:textId="77777777" w:rsidR="006B6E8F" w:rsidRPr="00314A8F" w:rsidRDefault="006B6E8F" w:rsidP="00A938F7">
      <w:pPr>
        <w:pStyle w:val="ListParagraph"/>
        <w:numPr>
          <w:ilvl w:val="0"/>
          <w:numId w:val="22"/>
        </w:numPr>
        <w:spacing w:line="240" w:lineRule="auto"/>
        <w:rPr>
          <w:rFonts w:cs="Arial"/>
          <w:color w:val="002F5D"/>
        </w:rPr>
      </w:pPr>
      <w:r w:rsidRPr="00314A8F">
        <w:rPr>
          <w:rFonts w:cs="Arial"/>
          <w:color w:val="002F5D"/>
        </w:rPr>
        <w:t xml:space="preserve">Compared with England and Cambridgeshire, Peterborough has a much higher proportion of people from </w:t>
      </w:r>
      <w:r w:rsidR="004514E4" w:rsidRPr="00314A8F">
        <w:rPr>
          <w:rFonts w:cs="Arial"/>
          <w:color w:val="002F5D"/>
        </w:rPr>
        <w:t>‘</w:t>
      </w:r>
      <w:r w:rsidRPr="00314A8F">
        <w:rPr>
          <w:rFonts w:cs="Arial"/>
          <w:color w:val="002F5D"/>
        </w:rPr>
        <w:t>Asian: Indian/Pakistani/Bangladeshi</w:t>
      </w:r>
      <w:r w:rsidR="004514E4" w:rsidRPr="00314A8F">
        <w:rPr>
          <w:rFonts w:cs="Arial"/>
          <w:color w:val="002F5D"/>
        </w:rPr>
        <w:t>’</w:t>
      </w:r>
      <w:r w:rsidRPr="00314A8F">
        <w:rPr>
          <w:rFonts w:cs="Arial"/>
          <w:color w:val="002F5D"/>
        </w:rPr>
        <w:t xml:space="preserve"> ethnic groups (9.2% compared to 5.6% and 2.0% respectively).</w:t>
      </w:r>
    </w:p>
    <w:p w14:paraId="2B3A11E5" w14:textId="77777777" w:rsidR="006B6E8F" w:rsidRPr="00314A8F" w:rsidRDefault="004514E4" w:rsidP="00A938F7">
      <w:pPr>
        <w:pStyle w:val="ListParagraph"/>
        <w:numPr>
          <w:ilvl w:val="0"/>
          <w:numId w:val="22"/>
        </w:numPr>
        <w:spacing w:line="240" w:lineRule="auto"/>
        <w:rPr>
          <w:rFonts w:cs="Arial"/>
          <w:color w:val="002F5D"/>
        </w:rPr>
      </w:pPr>
      <w:r w:rsidRPr="00314A8F">
        <w:rPr>
          <w:rFonts w:cs="Arial"/>
          <w:color w:val="002F5D"/>
        </w:rPr>
        <w:t>All areas have</w:t>
      </w:r>
      <w:r w:rsidR="006B6E8F" w:rsidRPr="00314A8F">
        <w:rPr>
          <w:rFonts w:cs="Arial"/>
          <w:color w:val="002F5D"/>
        </w:rPr>
        <w:t xml:space="preserve"> much lower proportion</w:t>
      </w:r>
      <w:r w:rsidRPr="00314A8F">
        <w:rPr>
          <w:rFonts w:cs="Arial"/>
          <w:color w:val="002F5D"/>
        </w:rPr>
        <w:t>s</w:t>
      </w:r>
      <w:r w:rsidR="006B6E8F" w:rsidRPr="00314A8F">
        <w:rPr>
          <w:rFonts w:cs="Arial"/>
          <w:color w:val="002F5D"/>
        </w:rPr>
        <w:t xml:space="preserve"> of people from Black ethnic groups than found nationally.</w:t>
      </w:r>
    </w:p>
    <w:p w14:paraId="63FBD04D" w14:textId="75BB81A8" w:rsidR="00845D84" w:rsidRPr="00466722" w:rsidRDefault="006B6E8F" w:rsidP="00466722">
      <w:pPr>
        <w:pStyle w:val="ListParagraph"/>
        <w:numPr>
          <w:ilvl w:val="0"/>
          <w:numId w:val="22"/>
        </w:numPr>
        <w:spacing w:line="240" w:lineRule="auto"/>
        <w:rPr>
          <w:rFonts w:cs="Arial"/>
          <w:color w:val="FF0000"/>
        </w:rPr>
      </w:pPr>
      <w:r w:rsidRPr="00314A8F">
        <w:rPr>
          <w:rFonts w:cs="Arial"/>
          <w:color w:val="002F5D"/>
        </w:rPr>
        <w:t>Peterborough has a much higher proportion of people from White:</w:t>
      </w:r>
      <w:r w:rsidR="00A613E6" w:rsidRPr="00314A8F">
        <w:rPr>
          <w:rFonts w:cs="Arial"/>
          <w:color w:val="002F5D"/>
        </w:rPr>
        <w:t xml:space="preserve"> </w:t>
      </w:r>
      <w:r w:rsidRPr="00314A8F">
        <w:rPr>
          <w:rFonts w:cs="Arial"/>
          <w:color w:val="002F5D"/>
        </w:rPr>
        <w:t>Other ethnic groups than both Cambridgeshire and England.</w:t>
      </w:r>
    </w:p>
    <w:p w14:paraId="4EDFC721" w14:textId="1655AE05" w:rsidR="00845D84" w:rsidRDefault="00845D84" w:rsidP="006B6E8F">
      <w:pPr>
        <w:spacing w:line="240" w:lineRule="auto"/>
        <w:rPr>
          <w:rFonts w:cs="Arial"/>
          <w:color w:val="FF0000"/>
        </w:rPr>
      </w:pPr>
    </w:p>
    <w:p w14:paraId="7001C35D" w14:textId="5D6F43AC" w:rsidR="000D126D" w:rsidRDefault="000D126D" w:rsidP="006B6E8F">
      <w:pPr>
        <w:spacing w:line="240" w:lineRule="auto"/>
        <w:rPr>
          <w:rFonts w:cs="Arial"/>
          <w:color w:val="FF0000"/>
        </w:rPr>
      </w:pPr>
    </w:p>
    <w:p w14:paraId="10840EA1" w14:textId="77777777" w:rsidR="000D126D" w:rsidRDefault="000D126D" w:rsidP="006B6E8F">
      <w:pPr>
        <w:spacing w:line="240" w:lineRule="auto"/>
        <w:rPr>
          <w:rFonts w:cs="Arial"/>
          <w:color w:val="FF0000"/>
        </w:rPr>
      </w:pPr>
    </w:p>
    <w:p w14:paraId="44C658B0" w14:textId="77777777" w:rsidR="00845D84" w:rsidRDefault="00845D84" w:rsidP="006B6E8F">
      <w:pPr>
        <w:spacing w:line="240" w:lineRule="auto"/>
        <w:rPr>
          <w:rFonts w:cs="Arial"/>
          <w:color w:val="FF0000"/>
        </w:rPr>
      </w:pPr>
    </w:p>
    <w:p w14:paraId="1A39AA74" w14:textId="03E67839" w:rsidR="002632A1" w:rsidRDefault="00833567" w:rsidP="00036266">
      <w:pPr>
        <w:pStyle w:val="JSNA2"/>
      </w:pPr>
      <w:bookmarkStart w:id="738" w:name="_Toc4407837"/>
      <w:r>
        <w:lastRenderedPageBreak/>
        <w:t>Other Populations</w:t>
      </w:r>
      <w:bookmarkEnd w:id="738"/>
      <w:r>
        <w:t xml:space="preserve"> </w:t>
      </w:r>
    </w:p>
    <w:p w14:paraId="314CD705" w14:textId="77777777" w:rsidR="002632A1" w:rsidRDefault="002632A1" w:rsidP="006B6E8F">
      <w:pPr>
        <w:spacing w:line="240" w:lineRule="auto"/>
        <w:rPr>
          <w:rFonts w:cs="Arial"/>
          <w:color w:val="FF0000"/>
        </w:rPr>
      </w:pPr>
    </w:p>
    <w:p w14:paraId="6E2F89CE" w14:textId="5C27F4C8" w:rsidR="00833567" w:rsidRPr="0037351D" w:rsidRDefault="00833567" w:rsidP="00A3568F">
      <w:pPr>
        <w:pStyle w:val="JSNA3"/>
      </w:pPr>
      <w:bookmarkStart w:id="739" w:name="_Toc4407838"/>
      <w:r>
        <w:t>Armed Forces Population</w:t>
      </w:r>
      <w:bookmarkEnd w:id="739"/>
    </w:p>
    <w:p w14:paraId="01B993AC" w14:textId="77777777" w:rsidR="00833567" w:rsidRDefault="00833567" w:rsidP="006B6E8F">
      <w:pPr>
        <w:spacing w:line="240" w:lineRule="auto"/>
        <w:rPr>
          <w:rFonts w:cs="Arial"/>
          <w:color w:val="FF0000"/>
        </w:rPr>
      </w:pPr>
    </w:p>
    <w:p w14:paraId="645652D1" w14:textId="4EC18735" w:rsidR="00036266" w:rsidRPr="0010344E" w:rsidRDefault="00036266" w:rsidP="00466722">
      <w:pPr>
        <w:spacing w:line="240" w:lineRule="auto"/>
        <w:rPr>
          <w:color w:val="002F5D"/>
        </w:rPr>
      </w:pPr>
      <w:r w:rsidRPr="0010344E">
        <w:rPr>
          <w:color w:val="002F5D"/>
        </w:rPr>
        <w:t>The armed forces community includes serving personnel (both regulars and reservists) and their families, together with veterans and their families.  There are approximately 150,000 serving personnel living in England and across the UK there are 101,393 dependent adults and 57,590 dependent children</w:t>
      </w:r>
      <w:r w:rsidR="007F3B94" w:rsidRPr="0010344E">
        <w:rPr>
          <w:rStyle w:val="FootnoteReference"/>
          <w:color w:val="002F5D"/>
        </w:rPr>
        <w:footnoteReference w:id="2"/>
      </w:r>
      <w:r w:rsidR="00635F41" w:rsidRPr="0010344E">
        <w:rPr>
          <w:color w:val="002F5D"/>
          <w:vertAlign w:val="superscript"/>
        </w:rPr>
        <w:t>,</w:t>
      </w:r>
      <w:r w:rsidR="00635F41" w:rsidRPr="0010344E">
        <w:rPr>
          <w:rStyle w:val="FootnoteReference"/>
          <w:color w:val="002F5D"/>
        </w:rPr>
        <w:footnoteReference w:id="3"/>
      </w:r>
      <w:r w:rsidRPr="0010344E">
        <w:rPr>
          <w:color w:val="002F5D"/>
        </w:rPr>
        <w:t>, with around 8% of children aged 0-15 in the UK being from current and ex-serving armed forces families.</w:t>
      </w:r>
    </w:p>
    <w:p w14:paraId="54B7A50D" w14:textId="286F0B34" w:rsidR="00770143" w:rsidRPr="0010344E" w:rsidRDefault="00036266" w:rsidP="00466722">
      <w:pPr>
        <w:spacing w:before="100" w:beforeAutospacing="1" w:after="100" w:afterAutospacing="1" w:line="240" w:lineRule="auto"/>
        <w:rPr>
          <w:color w:val="002F5D"/>
        </w:rPr>
      </w:pPr>
      <w:r w:rsidRPr="0010344E">
        <w:rPr>
          <w:color w:val="002F5D"/>
        </w:rPr>
        <w:t>The Royal British Legion’s Household Survey 2014</w:t>
      </w:r>
      <w:r w:rsidRPr="0010344E">
        <w:rPr>
          <w:color w:val="002F5D"/>
          <w:vertAlign w:val="superscript"/>
        </w:rPr>
        <w:t xml:space="preserve"> </w:t>
      </w:r>
      <w:r w:rsidRPr="0010344E">
        <w:rPr>
          <w:color w:val="002F5D"/>
        </w:rPr>
        <w:t xml:space="preserve">estimates that there are around 6 million members of the ex-service community living in the UK which includes 2.8 million ex-service personnel, 2.1 million dependent adults including spouses and widows and 1 million dependent children.  The ex-service community is elderly and declining in size with 64% of ex-service men and women aged over 65 </w:t>
      </w:r>
      <w:r w:rsidR="00501CC2" w:rsidRPr="0010344E">
        <w:rPr>
          <w:color w:val="002F5D"/>
        </w:rPr>
        <w:t>and</w:t>
      </w:r>
      <w:r w:rsidRPr="0010344E">
        <w:rPr>
          <w:color w:val="002F5D"/>
        </w:rPr>
        <w:t xml:space="preserve"> almost half aged over 75.  This reflects the large number of people who served during the Second World War or undertook post-war service</w:t>
      </w:r>
      <w:r w:rsidR="00A503BC" w:rsidRPr="0010344E">
        <w:rPr>
          <w:color w:val="002F5D"/>
          <w:vertAlign w:val="superscript"/>
        </w:rPr>
        <w:t>2</w:t>
      </w:r>
      <w:r w:rsidR="00A503BC" w:rsidRPr="0010344E">
        <w:rPr>
          <w:rStyle w:val="FootnoteReference"/>
          <w:color w:val="002F5D"/>
        </w:rPr>
        <w:t xml:space="preserve"> </w:t>
      </w:r>
      <w:r w:rsidR="00A503BC" w:rsidRPr="0010344E">
        <w:rPr>
          <w:color w:val="002F5D"/>
        </w:rPr>
        <w:t>.</w:t>
      </w:r>
    </w:p>
    <w:p w14:paraId="3D3AE016" w14:textId="4DCF9320" w:rsidR="00036266" w:rsidRPr="0010344E" w:rsidRDefault="00036266" w:rsidP="00466722">
      <w:pPr>
        <w:spacing w:before="100" w:beforeAutospacing="1" w:after="100" w:afterAutospacing="1" w:line="240" w:lineRule="auto"/>
        <w:rPr>
          <w:color w:val="002F5D"/>
        </w:rPr>
      </w:pPr>
      <w:r w:rsidRPr="0010344E">
        <w:rPr>
          <w:color w:val="002F5D"/>
        </w:rPr>
        <w:t>According to the 2011 Census, over 4,100 residents in Cambridgeshire and Peterborough were employed in the Armed Forces</w:t>
      </w:r>
      <w:r w:rsidR="00501CC2" w:rsidRPr="0010344E">
        <w:rPr>
          <w:color w:val="002F5D"/>
        </w:rPr>
        <w:t>;</w:t>
      </w:r>
      <w:r w:rsidRPr="0010344E">
        <w:rPr>
          <w:color w:val="002F5D"/>
        </w:rPr>
        <w:t xml:space="preserve"> just under 950 in Peterborough and nearly 3,200 in Cambridgeshire.  As at 31 March 2017 the number of people in receipt payment under the Armed Forces Pension Scheme (AFPS) was 7,571</w:t>
      </w:r>
      <w:r w:rsidR="00A503BC" w:rsidRPr="0010344E">
        <w:rPr>
          <w:color w:val="002F5D"/>
        </w:rPr>
        <w:t xml:space="preserve">, see table </w:t>
      </w:r>
      <w:r w:rsidR="006B19C2" w:rsidRPr="00E61D24">
        <w:rPr>
          <w:color w:val="002F5D"/>
        </w:rPr>
        <w:t>17</w:t>
      </w:r>
      <w:r w:rsidR="00A503BC" w:rsidRPr="0010344E">
        <w:rPr>
          <w:color w:val="002F5D"/>
        </w:rPr>
        <w:t xml:space="preserve"> below</w:t>
      </w:r>
      <w:r w:rsidRPr="0010344E">
        <w:rPr>
          <w:color w:val="002F5D"/>
        </w:rPr>
        <w:t>.</w:t>
      </w:r>
    </w:p>
    <w:p w14:paraId="57F4C693" w14:textId="77777777" w:rsidR="00036266" w:rsidRDefault="00036266" w:rsidP="00036266">
      <w:pPr>
        <w:rPr>
          <w:color w:val="002F5D"/>
        </w:rPr>
      </w:pPr>
    </w:p>
    <w:p w14:paraId="60353D69" w14:textId="51992A7F" w:rsidR="00E969F7" w:rsidRDefault="00770143" w:rsidP="00036266">
      <w:pPr>
        <w:rPr>
          <w:color w:val="002F5D"/>
        </w:rPr>
      </w:pPr>
      <w:r w:rsidRPr="006B19C2">
        <w:rPr>
          <w:b/>
          <w:color w:val="002F5D"/>
        </w:rPr>
        <w:t xml:space="preserve">Table </w:t>
      </w:r>
      <w:r w:rsidR="006B19C2">
        <w:rPr>
          <w:b/>
          <w:color w:val="002F5D"/>
        </w:rPr>
        <w:t>16.</w:t>
      </w:r>
      <w:r w:rsidRPr="006B19C2">
        <w:rPr>
          <w:b/>
          <w:color w:val="002F5D"/>
        </w:rPr>
        <w:t xml:space="preserve"> </w:t>
      </w:r>
      <w:r w:rsidR="00036266" w:rsidRPr="00466722">
        <w:rPr>
          <w:color w:val="002F5D"/>
        </w:rPr>
        <w:t>All usual residents employed in the Armed Forces</w:t>
      </w:r>
    </w:p>
    <w:p w14:paraId="1FBCA2FD" w14:textId="77777777" w:rsidR="002027D2" w:rsidRPr="00A42F73" w:rsidRDefault="002027D2" w:rsidP="00036266">
      <w:pPr>
        <w:rPr>
          <w:b/>
          <w:color w:val="002F5D"/>
        </w:rPr>
      </w:pPr>
    </w:p>
    <w:p w14:paraId="7E02C67D" w14:textId="77777777" w:rsidR="00036266" w:rsidRDefault="00036266" w:rsidP="00036266">
      <w:pPr>
        <w:rPr>
          <w:color w:val="002F5D"/>
        </w:rPr>
      </w:pPr>
      <w:r w:rsidRPr="00A42F73">
        <w:rPr>
          <w:noProof/>
          <w:lang w:eastAsia="en-GB"/>
        </w:rPr>
        <w:drawing>
          <wp:inline distT="0" distB="0" distL="0" distR="0" wp14:anchorId="60A7C7B3" wp14:editId="1FA4FFBC">
            <wp:extent cx="5334000" cy="21621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34000" cy="2162175"/>
                    </a:xfrm>
                    <a:prstGeom prst="rect">
                      <a:avLst/>
                    </a:prstGeom>
                    <a:noFill/>
                    <a:ln>
                      <a:noFill/>
                    </a:ln>
                  </pic:spPr>
                </pic:pic>
              </a:graphicData>
            </a:graphic>
          </wp:inline>
        </w:drawing>
      </w:r>
    </w:p>
    <w:p w14:paraId="4B85B4C7" w14:textId="77777777" w:rsidR="00036266" w:rsidRPr="00A42F73" w:rsidRDefault="00036266" w:rsidP="00036266">
      <w:pPr>
        <w:spacing w:line="240" w:lineRule="auto"/>
        <w:rPr>
          <w:rFonts w:ascii="Calibri" w:eastAsia="Times New Roman" w:hAnsi="Calibri" w:cs="Times New Roman"/>
          <w:color w:val="002F5D"/>
          <w:lang w:eastAsia="en-GB"/>
        </w:rPr>
      </w:pPr>
      <w:r w:rsidRPr="00466722">
        <w:rPr>
          <w:rFonts w:ascii="Calibri" w:eastAsia="Times New Roman" w:hAnsi="Calibri" w:cs="Times New Roman"/>
          <w:b/>
          <w:color w:val="002F5D"/>
          <w:lang w:eastAsia="en-GB"/>
        </w:rPr>
        <w:t>Source:</w:t>
      </w:r>
      <w:r w:rsidRPr="00A42F73">
        <w:rPr>
          <w:rFonts w:ascii="Calibri" w:eastAsia="Times New Roman" w:hAnsi="Calibri" w:cs="Times New Roman"/>
          <w:color w:val="002F5D"/>
          <w:lang w:eastAsia="en-GB"/>
        </w:rPr>
        <w:t xml:space="preserve">  Census 2011 QS121EW - Armed Forces table</w:t>
      </w:r>
    </w:p>
    <w:p w14:paraId="362E0E78" w14:textId="6A9757D1" w:rsidR="002F6633" w:rsidRDefault="002F6633" w:rsidP="00036266">
      <w:pPr>
        <w:rPr>
          <w:color w:val="002F5D"/>
        </w:rPr>
      </w:pPr>
    </w:p>
    <w:p w14:paraId="71615F53" w14:textId="69110BA2" w:rsidR="002F6633" w:rsidRDefault="002F6633" w:rsidP="00036266">
      <w:pPr>
        <w:rPr>
          <w:color w:val="002F5D"/>
        </w:rPr>
      </w:pPr>
    </w:p>
    <w:p w14:paraId="4DF83C9D" w14:textId="07B689A1" w:rsidR="002027D2" w:rsidRDefault="002027D2" w:rsidP="00036266">
      <w:pPr>
        <w:rPr>
          <w:color w:val="002F5D"/>
        </w:rPr>
      </w:pPr>
    </w:p>
    <w:p w14:paraId="4D507112" w14:textId="0DA6B6B2" w:rsidR="002027D2" w:rsidRDefault="002027D2" w:rsidP="00036266">
      <w:pPr>
        <w:rPr>
          <w:color w:val="002F5D"/>
        </w:rPr>
      </w:pPr>
    </w:p>
    <w:p w14:paraId="4FBB72C0" w14:textId="0F5FF7E8" w:rsidR="000D126D" w:rsidRDefault="000D126D" w:rsidP="00036266">
      <w:pPr>
        <w:rPr>
          <w:color w:val="002F5D"/>
        </w:rPr>
      </w:pPr>
    </w:p>
    <w:p w14:paraId="6FB63766" w14:textId="77777777" w:rsidR="000D126D" w:rsidRDefault="000D126D" w:rsidP="00036266">
      <w:pPr>
        <w:rPr>
          <w:color w:val="002F5D"/>
        </w:rPr>
      </w:pPr>
    </w:p>
    <w:p w14:paraId="1AAF6765" w14:textId="77777777" w:rsidR="00036266" w:rsidRDefault="00036266" w:rsidP="00036266">
      <w:pPr>
        <w:rPr>
          <w:color w:val="002F5D"/>
        </w:rPr>
      </w:pPr>
    </w:p>
    <w:p w14:paraId="3E847840" w14:textId="167548C3" w:rsidR="00036266" w:rsidRDefault="00770143" w:rsidP="00036266">
      <w:pPr>
        <w:rPr>
          <w:color w:val="002F5D"/>
        </w:rPr>
      </w:pPr>
      <w:r w:rsidRPr="006B19C2">
        <w:rPr>
          <w:b/>
          <w:color w:val="002F5D"/>
        </w:rPr>
        <w:lastRenderedPageBreak/>
        <w:t xml:space="preserve">Table </w:t>
      </w:r>
      <w:r w:rsidR="007965E4" w:rsidRPr="00E61D24">
        <w:rPr>
          <w:b/>
          <w:color w:val="002F5D"/>
        </w:rPr>
        <w:t>17</w:t>
      </w:r>
      <w:r w:rsidR="006B19C2">
        <w:rPr>
          <w:b/>
          <w:color w:val="002F5D"/>
        </w:rPr>
        <w:t>.</w:t>
      </w:r>
      <w:r w:rsidRPr="006B19C2">
        <w:rPr>
          <w:b/>
          <w:color w:val="002F5D"/>
        </w:rPr>
        <w:t xml:space="preserve"> </w:t>
      </w:r>
      <w:r w:rsidR="00036266" w:rsidRPr="00466722">
        <w:rPr>
          <w:color w:val="002F5D"/>
        </w:rPr>
        <w:t>Individuals in receipt of an occupational pension under the Armed Forces Pension Scheme (AFPS)</w:t>
      </w:r>
      <w:r w:rsidR="00635F41" w:rsidRPr="00466722">
        <w:rPr>
          <w:color w:val="002F5D"/>
        </w:rPr>
        <w:t xml:space="preserve">, an ongoing pension under the </w:t>
      </w:r>
      <w:r w:rsidR="00036266" w:rsidRPr="00466722">
        <w:rPr>
          <w:color w:val="002F5D"/>
        </w:rPr>
        <w:t>War Pensions Scheme (WPS), and those that have been awarded compens</w:t>
      </w:r>
      <w:r w:rsidR="004C0B46" w:rsidRPr="00466722">
        <w:rPr>
          <w:color w:val="002F5D"/>
        </w:rPr>
        <w:t xml:space="preserve">ation under the AFCS, by area, </w:t>
      </w:r>
      <w:r w:rsidR="00036266" w:rsidRPr="00466722">
        <w:rPr>
          <w:color w:val="002F5D"/>
        </w:rPr>
        <w:t>31 March 2017</w:t>
      </w:r>
    </w:p>
    <w:p w14:paraId="44FA54F2" w14:textId="77777777" w:rsidR="00E969F7" w:rsidRDefault="00E969F7" w:rsidP="00036266">
      <w:pPr>
        <w:rPr>
          <w:b/>
          <w:color w:val="002F5D"/>
        </w:rPr>
      </w:pPr>
    </w:p>
    <w:p w14:paraId="561E4E0E" w14:textId="565B4B54" w:rsidR="00036266" w:rsidRPr="0095528C" w:rsidRDefault="00E969F7" w:rsidP="00036266">
      <w:pPr>
        <w:rPr>
          <w:b/>
          <w:color w:val="002F5D"/>
        </w:rPr>
      </w:pPr>
      <w:r w:rsidRPr="00E969F7">
        <w:rPr>
          <w:noProof/>
          <w:lang w:eastAsia="en-GB"/>
        </w:rPr>
        <w:drawing>
          <wp:inline distT="0" distB="0" distL="0" distR="0" wp14:anchorId="2D5CE48C" wp14:editId="0DC1FE5E">
            <wp:extent cx="4876800" cy="2379406"/>
            <wp:effectExtent l="0" t="0" r="0" b="190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81994" cy="2381940"/>
                    </a:xfrm>
                    <a:prstGeom prst="rect">
                      <a:avLst/>
                    </a:prstGeom>
                    <a:noFill/>
                    <a:ln>
                      <a:noFill/>
                    </a:ln>
                  </pic:spPr>
                </pic:pic>
              </a:graphicData>
            </a:graphic>
          </wp:inline>
        </w:drawing>
      </w:r>
    </w:p>
    <w:p w14:paraId="79B4FDEC" w14:textId="25AFB508" w:rsidR="00CD5204" w:rsidRPr="00AB31EF" w:rsidRDefault="00CD5204" w:rsidP="00036266">
      <w:pPr>
        <w:rPr>
          <w:color w:val="002F5D"/>
        </w:rPr>
      </w:pPr>
    </w:p>
    <w:p w14:paraId="31A028A4" w14:textId="77777777" w:rsidR="00036266" w:rsidRPr="00A503BC" w:rsidRDefault="00036266" w:rsidP="00036266">
      <w:pPr>
        <w:rPr>
          <w:color w:val="002F5D"/>
          <w:sz w:val="18"/>
          <w:szCs w:val="18"/>
        </w:rPr>
      </w:pPr>
      <w:r w:rsidRPr="00A503BC">
        <w:rPr>
          <w:color w:val="002F5D"/>
          <w:sz w:val="18"/>
          <w:szCs w:val="18"/>
        </w:rPr>
        <w:t>Notes</w:t>
      </w:r>
    </w:p>
    <w:p w14:paraId="6843E8AD" w14:textId="77777777" w:rsidR="00036266" w:rsidRPr="00A503BC" w:rsidRDefault="00036266" w:rsidP="00036266">
      <w:pPr>
        <w:pStyle w:val="ListParagraph"/>
        <w:numPr>
          <w:ilvl w:val="0"/>
          <w:numId w:val="81"/>
        </w:numPr>
        <w:spacing w:after="160" w:line="259" w:lineRule="auto"/>
        <w:rPr>
          <w:color w:val="002F5D"/>
          <w:sz w:val="18"/>
          <w:szCs w:val="18"/>
        </w:rPr>
      </w:pPr>
      <w:r w:rsidRPr="00A503BC">
        <w:rPr>
          <w:color w:val="002F5D"/>
          <w:sz w:val="18"/>
          <w:szCs w:val="18"/>
        </w:rPr>
        <w:t>Subtotals can't be summed as an individual may be in receipt under more than one scheme.</w:t>
      </w:r>
    </w:p>
    <w:p w14:paraId="10423188" w14:textId="58BD5AAA" w:rsidR="00036266" w:rsidRPr="00A503BC" w:rsidRDefault="00036266" w:rsidP="00A503BC">
      <w:pPr>
        <w:pStyle w:val="ListParagraph"/>
        <w:numPr>
          <w:ilvl w:val="0"/>
          <w:numId w:val="81"/>
        </w:numPr>
        <w:rPr>
          <w:color w:val="002F5D"/>
          <w:sz w:val="18"/>
          <w:szCs w:val="18"/>
        </w:rPr>
      </w:pPr>
      <w:r w:rsidRPr="00A503BC">
        <w:rPr>
          <w:color w:val="002F5D"/>
          <w:sz w:val="18"/>
          <w:szCs w:val="18"/>
        </w:rPr>
        <w:t>Includes ex-serving personnel who are in receipt of their pension. Does not include pensioners in receipt of AFPS 15. Please see background quality report for more details.</w:t>
      </w:r>
    </w:p>
    <w:p w14:paraId="5E61606F" w14:textId="77777777" w:rsidR="00A503BC" w:rsidRPr="00A503BC" w:rsidRDefault="00A503BC" w:rsidP="00A503BC">
      <w:pPr>
        <w:pStyle w:val="ListParagraph"/>
        <w:rPr>
          <w:color w:val="002F5D"/>
          <w:sz w:val="18"/>
          <w:szCs w:val="18"/>
        </w:rPr>
      </w:pPr>
    </w:p>
    <w:p w14:paraId="5672EB79" w14:textId="77777777" w:rsidR="00036266" w:rsidRDefault="00036266" w:rsidP="00036266">
      <w:pPr>
        <w:spacing w:line="240" w:lineRule="auto"/>
        <w:rPr>
          <w:rFonts w:ascii="Arial" w:eastAsia="Times New Roman" w:hAnsi="Arial" w:cs="Arial"/>
          <w:bCs/>
          <w:color w:val="002F5D"/>
          <w:sz w:val="20"/>
          <w:szCs w:val="20"/>
          <w:lang w:eastAsia="en-GB"/>
        </w:rPr>
      </w:pPr>
      <w:r w:rsidRPr="00466722">
        <w:rPr>
          <w:rFonts w:ascii="Arial" w:eastAsia="Times New Roman" w:hAnsi="Arial" w:cs="Arial"/>
          <w:b/>
          <w:bCs/>
          <w:color w:val="002F5D"/>
          <w:sz w:val="20"/>
          <w:szCs w:val="20"/>
          <w:lang w:eastAsia="en-GB"/>
        </w:rPr>
        <w:t>Source</w:t>
      </w:r>
      <w:r w:rsidRPr="00A42F73">
        <w:rPr>
          <w:rFonts w:ascii="Arial" w:eastAsia="Times New Roman" w:hAnsi="Arial" w:cs="Arial"/>
          <w:bCs/>
          <w:color w:val="002F5D"/>
          <w:sz w:val="20"/>
          <w:szCs w:val="20"/>
          <w:lang w:eastAsia="en-GB"/>
        </w:rPr>
        <w:t>: Compensation and Pension System; War Pension Computer System</w:t>
      </w:r>
    </w:p>
    <w:p w14:paraId="587A4148" w14:textId="77777777" w:rsidR="00A503BC" w:rsidRPr="00466722" w:rsidRDefault="00A503BC" w:rsidP="00036266">
      <w:pPr>
        <w:spacing w:line="240" w:lineRule="auto"/>
        <w:rPr>
          <w:rFonts w:ascii="Calibri" w:eastAsia="Times New Roman" w:hAnsi="Calibri" w:cs="Calibri"/>
          <w:bCs/>
          <w:color w:val="002F5D"/>
          <w:lang w:eastAsia="en-GB"/>
        </w:rPr>
      </w:pPr>
    </w:p>
    <w:p w14:paraId="1AAC5571" w14:textId="269DB0D5" w:rsidR="00036266" w:rsidRDefault="00770143" w:rsidP="00036266">
      <w:pPr>
        <w:spacing w:line="240" w:lineRule="auto"/>
        <w:rPr>
          <w:rFonts w:ascii="Calibri" w:eastAsia="Times New Roman" w:hAnsi="Calibri" w:cs="Calibri"/>
          <w:bCs/>
          <w:color w:val="002F5D"/>
          <w:lang w:eastAsia="en-GB"/>
        </w:rPr>
      </w:pPr>
      <w:r w:rsidRPr="00466722">
        <w:rPr>
          <w:rFonts w:ascii="Calibri" w:eastAsia="Times New Roman" w:hAnsi="Calibri" w:cs="Calibri"/>
          <w:b/>
          <w:bCs/>
          <w:color w:val="002F5D"/>
          <w:lang w:eastAsia="en-GB"/>
        </w:rPr>
        <w:t xml:space="preserve">Table </w:t>
      </w:r>
      <w:r w:rsidR="007965E4" w:rsidRPr="00E61D24">
        <w:rPr>
          <w:rFonts w:ascii="Calibri" w:eastAsia="Times New Roman" w:hAnsi="Calibri" w:cs="Calibri"/>
          <w:b/>
          <w:bCs/>
          <w:color w:val="002F5D"/>
          <w:lang w:eastAsia="en-GB"/>
        </w:rPr>
        <w:t>18</w:t>
      </w:r>
      <w:r w:rsidR="007965E4" w:rsidRPr="006B19C2">
        <w:rPr>
          <w:rFonts w:ascii="Calibri" w:eastAsia="Times New Roman" w:hAnsi="Calibri" w:cs="Calibri"/>
          <w:b/>
          <w:bCs/>
          <w:color w:val="002F5D"/>
          <w:lang w:eastAsia="en-GB"/>
        </w:rPr>
        <w:t>.</w:t>
      </w:r>
      <w:r w:rsidRPr="00466722">
        <w:rPr>
          <w:rFonts w:ascii="Calibri" w:eastAsia="Times New Roman" w:hAnsi="Calibri" w:cs="Calibri"/>
          <w:b/>
          <w:bCs/>
          <w:color w:val="002F5D"/>
          <w:lang w:eastAsia="en-GB"/>
        </w:rPr>
        <w:t xml:space="preserve"> </w:t>
      </w:r>
      <w:r w:rsidR="00036266" w:rsidRPr="00466722">
        <w:rPr>
          <w:rFonts w:ascii="Calibri" w:eastAsia="Times New Roman" w:hAnsi="Calibri" w:cs="Calibri"/>
          <w:bCs/>
          <w:color w:val="002F5D"/>
          <w:lang w:eastAsia="en-GB"/>
        </w:rPr>
        <w:t>UK Armed Forces personnel and entitled civilian personnel Defence Medical Services (DMS) registrations, October 2018</w:t>
      </w:r>
    </w:p>
    <w:p w14:paraId="58087726" w14:textId="004F8E7F" w:rsidR="000D126D" w:rsidRDefault="000D126D" w:rsidP="00036266">
      <w:pPr>
        <w:spacing w:line="240" w:lineRule="auto"/>
        <w:rPr>
          <w:rFonts w:ascii="Calibri" w:eastAsia="Times New Roman" w:hAnsi="Calibri" w:cs="Calibri"/>
          <w:bCs/>
          <w:color w:val="002F5D"/>
          <w:lang w:eastAsia="en-GB"/>
        </w:rPr>
      </w:pPr>
    </w:p>
    <w:p w14:paraId="071A4720" w14:textId="6AE15782" w:rsidR="000D126D" w:rsidRPr="00466722" w:rsidRDefault="000D126D" w:rsidP="00036266">
      <w:pPr>
        <w:spacing w:line="240" w:lineRule="auto"/>
        <w:rPr>
          <w:rFonts w:ascii="Calibri" w:eastAsia="Times New Roman" w:hAnsi="Calibri" w:cs="Calibri"/>
          <w:b/>
          <w:bCs/>
          <w:color w:val="002F5D"/>
          <w:lang w:eastAsia="en-GB"/>
        </w:rPr>
      </w:pPr>
      <w:r w:rsidRPr="000D126D">
        <w:rPr>
          <w:noProof/>
          <w:lang w:eastAsia="en-GB"/>
        </w:rPr>
        <w:drawing>
          <wp:inline distT="0" distB="0" distL="0" distR="0" wp14:anchorId="2B6E824F" wp14:editId="052670B5">
            <wp:extent cx="6120130" cy="93926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939265"/>
                    </a:xfrm>
                    <a:prstGeom prst="rect">
                      <a:avLst/>
                    </a:prstGeom>
                    <a:noFill/>
                    <a:ln>
                      <a:noFill/>
                    </a:ln>
                  </pic:spPr>
                </pic:pic>
              </a:graphicData>
            </a:graphic>
          </wp:inline>
        </w:drawing>
      </w:r>
    </w:p>
    <w:p w14:paraId="2E2901FB" w14:textId="6BEC55E0" w:rsidR="000D126D" w:rsidRDefault="000D126D" w:rsidP="00036266">
      <w:pPr>
        <w:spacing w:line="240" w:lineRule="auto"/>
        <w:rPr>
          <w:rFonts w:ascii="Arial" w:eastAsia="Times New Roman" w:hAnsi="Arial" w:cs="Arial"/>
          <w:b/>
          <w:bCs/>
          <w:color w:val="002F5D"/>
          <w:sz w:val="20"/>
          <w:szCs w:val="20"/>
          <w:lang w:eastAsia="en-GB"/>
        </w:rPr>
      </w:pPr>
    </w:p>
    <w:p w14:paraId="4EE669AE" w14:textId="77777777" w:rsidR="00036266" w:rsidRDefault="00036266" w:rsidP="00036266">
      <w:pPr>
        <w:rPr>
          <w:rFonts w:ascii="Arial" w:eastAsia="Times New Roman" w:hAnsi="Arial" w:cs="Arial"/>
          <w:color w:val="0000FF"/>
          <w:sz w:val="20"/>
          <w:szCs w:val="20"/>
          <w:u w:val="single"/>
          <w:lang w:eastAsia="en-GB"/>
        </w:rPr>
      </w:pPr>
      <w:r>
        <w:rPr>
          <w:color w:val="002F5D"/>
        </w:rPr>
        <w:t>Source: Defen</w:t>
      </w:r>
      <w:r w:rsidRPr="009228D6">
        <w:rPr>
          <w:color w:val="002F5D"/>
        </w:rPr>
        <w:t xml:space="preserve">ce Statistics Health. </w:t>
      </w:r>
      <w:hyperlink r:id="rId83" w:history="1">
        <w:r w:rsidRPr="00466722">
          <w:rPr>
            <w:rFonts w:ascii="Arial" w:eastAsia="Times New Roman" w:hAnsi="Arial" w:cs="Arial"/>
            <w:color w:val="002F5D"/>
            <w:sz w:val="20"/>
            <w:szCs w:val="20"/>
            <w:u w:val="single"/>
            <w:lang w:eastAsia="en-GB"/>
          </w:rPr>
          <w:t>https://www.gov.uk/government/consultations/proposed-reduced-frequency-of-the-quarterly-nhs-commissioning-population-statistics-official-statistic</w:t>
        </w:r>
      </w:hyperlink>
    </w:p>
    <w:p w14:paraId="0E3CE492" w14:textId="77777777" w:rsidR="00770143" w:rsidRPr="00765DA9" w:rsidRDefault="00770143" w:rsidP="00036266">
      <w:pPr>
        <w:rPr>
          <w:rFonts w:ascii="Arial" w:eastAsia="Times New Roman" w:hAnsi="Arial" w:cs="Arial"/>
          <w:color w:val="0000FF"/>
          <w:sz w:val="20"/>
          <w:szCs w:val="20"/>
          <w:u w:val="single"/>
          <w:lang w:eastAsia="en-GB"/>
        </w:rPr>
      </w:pPr>
    </w:p>
    <w:p w14:paraId="78710CE0" w14:textId="2603537F" w:rsidR="00036266" w:rsidRDefault="00036266" w:rsidP="00466722">
      <w:pPr>
        <w:spacing w:line="240" w:lineRule="auto"/>
        <w:rPr>
          <w:color w:val="002F5D"/>
        </w:rPr>
      </w:pPr>
      <w:r>
        <w:rPr>
          <w:color w:val="002F5D"/>
        </w:rPr>
        <w:t xml:space="preserve">In general, the health of the </w:t>
      </w:r>
      <w:r w:rsidR="00501CC2">
        <w:rPr>
          <w:color w:val="002F5D"/>
        </w:rPr>
        <w:t xml:space="preserve">serving </w:t>
      </w:r>
      <w:r>
        <w:rPr>
          <w:color w:val="002F5D"/>
        </w:rPr>
        <w:t>military population is good compared with the general population, due to the expected physical fitness required to join the armed forces, social support networks available, and access to health care and employment.  The higher levels of occupational physical activity for armed forces personnel though point to a higher prevalence of musculoskeletal injury</w:t>
      </w:r>
      <w:r w:rsidR="00D65845" w:rsidRPr="00D65845">
        <w:rPr>
          <w:rStyle w:val="FootnoteReference"/>
          <w:color w:val="002F5D"/>
        </w:rPr>
        <w:t xml:space="preserve"> </w:t>
      </w:r>
      <w:r w:rsidR="00D65845">
        <w:rPr>
          <w:rStyle w:val="FootnoteReference"/>
          <w:color w:val="002F5D"/>
        </w:rPr>
        <w:footnoteReference w:id="4"/>
      </w:r>
      <w:r>
        <w:rPr>
          <w:color w:val="002F5D"/>
        </w:rPr>
        <w:t>.</w:t>
      </w:r>
    </w:p>
    <w:p w14:paraId="118B98C3" w14:textId="77777777" w:rsidR="00770143" w:rsidRPr="00AB31EF" w:rsidRDefault="00770143" w:rsidP="00466722">
      <w:pPr>
        <w:spacing w:line="240" w:lineRule="auto"/>
        <w:rPr>
          <w:color w:val="002F5D"/>
        </w:rPr>
      </w:pPr>
    </w:p>
    <w:p w14:paraId="4D698669" w14:textId="21F07F70" w:rsidR="00036266" w:rsidRDefault="00036266">
      <w:pPr>
        <w:spacing w:line="240" w:lineRule="auto"/>
        <w:rPr>
          <w:rFonts w:cs="Arial"/>
          <w:color w:val="FF0000"/>
        </w:rPr>
      </w:pPr>
      <w:r>
        <w:rPr>
          <w:color w:val="002F5D"/>
        </w:rPr>
        <w:t>In terms of veterans, t</w:t>
      </w:r>
      <w:r w:rsidRPr="00AB31EF">
        <w:rPr>
          <w:color w:val="002F5D"/>
        </w:rPr>
        <w:t>he UK Household Survey of the Ex-Service Community 2014 reports that the key differences between the working age ex-Service community and the general population are</w:t>
      </w:r>
      <w:r>
        <w:rPr>
          <w:color w:val="002F5D"/>
        </w:rPr>
        <w:t xml:space="preserve"> that they are more likely to </w:t>
      </w:r>
      <w:r w:rsidRPr="00AB31EF">
        <w:rPr>
          <w:color w:val="002F5D"/>
        </w:rPr>
        <w:t xml:space="preserve">have unpaid caring responsibilities, to report health conditions that limit their daily activity - particularly </w:t>
      </w:r>
      <w:r>
        <w:rPr>
          <w:color w:val="002F5D"/>
        </w:rPr>
        <w:t>difficulty hearing and musculoskeletal problems – and they are more likely to report being depressed.  It also reports that they are more likely to be</w:t>
      </w:r>
      <w:r w:rsidRPr="00AB31EF">
        <w:rPr>
          <w:color w:val="002F5D"/>
        </w:rPr>
        <w:t xml:space="preserve"> out of work</w:t>
      </w:r>
      <w:r>
        <w:rPr>
          <w:color w:val="002F5D"/>
        </w:rPr>
        <w:t xml:space="preserve">, although a new study ‘Veterans </w:t>
      </w:r>
      <w:r>
        <w:rPr>
          <w:color w:val="002F5D"/>
        </w:rPr>
        <w:lastRenderedPageBreak/>
        <w:t>Work: Moving On’</w:t>
      </w:r>
      <w:r w:rsidR="004C0B46">
        <w:rPr>
          <w:rStyle w:val="FootnoteReference"/>
          <w:color w:val="002F5D"/>
        </w:rPr>
        <w:footnoteReference w:id="5"/>
      </w:r>
      <w:r>
        <w:rPr>
          <w:color w:val="002F5D"/>
        </w:rPr>
        <w:t xml:space="preserve"> found that, contrary to what many </w:t>
      </w:r>
      <w:r w:rsidR="008628E5">
        <w:rPr>
          <w:color w:val="002F5D"/>
        </w:rPr>
        <w:t xml:space="preserve">people </w:t>
      </w:r>
      <w:r>
        <w:rPr>
          <w:color w:val="002F5D"/>
        </w:rPr>
        <w:t xml:space="preserve">believe, veteran employment rates </w:t>
      </w:r>
      <w:r w:rsidR="001C52C3">
        <w:rPr>
          <w:color w:val="002F5D"/>
        </w:rPr>
        <w:t>(</w:t>
      </w:r>
      <w:r>
        <w:rPr>
          <w:color w:val="002F5D"/>
        </w:rPr>
        <w:t>81</w:t>
      </w:r>
      <w:r w:rsidR="00A3568F">
        <w:rPr>
          <w:color w:val="002F5D"/>
        </w:rPr>
        <w:t>.0</w:t>
      </w:r>
      <w:r>
        <w:rPr>
          <w:color w:val="002F5D"/>
        </w:rPr>
        <w:t>%</w:t>
      </w:r>
      <w:r w:rsidR="001C52C3">
        <w:rPr>
          <w:color w:val="002F5D"/>
        </w:rPr>
        <w:t>)</w:t>
      </w:r>
      <w:r>
        <w:rPr>
          <w:color w:val="002F5D"/>
        </w:rPr>
        <w:t xml:space="preserve"> are far higher than the national average </w:t>
      </w:r>
      <w:r w:rsidR="001C52C3">
        <w:rPr>
          <w:color w:val="002F5D"/>
        </w:rPr>
        <w:t>(</w:t>
      </w:r>
      <w:r>
        <w:rPr>
          <w:color w:val="002F5D"/>
        </w:rPr>
        <w:t>75.5%</w:t>
      </w:r>
      <w:r w:rsidR="001C52C3">
        <w:rPr>
          <w:color w:val="002F5D"/>
        </w:rPr>
        <w:t>)</w:t>
      </w:r>
      <w:r>
        <w:rPr>
          <w:color w:val="002F5D"/>
        </w:rPr>
        <w:t>.  The research found that 62% of veterans identifying as having a mental health disability are in employment</w:t>
      </w:r>
      <w:r w:rsidR="008628E5">
        <w:rPr>
          <w:color w:val="002F5D"/>
        </w:rPr>
        <w:t>, w</w:t>
      </w:r>
      <w:r>
        <w:rPr>
          <w:color w:val="002F5D"/>
        </w:rPr>
        <w:t>hereas employment rates for those identifying as having a mental health disability across the working age population of the UK, are much lower than 25%.</w:t>
      </w:r>
    </w:p>
    <w:p w14:paraId="1749BE15" w14:textId="77777777" w:rsidR="007D1C44" w:rsidRDefault="007D1C44" w:rsidP="007D1C44">
      <w:pPr>
        <w:spacing w:line="240" w:lineRule="auto"/>
        <w:rPr>
          <w:rFonts w:cs="Arial"/>
          <w:color w:val="FF0000"/>
        </w:rPr>
      </w:pPr>
    </w:p>
    <w:p w14:paraId="030DE94D" w14:textId="40DE5F30" w:rsidR="007D1C44" w:rsidRPr="00A3568F" w:rsidRDefault="007865DD" w:rsidP="00A3568F">
      <w:pPr>
        <w:pStyle w:val="JSNA3"/>
      </w:pPr>
      <w:bookmarkStart w:id="740" w:name="_Toc4407839"/>
      <w:r w:rsidRPr="00A3568F">
        <w:t>Prison Population</w:t>
      </w:r>
      <w:bookmarkEnd w:id="740"/>
    </w:p>
    <w:p w14:paraId="4D149870" w14:textId="77777777" w:rsidR="001F22D5" w:rsidRDefault="001F22D5" w:rsidP="006B6E8F">
      <w:pPr>
        <w:spacing w:line="240" w:lineRule="auto"/>
        <w:rPr>
          <w:rFonts w:cs="Arial"/>
          <w:color w:val="FF0000"/>
        </w:rPr>
      </w:pPr>
    </w:p>
    <w:p w14:paraId="7D20FBAC" w14:textId="2DE1B4D8" w:rsidR="007D1C44" w:rsidRDefault="007D1C44" w:rsidP="007D1C44">
      <w:pPr>
        <w:rPr>
          <w:color w:val="002F5D"/>
        </w:rPr>
      </w:pPr>
      <w:r>
        <w:rPr>
          <w:color w:val="002F5D"/>
        </w:rPr>
        <w:t>In general</w:t>
      </w:r>
      <w:r w:rsidR="007865DD">
        <w:rPr>
          <w:color w:val="002F5D"/>
        </w:rPr>
        <w:t>,</w:t>
      </w:r>
      <w:r>
        <w:rPr>
          <w:color w:val="002F5D"/>
        </w:rPr>
        <w:t xml:space="preserve"> prisoners tend to have poorer health outcomes than</w:t>
      </w:r>
      <w:r w:rsidRPr="007D1C44">
        <w:rPr>
          <w:color w:val="002F5D"/>
        </w:rPr>
        <w:t xml:space="preserve"> the general population. They experience poorer levels of physical and mental health, including significantly higher levels of substance misuse, communicable disease and sexual health problems</w:t>
      </w:r>
      <w:r w:rsidR="002027D2">
        <w:rPr>
          <w:rStyle w:val="FootnoteReference"/>
          <w:color w:val="002F5D"/>
        </w:rPr>
        <w:footnoteReference w:id="6"/>
      </w:r>
      <w:r w:rsidRPr="007D1C44">
        <w:rPr>
          <w:color w:val="002F5D"/>
        </w:rPr>
        <w:t xml:space="preserve">.  </w:t>
      </w:r>
    </w:p>
    <w:p w14:paraId="64F368BF" w14:textId="77777777" w:rsidR="007D1C44" w:rsidRPr="007865DD" w:rsidRDefault="007D1C44" w:rsidP="007D1C44">
      <w:pPr>
        <w:rPr>
          <w:color w:val="002F5D"/>
        </w:rPr>
      </w:pPr>
    </w:p>
    <w:p w14:paraId="7563DE62" w14:textId="4C655021" w:rsidR="007D1C44" w:rsidRPr="00A3568F" w:rsidRDefault="007D1C44" w:rsidP="00A3568F">
      <w:pPr>
        <w:rPr>
          <w:color w:val="002F5D"/>
        </w:rPr>
      </w:pPr>
      <w:r w:rsidRPr="00A3568F">
        <w:rPr>
          <w:color w:val="002F5D"/>
        </w:rPr>
        <w:t>HMP Whitemoor is situated in Fenland</w:t>
      </w:r>
      <w:r w:rsidR="007865DD" w:rsidRPr="00A3568F">
        <w:rPr>
          <w:color w:val="002F5D"/>
        </w:rPr>
        <w:t xml:space="preserve">, </w:t>
      </w:r>
      <w:r w:rsidRPr="00A3568F">
        <w:rPr>
          <w:color w:val="002F5D"/>
        </w:rPr>
        <w:t>Cambridgeshire</w:t>
      </w:r>
      <w:r w:rsidR="007865DD" w:rsidRPr="00A3568F">
        <w:rPr>
          <w:color w:val="002F5D"/>
        </w:rPr>
        <w:t>,</w:t>
      </w:r>
      <w:r w:rsidRPr="00A3568F">
        <w:rPr>
          <w:color w:val="002F5D"/>
        </w:rPr>
        <w:t xml:space="preserve"> and is a maximum security prison for men in Category A and B with an operational capacity of 458.  HMP Whitemoor does not accept prisoners who are serving </w:t>
      </w:r>
      <w:r w:rsidR="008628E5">
        <w:rPr>
          <w:color w:val="002F5D"/>
        </w:rPr>
        <w:t>fewer</w:t>
      </w:r>
      <w:r w:rsidRPr="00A3568F">
        <w:rPr>
          <w:color w:val="002F5D"/>
        </w:rPr>
        <w:t xml:space="preserve"> than 4 years. The prison focuses on settlement (helping those convicted of serious offences to make positive use of long sentences) and resettlement (reducing the risk of reoffending through assessment, work, education and offending behaviour programmes).</w:t>
      </w:r>
    </w:p>
    <w:p w14:paraId="4CD0CE6D" w14:textId="77777777" w:rsidR="007865DD" w:rsidRPr="00A3568F" w:rsidRDefault="007865DD" w:rsidP="00A3568F">
      <w:pPr>
        <w:rPr>
          <w:color w:val="002F5D"/>
        </w:rPr>
      </w:pPr>
    </w:p>
    <w:p w14:paraId="13573AD5" w14:textId="35CE3E18" w:rsidR="007D1C44" w:rsidRPr="00A3568F" w:rsidRDefault="007D1C44" w:rsidP="00A3568F">
      <w:pPr>
        <w:rPr>
          <w:color w:val="002F5D"/>
        </w:rPr>
      </w:pPr>
      <w:r w:rsidRPr="00A3568F">
        <w:rPr>
          <w:color w:val="002F5D"/>
        </w:rPr>
        <w:t>The prison includes a Dangerous and Severe Personality Disorder Unit. The Fens Unit is part of the national DSPD Programme of the Health Partnerships Directorate, providing thorough assessment and a fully worked out treatment model.</w:t>
      </w:r>
      <w:r w:rsidRPr="00A3568F">
        <w:rPr>
          <w:color w:val="002F5D"/>
        </w:rPr>
        <w:br/>
      </w:r>
      <w:r w:rsidRPr="00A3568F">
        <w:rPr>
          <w:color w:val="002F5D"/>
        </w:rPr>
        <w:br/>
        <w:t>HMP Whitemoor also houses a Close Supervision Centre (CSC). The unit prepares prisoners who pose a severe risk to others, to return to a normal prison environment.</w:t>
      </w:r>
    </w:p>
    <w:p w14:paraId="1478C025" w14:textId="77777777" w:rsidR="007D1C44" w:rsidRPr="007D1C44" w:rsidRDefault="007D1C44" w:rsidP="007D1C44">
      <w:pPr>
        <w:pStyle w:val="NormalWeb"/>
        <w:spacing w:before="0" w:beforeAutospacing="0" w:after="0" w:afterAutospacing="0"/>
        <w:rPr>
          <w:rFonts w:asciiTheme="minorHAnsi" w:hAnsiTheme="minorHAnsi" w:cs="Arial"/>
          <w:color w:val="002F5D"/>
          <w:sz w:val="22"/>
          <w:szCs w:val="22"/>
        </w:rPr>
      </w:pPr>
    </w:p>
    <w:p w14:paraId="776FF8D8" w14:textId="48A25EB9" w:rsidR="007D1C44" w:rsidRPr="007D1C44" w:rsidRDefault="007D1C44" w:rsidP="007D1C44">
      <w:pPr>
        <w:pStyle w:val="NormalWeb"/>
        <w:spacing w:before="0" w:beforeAutospacing="0" w:after="0" w:afterAutospacing="0"/>
        <w:rPr>
          <w:rFonts w:asciiTheme="minorHAnsi" w:hAnsiTheme="minorHAnsi" w:cs="Arial"/>
          <w:color w:val="002F5D"/>
          <w:sz w:val="22"/>
          <w:szCs w:val="22"/>
        </w:rPr>
      </w:pPr>
      <w:r w:rsidRPr="007D1C44">
        <w:rPr>
          <w:rFonts w:asciiTheme="minorHAnsi" w:hAnsiTheme="minorHAnsi" w:cs="Arial"/>
          <w:color w:val="002F5D"/>
          <w:sz w:val="22"/>
          <w:szCs w:val="22"/>
        </w:rPr>
        <w:t>A HMP Inspection report</w:t>
      </w:r>
      <w:r>
        <w:rPr>
          <w:rStyle w:val="FootnoteReference"/>
          <w:color w:val="002F5D"/>
        </w:rPr>
        <w:footnoteReference w:id="7"/>
      </w:r>
      <w:r w:rsidRPr="007D1C44">
        <w:rPr>
          <w:rFonts w:asciiTheme="minorHAnsi" w:hAnsiTheme="minorHAnsi" w:cs="Arial"/>
          <w:color w:val="002F5D"/>
          <w:sz w:val="22"/>
          <w:szCs w:val="22"/>
        </w:rPr>
        <w:t xml:space="preserve"> carried out in March 2017 found there to be 431 prisoners of which </w:t>
      </w:r>
      <w:r w:rsidR="00205051">
        <w:rPr>
          <w:rFonts w:asciiTheme="minorHAnsi" w:hAnsiTheme="minorHAnsi" w:cs="Arial"/>
          <w:color w:val="002F5D"/>
          <w:sz w:val="22"/>
          <w:szCs w:val="22"/>
        </w:rPr>
        <w:t>91 (</w:t>
      </w:r>
      <w:r w:rsidRPr="007D1C44">
        <w:rPr>
          <w:rFonts w:asciiTheme="minorHAnsi" w:hAnsiTheme="minorHAnsi" w:cs="Arial"/>
          <w:color w:val="002F5D"/>
          <w:sz w:val="22"/>
          <w:szCs w:val="22"/>
        </w:rPr>
        <w:t>21%</w:t>
      </w:r>
      <w:r w:rsidR="00205051">
        <w:rPr>
          <w:rFonts w:asciiTheme="minorHAnsi" w:hAnsiTheme="minorHAnsi" w:cs="Arial"/>
          <w:color w:val="002F5D"/>
          <w:sz w:val="22"/>
          <w:szCs w:val="22"/>
        </w:rPr>
        <w:t xml:space="preserve">) </w:t>
      </w:r>
      <w:r w:rsidRPr="007D1C44">
        <w:rPr>
          <w:rFonts w:asciiTheme="minorHAnsi" w:hAnsiTheme="minorHAnsi" w:cs="Arial"/>
          <w:color w:val="002F5D"/>
          <w:sz w:val="22"/>
          <w:szCs w:val="22"/>
        </w:rPr>
        <w:t>were For</w:t>
      </w:r>
      <w:r w:rsidR="006B19C2">
        <w:rPr>
          <w:rFonts w:asciiTheme="minorHAnsi" w:hAnsiTheme="minorHAnsi" w:cs="Arial"/>
          <w:color w:val="002F5D"/>
          <w:sz w:val="22"/>
          <w:szCs w:val="22"/>
        </w:rPr>
        <w:t>ei</w:t>
      </w:r>
      <w:r w:rsidRPr="007D1C44">
        <w:rPr>
          <w:rFonts w:asciiTheme="minorHAnsi" w:hAnsiTheme="minorHAnsi" w:cs="Arial"/>
          <w:color w:val="002F5D"/>
          <w:sz w:val="22"/>
          <w:szCs w:val="22"/>
        </w:rPr>
        <w:t xml:space="preserve">gn nationals with </w:t>
      </w:r>
      <w:r w:rsidR="00205051">
        <w:rPr>
          <w:rFonts w:asciiTheme="minorHAnsi" w:hAnsiTheme="minorHAnsi" w:cs="Arial"/>
          <w:color w:val="002F5D"/>
          <w:sz w:val="22"/>
          <w:szCs w:val="22"/>
        </w:rPr>
        <w:t>158 (</w:t>
      </w:r>
      <w:r w:rsidRPr="007D1C44">
        <w:rPr>
          <w:rFonts w:asciiTheme="minorHAnsi" w:hAnsiTheme="minorHAnsi" w:cs="Arial"/>
          <w:color w:val="002F5D"/>
          <w:sz w:val="22"/>
          <w:szCs w:val="22"/>
        </w:rPr>
        <w:t>36%</w:t>
      </w:r>
      <w:r w:rsidR="00205051">
        <w:rPr>
          <w:rFonts w:asciiTheme="minorHAnsi" w:hAnsiTheme="minorHAnsi" w:cs="Arial"/>
          <w:color w:val="002F5D"/>
          <w:sz w:val="22"/>
          <w:szCs w:val="22"/>
        </w:rPr>
        <w:t>)</w:t>
      </w:r>
      <w:r w:rsidRPr="007D1C44">
        <w:rPr>
          <w:rFonts w:asciiTheme="minorHAnsi" w:hAnsiTheme="minorHAnsi" w:cs="Arial"/>
          <w:color w:val="002F5D"/>
          <w:sz w:val="22"/>
          <w:szCs w:val="22"/>
        </w:rPr>
        <w:t xml:space="preserve"> listed as </w:t>
      </w:r>
      <w:r w:rsidR="007865DD">
        <w:rPr>
          <w:rFonts w:asciiTheme="minorHAnsi" w:hAnsiTheme="minorHAnsi" w:cs="Arial"/>
          <w:color w:val="002F5D"/>
          <w:sz w:val="22"/>
          <w:szCs w:val="22"/>
        </w:rPr>
        <w:t>W</w:t>
      </w:r>
      <w:r w:rsidRPr="007D1C44">
        <w:rPr>
          <w:rFonts w:asciiTheme="minorHAnsi" w:hAnsiTheme="minorHAnsi" w:cs="Arial"/>
          <w:color w:val="002F5D"/>
          <w:sz w:val="22"/>
          <w:szCs w:val="22"/>
        </w:rPr>
        <w:t>hite British.</w:t>
      </w:r>
    </w:p>
    <w:p w14:paraId="1DAA7985" w14:textId="77777777" w:rsidR="007D1C44" w:rsidRPr="007D1C44" w:rsidRDefault="007D1C44" w:rsidP="007D1C44">
      <w:pPr>
        <w:rPr>
          <w:b/>
          <w:color w:val="002F5D"/>
        </w:rPr>
      </w:pPr>
    </w:p>
    <w:p w14:paraId="3004B151" w14:textId="77777777" w:rsidR="007D1C44" w:rsidRDefault="007D1C44" w:rsidP="007D1C44">
      <w:pPr>
        <w:rPr>
          <w:color w:val="002F5D"/>
        </w:rPr>
      </w:pPr>
      <w:r w:rsidRPr="007D1C44">
        <w:rPr>
          <w:color w:val="002F5D"/>
        </w:rPr>
        <w:t xml:space="preserve">HMP Peterborough is situated in Peterborough and is a dual-purpose prison, housing both male and female prisoners. It has an operational capacity of over 1,200 places (868 male, 360 female) including a 12-bed, 13- cot mother and baby unit.  </w:t>
      </w:r>
    </w:p>
    <w:p w14:paraId="4430E946" w14:textId="77777777" w:rsidR="007D1C44" w:rsidRPr="007D1C44" w:rsidRDefault="007D1C44" w:rsidP="007D1C44">
      <w:pPr>
        <w:rPr>
          <w:color w:val="002F5D"/>
        </w:rPr>
      </w:pPr>
    </w:p>
    <w:p w14:paraId="60542556" w14:textId="258A10A3" w:rsidR="00965666" w:rsidRDefault="007D1C44" w:rsidP="007D1C44">
      <w:pPr>
        <w:rPr>
          <w:color w:val="002F5D"/>
        </w:rPr>
      </w:pPr>
      <w:r w:rsidRPr="007D1C44">
        <w:rPr>
          <w:color w:val="002F5D"/>
        </w:rPr>
        <w:t>A HMP Peterborough Women Inspection report</w:t>
      </w:r>
      <w:r>
        <w:rPr>
          <w:rStyle w:val="FootnoteReference"/>
          <w:color w:val="002F5D"/>
        </w:rPr>
        <w:footnoteReference w:id="8"/>
      </w:r>
      <w:r w:rsidRPr="007D1C44">
        <w:rPr>
          <w:color w:val="002F5D"/>
        </w:rPr>
        <w:t xml:space="preserve"> carried out in September 2017 found there to be 3</w:t>
      </w:r>
      <w:r w:rsidR="00205051">
        <w:rPr>
          <w:color w:val="002F5D"/>
        </w:rPr>
        <w:t xml:space="preserve">52 </w:t>
      </w:r>
      <w:r w:rsidRPr="007D1C44">
        <w:rPr>
          <w:color w:val="002F5D"/>
        </w:rPr>
        <w:t>women prisoners</w:t>
      </w:r>
      <w:r w:rsidR="00205051">
        <w:rPr>
          <w:color w:val="002F5D"/>
        </w:rPr>
        <w:t xml:space="preserve"> </w:t>
      </w:r>
      <w:r w:rsidRPr="007D1C44">
        <w:rPr>
          <w:color w:val="002F5D"/>
        </w:rPr>
        <w:t>of which</w:t>
      </w:r>
      <w:r w:rsidR="00205051">
        <w:rPr>
          <w:color w:val="002F5D"/>
        </w:rPr>
        <w:t xml:space="preserve"> 15 (</w:t>
      </w:r>
      <w:r w:rsidRPr="007D1C44">
        <w:rPr>
          <w:color w:val="002F5D"/>
        </w:rPr>
        <w:t>4%</w:t>
      </w:r>
      <w:r w:rsidR="00205051">
        <w:rPr>
          <w:color w:val="002F5D"/>
        </w:rPr>
        <w:t>)</w:t>
      </w:r>
      <w:r w:rsidRPr="007D1C44">
        <w:rPr>
          <w:color w:val="002F5D"/>
        </w:rPr>
        <w:t xml:space="preserve"> were under 21</w:t>
      </w:r>
      <w:r w:rsidR="007865DD">
        <w:rPr>
          <w:color w:val="002F5D"/>
        </w:rPr>
        <w:t xml:space="preserve"> years of age</w:t>
      </w:r>
      <w:r w:rsidRPr="007D1C44">
        <w:rPr>
          <w:color w:val="002F5D"/>
        </w:rPr>
        <w:t xml:space="preserve"> and </w:t>
      </w:r>
      <w:r w:rsidR="00205051">
        <w:rPr>
          <w:color w:val="002F5D"/>
        </w:rPr>
        <w:t>66 (</w:t>
      </w:r>
      <w:r w:rsidRPr="007D1C44">
        <w:rPr>
          <w:color w:val="002F5D"/>
        </w:rPr>
        <w:t>18%</w:t>
      </w:r>
      <w:r w:rsidR="00205051">
        <w:rPr>
          <w:color w:val="002F5D"/>
        </w:rPr>
        <w:t>)</w:t>
      </w:r>
      <w:r w:rsidRPr="007D1C44">
        <w:rPr>
          <w:color w:val="002F5D"/>
        </w:rPr>
        <w:t xml:space="preserve"> were foreign nationals with </w:t>
      </w:r>
      <w:r w:rsidR="00205051">
        <w:rPr>
          <w:color w:val="002F5D"/>
        </w:rPr>
        <w:t>253 (</w:t>
      </w:r>
      <w:r w:rsidRPr="007D1C44">
        <w:rPr>
          <w:color w:val="002F5D"/>
        </w:rPr>
        <w:t>69%</w:t>
      </w:r>
      <w:r w:rsidR="00205051">
        <w:rPr>
          <w:color w:val="002F5D"/>
        </w:rPr>
        <w:t>)</w:t>
      </w:r>
      <w:r w:rsidRPr="007D1C44">
        <w:rPr>
          <w:color w:val="002F5D"/>
        </w:rPr>
        <w:t xml:space="preserve"> listed as White British.</w:t>
      </w:r>
    </w:p>
    <w:p w14:paraId="05DC1C6D" w14:textId="77777777" w:rsidR="00815B1A" w:rsidRDefault="00815B1A" w:rsidP="007D1C44">
      <w:pPr>
        <w:rPr>
          <w:color w:val="002F5D"/>
        </w:rPr>
      </w:pPr>
    </w:p>
    <w:p w14:paraId="2B7FE20B" w14:textId="66981F18" w:rsidR="00815B1A" w:rsidRPr="007D1C44" w:rsidRDefault="00815B1A" w:rsidP="007D1C44">
      <w:pPr>
        <w:rPr>
          <w:color w:val="002F5D"/>
        </w:rPr>
      </w:pPr>
      <w:r>
        <w:rPr>
          <w:color w:val="002F5D"/>
        </w:rPr>
        <w:t xml:space="preserve">As of January 2018, all prisons in the UK have been legally mandated to be smoke-free with a view towards improving </w:t>
      </w:r>
      <w:r w:rsidR="00257440">
        <w:rPr>
          <w:color w:val="002F5D"/>
        </w:rPr>
        <w:t>the health of prisoners</w:t>
      </w:r>
      <w:r w:rsidR="002C2471">
        <w:rPr>
          <w:rStyle w:val="FootnoteReference"/>
          <w:color w:val="002F5D"/>
        </w:rPr>
        <w:footnoteReference w:id="9"/>
      </w:r>
      <w:r w:rsidR="00257440">
        <w:rPr>
          <w:color w:val="002F5D"/>
        </w:rPr>
        <w:t xml:space="preserve">. </w:t>
      </w:r>
    </w:p>
    <w:p w14:paraId="3F080CD9" w14:textId="2DBD0D23" w:rsidR="00965666" w:rsidRDefault="00965666" w:rsidP="006B6E8F">
      <w:pPr>
        <w:spacing w:line="240" w:lineRule="auto"/>
        <w:rPr>
          <w:rFonts w:cs="Arial"/>
          <w:color w:val="FF0000"/>
        </w:rPr>
      </w:pPr>
    </w:p>
    <w:p w14:paraId="48ADD0CE" w14:textId="711A361C" w:rsidR="00965666" w:rsidRDefault="00965666" w:rsidP="006B6E8F">
      <w:pPr>
        <w:spacing w:line="240" w:lineRule="auto"/>
        <w:rPr>
          <w:rFonts w:cs="Arial"/>
          <w:color w:val="FF0000"/>
        </w:rPr>
      </w:pPr>
    </w:p>
    <w:p w14:paraId="159AC30A" w14:textId="4406BA6B" w:rsidR="00965666" w:rsidRDefault="00965666" w:rsidP="006B6E8F">
      <w:pPr>
        <w:spacing w:line="240" w:lineRule="auto"/>
        <w:rPr>
          <w:rFonts w:cs="Arial"/>
          <w:color w:val="FF0000"/>
        </w:rPr>
      </w:pPr>
    </w:p>
    <w:p w14:paraId="512A6892" w14:textId="77777777" w:rsidR="00965666" w:rsidRDefault="00965666" w:rsidP="006B6E8F">
      <w:pPr>
        <w:spacing w:line="240" w:lineRule="auto"/>
        <w:rPr>
          <w:rFonts w:cs="Arial"/>
          <w:color w:val="FF0000"/>
        </w:rPr>
      </w:pPr>
    </w:p>
    <w:p w14:paraId="27EDE73A" w14:textId="77777777" w:rsidR="008870E0" w:rsidRDefault="008870E0" w:rsidP="008870E0">
      <w:pPr>
        <w:spacing w:line="240" w:lineRule="auto"/>
        <w:rPr>
          <w:rFonts w:cs="Arial"/>
          <w:color w:val="FF0000"/>
        </w:rPr>
      </w:pPr>
    </w:p>
    <w:p w14:paraId="6CCC5517" w14:textId="77777777" w:rsidR="008870E0" w:rsidRDefault="008870E0" w:rsidP="008870E0">
      <w:pPr>
        <w:spacing w:line="240" w:lineRule="auto"/>
        <w:rPr>
          <w:rFonts w:cs="Arial"/>
          <w:color w:val="FF0000"/>
        </w:rPr>
      </w:pPr>
    </w:p>
    <w:p w14:paraId="75E935F5" w14:textId="4614C2BC" w:rsidR="008870E0" w:rsidRPr="0037351D" w:rsidRDefault="008870E0" w:rsidP="00A3568F">
      <w:pPr>
        <w:pStyle w:val="JSNA3"/>
      </w:pPr>
      <w:bookmarkStart w:id="741" w:name="_Toc4407840"/>
      <w:r>
        <w:lastRenderedPageBreak/>
        <w:t>Homeless Population</w:t>
      </w:r>
      <w:bookmarkEnd w:id="741"/>
    </w:p>
    <w:p w14:paraId="28C3586A" w14:textId="77777777" w:rsidR="008870E0" w:rsidRPr="00BA360F" w:rsidRDefault="008870E0" w:rsidP="008870E0">
      <w:pPr>
        <w:spacing w:line="240" w:lineRule="auto"/>
        <w:rPr>
          <w:rFonts w:cs="Arial"/>
          <w:color w:val="002F5D"/>
        </w:rPr>
      </w:pPr>
    </w:p>
    <w:p w14:paraId="3A721B23" w14:textId="01EE8FB7" w:rsidR="00BA360F" w:rsidRPr="00084E15" w:rsidRDefault="00BA360F" w:rsidP="00A3568F">
      <w:pPr>
        <w:rPr>
          <w:color w:val="002F5D"/>
          <w:shd w:val="clear" w:color="auto" w:fill="FFFFFF"/>
        </w:rPr>
      </w:pPr>
      <w:r w:rsidRPr="00A3568F">
        <w:rPr>
          <w:color w:val="002F5D"/>
        </w:rPr>
        <w:t>Homelessness is associated with severe poverty, adverse health, education</w:t>
      </w:r>
      <w:r w:rsidR="00371D6D">
        <w:rPr>
          <w:color w:val="002F5D"/>
        </w:rPr>
        <w:t>al</w:t>
      </w:r>
      <w:r w:rsidRPr="00A3568F">
        <w:rPr>
          <w:color w:val="002F5D"/>
        </w:rPr>
        <w:t xml:space="preserve"> and social outcomes, particularly for children.  </w:t>
      </w:r>
      <w:r w:rsidRPr="00A3568F">
        <w:rPr>
          <w:color w:val="002F5D"/>
          <w:shd w:val="clear" w:color="auto" w:fill="FFFFFF"/>
        </w:rPr>
        <w:t>To be deemed statutorily homeless a household must have become unintentionally homeless and must be considered to be in priority need. As such, statutorily homeless households contain some of the most vulnerable and needy members of our communities. Preventing and tackling homelessness requires sustained and joined-up interventions by central and local government, health and social care and the voluntary sector</w:t>
      </w:r>
      <w:r w:rsidR="00084E15" w:rsidRPr="00084E15">
        <w:rPr>
          <w:rStyle w:val="FootnoteReference"/>
          <w:color w:val="002F5D"/>
        </w:rPr>
        <w:t xml:space="preserve"> </w:t>
      </w:r>
      <w:r w:rsidR="00084E15" w:rsidRPr="001C52C3">
        <w:rPr>
          <w:rStyle w:val="FootnoteReference"/>
          <w:color w:val="002F5D"/>
        </w:rPr>
        <w:footnoteReference w:id="10"/>
      </w:r>
      <w:r w:rsidRPr="00084E15">
        <w:rPr>
          <w:color w:val="002F5D"/>
          <w:shd w:val="clear" w:color="auto" w:fill="FFFFFF"/>
        </w:rPr>
        <w:t xml:space="preserve">.  </w:t>
      </w:r>
    </w:p>
    <w:p w14:paraId="333BBDF1" w14:textId="77777777" w:rsidR="00BA360F" w:rsidRPr="00084E15" w:rsidRDefault="00BA360F" w:rsidP="00A3568F">
      <w:pPr>
        <w:rPr>
          <w:color w:val="002F5D"/>
          <w:shd w:val="clear" w:color="auto" w:fill="FFFFFF"/>
        </w:rPr>
      </w:pPr>
    </w:p>
    <w:p w14:paraId="4687F3EB" w14:textId="3A58F9DD" w:rsidR="00BA360F" w:rsidRDefault="00BA360F" w:rsidP="00A3568F">
      <w:pPr>
        <w:rPr>
          <w:color w:val="002F5D"/>
          <w:shd w:val="clear" w:color="auto" w:fill="FFFFFF"/>
        </w:rPr>
      </w:pPr>
      <w:r w:rsidRPr="00084E15">
        <w:rPr>
          <w:color w:val="002F5D"/>
          <w:shd w:val="clear" w:color="auto" w:fill="FFFFFF"/>
        </w:rPr>
        <w:t xml:space="preserve">The majority of people that fall under the </w:t>
      </w:r>
      <w:r w:rsidR="001C52C3">
        <w:rPr>
          <w:color w:val="002F5D"/>
          <w:shd w:val="clear" w:color="auto" w:fill="FFFFFF"/>
        </w:rPr>
        <w:t>‘</w:t>
      </w:r>
      <w:r w:rsidRPr="00084E15">
        <w:rPr>
          <w:color w:val="002F5D"/>
          <w:shd w:val="clear" w:color="auto" w:fill="FFFFFF"/>
        </w:rPr>
        <w:t>statutory homelessness – eligible homeless people not in priority need</w:t>
      </w:r>
      <w:r w:rsidR="001C52C3">
        <w:rPr>
          <w:color w:val="002F5D"/>
          <w:shd w:val="clear" w:color="auto" w:fill="FFFFFF"/>
        </w:rPr>
        <w:t>’</w:t>
      </w:r>
      <w:r w:rsidRPr="00084E15">
        <w:rPr>
          <w:color w:val="002F5D"/>
          <w:shd w:val="clear" w:color="auto" w:fill="FFFFFF"/>
        </w:rPr>
        <w:t xml:space="preserve"> cohort, are single homeless people.   Single homeless people have significantly worse levels of ill health and early death than the general population</w:t>
      </w:r>
      <w:r w:rsidR="001C52C3">
        <w:rPr>
          <w:color w:val="002F5D"/>
          <w:shd w:val="clear" w:color="auto" w:fill="FFFFFF"/>
        </w:rPr>
        <w:t>.</w:t>
      </w:r>
      <w:r w:rsidRPr="001C52C3">
        <w:rPr>
          <w:rStyle w:val="FootnoteReference"/>
          <w:color w:val="002F5D"/>
        </w:rPr>
        <w:footnoteReference w:id="11"/>
      </w:r>
    </w:p>
    <w:p w14:paraId="18F119FC" w14:textId="39D7C286" w:rsidR="00CD6625" w:rsidRDefault="00CD6625" w:rsidP="00A3568F">
      <w:pPr>
        <w:rPr>
          <w:color w:val="002F5D"/>
          <w:shd w:val="clear" w:color="auto" w:fill="FFFFFF"/>
        </w:rPr>
      </w:pPr>
    </w:p>
    <w:p w14:paraId="1A75B363" w14:textId="26F13279" w:rsidR="00CD6625" w:rsidRPr="00DA777F" w:rsidRDefault="00EB6174" w:rsidP="00CD6625">
      <w:pPr>
        <w:spacing w:line="240" w:lineRule="auto"/>
        <w:jc w:val="both"/>
        <w:rPr>
          <w:rFonts w:ascii="Calibri" w:eastAsia="Times New Roman" w:hAnsi="Calibri" w:cs="Times New Roman"/>
          <w:color w:val="002F5D"/>
          <w:lang w:eastAsia="en-GB"/>
        </w:rPr>
      </w:pPr>
      <w:r w:rsidRPr="00466722">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w:t>
      </w:r>
      <w:r w:rsidR="008321C7">
        <w:rPr>
          <w:rFonts w:ascii="Calibri" w:eastAsia="Times New Roman" w:hAnsi="Calibri" w:cs="Times New Roman"/>
          <w:color w:val="002F5D"/>
          <w:lang w:eastAsia="en-GB"/>
        </w:rPr>
        <w:t>b</w:t>
      </w:r>
      <w:r w:rsidR="00CD6625">
        <w:rPr>
          <w:rFonts w:ascii="Calibri" w:eastAsia="Times New Roman" w:hAnsi="Calibri" w:cs="Times New Roman"/>
          <w:color w:val="002F5D"/>
          <w:lang w:eastAsia="en-GB"/>
        </w:rPr>
        <w:t xml:space="preserve">enchmarking </w:t>
      </w:r>
      <w:r w:rsidR="008321C7">
        <w:rPr>
          <w:rFonts w:ascii="Calibri" w:eastAsia="Times New Roman" w:hAnsi="Calibri" w:cs="Times New Roman"/>
          <w:color w:val="002F5D"/>
          <w:lang w:eastAsia="en-GB"/>
        </w:rPr>
        <w:t>and statistical significance</w:t>
      </w:r>
      <w:r>
        <w:rPr>
          <w:rFonts w:ascii="Calibri" w:eastAsia="Times New Roman" w:hAnsi="Calibri" w:cs="Times New Roman"/>
          <w:color w:val="002F5D"/>
          <w:lang w:eastAsia="en-GB"/>
        </w:rPr>
        <w:t xml:space="preserve">: </w:t>
      </w:r>
      <w:r w:rsidR="008321C7">
        <w:rPr>
          <w:rFonts w:ascii="Calibri" w:eastAsia="Times New Roman" w:hAnsi="Calibri" w:cs="Times New Roman"/>
          <w:color w:val="002F5D"/>
          <w:lang w:eastAsia="en-GB"/>
        </w:rPr>
        <w:t xml:space="preserve">Tables that are ‘Red-Amber-Green’ (RAG) rated use confidence intervals to derive the statistical significance of differences </w:t>
      </w:r>
      <w:r w:rsidR="0035520F">
        <w:rPr>
          <w:rFonts w:ascii="Calibri" w:eastAsia="Times New Roman" w:hAnsi="Calibri" w:cs="Times New Roman"/>
          <w:color w:val="002F5D"/>
          <w:lang w:eastAsia="en-GB"/>
        </w:rPr>
        <w:t>of areas compared with a</w:t>
      </w:r>
      <w:r w:rsidR="008321C7">
        <w:rPr>
          <w:rFonts w:ascii="Calibri" w:eastAsia="Times New Roman" w:hAnsi="Calibri" w:cs="Times New Roman"/>
          <w:color w:val="002F5D"/>
          <w:lang w:eastAsia="en-GB"/>
        </w:rPr>
        <w:t xml:space="preserve"> benchmark, e.g. England. This gives the RAG rating. Public Health England</w:t>
      </w:r>
      <w:r w:rsidR="00CD6625" w:rsidRPr="00DA777F">
        <w:rPr>
          <w:rFonts w:ascii="Calibri" w:eastAsia="Times New Roman" w:hAnsi="Calibri" w:cs="Times New Roman"/>
          <w:color w:val="002F5D"/>
          <w:lang w:eastAsia="en-GB"/>
        </w:rPr>
        <w:t xml:space="preserve"> (PHE) </w:t>
      </w:r>
      <w:r w:rsidR="008321C7">
        <w:rPr>
          <w:rFonts w:ascii="Calibri" w:eastAsia="Times New Roman" w:hAnsi="Calibri" w:cs="Times New Roman"/>
          <w:color w:val="002F5D"/>
          <w:lang w:eastAsia="en-GB"/>
        </w:rPr>
        <w:t>calculate statistical significance using comparator area confidence intervals compared with the area value for the benchmark. This method is used in the RAG rated tables in this section.</w:t>
      </w:r>
      <w:r w:rsidR="00CD6625" w:rsidRPr="00DA777F">
        <w:rPr>
          <w:rFonts w:ascii="Calibri" w:eastAsia="Times New Roman" w:hAnsi="Calibri" w:cs="Times New Roman"/>
          <w:color w:val="002F5D"/>
          <w:lang w:eastAsia="en-GB"/>
        </w:rPr>
        <w:t xml:space="preserve"> </w:t>
      </w:r>
    </w:p>
    <w:p w14:paraId="3ACAC6B8" w14:textId="77777777" w:rsidR="001F22D5" w:rsidRDefault="001F22D5" w:rsidP="006B6E8F">
      <w:pPr>
        <w:spacing w:line="240" w:lineRule="auto"/>
        <w:rPr>
          <w:rFonts w:cs="Arial"/>
          <w:color w:val="FF0000"/>
        </w:rPr>
      </w:pPr>
    </w:p>
    <w:p w14:paraId="0260E903" w14:textId="13D679E3" w:rsidR="00BA360F" w:rsidRDefault="007965E4" w:rsidP="00BA360F">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 xml:space="preserve">Table 19. </w:t>
      </w:r>
      <w:r w:rsidR="00BA360F" w:rsidRPr="00466722">
        <w:rPr>
          <w:rFonts w:ascii="Calibri" w:eastAsia="Times New Roman" w:hAnsi="Calibri" w:cs="Times New Roman"/>
          <w:bCs/>
          <w:color w:val="002F5D"/>
          <w:lang w:eastAsia="en-GB"/>
        </w:rPr>
        <w:t>Statutory homelessness - eligible homeless people not in priority need: crude rate per 1,000 households, 2017/18</w:t>
      </w:r>
    </w:p>
    <w:p w14:paraId="5AD7D11C" w14:textId="6996FBC1" w:rsidR="00BA360F" w:rsidRDefault="00BA360F" w:rsidP="00BA360F">
      <w:pPr>
        <w:spacing w:line="240" w:lineRule="auto"/>
        <w:rPr>
          <w:rFonts w:ascii="Calibri" w:eastAsia="Times New Roman" w:hAnsi="Calibri" w:cs="Times New Roman"/>
          <w:b/>
          <w:bCs/>
          <w:color w:val="002F5D"/>
          <w:lang w:eastAsia="en-GB"/>
        </w:rPr>
      </w:pPr>
    </w:p>
    <w:p w14:paraId="247E01C8" w14:textId="5D909A83" w:rsidR="00BA360F" w:rsidRDefault="007A56F8" w:rsidP="00BA360F">
      <w:r w:rsidRPr="007A56F8">
        <w:rPr>
          <w:noProof/>
          <w:lang w:eastAsia="en-GB"/>
        </w:rPr>
        <w:drawing>
          <wp:inline distT="0" distB="0" distL="0" distR="0" wp14:anchorId="6D9156B9" wp14:editId="52D875F8">
            <wp:extent cx="5539740" cy="2063385"/>
            <wp:effectExtent l="0" t="0" r="381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54342" cy="2068824"/>
                    </a:xfrm>
                    <a:prstGeom prst="rect">
                      <a:avLst/>
                    </a:prstGeom>
                    <a:noFill/>
                    <a:ln>
                      <a:noFill/>
                    </a:ln>
                  </pic:spPr>
                </pic:pic>
              </a:graphicData>
            </a:graphic>
          </wp:inline>
        </w:drawing>
      </w:r>
    </w:p>
    <w:p w14:paraId="111721A3" w14:textId="77777777" w:rsidR="00BA360F" w:rsidRDefault="00BA360F" w:rsidP="00BA360F">
      <w:pPr>
        <w:rPr>
          <w:color w:val="002F5D"/>
        </w:rPr>
      </w:pPr>
      <w:r w:rsidRPr="006B61D2">
        <w:rPr>
          <w:color w:val="002F5D"/>
        </w:rPr>
        <w:t>*Value aggregated from all known lower geography values</w:t>
      </w:r>
    </w:p>
    <w:p w14:paraId="3BA6CF97" w14:textId="42C39951" w:rsidR="0049389B" w:rsidRDefault="0049389B" w:rsidP="00BA360F">
      <w:pPr>
        <w:rPr>
          <w:color w:val="002F5D"/>
        </w:rPr>
      </w:pPr>
      <w:r>
        <w:rPr>
          <w:noProof/>
          <w:color w:val="002F5D"/>
          <w:lang w:eastAsia="en-GB"/>
        </w:rPr>
        <w:drawing>
          <wp:inline distT="0" distB="0" distL="0" distR="0" wp14:anchorId="758E228C" wp14:editId="65C3F788">
            <wp:extent cx="4200525" cy="316865"/>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0525" cy="316865"/>
                    </a:xfrm>
                    <a:prstGeom prst="rect">
                      <a:avLst/>
                    </a:prstGeom>
                    <a:noFill/>
                  </pic:spPr>
                </pic:pic>
              </a:graphicData>
            </a:graphic>
          </wp:inline>
        </w:drawing>
      </w:r>
    </w:p>
    <w:p w14:paraId="4829941E" w14:textId="53207BD3" w:rsidR="00BA360F" w:rsidRPr="006B61D2" w:rsidRDefault="003C0DA7" w:rsidP="00BA360F">
      <w:pPr>
        <w:rPr>
          <w:color w:val="002F5D"/>
        </w:rPr>
      </w:pPr>
      <w:r w:rsidRPr="003C0DA7">
        <w:rPr>
          <w:noProof/>
          <w:lang w:eastAsia="en-GB"/>
        </w:rPr>
        <w:drawing>
          <wp:inline distT="0" distB="0" distL="0" distR="0" wp14:anchorId="54F364A9" wp14:editId="13A47A5B">
            <wp:extent cx="4114800" cy="559026"/>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27598" cy="560765"/>
                    </a:xfrm>
                    <a:prstGeom prst="rect">
                      <a:avLst/>
                    </a:prstGeom>
                    <a:noFill/>
                    <a:ln>
                      <a:noFill/>
                    </a:ln>
                  </pic:spPr>
                </pic:pic>
              </a:graphicData>
            </a:graphic>
          </wp:inline>
        </w:drawing>
      </w:r>
    </w:p>
    <w:p w14:paraId="09769DE3" w14:textId="77777777" w:rsidR="0049389B" w:rsidRDefault="0049389B" w:rsidP="00BA360F">
      <w:pPr>
        <w:rPr>
          <w:color w:val="002F5D"/>
        </w:rPr>
      </w:pPr>
    </w:p>
    <w:p w14:paraId="3F7224BC" w14:textId="77777777" w:rsidR="00BA360F" w:rsidRPr="006B61D2" w:rsidRDefault="00BA360F" w:rsidP="00BA360F">
      <w:pPr>
        <w:rPr>
          <w:color w:val="002F5D"/>
        </w:rPr>
      </w:pPr>
      <w:r w:rsidRPr="00466722">
        <w:rPr>
          <w:b/>
          <w:color w:val="002F5D"/>
        </w:rPr>
        <w:t>Source</w:t>
      </w:r>
      <w:r w:rsidRPr="006B61D2">
        <w:rPr>
          <w:color w:val="002F5D"/>
        </w:rPr>
        <w:t>: Ministry of Housing, Communi</w:t>
      </w:r>
      <w:r>
        <w:rPr>
          <w:color w:val="002F5D"/>
        </w:rPr>
        <w:t xml:space="preserve">ties </w:t>
      </w:r>
      <w:r w:rsidRPr="006B61D2">
        <w:rPr>
          <w:color w:val="002F5D"/>
        </w:rPr>
        <w:t>&amp; Local Government</w:t>
      </w:r>
    </w:p>
    <w:p w14:paraId="5471C0FA" w14:textId="17E35E8F" w:rsidR="001C52C3" w:rsidRDefault="001C52C3" w:rsidP="00BA360F">
      <w:pPr>
        <w:spacing w:line="240" w:lineRule="auto"/>
        <w:rPr>
          <w:rFonts w:ascii="Calibri" w:eastAsia="Times New Roman" w:hAnsi="Calibri" w:cs="Times New Roman"/>
          <w:b/>
          <w:bCs/>
          <w:color w:val="002F5D"/>
          <w:lang w:eastAsia="en-GB"/>
        </w:rPr>
      </w:pPr>
    </w:p>
    <w:p w14:paraId="32CF26FE" w14:textId="2B051827" w:rsidR="0049389B" w:rsidRDefault="0049389B" w:rsidP="00BA360F">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Key points:</w:t>
      </w:r>
    </w:p>
    <w:p w14:paraId="2B182D76" w14:textId="2DB1A877" w:rsidR="0049389B" w:rsidRPr="0049389B" w:rsidRDefault="0049389B" w:rsidP="0049389B">
      <w:pPr>
        <w:pStyle w:val="ListParagraph"/>
        <w:numPr>
          <w:ilvl w:val="0"/>
          <w:numId w:val="83"/>
        </w:numPr>
        <w:spacing w:line="240" w:lineRule="auto"/>
        <w:rPr>
          <w:rFonts w:ascii="Calibri" w:eastAsia="Times New Roman" w:hAnsi="Calibri" w:cs="Times New Roman"/>
          <w:b/>
          <w:bCs/>
          <w:color w:val="002F5D"/>
          <w:lang w:eastAsia="en-GB"/>
        </w:rPr>
      </w:pPr>
      <w:r>
        <w:rPr>
          <w:rFonts w:ascii="Calibri" w:eastAsia="Times New Roman" w:hAnsi="Calibri" w:cs="Times New Roman"/>
          <w:bCs/>
          <w:color w:val="002F5D"/>
          <w:lang w:eastAsia="en-GB"/>
        </w:rPr>
        <w:lastRenderedPageBreak/>
        <w:t>The rate per 1,000 households of eligible homeless people not in priority need is statistically significantly worse in Peterborough than the England rate.</w:t>
      </w:r>
    </w:p>
    <w:p w14:paraId="252A775C" w14:textId="2BD4A40C" w:rsidR="003A06AE" w:rsidRPr="00466722" w:rsidRDefault="0049389B">
      <w:pPr>
        <w:pStyle w:val="ListParagraph"/>
        <w:numPr>
          <w:ilvl w:val="0"/>
          <w:numId w:val="83"/>
        </w:numPr>
        <w:spacing w:line="240" w:lineRule="auto"/>
        <w:rPr>
          <w:rFonts w:ascii="Calibri" w:eastAsia="Times New Roman" w:hAnsi="Calibri" w:cs="Times New Roman"/>
          <w:b/>
          <w:bCs/>
          <w:color w:val="002F5D"/>
          <w:lang w:eastAsia="en-GB"/>
        </w:rPr>
      </w:pPr>
      <w:r>
        <w:rPr>
          <w:rFonts w:ascii="Calibri" w:eastAsia="Times New Roman" w:hAnsi="Calibri" w:cs="Times New Roman"/>
          <w:bCs/>
          <w:color w:val="002F5D"/>
          <w:lang w:eastAsia="en-GB"/>
        </w:rPr>
        <w:t>In Cambridgeshire the rate per 1,000 households of eligible homeless people not in priority need is statistically significantly better than England.</w:t>
      </w:r>
    </w:p>
    <w:p w14:paraId="68481285" w14:textId="77777777" w:rsidR="003A06AE" w:rsidRDefault="0049389B" w:rsidP="00466722">
      <w:pPr>
        <w:pStyle w:val="ListParagraph"/>
        <w:numPr>
          <w:ilvl w:val="0"/>
          <w:numId w:val="83"/>
        </w:numPr>
        <w:spacing w:line="240" w:lineRule="auto"/>
        <w:rPr>
          <w:rFonts w:cs="Arial"/>
          <w:color w:val="002F5D"/>
        </w:rPr>
      </w:pPr>
      <w:r w:rsidRPr="0049389B">
        <w:rPr>
          <w:rFonts w:cs="Arial"/>
          <w:color w:val="002F5D"/>
        </w:rPr>
        <w:t>A</w:t>
      </w:r>
      <w:r>
        <w:rPr>
          <w:rFonts w:cs="Arial"/>
          <w:color w:val="002F5D"/>
        </w:rPr>
        <w:t xml:space="preserve">t </w:t>
      </w:r>
      <w:r w:rsidR="008C1B7B">
        <w:rPr>
          <w:rFonts w:cs="Arial"/>
          <w:color w:val="002F5D"/>
        </w:rPr>
        <w:t xml:space="preserve">a </w:t>
      </w:r>
      <w:r>
        <w:rPr>
          <w:rFonts w:cs="Arial"/>
          <w:color w:val="002F5D"/>
        </w:rPr>
        <w:t>district level, the rate</w:t>
      </w:r>
      <w:r w:rsidRPr="0049389B">
        <w:rPr>
          <w:rFonts w:cs="Arial"/>
          <w:color w:val="002F5D"/>
        </w:rPr>
        <w:t xml:space="preserve"> is statistically significantly worse than the national average in </w:t>
      </w:r>
      <w:r>
        <w:rPr>
          <w:rFonts w:cs="Arial"/>
          <w:color w:val="002F5D"/>
        </w:rPr>
        <w:t>Cambridge</w:t>
      </w:r>
      <w:r w:rsidRPr="0049389B">
        <w:rPr>
          <w:rFonts w:cs="Arial"/>
          <w:color w:val="002F5D"/>
        </w:rPr>
        <w:t>.</w:t>
      </w:r>
    </w:p>
    <w:p w14:paraId="29B54B58" w14:textId="77777777" w:rsidR="0049389B" w:rsidRPr="00466722" w:rsidRDefault="0049389B" w:rsidP="00E61D24">
      <w:pPr>
        <w:rPr>
          <w:rFonts w:ascii="Calibri" w:eastAsia="Times New Roman" w:hAnsi="Calibri" w:cs="Times New Roman"/>
          <w:bCs/>
          <w:color w:val="002F5D"/>
          <w:lang w:eastAsia="en-GB"/>
        </w:rPr>
      </w:pPr>
    </w:p>
    <w:p w14:paraId="4ABE50AB" w14:textId="5E23C42F" w:rsidR="00BA360F" w:rsidRDefault="007965E4" w:rsidP="00BA360F">
      <w:pPr>
        <w:spacing w:line="240" w:lineRule="auto"/>
        <w:rPr>
          <w:rFonts w:ascii="Calibri" w:eastAsia="Times New Roman" w:hAnsi="Calibri" w:cs="Times New Roman"/>
          <w:bCs/>
          <w:color w:val="002F5D"/>
          <w:lang w:eastAsia="en-GB"/>
        </w:rPr>
      </w:pPr>
      <w:r>
        <w:rPr>
          <w:rFonts w:ascii="Calibri" w:eastAsia="Times New Roman" w:hAnsi="Calibri" w:cs="Times New Roman"/>
          <w:b/>
          <w:bCs/>
          <w:color w:val="002F5D"/>
          <w:lang w:eastAsia="en-GB"/>
        </w:rPr>
        <w:t>T</w:t>
      </w:r>
      <w:r w:rsidR="006B19C2">
        <w:rPr>
          <w:rFonts w:ascii="Calibri" w:eastAsia="Times New Roman" w:hAnsi="Calibri" w:cs="Times New Roman"/>
          <w:b/>
          <w:bCs/>
          <w:color w:val="002F5D"/>
          <w:lang w:eastAsia="en-GB"/>
        </w:rPr>
        <w:t>able 20</w:t>
      </w:r>
      <w:r>
        <w:rPr>
          <w:rFonts w:ascii="Calibri" w:eastAsia="Times New Roman" w:hAnsi="Calibri" w:cs="Times New Roman"/>
          <w:b/>
          <w:bCs/>
          <w:color w:val="002F5D"/>
          <w:lang w:eastAsia="en-GB"/>
        </w:rPr>
        <w:t>.</w:t>
      </w:r>
      <w:r w:rsidR="00BA360F" w:rsidRPr="008437A9">
        <w:rPr>
          <w:rFonts w:ascii="Calibri" w:eastAsia="Times New Roman" w:hAnsi="Calibri" w:cs="Times New Roman"/>
          <w:b/>
          <w:bCs/>
          <w:color w:val="002F5D"/>
          <w:lang w:eastAsia="en-GB"/>
        </w:rPr>
        <w:t xml:space="preserve"> </w:t>
      </w:r>
      <w:r w:rsidR="00BA360F" w:rsidRPr="00466722">
        <w:rPr>
          <w:rFonts w:ascii="Calibri" w:eastAsia="Times New Roman" w:hAnsi="Calibri" w:cs="Times New Roman"/>
          <w:bCs/>
          <w:color w:val="002F5D"/>
          <w:lang w:eastAsia="en-GB"/>
        </w:rPr>
        <w:t>Statutory homelessness - households in temporary accommodation: crude rate per 1,000 households, 2017/18</w:t>
      </w:r>
    </w:p>
    <w:p w14:paraId="62538F15" w14:textId="77777777" w:rsidR="00F00DA0" w:rsidRDefault="00F00DA0" w:rsidP="00BA360F">
      <w:pPr>
        <w:spacing w:line="240" w:lineRule="auto"/>
        <w:rPr>
          <w:rFonts w:ascii="Calibri" w:eastAsia="Times New Roman" w:hAnsi="Calibri" w:cs="Times New Roman"/>
          <w:b/>
          <w:bCs/>
          <w:color w:val="002F5D"/>
          <w:lang w:eastAsia="en-GB"/>
        </w:rPr>
      </w:pPr>
    </w:p>
    <w:p w14:paraId="6C8D5D2F" w14:textId="655A92F1" w:rsidR="007A56F8" w:rsidRDefault="00F00DA0" w:rsidP="00BA360F">
      <w:pPr>
        <w:spacing w:line="240" w:lineRule="auto"/>
        <w:rPr>
          <w:rFonts w:ascii="Calibri" w:eastAsia="Times New Roman" w:hAnsi="Calibri" w:cs="Times New Roman"/>
          <w:b/>
          <w:bCs/>
          <w:color w:val="002F5D"/>
          <w:lang w:eastAsia="en-GB"/>
        </w:rPr>
      </w:pPr>
      <w:r w:rsidRPr="00F00DA0">
        <w:rPr>
          <w:noProof/>
          <w:lang w:eastAsia="en-GB"/>
        </w:rPr>
        <w:drawing>
          <wp:inline distT="0" distB="0" distL="0" distR="0" wp14:anchorId="25A8E318" wp14:editId="4981EAB1">
            <wp:extent cx="5382054" cy="2116667"/>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3370" cy="2121117"/>
                    </a:xfrm>
                    <a:prstGeom prst="rect">
                      <a:avLst/>
                    </a:prstGeom>
                    <a:noFill/>
                    <a:ln>
                      <a:noFill/>
                    </a:ln>
                  </pic:spPr>
                </pic:pic>
              </a:graphicData>
            </a:graphic>
          </wp:inline>
        </w:drawing>
      </w:r>
    </w:p>
    <w:p w14:paraId="154FAA6B" w14:textId="77777777" w:rsidR="00BA360F" w:rsidRPr="006B61D2" w:rsidRDefault="00BA360F" w:rsidP="00466722">
      <w:pPr>
        <w:spacing w:line="240" w:lineRule="auto"/>
        <w:rPr>
          <w:color w:val="002F5D"/>
        </w:rPr>
      </w:pPr>
      <w:r w:rsidRPr="006B61D2">
        <w:rPr>
          <w:color w:val="002F5D"/>
        </w:rPr>
        <w:t>*Value aggregated from all known lower geography values</w:t>
      </w:r>
    </w:p>
    <w:p w14:paraId="2F744A08" w14:textId="77777777" w:rsidR="00314A8F" w:rsidRDefault="00314A8F" w:rsidP="00BA360F">
      <w:pPr>
        <w:rPr>
          <w:b/>
          <w:color w:val="002F5D"/>
        </w:rPr>
      </w:pPr>
    </w:p>
    <w:p w14:paraId="1A784E65" w14:textId="33DB059F" w:rsidR="00BA360F" w:rsidRDefault="00BA360F" w:rsidP="00BA360F">
      <w:r>
        <w:rPr>
          <w:noProof/>
          <w:lang w:eastAsia="en-GB"/>
        </w:rPr>
        <w:drawing>
          <wp:inline distT="0" distB="0" distL="0" distR="0" wp14:anchorId="40253296" wp14:editId="6E128E10">
            <wp:extent cx="4200525" cy="316865"/>
            <wp:effectExtent l="0" t="0" r="9525"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0525" cy="316865"/>
                    </a:xfrm>
                    <a:prstGeom prst="rect">
                      <a:avLst/>
                    </a:prstGeom>
                    <a:noFill/>
                  </pic:spPr>
                </pic:pic>
              </a:graphicData>
            </a:graphic>
          </wp:inline>
        </w:drawing>
      </w:r>
    </w:p>
    <w:p w14:paraId="609C76E4" w14:textId="56691FFE" w:rsidR="003C0DA7" w:rsidRDefault="003C0DA7" w:rsidP="00BA360F"/>
    <w:p w14:paraId="14643815" w14:textId="451234D4" w:rsidR="00BA360F" w:rsidRDefault="003C0DA7" w:rsidP="00BA360F">
      <w:r w:rsidRPr="003C0DA7">
        <w:rPr>
          <w:noProof/>
          <w:lang w:eastAsia="en-GB"/>
        </w:rPr>
        <w:drawing>
          <wp:inline distT="0" distB="0" distL="0" distR="0" wp14:anchorId="12AAFFBF" wp14:editId="55CFEAA7">
            <wp:extent cx="4276725" cy="581025"/>
            <wp:effectExtent l="0" t="0" r="9525"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29F66F57" w14:textId="77777777" w:rsidR="00314A8F" w:rsidRDefault="00314A8F" w:rsidP="00BA360F"/>
    <w:p w14:paraId="3C7962BC" w14:textId="77777777" w:rsidR="00314A8F" w:rsidRPr="006B61D2" w:rsidRDefault="00314A8F" w:rsidP="00314A8F">
      <w:pPr>
        <w:rPr>
          <w:color w:val="002F5D"/>
        </w:rPr>
      </w:pPr>
      <w:r w:rsidRPr="009B744C">
        <w:rPr>
          <w:b/>
          <w:color w:val="002F5D"/>
        </w:rPr>
        <w:t>Source:</w:t>
      </w:r>
      <w:r w:rsidRPr="006B61D2">
        <w:rPr>
          <w:color w:val="002F5D"/>
        </w:rPr>
        <w:t xml:space="preserve"> Ministry of Housing, Communi</w:t>
      </w:r>
      <w:r>
        <w:rPr>
          <w:color w:val="002F5D"/>
        </w:rPr>
        <w:t xml:space="preserve">ties </w:t>
      </w:r>
      <w:r w:rsidRPr="006B61D2">
        <w:rPr>
          <w:color w:val="002F5D"/>
        </w:rPr>
        <w:t>&amp; Local Government</w:t>
      </w:r>
    </w:p>
    <w:p w14:paraId="0A994E13" w14:textId="77777777" w:rsidR="00314A8F" w:rsidRDefault="00314A8F" w:rsidP="0049389B">
      <w:pPr>
        <w:spacing w:line="240" w:lineRule="auto"/>
        <w:rPr>
          <w:rFonts w:ascii="Calibri" w:eastAsia="Times New Roman" w:hAnsi="Calibri" w:cs="Times New Roman"/>
          <w:b/>
          <w:bCs/>
          <w:color w:val="002F5D"/>
          <w:lang w:eastAsia="en-GB"/>
        </w:rPr>
      </w:pPr>
    </w:p>
    <w:p w14:paraId="470AD083" w14:textId="517B848F" w:rsidR="0049389B" w:rsidRDefault="0049389B" w:rsidP="0049389B">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Key points:</w:t>
      </w:r>
    </w:p>
    <w:p w14:paraId="04EE061D" w14:textId="4516D73E" w:rsidR="0049389B" w:rsidRPr="0049389B" w:rsidRDefault="0049389B" w:rsidP="0049389B">
      <w:pPr>
        <w:pStyle w:val="ListParagraph"/>
        <w:numPr>
          <w:ilvl w:val="0"/>
          <w:numId w:val="83"/>
        </w:numPr>
        <w:spacing w:line="240" w:lineRule="auto"/>
        <w:rPr>
          <w:rFonts w:ascii="Calibri" w:eastAsia="Times New Roman" w:hAnsi="Calibri" w:cs="Times New Roman"/>
          <w:b/>
          <w:bCs/>
          <w:color w:val="002F5D"/>
          <w:lang w:eastAsia="en-GB"/>
        </w:rPr>
      </w:pPr>
      <w:r>
        <w:rPr>
          <w:rFonts w:ascii="Calibri" w:eastAsia="Times New Roman" w:hAnsi="Calibri" w:cs="Times New Roman"/>
          <w:bCs/>
          <w:color w:val="002F5D"/>
          <w:lang w:eastAsia="en-GB"/>
        </w:rPr>
        <w:t>The rate per 1,000 households of households in temporary accommodation is statistically significantly worse in Peterborough than the England rate.</w:t>
      </w:r>
    </w:p>
    <w:p w14:paraId="10904010" w14:textId="6039070D" w:rsidR="0049389B" w:rsidRPr="0049389B" w:rsidRDefault="00C231E8" w:rsidP="0049389B">
      <w:pPr>
        <w:pStyle w:val="ListParagraph"/>
        <w:numPr>
          <w:ilvl w:val="0"/>
          <w:numId w:val="83"/>
        </w:numPr>
        <w:spacing w:line="240" w:lineRule="auto"/>
        <w:rPr>
          <w:rFonts w:ascii="Calibri" w:eastAsia="Times New Roman" w:hAnsi="Calibri" w:cs="Times New Roman"/>
          <w:b/>
          <w:bCs/>
          <w:color w:val="002F5D"/>
          <w:lang w:eastAsia="en-GB"/>
        </w:rPr>
      </w:pPr>
      <w:r>
        <w:rPr>
          <w:rFonts w:ascii="Calibri" w:eastAsia="Times New Roman" w:hAnsi="Calibri" w:cs="Times New Roman"/>
          <w:bCs/>
          <w:color w:val="002F5D"/>
          <w:lang w:eastAsia="en-GB"/>
        </w:rPr>
        <w:t>In Cambridgeshire t</w:t>
      </w:r>
      <w:r w:rsidR="0049389B">
        <w:rPr>
          <w:rFonts w:ascii="Calibri" w:eastAsia="Times New Roman" w:hAnsi="Calibri" w:cs="Times New Roman"/>
          <w:bCs/>
          <w:color w:val="002F5D"/>
          <w:lang w:eastAsia="en-GB"/>
        </w:rPr>
        <w:t>he rate per 1,000 households of households in temporary accommodation is statistically significantly better than England.</w:t>
      </w:r>
    </w:p>
    <w:p w14:paraId="21655216" w14:textId="5F8230AB" w:rsidR="0049389B" w:rsidRPr="0049389B" w:rsidRDefault="0049389B" w:rsidP="0049389B">
      <w:pPr>
        <w:pStyle w:val="ListParagraph"/>
        <w:numPr>
          <w:ilvl w:val="0"/>
          <w:numId w:val="83"/>
        </w:numPr>
        <w:spacing w:line="240" w:lineRule="auto"/>
        <w:rPr>
          <w:rFonts w:ascii="Calibri" w:eastAsia="Times New Roman" w:hAnsi="Calibri" w:cs="Times New Roman"/>
          <w:b/>
          <w:bCs/>
          <w:color w:val="002F5D"/>
          <w:lang w:eastAsia="en-GB"/>
        </w:rPr>
      </w:pPr>
      <w:r w:rsidRPr="0049389B">
        <w:rPr>
          <w:rFonts w:cs="Arial"/>
          <w:color w:val="002F5D"/>
        </w:rPr>
        <w:t xml:space="preserve">At </w:t>
      </w:r>
      <w:r w:rsidR="008C1B7B">
        <w:rPr>
          <w:rFonts w:cs="Arial"/>
          <w:color w:val="002F5D"/>
        </w:rPr>
        <w:t xml:space="preserve">a </w:t>
      </w:r>
      <w:r w:rsidRPr="0049389B">
        <w:rPr>
          <w:rFonts w:cs="Arial"/>
          <w:color w:val="002F5D"/>
        </w:rPr>
        <w:t>district level, the rate is s</w:t>
      </w:r>
      <w:r>
        <w:rPr>
          <w:rFonts w:cs="Arial"/>
          <w:color w:val="002F5D"/>
        </w:rPr>
        <w:t>tatistically significantly better than the national average for all districts</w:t>
      </w:r>
      <w:r w:rsidRPr="0049389B">
        <w:rPr>
          <w:rFonts w:cs="Arial"/>
          <w:color w:val="002F5D"/>
        </w:rPr>
        <w:t>.</w:t>
      </w:r>
    </w:p>
    <w:p w14:paraId="63C84ABA" w14:textId="77777777" w:rsidR="00BA360F" w:rsidRDefault="00BA360F" w:rsidP="00BA360F"/>
    <w:p w14:paraId="47195243" w14:textId="77777777" w:rsidR="00084E15" w:rsidRDefault="00084E15" w:rsidP="00BA360F"/>
    <w:p w14:paraId="3175BA78" w14:textId="77777777" w:rsidR="00084E15" w:rsidRDefault="00084E15" w:rsidP="00BA360F"/>
    <w:p w14:paraId="0C7F572D" w14:textId="77777777" w:rsidR="00084E15" w:rsidRDefault="00084E15" w:rsidP="00BA360F"/>
    <w:p w14:paraId="0C401B10" w14:textId="77777777" w:rsidR="00084E15" w:rsidRDefault="00084E15" w:rsidP="00BA360F"/>
    <w:p w14:paraId="125AF3C1" w14:textId="77777777" w:rsidR="00084E15" w:rsidRDefault="00084E15" w:rsidP="00BA360F"/>
    <w:p w14:paraId="4645FCC5" w14:textId="77777777" w:rsidR="00084E15" w:rsidRDefault="00084E15" w:rsidP="00BA360F"/>
    <w:p w14:paraId="05FEDA40" w14:textId="49C3204E" w:rsidR="00084E15" w:rsidRDefault="00084E15" w:rsidP="00BA360F"/>
    <w:p w14:paraId="5DBB37A9" w14:textId="45929E5F" w:rsidR="003A06AE" w:rsidRDefault="003A06AE" w:rsidP="00BA360F"/>
    <w:p w14:paraId="24D27F93" w14:textId="43E53D18" w:rsidR="00F00DA0" w:rsidRDefault="00F00DA0" w:rsidP="00BA360F"/>
    <w:p w14:paraId="4C6592CA" w14:textId="41BD5E38" w:rsidR="00F00DA0" w:rsidRDefault="00F00DA0" w:rsidP="00BA360F"/>
    <w:p w14:paraId="5CD80281" w14:textId="7B7B6FE5" w:rsidR="003A06AE" w:rsidRDefault="003A06AE" w:rsidP="00BA360F"/>
    <w:p w14:paraId="3739FD76" w14:textId="77777777" w:rsidR="00084E15" w:rsidRDefault="00084E15" w:rsidP="00BA360F"/>
    <w:p w14:paraId="15E7BE41" w14:textId="25F3E7D3" w:rsidR="00BA360F" w:rsidRDefault="004061DD" w:rsidP="00BA360F">
      <w:pPr>
        <w:rPr>
          <w:color w:val="002F5D"/>
        </w:rPr>
      </w:pPr>
      <w:r>
        <w:rPr>
          <w:b/>
          <w:color w:val="002F5D"/>
        </w:rPr>
        <w:t>Figure 19</w:t>
      </w:r>
      <w:r w:rsidR="007965E4">
        <w:rPr>
          <w:b/>
          <w:color w:val="002F5D"/>
        </w:rPr>
        <w:t xml:space="preserve">. </w:t>
      </w:r>
      <w:r w:rsidR="00BA360F" w:rsidRPr="00466722">
        <w:rPr>
          <w:color w:val="002F5D"/>
        </w:rPr>
        <w:t>Trends in Statutory homelessness - households in temporary accommodation, Peterborough, Cambridgeshire and Peterborough and England</w:t>
      </w:r>
    </w:p>
    <w:p w14:paraId="00D8E153" w14:textId="77777777" w:rsidR="003A06AE" w:rsidRDefault="003A06AE" w:rsidP="00BA360F">
      <w:pPr>
        <w:rPr>
          <w:b/>
          <w:color w:val="002F5D"/>
        </w:rPr>
      </w:pPr>
    </w:p>
    <w:p w14:paraId="3C60584E" w14:textId="2BD1D8A5" w:rsidR="00EA5240" w:rsidRDefault="00EA5240" w:rsidP="00BA360F">
      <w:pPr>
        <w:rPr>
          <w:b/>
          <w:color w:val="002F5D"/>
        </w:rPr>
      </w:pPr>
      <w:r>
        <w:rPr>
          <w:b/>
          <w:noProof/>
          <w:color w:val="002F5D"/>
          <w:lang w:eastAsia="en-GB"/>
        </w:rPr>
        <w:drawing>
          <wp:inline distT="0" distB="0" distL="0" distR="0" wp14:anchorId="2E63A881" wp14:editId="2CC0B9FB">
            <wp:extent cx="5517515" cy="3152140"/>
            <wp:effectExtent l="0" t="0" r="698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17515" cy="3152140"/>
                    </a:xfrm>
                    <a:prstGeom prst="rect">
                      <a:avLst/>
                    </a:prstGeom>
                    <a:noFill/>
                  </pic:spPr>
                </pic:pic>
              </a:graphicData>
            </a:graphic>
          </wp:inline>
        </w:drawing>
      </w:r>
    </w:p>
    <w:p w14:paraId="56D55AC7" w14:textId="77777777" w:rsidR="00314A8F" w:rsidRDefault="00314A8F" w:rsidP="00314A8F"/>
    <w:p w14:paraId="52086506" w14:textId="77777777" w:rsidR="00314A8F" w:rsidRDefault="00314A8F" w:rsidP="00314A8F">
      <w:pPr>
        <w:spacing w:line="240" w:lineRule="auto"/>
        <w:rPr>
          <w:rFonts w:ascii="Calibri" w:eastAsia="Times New Roman" w:hAnsi="Calibri" w:cs="Times New Roman"/>
          <w:color w:val="002F5D"/>
          <w:lang w:eastAsia="en-GB"/>
        </w:rPr>
      </w:pPr>
      <w:r w:rsidRPr="000E4E02">
        <w:rPr>
          <w:rFonts w:ascii="Calibri" w:eastAsia="Times New Roman" w:hAnsi="Calibri" w:cs="Times New Roman"/>
          <w:color w:val="002F5D"/>
          <w:lang w:eastAsia="en-GB"/>
        </w:rPr>
        <w:t>*Value aggregated from all known lower geography values</w:t>
      </w:r>
    </w:p>
    <w:p w14:paraId="2C70EE1C" w14:textId="77777777" w:rsidR="00314A8F" w:rsidRDefault="00314A8F" w:rsidP="00BA360F">
      <w:pPr>
        <w:rPr>
          <w:b/>
          <w:color w:val="002F5D"/>
        </w:rPr>
      </w:pPr>
    </w:p>
    <w:p w14:paraId="23056799" w14:textId="1E0B33D5" w:rsidR="0049389B" w:rsidRPr="000E4E02" w:rsidRDefault="003C0DA7" w:rsidP="00BA360F">
      <w:pPr>
        <w:rPr>
          <w:b/>
          <w:color w:val="002F5D"/>
        </w:rPr>
      </w:pPr>
      <w:r w:rsidRPr="003C0DA7">
        <w:rPr>
          <w:noProof/>
          <w:lang w:eastAsia="en-GB"/>
        </w:rPr>
        <w:drawing>
          <wp:inline distT="0" distB="0" distL="0" distR="0" wp14:anchorId="2C1FCFC5" wp14:editId="27328C0B">
            <wp:extent cx="4276725" cy="581025"/>
            <wp:effectExtent l="0" t="0" r="9525"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370AA1BD" w14:textId="6D002916" w:rsidR="00084E15" w:rsidRDefault="00084E15" w:rsidP="00466722">
      <w:pPr>
        <w:rPr>
          <w:rFonts w:ascii="Calibri" w:eastAsia="Times New Roman" w:hAnsi="Calibri" w:cs="Times New Roman"/>
          <w:color w:val="002F5D"/>
          <w:lang w:eastAsia="en-GB"/>
        </w:rPr>
      </w:pPr>
    </w:p>
    <w:p w14:paraId="3645FB17" w14:textId="77777777" w:rsidR="00BA360F" w:rsidRDefault="00BA360F" w:rsidP="00BA360F">
      <w:pPr>
        <w:rPr>
          <w:color w:val="002F5D"/>
        </w:rPr>
      </w:pPr>
      <w:r w:rsidRPr="00466722">
        <w:rPr>
          <w:b/>
          <w:color w:val="002F5D"/>
        </w:rPr>
        <w:t>Source:</w:t>
      </w:r>
      <w:r w:rsidRPr="006B61D2">
        <w:rPr>
          <w:color w:val="002F5D"/>
        </w:rPr>
        <w:t xml:space="preserve"> Ministry of Housing, Communi</w:t>
      </w:r>
      <w:r>
        <w:rPr>
          <w:color w:val="002F5D"/>
        </w:rPr>
        <w:t xml:space="preserve">ties </w:t>
      </w:r>
      <w:r w:rsidRPr="006B61D2">
        <w:rPr>
          <w:color w:val="002F5D"/>
        </w:rPr>
        <w:t>&amp; Local Government</w:t>
      </w:r>
    </w:p>
    <w:p w14:paraId="4BB83CAD" w14:textId="77777777" w:rsidR="0049389B" w:rsidRDefault="0049389B" w:rsidP="0049389B">
      <w:pPr>
        <w:spacing w:line="240" w:lineRule="auto"/>
        <w:rPr>
          <w:rFonts w:ascii="Calibri" w:eastAsia="Times New Roman" w:hAnsi="Calibri" w:cs="Times New Roman"/>
          <w:b/>
          <w:bCs/>
          <w:color w:val="002F5D"/>
          <w:lang w:eastAsia="en-GB"/>
        </w:rPr>
      </w:pPr>
    </w:p>
    <w:p w14:paraId="5F69B704" w14:textId="77777777" w:rsidR="0049389B" w:rsidRDefault="0049389B" w:rsidP="0049389B">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Key points:</w:t>
      </w:r>
    </w:p>
    <w:p w14:paraId="50A9262F" w14:textId="41FA90FE" w:rsidR="00C231E8" w:rsidRDefault="00C231E8" w:rsidP="00C231E8">
      <w:pPr>
        <w:pStyle w:val="ListParagraph"/>
        <w:numPr>
          <w:ilvl w:val="0"/>
          <w:numId w:val="28"/>
        </w:numPr>
        <w:spacing w:line="240" w:lineRule="auto"/>
        <w:rPr>
          <w:rFonts w:eastAsia="Times New Roman" w:cs="Times New Roman"/>
          <w:color w:val="002F5D"/>
          <w:lang w:eastAsia="en-GB"/>
        </w:rPr>
      </w:pPr>
      <w:r w:rsidRPr="00C231E8">
        <w:rPr>
          <w:rFonts w:eastAsia="Times New Roman" w:cs="Times New Roman"/>
          <w:color w:val="002F5D"/>
          <w:lang w:eastAsia="en-GB"/>
        </w:rPr>
        <w:t xml:space="preserve">Cambridgeshire and Peterborough </w:t>
      </w:r>
      <w:r w:rsidR="008C1B7B">
        <w:rPr>
          <w:rFonts w:eastAsia="Times New Roman" w:cs="Times New Roman"/>
          <w:color w:val="002F5D"/>
          <w:lang w:eastAsia="en-GB"/>
        </w:rPr>
        <w:t xml:space="preserve">combined </w:t>
      </w:r>
      <w:r w:rsidRPr="00C231E8">
        <w:rPr>
          <w:rFonts w:eastAsia="Times New Roman" w:cs="Times New Roman"/>
          <w:color w:val="002F5D"/>
          <w:lang w:eastAsia="en-GB"/>
        </w:rPr>
        <w:t xml:space="preserve">have consistently lower levels of </w:t>
      </w:r>
      <w:r w:rsidRPr="00C231E8">
        <w:rPr>
          <w:color w:val="002F5D"/>
        </w:rPr>
        <w:t>households in temporary accommodation</w:t>
      </w:r>
      <w:r w:rsidRPr="00C231E8">
        <w:rPr>
          <w:rFonts w:eastAsia="Times New Roman" w:cs="Times New Roman"/>
          <w:color w:val="002F5D"/>
          <w:lang w:eastAsia="en-GB"/>
        </w:rPr>
        <w:t xml:space="preserve"> than in England.</w:t>
      </w:r>
    </w:p>
    <w:p w14:paraId="1990B025" w14:textId="7741721A" w:rsidR="003A06AE" w:rsidRPr="00466722" w:rsidRDefault="00C231E8" w:rsidP="00466722">
      <w:pPr>
        <w:pStyle w:val="ListParagraph"/>
        <w:numPr>
          <w:ilvl w:val="0"/>
          <w:numId w:val="28"/>
        </w:numPr>
        <w:spacing w:line="240" w:lineRule="auto"/>
        <w:rPr>
          <w:rFonts w:eastAsia="Times New Roman" w:cs="Times New Roman"/>
          <w:color w:val="002F5D"/>
          <w:lang w:eastAsia="en-GB"/>
        </w:rPr>
      </w:pPr>
      <w:r>
        <w:rPr>
          <w:rFonts w:eastAsia="Times New Roman" w:cs="Times New Roman"/>
          <w:color w:val="002F5D"/>
          <w:lang w:eastAsia="en-GB"/>
        </w:rPr>
        <w:t>The Peterborough rate has become statistically significantly worse than England</w:t>
      </w:r>
      <w:r w:rsidR="008C1B7B">
        <w:rPr>
          <w:rFonts w:eastAsia="Times New Roman" w:cs="Times New Roman"/>
          <w:color w:val="002F5D"/>
          <w:lang w:eastAsia="en-GB"/>
        </w:rPr>
        <w:t xml:space="preserve"> in 2017/18, </w:t>
      </w:r>
      <w:r>
        <w:rPr>
          <w:rFonts w:eastAsia="Times New Roman" w:cs="Times New Roman"/>
          <w:color w:val="002F5D"/>
          <w:lang w:eastAsia="en-GB"/>
        </w:rPr>
        <w:t>having been similar in 2016/17 and statistically significantly better since 2010/11.</w:t>
      </w:r>
    </w:p>
    <w:p w14:paraId="6C497906" w14:textId="5981A26A" w:rsidR="00CD6625" w:rsidRPr="00466722" w:rsidRDefault="00CD6625" w:rsidP="00466722">
      <w:pPr>
        <w:spacing w:line="240" w:lineRule="auto"/>
        <w:rPr>
          <w:rFonts w:eastAsia="Times New Roman" w:cs="Times New Roman"/>
          <w:color w:val="002F5D"/>
          <w:lang w:eastAsia="en-GB"/>
        </w:rPr>
      </w:pPr>
    </w:p>
    <w:p w14:paraId="35BE60BF" w14:textId="04044645" w:rsidR="00BA360F" w:rsidRDefault="007965E4" w:rsidP="00BA360F">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 xml:space="preserve">Table 21. </w:t>
      </w:r>
      <w:r w:rsidR="00BA360F" w:rsidRPr="00466722">
        <w:rPr>
          <w:rFonts w:ascii="Calibri" w:eastAsia="Times New Roman" w:hAnsi="Calibri" w:cs="Times New Roman"/>
          <w:bCs/>
          <w:color w:val="002F5D"/>
          <w:lang w:eastAsia="en-GB"/>
        </w:rPr>
        <w:t>Family homelessness - households in temporary accommodation: crude rate per 1,000 households, 2016/17</w:t>
      </w:r>
    </w:p>
    <w:p w14:paraId="69850664" w14:textId="5421C9A2" w:rsidR="007A56F8" w:rsidRDefault="007A56F8" w:rsidP="00BA360F">
      <w:pPr>
        <w:spacing w:line="240" w:lineRule="auto"/>
        <w:rPr>
          <w:rFonts w:ascii="Calibri" w:eastAsia="Times New Roman" w:hAnsi="Calibri" w:cs="Times New Roman"/>
          <w:b/>
          <w:bCs/>
          <w:color w:val="002F5D"/>
          <w:lang w:eastAsia="en-GB"/>
        </w:rPr>
      </w:pPr>
    </w:p>
    <w:p w14:paraId="63924C7C" w14:textId="2E85BF5A" w:rsidR="00BA360F" w:rsidRDefault="007A56F8" w:rsidP="00BA360F">
      <w:pPr>
        <w:spacing w:line="240" w:lineRule="auto"/>
        <w:rPr>
          <w:rFonts w:ascii="Calibri" w:eastAsia="Times New Roman" w:hAnsi="Calibri" w:cs="Times New Roman"/>
          <w:b/>
          <w:bCs/>
          <w:color w:val="002F5D"/>
          <w:lang w:eastAsia="en-GB"/>
        </w:rPr>
      </w:pPr>
      <w:r w:rsidRPr="007A56F8">
        <w:rPr>
          <w:noProof/>
          <w:lang w:eastAsia="en-GB"/>
        </w:rPr>
        <w:drawing>
          <wp:inline distT="0" distB="0" distL="0" distR="0" wp14:anchorId="451F8270" wp14:editId="58FA2AC2">
            <wp:extent cx="5517515" cy="1103503"/>
            <wp:effectExtent l="0" t="0" r="6985" b="190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39920" cy="1107984"/>
                    </a:xfrm>
                    <a:prstGeom prst="rect">
                      <a:avLst/>
                    </a:prstGeom>
                    <a:noFill/>
                    <a:ln>
                      <a:noFill/>
                    </a:ln>
                  </pic:spPr>
                </pic:pic>
              </a:graphicData>
            </a:graphic>
          </wp:inline>
        </w:drawing>
      </w:r>
    </w:p>
    <w:p w14:paraId="2AE0D9F6" w14:textId="77777777" w:rsidR="00314A8F" w:rsidRPr="007965E4" w:rsidRDefault="00314A8F" w:rsidP="00314A8F">
      <w:pPr>
        <w:spacing w:line="240" w:lineRule="auto"/>
        <w:rPr>
          <w:rFonts w:ascii="Calibri" w:eastAsia="Times New Roman" w:hAnsi="Calibri" w:cs="Times New Roman"/>
          <w:color w:val="002F5D"/>
          <w:lang w:eastAsia="en-GB"/>
        </w:rPr>
      </w:pPr>
    </w:p>
    <w:p w14:paraId="0F166ACB" w14:textId="77777777" w:rsidR="00314A8F" w:rsidRPr="007965E4" w:rsidRDefault="00314A8F" w:rsidP="00314A8F">
      <w:pPr>
        <w:spacing w:line="240" w:lineRule="auto"/>
        <w:rPr>
          <w:rFonts w:ascii="Calibri" w:eastAsia="Times New Roman" w:hAnsi="Calibri" w:cs="Times New Roman"/>
          <w:color w:val="002F5D"/>
          <w:lang w:eastAsia="en-GB"/>
        </w:rPr>
      </w:pPr>
      <w:r w:rsidRPr="007965E4">
        <w:rPr>
          <w:rFonts w:ascii="Calibri" w:eastAsia="Times New Roman" w:hAnsi="Calibri" w:cs="Times New Roman"/>
          <w:color w:val="002F5D"/>
          <w:lang w:eastAsia="en-GB"/>
        </w:rPr>
        <w:t>*Value aggregated from all known lower geography values</w:t>
      </w:r>
    </w:p>
    <w:p w14:paraId="6A0B989A" w14:textId="77777777" w:rsidR="00314A8F" w:rsidRDefault="00314A8F" w:rsidP="00314A8F">
      <w:p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Data not available at district level</w:t>
      </w:r>
    </w:p>
    <w:p w14:paraId="7E8D2DB9" w14:textId="407431AD" w:rsidR="00BA360F" w:rsidRPr="000E4E02" w:rsidRDefault="00BA360F" w:rsidP="00BA360F">
      <w:pPr>
        <w:spacing w:line="240" w:lineRule="auto"/>
        <w:rPr>
          <w:rFonts w:ascii="Calibri" w:eastAsia="Times New Roman" w:hAnsi="Calibri" w:cs="Times New Roman"/>
          <w:b/>
          <w:bCs/>
          <w:color w:val="002F5D"/>
          <w:lang w:eastAsia="en-GB"/>
        </w:rPr>
      </w:pPr>
    </w:p>
    <w:p w14:paraId="09201C01" w14:textId="77777777" w:rsidR="00BA360F" w:rsidRDefault="00BA360F" w:rsidP="00BA360F">
      <w:pPr>
        <w:spacing w:line="240" w:lineRule="auto"/>
        <w:rPr>
          <w:rFonts w:ascii="Calibri" w:eastAsia="Times New Roman" w:hAnsi="Calibri" w:cs="Times New Roman"/>
          <w:b/>
          <w:bCs/>
          <w:color w:val="002F5D"/>
          <w:lang w:eastAsia="en-GB"/>
        </w:rPr>
      </w:pPr>
      <w:r>
        <w:rPr>
          <w:noProof/>
          <w:lang w:eastAsia="en-GB"/>
        </w:rPr>
        <w:lastRenderedPageBreak/>
        <w:drawing>
          <wp:inline distT="0" distB="0" distL="0" distR="0" wp14:anchorId="6CDD3817" wp14:editId="7DBDADEF">
            <wp:extent cx="4200525" cy="316865"/>
            <wp:effectExtent l="0" t="0" r="9525" b="698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0525" cy="316865"/>
                    </a:xfrm>
                    <a:prstGeom prst="rect">
                      <a:avLst/>
                    </a:prstGeom>
                    <a:noFill/>
                  </pic:spPr>
                </pic:pic>
              </a:graphicData>
            </a:graphic>
          </wp:inline>
        </w:drawing>
      </w:r>
    </w:p>
    <w:p w14:paraId="2FDF0757" w14:textId="45DEF980" w:rsidR="00BA360F" w:rsidRDefault="003C0DA7" w:rsidP="00BA360F">
      <w:pPr>
        <w:spacing w:line="240" w:lineRule="auto"/>
        <w:rPr>
          <w:rFonts w:ascii="Calibri" w:eastAsia="Times New Roman" w:hAnsi="Calibri" w:cs="Times New Roman"/>
          <w:b/>
          <w:bCs/>
          <w:color w:val="002F5D"/>
          <w:lang w:eastAsia="en-GB"/>
        </w:rPr>
      </w:pPr>
      <w:r w:rsidRPr="003C0DA7">
        <w:rPr>
          <w:noProof/>
          <w:lang w:eastAsia="en-GB"/>
        </w:rPr>
        <w:drawing>
          <wp:inline distT="0" distB="0" distL="0" distR="0" wp14:anchorId="60AE3982" wp14:editId="592F55D8">
            <wp:extent cx="4276725" cy="58102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33050F32" w14:textId="77777777" w:rsidR="008C604D" w:rsidRPr="000E4E02" w:rsidRDefault="008C604D" w:rsidP="00BA360F">
      <w:pPr>
        <w:spacing w:line="240" w:lineRule="auto"/>
        <w:rPr>
          <w:rFonts w:ascii="Calibri" w:eastAsia="Times New Roman" w:hAnsi="Calibri" w:cs="Times New Roman"/>
          <w:color w:val="002F5D"/>
          <w:lang w:eastAsia="en-GB"/>
        </w:rPr>
      </w:pPr>
    </w:p>
    <w:p w14:paraId="284394DB" w14:textId="77777777" w:rsidR="00BA360F" w:rsidRPr="008E3DAB" w:rsidRDefault="00BA360F" w:rsidP="00BA360F">
      <w:pPr>
        <w:spacing w:line="240" w:lineRule="auto"/>
        <w:rPr>
          <w:rFonts w:ascii="Calibri" w:eastAsia="Times New Roman" w:hAnsi="Calibri" w:cs="Times New Roman"/>
          <w:color w:val="002F5D"/>
          <w:lang w:eastAsia="en-GB"/>
        </w:rPr>
      </w:pPr>
      <w:r w:rsidRPr="008E3DAB">
        <w:rPr>
          <w:rFonts w:ascii="Calibri" w:eastAsia="Times New Roman" w:hAnsi="Calibri" w:cs="Times New Roman"/>
          <w:b/>
          <w:bCs/>
          <w:color w:val="002F5D"/>
          <w:lang w:eastAsia="en-GB"/>
        </w:rPr>
        <w:t>Source:</w:t>
      </w:r>
      <w:r w:rsidRPr="008E3DAB">
        <w:rPr>
          <w:rFonts w:ascii="Calibri" w:eastAsia="Times New Roman" w:hAnsi="Calibri" w:cs="Times New Roman"/>
          <w:color w:val="002F5D"/>
          <w:lang w:eastAsia="en-GB"/>
        </w:rPr>
        <w:t xml:space="preserve"> P1E quarterly returns, Department of Communities and Local Government</w:t>
      </w:r>
    </w:p>
    <w:p w14:paraId="75459E8A" w14:textId="77777777" w:rsidR="008C604D" w:rsidRDefault="008C604D" w:rsidP="008C604D">
      <w:pPr>
        <w:spacing w:line="240" w:lineRule="auto"/>
        <w:rPr>
          <w:rFonts w:ascii="Calibri" w:eastAsia="Times New Roman" w:hAnsi="Calibri" w:cs="Times New Roman"/>
          <w:b/>
          <w:bCs/>
          <w:color w:val="002F5D"/>
          <w:lang w:eastAsia="en-GB"/>
        </w:rPr>
      </w:pPr>
    </w:p>
    <w:p w14:paraId="0AE003B4" w14:textId="77777777" w:rsidR="008C604D" w:rsidRDefault="008C604D" w:rsidP="008C604D">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Key points:</w:t>
      </w:r>
    </w:p>
    <w:p w14:paraId="4EFAD5B3" w14:textId="71555CDC" w:rsidR="008C604D" w:rsidRDefault="008C604D" w:rsidP="008C604D">
      <w:pPr>
        <w:pStyle w:val="ListParagraph"/>
        <w:numPr>
          <w:ilvl w:val="0"/>
          <w:numId w:val="28"/>
        </w:numPr>
        <w:spacing w:line="240" w:lineRule="auto"/>
        <w:rPr>
          <w:rFonts w:eastAsia="Times New Roman" w:cs="Times New Roman"/>
          <w:color w:val="002F5D"/>
          <w:lang w:eastAsia="en-GB"/>
        </w:rPr>
      </w:pPr>
      <w:r>
        <w:rPr>
          <w:rFonts w:eastAsia="Times New Roman" w:cs="Times New Roman"/>
          <w:color w:val="002F5D"/>
          <w:lang w:eastAsia="en-GB"/>
        </w:rPr>
        <w:t xml:space="preserve">The rate of households in temporary accommodation in </w:t>
      </w:r>
      <w:r w:rsidRPr="00C231E8">
        <w:rPr>
          <w:rFonts w:eastAsia="Times New Roman" w:cs="Times New Roman"/>
          <w:color w:val="002F5D"/>
          <w:lang w:eastAsia="en-GB"/>
        </w:rPr>
        <w:t xml:space="preserve">Peterborough </w:t>
      </w:r>
      <w:r>
        <w:rPr>
          <w:rFonts w:eastAsia="Times New Roman" w:cs="Times New Roman"/>
          <w:color w:val="002F5D"/>
          <w:lang w:eastAsia="en-GB"/>
        </w:rPr>
        <w:t xml:space="preserve">is statistically significantly </w:t>
      </w:r>
      <w:r w:rsidR="008C1B7B">
        <w:rPr>
          <w:rFonts w:eastAsia="Times New Roman" w:cs="Times New Roman"/>
          <w:color w:val="002F5D"/>
          <w:lang w:eastAsia="en-GB"/>
        </w:rPr>
        <w:t xml:space="preserve">worse </w:t>
      </w:r>
      <w:r w:rsidR="008C1B7B" w:rsidRPr="00C231E8">
        <w:rPr>
          <w:rFonts w:eastAsia="Times New Roman" w:cs="Times New Roman"/>
          <w:color w:val="002F5D"/>
          <w:lang w:eastAsia="en-GB"/>
        </w:rPr>
        <w:t>than</w:t>
      </w:r>
      <w:r>
        <w:rPr>
          <w:rFonts w:eastAsia="Times New Roman" w:cs="Times New Roman"/>
          <w:color w:val="002F5D"/>
          <w:lang w:eastAsia="en-GB"/>
        </w:rPr>
        <w:t xml:space="preserve"> the</w:t>
      </w:r>
      <w:r w:rsidRPr="00C231E8">
        <w:rPr>
          <w:rFonts w:eastAsia="Times New Roman" w:cs="Times New Roman"/>
          <w:color w:val="002F5D"/>
          <w:lang w:eastAsia="en-GB"/>
        </w:rPr>
        <w:t xml:space="preserve"> England</w:t>
      </w:r>
      <w:r>
        <w:rPr>
          <w:rFonts w:eastAsia="Times New Roman" w:cs="Times New Roman"/>
          <w:color w:val="002F5D"/>
          <w:lang w:eastAsia="en-GB"/>
        </w:rPr>
        <w:t xml:space="preserve"> rate</w:t>
      </w:r>
      <w:r w:rsidRPr="00C231E8">
        <w:rPr>
          <w:rFonts w:eastAsia="Times New Roman" w:cs="Times New Roman"/>
          <w:color w:val="002F5D"/>
          <w:lang w:eastAsia="en-GB"/>
        </w:rPr>
        <w:t>.</w:t>
      </w:r>
    </w:p>
    <w:p w14:paraId="07AB4D56" w14:textId="5F479EE5" w:rsidR="00BA360F" w:rsidRPr="008C604D" w:rsidRDefault="008C604D" w:rsidP="00BA360F">
      <w:pPr>
        <w:pStyle w:val="ListParagraph"/>
        <w:numPr>
          <w:ilvl w:val="0"/>
          <w:numId w:val="28"/>
        </w:numPr>
        <w:spacing w:line="240" w:lineRule="auto"/>
        <w:rPr>
          <w:rFonts w:eastAsia="Times New Roman" w:cs="Times New Roman"/>
          <w:color w:val="002F5D"/>
          <w:lang w:eastAsia="en-GB"/>
        </w:rPr>
      </w:pPr>
      <w:r>
        <w:rPr>
          <w:rFonts w:eastAsia="Times New Roman" w:cs="Times New Roman"/>
          <w:color w:val="002F5D"/>
          <w:lang w:eastAsia="en-GB"/>
        </w:rPr>
        <w:t xml:space="preserve">In Cambridgeshire the </w:t>
      </w:r>
      <w:r w:rsidRPr="008C604D">
        <w:rPr>
          <w:rFonts w:eastAsia="Times New Roman" w:cs="Times New Roman"/>
          <w:color w:val="002F5D"/>
          <w:lang w:eastAsia="en-GB"/>
        </w:rPr>
        <w:t>rate of households in temporary accom</w:t>
      </w:r>
      <w:r>
        <w:rPr>
          <w:rFonts w:eastAsia="Times New Roman" w:cs="Times New Roman"/>
          <w:color w:val="002F5D"/>
          <w:lang w:eastAsia="en-GB"/>
        </w:rPr>
        <w:t>m</w:t>
      </w:r>
      <w:r w:rsidRPr="008C604D">
        <w:rPr>
          <w:rFonts w:eastAsia="Times New Roman" w:cs="Times New Roman"/>
          <w:color w:val="002F5D"/>
          <w:lang w:eastAsia="en-GB"/>
        </w:rPr>
        <w:t xml:space="preserve">odation is statistically </w:t>
      </w:r>
      <w:r>
        <w:rPr>
          <w:rFonts w:eastAsia="Times New Roman" w:cs="Times New Roman"/>
          <w:color w:val="002F5D"/>
          <w:lang w:eastAsia="en-GB"/>
        </w:rPr>
        <w:t>similar to</w:t>
      </w:r>
      <w:r w:rsidRPr="008C604D">
        <w:rPr>
          <w:rFonts w:eastAsia="Times New Roman" w:cs="Times New Roman"/>
          <w:color w:val="002F5D"/>
          <w:lang w:eastAsia="en-GB"/>
        </w:rPr>
        <w:t xml:space="preserve"> the England rate.</w:t>
      </w:r>
    </w:p>
    <w:p w14:paraId="2BF9D926" w14:textId="77777777" w:rsidR="008C604D" w:rsidRDefault="008C604D" w:rsidP="00BA360F"/>
    <w:p w14:paraId="51C28381" w14:textId="72D86492" w:rsidR="00BA360F" w:rsidRDefault="004061DD" w:rsidP="00BA360F">
      <w:pPr>
        <w:spacing w:line="240" w:lineRule="auto"/>
        <w:rPr>
          <w:rFonts w:ascii="Calibri" w:eastAsia="Times New Roman" w:hAnsi="Calibri" w:cs="Times New Roman"/>
          <w:bCs/>
          <w:color w:val="002F5D"/>
          <w:lang w:eastAsia="en-GB"/>
        </w:rPr>
      </w:pPr>
      <w:r>
        <w:rPr>
          <w:b/>
          <w:color w:val="002F5D"/>
        </w:rPr>
        <w:t>Figure 20</w:t>
      </w:r>
      <w:r w:rsidR="007965E4">
        <w:rPr>
          <w:b/>
          <w:color w:val="002F5D"/>
        </w:rPr>
        <w:t>.</w:t>
      </w:r>
      <w:r w:rsidR="007965E4" w:rsidRPr="00466722">
        <w:rPr>
          <w:b/>
          <w:color w:val="002F5D"/>
        </w:rPr>
        <w:t xml:space="preserve"> </w:t>
      </w:r>
      <w:r w:rsidR="00BA360F" w:rsidRPr="00466722">
        <w:rPr>
          <w:rFonts w:ascii="Calibri" w:eastAsia="Times New Roman" w:hAnsi="Calibri" w:cs="Times New Roman"/>
          <w:bCs/>
          <w:color w:val="002F5D"/>
          <w:lang w:eastAsia="en-GB"/>
        </w:rPr>
        <w:t>Trends in Family homelessness - households in temporary accommodation, Peterborough, Cambridgeshire and Peterborough and England</w:t>
      </w:r>
    </w:p>
    <w:p w14:paraId="146DE5CB" w14:textId="77777777" w:rsidR="003A06AE" w:rsidRPr="00466722" w:rsidRDefault="003A06AE" w:rsidP="00BA360F">
      <w:pPr>
        <w:spacing w:line="240" w:lineRule="auto"/>
        <w:rPr>
          <w:rFonts w:ascii="Calibri" w:eastAsia="Times New Roman" w:hAnsi="Calibri" w:cs="Times New Roman"/>
          <w:bCs/>
          <w:color w:val="002F5D"/>
          <w:lang w:eastAsia="en-GB"/>
        </w:rPr>
      </w:pPr>
    </w:p>
    <w:p w14:paraId="4724D02A" w14:textId="5BCDC7EE" w:rsidR="00BA360F" w:rsidRDefault="009D7ABF" w:rsidP="00BA360F">
      <w:pPr>
        <w:spacing w:line="240" w:lineRule="auto"/>
        <w:rPr>
          <w:rFonts w:ascii="Calibri" w:eastAsia="Times New Roman" w:hAnsi="Calibri" w:cs="Times New Roman"/>
          <w:b/>
          <w:bCs/>
          <w:color w:val="002F5D"/>
          <w:lang w:eastAsia="en-GB"/>
        </w:rPr>
      </w:pPr>
      <w:r>
        <w:rPr>
          <w:rFonts w:ascii="Calibri" w:eastAsia="Times New Roman" w:hAnsi="Calibri" w:cs="Times New Roman"/>
          <w:b/>
          <w:bCs/>
          <w:noProof/>
          <w:color w:val="002F5D"/>
          <w:lang w:eastAsia="en-GB"/>
        </w:rPr>
        <w:drawing>
          <wp:inline distT="0" distB="0" distL="0" distR="0" wp14:anchorId="600AAE47" wp14:editId="66C481E3">
            <wp:extent cx="6230620" cy="318262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30620" cy="3182620"/>
                    </a:xfrm>
                    <a:prstGeom prst="rect">
                      <a:avLst/>
                    </a:prstGeom>
                    <a:noFill/>
                  </pic:spPr>
                </pic:pic>
              </a:graphicData>
            </a:graphic>
          </wp:inline>
        </w:drawing>
      </w:r>
    </w:p>
    <w:p w14:paraId="4C588760" w14:textId="77777777" w:rsidR="00314A8F" w:rsidRDefault="00314A8F" w:rsidP="00314A8F">
      <w:pPr>
        <w:spacing w:line="240" w:lineRule="auto"/>
        <w:rPr>
          <w:rFonts w:ascii="Calibri" w:eastAsia="Times New Roman" w:hAnsi="Calibri" w:cs="Times New Roman"/>
          <w:color w:val="002F5D"/>
          <w:lang w:eastAsia="en-GB"/>
        </w:rPr>
      </w:pPr>
      <w:r w:rsidRPr="000E4E02">
        <w:rPr>
          <w:rFonts w:ascii="Calibri" w:eastAsia="Times New Roman" w:hAnsi="Calibri" w:cs="Times New Roman"/>
          <w:color w:val="002F5D"/>
          <w:lang w:eastAsia="en-GB"/>
        </w:rPr>
        <w:t>*Value aggregated from all known lower geography values</w:t>
      </w:r>
    </w:p>
    <w:p w14:paraId="6A52B924" w14:textId="17627B97" w:rsidR="00BA360F" w:rsidRDefault="00BA360F" w:rsidP="00BA360F">
      <w:pPr>
        <w:spacing w:line="240" w:lineRule="auto"/>
        <w:rPr>
          <w:rFonts w:ascii="Calibri" w:eastAsia="Times New Roman" w:hAnsi="Calibri" w:cs="Times New Roman"/>
          <w:b/>
          <w:bCs/>
          <w:color w:val="002F5D"/>
          <w:lang w:eastAsia="en-GB"/>
        </w:rPr>
      </w:pPr>
    </w:p>
    <w:p w14:paraId="55083E2A" w14:textId="77777777" w:rsidR="009D7ABF" w:rsidRDefault="00BA360F" w:rsidP="00BA360F">
      <w:pPr>
        <w:spacing w:line="240" w:lineRule="auto"/>
      </w:pPr>
      <w:r>
        <w:rPr>
          <w:noProof/>
          <w:lang w:eastAsia="en-GB"/>
        </w:rPr>
        <w:drawing>
          <wp:inline distT="0" distB="0" distL="0" distR="0" wp14:anchorId="129F3A99" wp14:editId="0197AFB1">
            <wp:extent cx="3663950" cy="5791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63950" cy="579120"/>
                    </a:xfrm>
                    <a:prstGeom prst="rect">
                      <a:avLst/>
                    </a:prstGeom>
                    <a:noFill/>
                  </pic:spPr>
                </pic:pic>
              </a:graphicData>
            </a:graphic>
          </wp:inline>
        </w:drawing>
      </w:r>
    </w:p>
    <w:p w14:paraId="704AA8BB" w14:textId="77777777" w:rsidR="009D7ABF" w:rsidRPr="00466722" w:rsidRDefault="009D7ABF" w:rsidP="00BA360F">
      <w:pPr>
        <w:spacing w:line="240" w:lineRule="auto"/>
        <w:rPr>
          <w:rFonts w:ascii="Calibri" w:eastAsia="Times New Roman" w:hAnsi="Calibri" w:cs="Times New Roman"/>
          <w:color w:val="002F5D"/>
          <w:lang w:eastAsia="en-GB"/>
        </w:rPr>
      </w:pPr>
    </w:p>
    <w:p w14:paraId="28FA380B" w14:textId="77777777" w:rsidR="00BA360F" w:rsidRPr="000E4E02" w:rsidRDefault="00BA360F" w:rsidP="00BA360F">
      <w:pPr>
        <w:spacing w:line="240" w:lineRule="auto"/>
        <w:rPr>
          <w:rFonts w:ascii="Calibri" w:eastAsia="Times New Roman" w:hAnsi="Calibri" w:cs="Times New Roman"/>
          <w:color w:val="002F5D"/>
          <w:lang w:eastAsia="en-GB"/>
        </w:rPr>
      </w:pPr>
      <w:r w:rsidRPr="000E4E02">
        <w:rPr>
          <w:rFonts w:ascii="Calibri" w:eastAsia="Times New Roman" w:hAnsi="Calibri" w:cs="Times New Roman"/>
          <w:b/>
          <w:bCs/>
          <w:color w:val="002F5D"/>
          <w:lang w:eastAsia="en-GB"/>
        </w:rPr>
        <w:t>Source:</w:t>
      </w:r>
      <w:r w:rsidRPr="000E4E02">
        <w:rPr>
          <w:rFonts w:ascii="Calibri" w:eastAsia="Times New Roman" w:hAnsi="Calibri" w:cs="Times New Roman"/>
          <w:color w:val="002F5D"/>
          <w:lang w:eastAsia="en-GB"/>
        </w:rPr>
        <w:t xml:space="preserve"> P1E quarterly returns, Department of Communities and Local Government</w:t>
      </w:r>
    </w:p>
    <w:p w14:paraId="5E338F3A" w14:textId="77777777" w:rsidR="008C604D" w:rsidRDefault="008C604D" w:rsidP="008C604D">
      <w:pPr>
        <w:spacing w:line="240" w:lineRule="auto"/>
        <w:rPr>
          <w:rFonts w:ascii="Calibri" w:eastAsia="Times New Roman" w:hAnsi="Calibri" w:cs="Times New Roman"/>
          <w:b/>
          <w:bCs/>
          <w:color w:val="002F5D"/>
          <w:lang w:eastAsia="en-GB"/>
        </w:rPr>
      </w:pPr>
    </w:p>
    <w:p w14:paraId="7B0A7FA1" w14:textId="77777777" w:rsidR="008C604D" w:rsidRDefault="008C604D" w:rsidP="008C604D">
      <w:pPr>
        <w:spacing w:line="240" w:lineRule="auto"/>
        <w:rPr>
          <w:rFonts w:ascii="Calibri" w:eastAsia="Times New Roman" w:hAnsi="Calibri" w:cs="Times New Roman"/>
          <w:b/>
          <w:bCs/>
          <w:color w:val="002F5D"/>
          <w:lang w:eastAsia="en-GB"/>
        </w:rPr>
      </w:pPr>
      <w:r>
        <w:rPr>
          <w:rFonts w:ascii="Calibri" w:eastAsia="Times New Roman" w:hAnsi="Calibri" w:cs="Times New Roman"/>
          <w:b/>
          <w:bCs/>
          <w:color w:val="002F5D"/>
          <w:lang w:eastAsia="en-GB"/>
        </w:rPr>
        <w:t>Key points:</w:t>
      </w:r>
    </w:p>
    <w:p w14:paraId="5CCF4257" w14:textId="5F4A93D4" w:rsidR="008C604D" w:rsidRDefault="008C604D" w:rsidP="008C604D">
      <w:pPr>
        <w:pStyle w:val="ListParagraph"/>
        <w:numPr>
          <w:ilvl w:val="0"/>
          <w:numId w:val="28"/>
        </w:numPr>
        <w:spacing w:line="240" w:lineRule="auto"/>
        <w:rPr>
          <w:rFonts w:eastAsia="Times New Roman" w:cs="Times New Roman"/>
          <w:color w:val="002F5D"/>
          <w:lang w:eastAsia="en-GB"/>
        </w:rPr>
      </w:pPr>
      <w:r>
        <w:rPr>
          <w:rFonts w:eastAsia="Times New Roman" w:cs="Times New Roman"/>
          <w:color w:val="002F5D"/>
          <w:lang w:eastAsia="en-GB"/>
        </w:rPr>
        <w:t xml:space="preserve">The </w:t>
      </w:r>
      <w:r w:rsidRPr="00C231E8">
        <w:rPr>
          <w:rFonts w:eastAsia="Times New Roman" w:cs="Times New Roman"/>
          <w:color w:val="002F5D"/>
          <w:lang w:eastAsia="en-GB"/>
        </w:rPr>
        <w:t>Peterborough</w:t>
      </w:r>
      <w:r w:rsidR="00BC186A">
        <w:rPr>
          <w:rFonts w:eastAsia="Times New Roman" w:cs="Times New Roman"/>
          <w:color w:val="002F5D"/>
          <w:lang w:eastAsia="en-GB"/>
        </w:rPr>
        <w:t xml:space="preserve"> trend in the rate</w:t>
      </w:r>
      <w:r>
        <w:rPr>
          <w:rFonts w:eastAsia="Times New Roman" w:cs="Times New Roman"/>
          <w:color w:val="002F5D"/>
          <w:lang w:eastAsia="en-GB"/>
        </w:rPr>
        <w:t xml:space="preserve"> </w:t>
      </w:r>
      <w:r w:rsidRPr="00C231E8">
        <w:rPr>
          <w:rFonts w:eastAsia="Times New Roman" w:cs="Times New Roman"/>
          <w:color w:val="002F5D"/>
          <w:lang w:eastAsia="en-GB"/>
        </w:rPr>
        <w:t xml:space="preserve">of </w:t>
      </w:r>
      <w:r w:rsidRPr="00C231E8">
        <w:rPr>
          <w:color w:val="002F5D"/>
        </w:rPr>
        <w:t>households in temporary accommodation</w:t>
      </w:r>
      <w:r w:rsidR="00BC186A">
        <w:rPr>
          <w:color w:val="002F5D"/>
        </w:rPr>
        <w:t xml:space="preserve"> is increasing and has been consistently statistically significantly higher </w:t>
      </w:r>
      <w:r>
        <w:rPr>
          <w:rFonts w:eastAsia="Times New Roman" w:cs="Times New Roman"/>
          <w:color w:val="002F5D"/>
          <w:lang w:eastAsia="en-GB"/>
        </w:rPr>
        <w:t>than the</w:t>
      </w:r>
      <w:r w:rsidRPr="00C231E8">
        <w:rPr>
          <w:rFonts w:eastAsia="Times New Roman" w:cs="Times New Roman"/>
          <w:color w:val="002F5D"/>
          <w:lang w:eastAsia="en-GB"/>
        </w:rPr>
        <w:t xml:space="preserve"> England</w:t>
      </w:r>
      <w:r>
        <w:rPr>
          <w:rFonts w:eastAsia="Times New Roman" w:cs="Times New Roman"/>
          <w:color w:val="002F5D"/>
          <w:lang w:eastAsia="en-GB"/>
        </w:rPr>
        <w:t xml:space="preserve"> rate since 2011/12</w:t>
      </w:r>
      <w:r w:rsidRPr="00C231E8">
        <w:rPr>
          <w:rFonts w:eastAsia="Times New Roman" w:cs="Times New Roman"/>
          <w:color w:val="002F5D"/>
          <w:lang w:eastAsia="en-GB"/>
        </w:rPr>
        <w:t>.</w:t>
      </w:r>
    </w:p>
    <w:p w14:paraId="1C2D160A" w14:textId="77777777" w:rsidR="001F22D5" w:rsidRDefault="001F22D5" w:rsidP="006B6E8F">
      <w:pPr>
        <w:spacing w:line="240" w:lineRule="auto"/>
        <w:rPr>
          <w:rFonts w:cs="Arial"/>
          <w:color w:val="FF0000"/>
        </w:rPr>
      </w:pPr>
    </w:p>
    <w:p w14:paraId="08B33755" w14:textId="77777777" w:rsidR="001F22D5" w:rsidRDefault="001F22D5" w:rsidP="006B6E8F">
      <w:pPr>
        <w:spacing w:line="240" w:lineRule="auto"/>
        <w:rPr>
          <w:rFonts w:cs="Arial"/>
          <w:color w:val="FF0000"/>
        </w:rPr>
      </w:pPr>
    </w:p>
    <w:p w14:paraId="4B077E2F" w14:textId="77777777" w:rsidR="001F22D5" w:rsidRDefault="001F22D5" w:rsidP="006B6E8F">
      <w:pPr>
        <w:spacing w:line="240" w:lineRule="auto"/>
        <w:rPr>
          <w:rFonts w:cs="Arial"/>
          <w:color w:val="FF0000"/>
        </w:rPr>
      </w:pPr>
    </w:p>
    <w:p w14:paraId="7980AD28" w14:textId="38349044" w:rsidR="001F22D5" w:rsidRDefault="001F22D5" w:rsidP="006B6E8F">
      <w:pPr>
        <w:spacing w:line="240" w:lineRule="auto"/>
        <w:rPr>
          <w:rFonts w:cs="Arial"/>
          <w:color w:val="FF0000"/>
        </w:rPr>
      </w:pPr>
    </w:p>
    <w:p w14:paraId="22108AF0" w14:textId="1360C31C" w:rsidR="00CD6625" w:rsidRDefault="00CD6625" w:rsidP="006B6E8F">
      <w:pPr>
        <w:spacing w:line="240" w:lineRule="auto"/>
        <w:rPr>
          <w:rFonts w:cs="Arial"/>
          <w:color w:val="FF0000"/>
        </w:rPr>
      </w:pPr>
    </w:p>
    <w:p w14:paraId="0D773A5B" w14:textId="77777777" w:rsidR="001F22D5" w:rsidRPr="0037351D" w:rsidRDefault="001F22D5" w:rsidP="006B6E8F">
      <w:pPr>
        <w:spacing w:line="240" w:lineRule="auto"/>
        <w:rPr>
          <w:rFonts w:cs="Arial"/>
          <w:color w:val="FF0000"/>
        </w:rPr>
      </w:pPr>
    </w:p>
    <w:p w14:paraId="698F512A" w14:textId="77777777" w:rsidR="00DA6624" w:rsidRPr="00F6737D" w:rsidRDefault="004A7133" w:rsidP="00D17493">
      <w:pPr>
        <w:pStyle w:val="JSNA1"/>
      </w:pPr>
      <w:bookmarkStart w:id="742" w:name="_Toc4407841"/>
      <w:r w:rsidRPr="00F6737D">
        <w:t>RELATIVE DEPRIVATION AND WIDER DETERMINANTS OF HEALTH</w:t>
      </w:r>
      <w:bookmarkEnd w:id="742"/>
    </w:p>
    <w:p w14:paraId="3A29B77D" w14:textId="77777777" w:rsidR="00DD0527" w:rsidRPr="0037351D" w:rsidRDefault="00DD0527" w:rsidP="0038179C">
      <w:pPr>
        <w:pStyle w:val="ListParagraph"/>
        <w:spacing w:line="240" w:lineRule="auto"/>
        <w:ind w:left="567"/>
        <w:rPr>
          <w:rFonts w:cs="Arial"/>
          <w:b/>
          <w:color w:val="FF0000"/>
        </w:rPr>
      </w:pPr>
    </w:p>
    <w:p w14:paraId="6D70FA38" w14:textId="77777777" w:rsidR="00D43618" w:rsidRPr="007235C4" w:rsidRDefault="00D43618" w:rsidP="0038179C">
      <w:pPr>
        <w:spacing w:line="240" w:lineRule="auto"/>
        <w:rPr>
          <w:rFonts w:cs="Arial"/>
          <w:color w:val="002F5D"/>
        </w:rPr>
      </w:pPr>
      <w:r w:rsidRPr="007235C4">
        <w:rPr>
          <w:rFonts w:cs="Arial"/>
          <w:color w:val="002F5D"/>
        </w:rPr>
        <w:t xml:space="preserve">Public Health England </w:t>
      </w:r>
      <w:r w:rsidR="00847787" w:rsidRPr="007235C4">
        <w:rPr>
          <w:rFonts w:cs="Arial"/>
          <w:color w:val="002F5D"/>
        </w:rPr>
        <w:t xml:space="preserve">(PHE) </w:t>
      </w:r>
      <w:r w:rsidRPr="007235C4">
        <w:rPr>
          <w:rFonts w:cs="Arial"/>
          <w:color w:val="002F5D"/>
        </w:rPr>
        <w:t xml:space="preserve">describe </w:t>
      </w:r>
      <w:r w:rsidRPr="007235C4">
        <w:rPr>
          <w:rFonts w:cs="Arial"/>
          <w:b/>
          <w:color w:val="002F5D"/>
        </w:rPr>
        <w:t>wider determinants</w:t>
      </w:r>
      <w:r w:rsidRPr="007235C4">
        <w:rPr>
          <w:rFonts w:cs="Arial"/>
          <w:color w:val="002F5D"/>
        </w:rPr>
        <w:t>, also known as social determinants, as a diverse range of social, economic and environmental factors which impact on people’s health.</w:t>
      </w:r>
      <w:r w:rsidR="00BD70C5" w:rsidRPr="007235C4">
        <w:rPr>
          <w:rFonts w:cs="Arial"/>
          <w:color w:val="002F5D"/>
        </w:rPr>
        <w:t xml:space="preserve"> </w:t>
      </w:r>
      <w:r w:rsidRPr="007235C4">
        <w:rPr>
          <w:rFonts w:cs="Arial"/>
          <w:color w:val="002F5D"/>
        </w:rPr>
        <w:t xml:space="preserve">Several studies have attempted to estimate the contribution of the wider determinants to population health, finding that </w:t>
      </w:r>
      <w:r w:rsidRPr="007235C4">
        <w:rPr>
          <w:rFonts w:cs="Arial"/>
          <w:b/>
          <w:color w:val="002F5D"/>
        </w:rPr>
        <w:t>wider determinants have a greater influence on health</w:t>
      </w:r>
      <w:r w:rsidRPr="007235C4">
        <w:rPr>
          <w:rFonts w:cs="Arial"/>
          <w:color w:val="002F5D"/>
        </w:rPr>
        <w:t xml:space="preserve"> than health care, behaviours or genetics. It is therefore an important aspect of public health in terms of informing preventative action and reducing inequality (Public Health England, Wider Determinants of Health, </w:t>
      </w:r>
      <w:hyperlink r:id="rId93" w:history="1">
        <w:r w:rsidR="007F635E" w:rsidRPr="007235C4">
          <w:rPr>
            <w:rStyle w:val="Hyperlink"/>
            <w:rFonts w:cs="Arial"/>
            <w:color w:val="002F5D"/>
          </w:rPr>
          <w:t>https://fingertips.phe.org.uk/profile/wider-determinants</w:t>
        </w:r>
      </w:hyperlink>
      <w:r w:rsidRPr="007235C4">
        <w:rPr>
          <w:rFonts w:cs="Arial"/>
          <w:color w:val="002F5D"/>
        </w:rPr>
        <w:t>).</w:t>
      </w:r>
    </w:p>
    <w:p w14:paraId="223C1EF2" w14:textId="77777777" w:rsidR="00D43618" w:rsidRPr="007235C4" w:rsidRDefault="00D43618" w:rsidP="0038179C">
      <w:pPr>
        <w:pStyle w:val="ListParagraph"/>
        <w:spacing w:line="240" w:lineRule="auto"/>
        <w:ind w:left="567"/>
        <w:rPr>
          <w:rFonts w:cs="Arial"/>
          <w:b/>
          <w:color w:val="002F5D"/>
        </w:rPr>
      </w:pPr>
    </w:p>
    <w:p w14:paraId="777BF344" w14:textId="77777777" w:rsidR="00DD0527" w:rsidRPr="007235C4" w:rsidRDefault="00DD0527" w:rsidP="00D17493">
      <w:pPr>
        <w:pStyle w:val="JSNA2"/>
        <w:rPr>
          <w:color w:val="002F5D"/>
        </w:rPr>
      </w:pPr>
      <w:bookmarkStart w:id="743" w:name="_Toc4407842"/>
      <w:r w:rsidRPr="007235C4">
        <w:rPr>
          <w:color w:val="002F5D"/>
        </w:rPr>
        <w:t>Relative deprivation</w:t>
      </w:r>
      <w:bookmarkEnd w:id="743"/>
    </w:p>
    <w:p w14:paraId="6930713C" w14:textId="77777777" w:rsidR="00DD0527" w:rsidRPr="007235C4" w:rsidRDefault="00DD0527" w:rsidP="0038179C">
      <w:pPr>
        <w:spacing w:line="240" w:lineRule="auto"/>
        <w:rPr>
          <w:rFonts w:cs="Arial"/>
          <w:color w:val="002F5D"/>
        </w:rPr>
      </w:pPr>
    </w:p>
    <w:p w14:paraId="0274FC9E" w14:textId="77777777" w:rsidR="00C40974" w:rsidRPr="007235C4" w:rsidRDefault="00BD70C5" w:rsidP="0038179C">
      <w:pPr>
        <w:spacing w:line="240" w:lineRule="auto"/>
        <w:rPr>
          <w:rFonts w:cs="Arial"/>
          <w:color w:val="002F5D"/>
        </w:rPr>
      </w:pPr>
      <w:r w:rsidRPr="007235C4">
        <w:rPr>
          <w:rFonts w:cs="Arial"/>
          <w:color w:val="002F5D"/>
        </w:rPr>
        <w:t xml:space="preserve">The </w:t>
      </w:r>
      <w:r w:rsidRPr="007235C4">
        <w:rPr>
          <w:rFonts w:cs="Arial"/>
          <w:b/>
          <w:color w:val="002F5D"/>
        </w:rPr>
        <w:t>Indi</w:t>
      </w:r>
      <w:r w:rsidR="00C40974" w:rsidRPr="007235C4">
        <w:rPr>
          <w:rFonts w:cs="Arial"/>
          <w:b/>
          <w:color w:val="002F5D"/>
        </w:rPr>
        <w:t>ces of Deprivation 2015</w:t>
      </w:r>
      <w:r w:rsidR="00C40974" w:rsidRPr="007235C4">
        <w:rPr>
          <w:rFonts w:cs="Arial"/>
          <w:color w:val="002F5D"/>
        </w:rPr>
        <w:t xml:space="preserve"> comprise seven weighted domains that aim to capture important socio-economic factors at local area level. </w:t>
      </w:r>
      <w:r w:rsidRPr="007235C4">
        <w:rPr>
          <w:rFonts w:cs="Arial"/>
          <w:color w:val="002F5D"/>
        </w:rPr>
        <w:t xml:space="preserve">The indices are combined together to form the composite </w:t>
      </w:r>
      <w:r w:rsidRPr="007235C4">
        <w:rPr>
          <w:rFonts w:cs="Arial"/>
          <w:b/>
          <w:color w:val="002F5D"/>
        </w:rPr>
        <w:t>Index of Multip</w:t>
      </w:r>
      <w:r w:rsidR="00C40974" w:rsidRPr="007235C4">
        <w:rPr>
          <w:rFonts w:cs="Arial"/>
          <w:b/>
          <w:color w:val="002F5D"/>
        </w:rPr>
        <w:t>le Deprivation 2015 (IMD2015</w:t>
      </w:r>
      <w:r w:rsidR="00C40974" w:rsidRPr="007235C4">
        <w:rPr>
          <w:rFonts w:cs="Arial"/>
          <w:color w:val="002F5D"/>
        </w:rPr>
        <w:t>), which is presented as a single measure of rel</w:t>
      </w:r>
      <w:r w:rsidR="002F06FC" w:rsidRPr="007235C4">
        <w:rPr>
          <w:rFonts w:cs="Arial"/>
          <w:color w:val="002F5D"/>
        </w:rPr>
        <w:t>ative deprivation for each area of England.</w:t>
      </w:r>
    </w:p>
    <w:p w14:paraId="5D0BE980" w14:textId="77777777" w:rsidR="00C40974" w:rsidRPr="007235C4" w:rsidRDefault="00C40974" w:rsidP="0038179C">
      <w:pPr>
        <w:spacing w:line="240" w:lineRule="auto"/>
        <w:rPr>
          <w:rFonts w:cs="Arial"/>
          <w:color w:val="002F5D"/>
        </w:rPr>
      </w:pPr>
    </w:p>
    <w:p w14:paraId="2D09C4DF" w14:textId="77777777" w:rsidR="00930890" w:rsidRPr="007235C4" w:rsidRDefault="00C40974" w:rsidP="00930890">
      <w:pPr>
        <w:spacing w:line="240" w:lineRule="auto"/>
        <w:rPr>
          <w:rFonts w:cs="Arial"/>
          <w:color w:val="002F5D"/>
        </w:rPr>
      </w:pPr>
      <w:r w:rsidRPr="007235C4">
        <w:rPr>
          <w:rFonts w:cs="Arial"/>
          <w:color w:val="002F5D"/>
        </w:rPr>
        <w:t>The section that follows presents the IMD2015 for Cambridgeshire</w:t>
      </w:r>
      <w:r w:rsidR="00930890" w:rsidRPr="007235C4">
        <w:rPr>
          <w:rFonts w:cs="Arial"/>
          <w:color w:val="002F5D"/>
        </w:rPr>
        <w:t xml:space="preserve"> and Peterborough</w:t>
      </w:r>
      <w:r w:rsidRPr="007235C4">
        <w:rPr>
          <w:rFonts w:cs="Arial"/>
          <w:color w:val="002F5D"/>
        </w:rPr>
        <w:t xml:space="preserve"> and</w:t>
      </w:r>
      <w:r w:rsidR="00930890" w:rsidRPr="007235C4">
        <w:rPr>
          <w:rFonts w:cs="Arial"/>
          <w:color w:val="002F5D"/>
        </w:rPr>
        <w:t xml:space="preserve"> the</w:t>
      </w:r>
      <w:r w:rsidRPr="007235C4">
        <w:rPr>
          <w:rFonts w:cs="Arial"/>
          <w:color w:val="002F5D"/>
        </w:rPr>
        <w:t xml:space="preserve"> </w:t>
      </w:r>
      <w:r w:rsidR="00930890" w:rsidRPr="007235C4">
        <w:rPr>
          <w:rFonts w:cs="Arial"/>
          <w:color w:val="002F5D"/>
        </w:rPr>
        <w:t>Cambridgeshire districts, comparing the</w:t>
      </w:r>
      <w:r w:rsidRPr="007235C4">
        <w:rPr>
          <w:rFonts w:cs="Arial"/>
          <w:color w:val="002F5D"/>
        </w:rPr>
        <w:t xml:space="preserve"> local area with England. There are also data for selected </w:t>
      </w:r>
      <w:r w:rsidR="00677EBC" w:rsidRPr="007235C4">
        <w:rPr>
          <w:rFonts w:cs="Arial"/>
          <w:color w:val="002F5D"/>
        </w:rPr>
        <w:t xml:space="preserve">individual </w:t>
      </w:r>
      <w:r w:rsidRPr="007235C4">
        <w:rPr>
          <w:rFonts w:cs="Arial"/>
          <w:color w:val="002F5D"/>
        </w:rPr>
        <w:t>domain indices.</w:t>
      </w:r>
      <w:r w:rsidR="00930890" w:rsidRPr="007235C4">
        <w:rPr>
          <w:rFonts w:cs="Arial"/>
          <w:color w:val="002F5D"/>
        </w:rPr>
        <w:t xml:space="preserve"> </w:t>
      </w:r>
    </w:p>
    <w:p w14:paraId="6AD262AB" w14:textId="77777777" w:rsidR="00930890" w:rsidRPr="007235C4" w:rsidRDefault="00930890" w:rsidP="00930890">
      <w:pPr>
        <w:spacing w:line="240" w:lineRule="auto"/>
        <w:rPr>
          <w:rFonts w:cs="Arial"/>
          <w:color w:val="002F5D"/>
        </w:rPr>
      </w:pPr>
    </w:p>
    <w:p w14:paraId="24203B26" w14:textId="382C53DC" w:rsidR="00930890" w:rsidRPr="007235C4" w:rsidRDefault="0038030F" w:rsidP="00930890">
      <w:pPr>
        <w:spacing w:line="240" w:lineRule="auto"/>
        <w:rPr>
          <w:rFonts w:cs="Arial"/>
          <w:color w:val="002F5D"/>
        </w:rPr>
      </w:pPr>
      <w:r w:rsidRPr="007235C4">
        <w:rPr>
          <w:rFonts w:cs="Arial"/>
          <w:color w:val="002F5D"/>
        </w:rPr>
        <w:t>Cambridgeshire</w:t>
      </w:r>
      <w:r w:rsidR="00930890" w:rsidRPr="007235C4">
        <w:rPr>
          <w:rFonts w:cs="Arial"/>
          <w:color w:val="002F5D"/>
        </w:rPr>
        <w:t xml:space="preserve"> County Council’s Research Group ha</w:t>
      </w:r>
      <w:r w:rsidR="0039185A">
        <w:rPr>
          <w:rFonts w:cs="Arial"/>
          <w:color w:val="002F5D"/>
        </w:rPr>
        <w:t>s</w:t>
      </w:r>
      <w:r w:rsidR="00930890" w:rsidRPr="007235C4">
        <w:rPr>
          <w:rFonts w:cs="Arial"/>
          <w:color w:val="002F5D"/>
        </w:rPr>
        <w:t xml:space="preserve"> written </w:t>
      </w:r>
      <w:r w:rsidR="00930890" w:rsidRPr="007235C4">
        <w:rPr>
          <w:rFonts w:cs="Arial"/>
          <w:b/>
          <w:color w:val="002F5D"/>
        </w:rPr>
        <w:t>a local IMD2015 report</w:t>
      </w:r>
      <w:r w:rsidR="00930890" w:rsidRPr="007235C4">
        <w:rPr>
          <w:rFonts w:cs="Arial"/>
          <w:color w:val="002F5D"/>
        </w:rPr>
        <w:t xml:space="preserve"> and this can be found at: </w:t>
      </w:r>
      <w:hyperlink r:id="rId94" w:history="1">
        <w:r w:rsidR="006E313E">
          <w:rPr>
            <w:rStyle w:val="Hyperlink"/>
            <w:rFonts w:cs="Arial"/>
            <w:color w:val="002F5D"/>
          </w:rPr>
          <w:t>http://cambridgeshire.wpengine.com/wp-content/uploads/2017/08/Cambridgeshire-Summary-Report-IMD-2015.pdf</w:t>
        </w:r>
      </w:hyperlink>
      <w:r w:rsidR="00930890" w:rsidRPr="007235C4">
        <w:rPr>
          <w:rFonts w:cs="Arial"/>
          <w:color w:val="002F5D"/>
        </w:rPr>
        <w:t xml:space="preserve">. </w:t>
      </w:r>
    </w:p>
    <w:p w14:paraId="5E2AEB94" w14:textId="6BE19B1A" w:rsidR="00764F70" w:rsidRDefault="00764F70">
      <w:pPr>
        <w:rPr>
          <w:b/>
          <w:iCs/>
          <w:color w:val="FF0000"/>
          <w:szCs w:val="18"/>
        </w:rPr>
      </w:pPr>
    </w:p>
    <w:p w14:paraId="464FECEB" w14:textId="77777777" w:rsidR="002632A1" w:rsidRDefault="002632A1">
      <w:pPr>
        <w:rPr>
          <w:b/>
          <w:iCs/>
          <w:color w:val="FF0000"/>
          <w:szCs w:val="18"/>
        </w:rPr>
      </w:pPr>
    </w:p>
    <w:p w14:paraId="0340C5A5" w14:textId="77777777" w:rsidR="002632A1" w:rsidRDefault="002632A1">
      <w:pPr>
        <w:rPr>
          <w:b/>
          <w:iCs/>
          <w:color w:val="FF0000"/>
          <w:szCs w:val="18"/>
        </w:rPr>
      </w:pPr>
    </w:p>
    <w:p w14:paraId="66EB0F59" w14:textId="77777777" w:rsidR="002632A1" w:rsidRDefault="002632A1">
      <w:pPr>
        <w:rPr>
          <w:b/>
          <w:iCs/>
          <w:color w:val="FF0000"/>
          <w:szCs w:val="18"/>
        </w:rPr>
      </w:pPr>
    </w:p>
    <w:p w14:paraId="62B8C351" w14:textId="77777777" w:rsidR="002632A1" w:rsidRDefault="002632A1">
      <w:pPr>
        <w:rPr>
          <w:b/>
          <w:iCs/>
          <w:color w:val="FF0000"/>
          <w:szCs w:val="18"/>
        </w:rPr>
      </w:pPr>
    </w:p>
    <w:p w14:paraId="6529E02D" w14:textId="77777777" w:rsidR="002632A1" w:rsidRDefault="002632A1">
      <w:pPr>
        <w:rPr>
          <w:b/>
          <w:iCs/>
          <w:color w:val="FF0000"/>
          <w:szCs w:val="18"/>
        </w:rPr>
      </w:pPr>
    </w:p>
    <w:p w14:paraId="128A11D1" w14:textId="77777777" w:rsidR="002632A1" w:rsidRDefault="002632A1">
      <w:pPr>
        <w:rPr>
          <w:b/>
          <w:iCs/>
          <w:color w:val="FF0000"/>
          <w:szCs w:val="18"/>
        </w:rPr>
      </w:pPr>
    </w:p>
    <w:p w14:paraId="55DA2EE1" w14:textId="77777777" w:rsidR="002632A1" w:rsidRDefault="002632A1">
      <w:pPr>
        <w:rPr>
          <w:b/>
          <w:iCs/>
          <w:color w:val="FF0000"/>
          <w:szCs w:val="18"/>
        </w:rPr>
      </w:pPr>
    </w:p>
    <w:p w14:paraId="2E45512B" w14:textId="77777777" w:rsidR="002632A1" w:rsidRDefault="002632A1">
      <w:pPr>
        <w:rPr>
          <w:b/>
          <w:iCs/>
          <w:color w:val="FF0000"/>
          <w:szCs w:val="18"/>
        </w:rPr>
      </w:pPr>
    </w:p>
    <w:p w14:paraId="3447B9E3" w14:textId="77777777" w:rsidR="002632A1" w:rsidRDefault="002632A1">
      <w:pPr>
        <w:rPr>
          <w:b/>
          <w:iCs/>
          <w:color w:val="FF0000"/>
          <w:szCs w:val="18"/>
        </w:rPr>
      </w:pPr>
    </w:p>
    <w:p w14:paraId="3EB2F615" w14:textId="77777777" w:rsidR="002632A1" w:rsidRDefault="002632A1">
      <w:pPr>
        <w:rPr>
          <w:b/>
          <w:iCs/>
          <w:color w:val="FF0000"/>
          <w:szCs w:val="18"/>
        </w:rPr>
      </w:pPr>
    </w:p>
    <w:p w14:paraId="72975B71" w14:textId="77777777" w:rsidR="002632A1" w:rsidRDefault="002632A1">
      <w:pPr>
        <w:rPr>
          <w:b/>
          <w:iCs/>
          <w:color w:val="FF0000"/>
          <w:szCs w:val="18"/>
        </w:rPr>
      </w:pPr>
    </w:p>
    <w:p w14:paraId="339BF9C2" w14:textId="77777777" w:rsidR="002632A1" w:rsidRDefault="002632A1">
      <w:pPr>
        <w:rPr>
          <w:b/>
          <w:iCs/>
          <w:color w:val="FF0000"/>
          <w:szCs w:val="18"/>
        </w:rPr>
      </w:pPr>
    </w:p>
    <w:p w14:paraId="01C95D20" w14:textId="77777777" w:rsidR="002632A1" w:rsidRDefault="002632A1">
      <w:pPr>
        <w:rPr>
          <w:b/>
          <w:iCs/>
          <w:color w:val="FF0000"/>
          <w:szCs w:val="18"/>
        </w:rPr>
      </w:pPr>
    </w:p>
    <w:p w14:paraId="25063958" w14:textId="708437AA" w:rsidR="002632A1" w:rsidRDefault="002632A1">
      <w:pPr>
        <w:rPr>
          <w:b/>
          <w:iCs/>
          <w:color w:val="FF0000"/>
          <w:szCs w:val="18"/>
        </w:rPr>
      </w:pPr>
    </w:p>
    <w:p w14:paraId="1B587078" w14:textId="5F85AD49" w:rsidR="00F00DA0" w:rsidRDefault="00F00DA0">
      <w:pPr>
        <w:rPr>
          <w:b/>
          <w:iCs/>
          <w:color w:val="FF0000"/>
          <w:szCs w:val="18"/>
        </w:rPr>
      </w:pPr>
    </w:p>
    <w:p w14:paraId="2655B040" w14:textId="3F5A6DB0" w:rsidR="00F00DA0" w:rsidRDefault="00F00DA0">
      <w:pPr>
        <w:rPr>
          <w:b/>
          <w:iCs/>
          <w:color w:val="FF0000"/>
          <w:szCs w:val="18"/>
        </w:rPr>
      </w:pPr>
    </w:p>
    <w:p w14:paraId="0B2EC9DD" w14:textId="570A8030" w:rsidR="00F00DA0" w:rsidRDefault="00F00DA0">
      <w:pPr>
        <w:rPr>
          <w:b/>
          <w:iCs/>
          <w:color w:val="FF0000"/>
          <w:szCs w:val="18"/>
        </w:rPr>
      </w:pPr>
    </w:p>
    <w:p w14:paraId="48E48761" w14:textId="77777777" w:rsidR="00F00DA0" w:rsidRDefault="00F00DA0">
      <w:pPr>
        <w:rPr>
          <w:b/>
          <w:iCs/>
          <w:color w:val="FF0000"/>
          <w:szCs w:val="18"/>
        </w:rPr>
      </w:pPr>
    </w:p>
    <w:p w14:paraId="7AD29898" w14:textId="77777777" w:rsidR="002632A1" w:rsidRDefault="002632A1">
      <w:pPr>
        <w:rPr>
          <w:b/>
          <w:iCs/>
          <w:color w:val="FF0000"/>
          <w:szCs w:val="18"/>
        </w:rPr>
      </w:pPr>
    </w:p>
    <w:p w14:paraId="7C34F5D4" w14:textId="77777777" w:rsidR="002632A1" w:rsidRDefault="002632A1">
      <w:pPr>
        <w:rPr>
          <w:b/>
          <w:iCs/>
          <w:color w:val="FF0000"/>
          <w:szCs w:val="18"/>
        </w:rPr>
      </w:pPr>
    </w:p>
    <w:p w14:paraId="3F89BC49" w14:textId="77777777" w:rsidR="00594AC4" w:rsidRDefault="00594AC4">
      <w:pPr>
        <w:rPr>
          <w:b/>
          <w:iCs/>
          <w:color w:val="FF0000"/>
          <w:szCs w:val="18"/>
        </w:rPr>
      </w:pPr>
    </w:p>
    <w:p w14:paraId="22090D12" w14:textId="77777777" w:rsidR="00594AC4" w:rsidRDefault="00594AC4">
      <w:pPr>
        <w:rPr>
          <w:b/>
          <w:iCs/>
          <w:color w:val="FF0000"/>
          <w:szCs w:val="18"/>
        </w:rPr>
      </w:pPr>
    </w:p>
    <w:p w14:paraId="50472921" w14:textId="77777777" w:rsidR="00594AC4" w:rsidRDefault="00594AC4">
      <w:pPr>
        <w:rPr>
          <w:b/>
          <w:iCs/>
          <w:color w:val="FF0000"/>
          <w:szCs w:val="18"/>
        </w:rPr>
      </w:pPr>
    </w:p>
    <w:p w14:paraId="5501BCAA" w14:textId="77777777" w:rsidR="00594AC4" w:rsidRDefault="00594AC4">
      <w:pPr>
        <w:rPr>
          <w:b/>
          <w:iCs/>
          <w:color w:val="FF0000"/>
          <w:szCs w:val="18"/>
        </w:rPr>
      </w:pPr>
    </w:p>
    <w:p w14:paraId="16C7B48A" w14:textId="77777777" w:rsidR="002632A1" w:rsidRDefault="002632A1">
      <w:pPr>
        <w:rPr>
          <w:b/>
          <w:iCs/>
          <w:color w:val="FF0000"/>
          <w:szCs w:val="18"/>
        </w:rPr>
      </w:pPr>
    </w:p>
    <w:p w14:paraId="0665C29E" w14:textId="77777777" w:rsidR="002632A1" w:rsidRDefault="002632A1">
      <w:pPr>
        <w:rPr>
          <w:b/>
          <w:iCs/>
          <w:color w:val="FF0000"/>
          <w:szCs w:val="18"/>
        </w:rPr>
      </w:pPr>
    </w:p>
    <w:p w14:paraId="4F8E8393" w14:textId="77777777" w:rsidR="002632A1" w:rsidRPr="0037351D" w:rsidRDefault="002632A1">
      <w:pPr>
        <w:rPr>
          <w:b/>
          <w:iCs/>
          <w:color w:val="FF0000"/>
          <w:szCs w:val="18"/>
        </w:rPr>
      </w:pPr>
    </w:p>
    <w:p w14:paraId="217D32ED" w14:textId="03B9F2F8" w:rsidR="008D18F7" w:rsidRPr="007965E4" w:rsidRDefault="00E74CEA" w:rsidP="002632A1">
      <w:pPr>
        <w:pStyle w:val="Caption"/>
        <w:rPr>
          <w:rFonts w:cs="Arial"/>
          <w:color w:val="002F5D"/>
        </w:rPr>
      </w:pPr>
      <w:r w:rsidRPr="007965E4">
        <w:rPr>
          <w:b/>
          <w:color w:val="002F5D"/>
        </w:rPr>
        <w:t>Figure</w:t>
      </w:r>
      <w:r w:rsidR="004061DD">
        <w:rPr>
          <w:b/>
          <w:color w:val="002F5D"/>
        </w:rPr>
        <w:t xml:space="preserve"> 21</w:t>
      </w:r>
      <w:r w:rsidR="007965E4">
        <w:rPr>
          <w:b/>
          <w:color w:val="002F5D"/>
        </w:rPr>
        <w:t>.</w:t>
      </w:r>
      <w:r w:rsidR="00930890" w:rsidRPr="007965E4">
        <w:rPr>
          <w:rFonts w:cs="Arial"/>
          <w:color w:val="002F5D"/>
        </w:rPr>
        <w:t xml:space="preserve"> Map of IMD 2015 National Rankings for</w:t>
      </w:r>
      <w:r w:rsidR="002632A1" w:rsidRPr="007965E4">
        <w:rPr>
          <w:rFonts w:cs="Arial"/>
          <w:color w:val="002F5D"/>
        </w:rPr>
        <w:t xml:space="preserve"> Cambridgeshire and Peterborough</w:t>
      </w:r>
    </w:p>
    <w:p w14:paraId="295A8235" w14:textId="77777777" w:rsidR="002632A1" w:rsidRPr="002632A1" w:rsidRDefault="002632A1" w:rsidP="002632A1"/>
    <w:p w14:paraId="5B17768D" w14:textId="77777777" w:rsidR="0038030F" w:rsidRPr="0037351D" w:rsidRDefault="00016470" w:rsidP="0038179C">
      <w:pPr>
        <w:spacing w:line="240" w:lineRule="auto"/>
        <w:rPr>
          <w:rFonts w:cs="Arial"/>
          <w:b/>
          <w:noProof/>
          <w:color w:val="FF0000"/>
          <w:lang w:eastAsia="en-GB"/>
        </w:rPr>
      </w:pPr>
      <w:r w:rsidRPr="0037351D">
        <w:rPr>
          <w:noProof/>
          <w:color w:val="FF0000"/>
          <w:lang w:eastAsia="en-GB"/>
        </w:rPr>
        <w:drawing>
          <wp:inline distT="0" distB="0" distL="0" distR="0" wp14:anchorId="25523BEC" wp14:editId="5ED1A2AD">
            <wp:extent cx="5771515" cy="7839075"/>
            <wp:effectExtent l="19050" t="19050" r="1968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87659" cy="7861003"/>
                    </a:xfrm>
                    <a:prstGeom prst="rect">
                      <a:avLst/>
                    </a:prstGeom>
                    <a:ln>
                      <a:solidFill>
                        <a:srgbClr val="002F5D"/>
                      </a:solidFill>
                    </a:ln>
                  </pic:spPr>
                </pic:pic>
              </a:graphicData>
            </a:graphic>
          </wp:inline>
        </w:drawing>
      </w:r>
    </w:p>
    <w:p w14:paraId="2E2BF1DD" w14:textId="77777777" w:rsidR="004B46D4" w:rsidRPr="0037351D" w:rsidRDefault="004B46D4" w:rsidP="0038179C">
      <w:pPr>
        <w:spacing w:line="240" w:lineRule="auto"/>
        <w:rPr>
          <w:rFonts w:cs="Arial"/>
          <w:color w:val="FF0000"/>
        </w:rPr>
      </w:pPr>
    </w:p>
    <w:p w14:paraId="66EA81AD" w14:textId="77777777" w:rsidR="00764F70" w:rsidRPr="007235C4" w:rsidRDefault="00764F70" w:rsidP="0038179C">
      <w:pPr>
        <w:spacing w:line="240" w:lineRule="auto"/>
        <w:rPr>
          <w:rFonts w:cs="Arial"/>
          <w:color w:val="002F5D"/>
        </w:rPr>
      </w:pPr>
      <w:r w:rsidRPr="007235C4">
        <w:rPr>
          <w:rFonts w:eastAsia="Times New Roman" w:cs="Times New Roman"/>
          <w:b/>
          <w:bCs/>
          <w:color w:val="002F5D"/>
          <w:lang w:eastAsia="en-GB"/>
        </w:rPr>
        <w:t>Source</w:t>
      </w:r>
      <w:r w:rsidRPr="007235C4">
        <w:rPr>
          <w:rFonts w:eastAsia="Times New Roman" w:cs="Times New Roman"/>
          <w:color w:val="002F5D"/>
          <w:lang w:eastAsia="en-GB"/>
        </w:rPr>
        <w:t xml:space="preserve">: </w:t>
      </w:r>
      <w:r w:rsidR="00AF2192" w:rsidRPr="007235C4">
        <w:rPr>
          <w:rFonts w:eastAsia="Times New Roman" w:cs="Times New Roman"/>
          <w:color w:val="002F5D"/>
          <w:lang w:eastAsia="en-GB"/>
        </w:rPr>
        <w:t>Cambridgeshire County Council Research Group</w:t>
      </w:r>
    </w:p>
    <w:p w14:paraId="4D7DB43F" w14:textId="77777777" w:rsidR="007C7AD0" w:rsidRPr="0037351D" w:rsidRDefault="007C7AD0" w:rsidP="007C40C2">
      <w:pPr>
        <w:pStyle w:val="Caption"/>
        <w:rPr>
          <w:b/>
          <w:color w:val="FF0000"/>
        </w:rPr>
      </w:pPr>
    </w:p>
    <w:p w14:paraId="6A78AC07" w14:textId="77777777" w:rsidR="007C7AD0" w:rsidRPr="0037351D" w:rsidRDefault="007C7AD0" w:rsidP="007C40C2">
      <w:pPr>
        <w:pStyle w:val="Caption"/>
        <w:rPr>
          <w:b/>
          <w:color w:val="FF0000"/>
        </w:rPr>
      </w:pPr>
    </w:p>
    <w:p w14:paraId="326C6BE6" w14:textId="594C8BB4" w:rsidR="008F0176" w:rsidRPr="007235C4" w:rsidRDefault="007C40C2" w:rsidP="007C40C2">
      <w:pPr>
        <w:pStyle w:val="Caption"/>
        <w:rPr>
          <w:rFonts w:cs="Arial"/>
          <w:color w:val="002F5D"/>
        </w:rPr>
      </w:pPr>
      <w:r w:rsidRPr="007235C4">
        <w:rPr>
          <w:b/>
          <w:color w:val="002F5D"/>
        </w:rPr>
        <w:t>Table</w:t>
      </w:r>
      <w:r w:rsidR="007965E4">
        <w:rPr>
          <w:b/>
          <w:color w:val="002F5D"/>
        </w:rPr>
        <w:t xml:space="preserve"> 22</w:t>
      </w:r>
      <w:r w:rsidR="007965E4">
        <w:rPr>
          <w:rFonts w:cs="Arial"/>
          <w:color w:val="002F5D"/>
        </w:rPr>
        <w:t>.</w:t>
      </w:r>
      <w:r w:rsidR="008F0176" w:rsidRPr="007235C4">
        <w:rPr>
          <w:rFonts w:cs="Arial"/>
          <w:color w:val="002F5D"/>
        </w:rPr>
        <w:t xml:space="preserve"> Indices of deprivation, 2015 - overall score, children's and older people's indices and the percentage locally living in the national 20% most deprived area group</w:t>
      </w:r>
    </w:p>
    <w:p w14:paraId="04742ADA" w14:textId="77777777" w:rsidR="00930890" w:rsidRPr="0037351D" w:rsidRDefault="00930890" w:rsidP="00930890">
      <w:pPr>
        <w:rPr>
          <w:color w:val="FF0000"/>
        </w:rPr>
      </w:pPr>
    </w:p>
    <w:p w14:paraId="779CADEE" w14:textId="77777777" w:rsidR="00223A80" w:rsidRPr="0037351D" w:rsidRDefault="000662A5" w:rsidP="0038179C">
      <w:pPr>
        <w:spacing w:line="240" w:lineRule="auto"/>
        <w:rPr>
          <w:rFonts w:cs="Arial"/>
          <w:color w:val="FF0000"/>
        </w:rPr>
      </w:pPr>
      <w:r w:rsidRPr="0037351D">
        <w:rPr>
          <w:noProof/>
          <w:color w:val="FF0000"/>
          <w:lang w:eastAsia="en-GB"/>
        </w:rPr>
        <w:drawing>
          <wp:inline distT="0" distB="0" distL="0" distR="0" wp14:anchorId="2B5AADCD" wp14:editId="50CA5AFA">
            <wp:extent cx="5158740" cy="208026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58740" cy="2080260"/>
                    </a:xfrm>
                    <a:prstGeom prst="rect">
                      <a:avLst/>
                    </a:prstGeom>
                    <a:noFill/>
                    <a:ln>
                      <a:noFill/>
                    </a:ln>
                  </pic:spPr>
                </pic:pic>
              </a:graphicData>
            </a:graphic>
          </wp:inline>
        </w:drawing>
      </w:r>
    </w:p>
    <w:p w14:paraId="50C98144" w14:textId="77777777" w:rsidR="005D7198" w:rsidRPr="0037351D" w:rsidRDefault="005D7198" w:rsidP="0038179C">
      <w:pPr>
        <w:spacing w:line="240" w:lineRule="auto"/>
        <w:rPr>
          <w:rFonts w:cs="Arial"/>
          <w:b/>
          <w:color w:val="FF0000"/>
          <w:sz w:val="18"/>
        </w:rPr>
      </w:pPr>
    </w:p>
    <w:p w14:paraId="5D70E6A4" w14:textId="77777777" w:rsidR="00BD70C5" w:rsidRPr="007235C4" w:rsidRDefault="006F3DF0" w:rsidP="0038179C">
      <w:pPr>
        <w:spacing w:line="240" w:lineRule="auto"/>
        <w:rPr>
          <w:rFonts w:cs="Arial"/>
          <w:color w:val="002F5D"/>
          <w:sz w:val="18"/>
        </w:rPr>
      </w:pPr>
      <w:r w:rsidRPr="007235C4">
        <w:rPr>
          <w:rFonts w:cs="Arial"/>
          <w:b/>
          <w:color w:val="002F5D"/>
          <w:sz w:val="18"/>
        </w:rPr>
        <w:t>Note</w:t>
      </w:r>
      <w:r w:rsidRPr="007235C4">
        <w:rPr>
          <w:rFonts w:cs="Arial"/>
          <w:color w:val="002F5D"/>
          <w:sz w:val="18"/>
        </w:rPr>
        <w:t>s:</w:t>
      </w:r>
    </w:p>
    <w:p w14:paraId="4F4D12B8" w14:textId="77777777" w:rsidR="006F3DF0" w:rsidRPr="007235C4" w:rsidRDefault="006F3DF0" w:rsidP="0038179C">
      <w:pPr>
        <w:spacing w:line="240" w:lineRule="auto"/>
        <w:rPr>
          <w:rFonts w:cs="Arial"/>
          <w:color w:val="002F5D"/>
          <w:sz w:val="18"/>
        </w:rPr>
      </w:pPr>
      <w:r w:rsidRPr="007235C4">
        <w:rPr>
          <w:rFonts w:cs="Arial"/>
          <w:color w:val="002F5D"/>
          <w:sz w:val="18"/>
        </w:rPr>
        <w:t>1 - Income Deprivation Affecting Children Index IDACI): Proportion of children aged 0–15 years living in income deprived households as a proportion of all children aged 0–15 years.</w:t>
      </w:r>
    </w:p>
    <w:p w14:paraId="5AD40152" w14:textId="77777777" w:rsidR="006F3DF0" w:rsidRPr="007235C4" w:rsidRDefault="00847787" w:rsidP="0038179C">
      <w:pPr>
        <w:spacing w:line="240" w:lineRule="auto"/>
        <w:rPr>
          <w:rFonts w:cs="Arial"/>
          <w:color w:val="002F5D"/>
          <w:sz w:val="18"/>
        </w:rPr>
      </w:pPr>
      <w:r w:rsidRPr="007235C4">
        <w:rPr>
          <w:rFonts w:cs="Arial"/>
          <w:color w:val="002F5D"/>
          <w:sz w:val="18"/>
        </w:rPr>
        <w:t>2</w:t>
      </w:r>
      <w:r w:rsidR="006F3DF0" w:rsidRPr="007235C4">
        <w:rPr>
          <w:rFonts w:cs="Arial"/>
          <w:color w:val="002F5D"/>
          <w:sz w:val="18"/>
        </w:rPr>
        <w:t xml:space="preserve"> - Income Deprivation Affecting Older People Index (IDAOPI): Adults aged 60 or over living in income-deprived households as a percentage of all adults aged 60 or over.</w:t>
      </w:r>
    </w:p>
    <w:p w14:paraId="124396E3" w14:textId="77777777" w:rsidR="00847787" w:rsidRPr="007235C4" w:rsidRDefault="00847787" w:rsidP="00847787">
      <w:pPr>
        <w:spacing w:line="240" w:lineRule="auto"/>
        <w:rPr>
          <w:rFonts w:cs="Arial"/>
          <w:color w:val="002F5D"/>
          <w:sz w:val="18"/>
        </w:rPr>
      </w:pPr>
      <w:r w:rsidRPr="007235C4">
        <w:rPr>
          <w:rFonts w:cs="Arial"/>
          <w:color w:val="002F5D"/>
          <w:sz w:val="18"/>
        </w:rPr>
        <w:t>3 - IMD 2015: % of people in an area living in 20% most deprived areas in England.</w:t>
      </w:r>
    </w:p>
    <w:p w14:paraId="46002BC0" w14:textId="77777777" w:rsidR="00847787" w:rsidRPr="007235C4" w:rsidRDefault="00847787" w:rsidP="0038179C">
      <w:pPr>
        <w:spacing w:line="240" w:lineRule="auto"/>
        <w:rPr>
          <w:rFonts w:eastAsia="Times New Roman" w:cs="Times New Roman"/>
          <w:b/>
          <w:bCs/>
          <w:color w:val="002F5D"/>
          <w:lang w:eastAsia="en-GB"/>
        </w:rPr>
      </w:pPr>
    </w:p>
    <w:p w14:paraId="0F9B41D0" w14:textId="77777777" w:rsidR="006F3DF0" w:rsidRPr="007235C4" w:rsidRDefault="006F3DF0" w:rsidP="0038179C">
      <w:pPr>
        <w:spacing w:line="240" w:lineRule="auto"/>
        <w:rPr>
          <w:rFonts w:eastAsia="Times New Roman" w:cs="Times New Roman"/>
          <w:color w:val="002F5D"/>
          <w:lang w:eastAsia="en-GB"/>
        </w:rPr>
      </w:pPr>
      <w:r w:rsidRPr="007235C4">
        <w:rPr>
          <w:rFonts w:eastAsia="Times New Roman" w:cs="Times New Roman"/>
          <w:b/>
          <w:bCs/>
          <w:color w:val="002F5D"/>
          <w:lang w:eastAsia="en-GB"/>
        </w:rPr>
        <w:t>Source</w:t>
      </w:r>
      <w:r w:rsidR="00BA1F35" w:rsidRPr="007235C4">
        <w:rPr>
          <w:rFonts w:eastAsia="Times New Roman" w:cs="Times New Roman"/>
          <w:color w:val="002F5D"/>
          <w:lang w:eastAsia="en-GB"/>
        </w:rPr>
        <w:t xml:space="preserve">: </w:t>
      </w:r>
      <w:r w:rsidRPr="007235C4">
        <w:rPr>
          <w:rFonts w:eastAsia="Times New Roman" w:cs="Times New Roman"/>
          <w:color w:val="002F5D"/>
          <w:lang w:eastAsia="en-GB"/>
        </w:rPr>
        <w:t>DCLG from PHE Mental Health and Wellb</w:t>
      </w:r>
      <w:r w:rsidR="00BA1F35" w:rsidRPr="007235C4">
        <w:rPr>
          <w:rFonts w:eastAsia="Times New Roman" w:cs="Times New Roman"/>
          <w:color w:val="002F5D"/>
          <w:lang w:eastAsia="en-GB"/>
        </w:rPr>
        <w:t>e</w:t>
      </w:r>
      <w:r w:rsidRPr="007235C4">
        <w:rPr>
          <w:rFonts w:eastAsia="Times New Roman" w:cs="Times New Roman"/>
          <w:color w:val="002F5D"/>
          <w:lang w:eastAsia="en-GB"/>
        </w:rPr>
        <w:t>ing JSNA</w:t>
      </w:r>
    </w:p>
    <w:p w14:paraId="523892F7" w14:textId="77777777" w:rsidR="005D482A" w:rsidRPr="0037351D" w:rsidRDefault="005D482A" w:rsidP="0038179C">
      <w:pPr>
        <w:spacing w:line="240" w:lineRule="auto"/>
        <w:rPr>
          <w:rFonts w:eastAsia="Times New Roman" w:cs="Times New Roman"/>
          <w:color w:val="FF0000"/>
          <w:lang w:eastAsia="en-GB"/>
        </w:rPr>
      </w:pPr>
    </w:p>
    <w:p w14:paraId="5F6AF5BB" w14:textId="77777777" w:rsidR="005D482A" w:rsidRPr="007235C4" w:rsidRDefault="005D482A" w:rsidP="0038179C">
      <w:pPr>
        <w:spacing w:line="240" w:lineRule="auto"/>
        <w:rPr>
          <w:rFonts w:cs="Arial"/>
          <w:b/>
          <w:color w:val="002F5D"/>
        </w:rPr>
      </w:pPr>
      <w:r w:rsidRPr="007235C4">
        <w:rPr>
          <w:rFonts w:cs="Arial"/>
          <w:b/>
          <w:color w:val="002F5D"/>
        </w:rPr>
        <w:t>Key points:</w:t>
      </w:r>
    </w:p>
    <w:p w14:paraId="2561E545" w14:textId="77777777" w:rsidR="005D482A" w:rsidRPr="007235C4" w:rsidRDefault="005D482A" w:rsidP="00A938F7">
      <w:pPr>
        <w:pStyle w:val="ListParagraph"/>
        <w:numPr>
          <w:ilvl w:val="0"/>
          <w:numId w:val="36"/>
        </w:numPr>
        <w:spacing w:line="240" w:lineRule="auto"/>
        <w:ind w:left="714" w:hanging="357"/>
        <w:rPr>
          <w:rFonts w:eastAsia="Times New Roman" w:cs="Times New Roman"/>
          <w:color w:val="002F5D"/>
          <w:lang w:eastAsia="en-GB"/>
        </w:rPr>
      </w:pPr>
      <w:r w:rsidRPr="007235C4">
        <w:rPr>
          <w:rFonts w:cs="Arial"/>
          <w:color w:val="002F5D"/>
        </w:rPr>
        <w:t xml:space="preserve">Cambridgeshire as a whole has low levels of relative deprivation, compared with </w:t>
      </w:r>
      <w:r w:rsidR="00D441D5" w:rsidRPr="007235C4">
        <w:rPr>
          <w:rFonts w:cs="Arial"/>
          <w:color w:val="002F5D"/>
        </w:rPr>
        <w:t>England</w:t>
      </w:r>
      <w:r w:rsidRPr="007235C4">
        <w:rPr>
          <w:rFonts w:cs="Arial"/>
          <w:color w:val="002F5D"/>
        </w:rPr>
        <w:t>, whether that is overall, or whether related to income deprivation in children or older people.  Cambridgeshire has low levels of people living in the most deprived fifth (20%) of areas nationally.</w:t>
      </w:r>
    </w:p>
    <w:p w14:paraId="37A555D8" w14:textId="25CA846D" w:rsidR="004B46D4" w:rsidRPr="007235C4" w:rsidRDefault="004B46D4" w:rsidP="00A938F7">
      <w:pPr>
        <w:pStyle w:val="ListParagraph"/>
        <w:numPr>
          <w:ilvl w:val="0"/>
          <w:numId w:val="36"/>
        </w:numPr>
        <w:spacing w:line="240" w:lineRule="auto"/>
        <w:ind w:left="714" w:hanging="357"/>
        <w:rPr>
          <w:rFonts w:eastAsia="Times New Roman" w:cs="Times New Roman"/>
          <w:color w:val="002F5D"/>
          <w:lang w:eastAsia="en-GB"/>
        </w:rPr>
      </w:pPr>
      <w:r w:rsidRPr="007235C4">
        <w:rPr>
          <w:rFonts w:cs="Arial"/>
          <w:color w:val="002F5D"/>
        </w:rPr>
        <w:t>Pe</w:t>
      </w:r>
      <w:r w:rsidR="003A095D" w:rsidRPr="007235C4">
        <w:rPr>
          <w:rFonts w:cs="Arial"/>
          <w:color w:val="002F5D"/>
        </w:rPr>
        <w:t xml:space="preserve">terborough has </w:t>
      </w:r>
      <w:r w:rsidR="0054498E" w:rsidRPr="007235C4">
        <w:rPr>
          <w:rFonts w:cs="Arial"/>
          <w:color w:val="002F5D"/>
        </w:rPr>
        <w:t xml:space="preserve">relatively </w:t>
      </w:r>
      <w:r w:rsidR="003A095D" w:rsidRPr="007235C4">
        <w:rPr>
          <w:rFonts w:cs="Arial"/>
          <w:color w:val="002F5D"/>
        </w:rPr>
        <w:t>high</w:t>
      </w:r>
      <w:r w:rsidRPr="007235C4">
        <w:rPr>
          <w:rFonts w:cs="Arial"/>
          <w:color w:val="002F5D"/>
        </w:rPr>
        <w:t xml:space="preserve"> level</w:t>
      </w:r>
      <w:r w:rsidR="003A095D" w:rsidRPr="007235C4">
        <w:rPr>
          <w:rFonts w:cs="Arial"/>
          <w:color w:val="002F5D"/>
        </w:rPr>
        <w:t>s</w:t>
      </w:r>
      <w:r w:rsidRPr="007235C4">
        <w:rPr>
          <w:rFonts w:cs="Arial"/>
          <w:color w:val="002F5D"/>
        </w:rPr>
        <w:t xml:space="preserve"> of overall deprivation</w:t>
      </w:r>
      <w:r w:rsidR="00333DE1" w:rsidRPr="007235C4">
        <w:rPr>
          <w:rFonts w:cs="Arial"/>
          <w:color w:val="002F5D"/>
        </w:rPr>
        <w:t xml:space="preserve"> </w:t>
      </w:r>
      <w:r w:rsidR="003A095D" w:rsidRPr="007235C4">
        <w:rPr>
          <w:rFonts w:cs="Arial"/>
          <w:color w:val="002F5D"/>
        </w:rPr>
        <w:t xml:space="preserve">and income deprivation in children and older people compared with </w:t>
      </w:r>
      <w:r w:rsidR="00D441D5" w:rsidRPr="007235C4">
        <w:rPr>
          <w:rFonts w:cs="Arial"/>
          <w:color w:val="002F5D"/>
        </w:rPr>
        <w:t>England</w:t>
      </w:r>
      <w:r w:rsidR="00AB2EC3" w:rsidRPr="007235C4">
        <w:rPr>
          <w:rFonts w:cs="Arial"/>
          <w:color w:val="002F5D"/>
        </w:rPr>
        <w:t xml:space="preserve">. Peterborough has a </w:t>
      </w:r>
      <w:r w:rsidR="0039185A">
        <w:rPr>
          <w:rFonts w:cs="Arial"/>
          <w:color w:val="002F5D"/>
        </w:rPr>
        <w:t xml:space="preserve">relatively </w:t>
      </w:r>
      <w:r w:rsidR="00AB2EC3" w:rsidRPr="007235C4">
        <w:rPr>
          <w:rFonts w:cs="Arial"/>
          <w:color w:val="002F5D"/>
        </w:rPr>
        <w:t>high proportion</w:t>
      </w:r>
      <w:r w:rsidR="000662A5" w:rsidRPr="007235C4">
        <w:rPr>
          <w:rFonts w:cs="Arial"/>
          <w:color w:val="002F5D"/>
        </w:rPr>
        <w:t xml:space="preserve"> (37%)</w:t>
      </w:r>
      <w:r w:rsidR="00AB2EC3" w:rsidRPr="007235C4">
        <w:rPr>
          <w:rFonts w:cs="Arial"/>
          <w:color w:val="002F5D"/>
        </w:rPr>
        <w:t xml:space="preserve"> of its population living in the most deprived fifth (20%) of areas nationally, with a level that is</w:t>
      </w:r>
      <w:r w:rsidR="00052BA3" w:rsidRPr="007235C4">
        <w:rPr>
          <w:rFonts w:cs="Arial"/>
          <w:color w:val="002F5D"/>
        </w:rPr>
        <w:t xml:space="preserve"> higher than </w:t>
      </w:r>
      <w:r w:rsidR="00333DE1" w:rsidRPr="007235C4">
        <w:rPr>
          <w:rFonts w:cs="Arial"/>
          <w:color w:val="002F5D"/>
        </w:rPr>
        <w:t>England</w:t>
      </w:r>
      <w:r w:rsidR="00052BA3" w:rsidRPr="007235C4">
        <w:rPr>
          <w:rFonts w:cs="Arial"/>
          <w:color w:val="002F5D"/>
        </w:rPr>
        <w:t>.</w:t>
      </w:r>
    </w:p>
    <w:p w14:paraId="5CDB07C6" w14:textId="3D6AFBE0" w:rsidR="00EC563C" w:rsidRPr="007235C4" w:rsidRDefault="005D482A" w:rsidP="00A938F7">
      <w:pPr>
        <w:pStyle w:val="ListParagraph"/>
        <w:numPr>
          <w:ilvl w:val="0"/>
          <w:numId w:val="36"/>
        </w:numPr>
        <w:spacing w:line="240" w:lineRule="auto"/>
        <w:ind w:left="714" w:hanging="357"/>
        <w:rPr>
          <w:rFonts w:eastAsia="Times New Roman" w:cs="Times New Roman"/>
          <w:color w:val="002F5D"/>
          <w:lang w:eastAsia="en-GB"/>
        </w:rPr>
      </w:pPr>
      <w:r w:rsidRPr="007235C4">
        <w:rPr>
          <w:rFonts w:cs="Arial"/>
          <w:color w:val="002F5D"/>
        </w:rPr>
        <w:t>At district level</w:t>
      </w:r>
      <w:r w:rsidR="003C1EFE" w:rsidRPr="007235C4">
        <w:rPr>
          <w:rFonts w:cs="Arial"/>
          <w:color w:val="002F5D"/>
        </w:rPr>
        <w:t xml:space="preserve"> in Cambridgeshire</w:t>
      </w:r>
      <w:r w:rsidRPr="007235C4">
        <w:rPr>
          <w:rFonts w:cs="Arial"/>
          <w:color w:val="002F5D"/>
        </w:rPr>
        <w:t>, Fenland is the only area with a</w:t>
      </w:r>
      <w:r w:rsidR="003A095D" w:rsidRPr="007235C4">
        <w:rPr>
          <w:rFonts w:cs="Arial"/>
          <w:color w:val="002F5D"/>
        </w:rPr>
        <w:t xml:space="preserve"> high </w:t>
      </w:r>
      <w:r w:rsidR="004B016A" w:rsidRPr="007235C4">
        <w:rPr>
          <w:rFonts w:cs="Arial"/>
          <w:color w:val="002F5D"/>
        </w:rPr>
        <w:t>l</w:t>
      </w:r>
      <w:r w:rsidRPr="007235C4">
        <w:rPr>
          <w:rFonts w:cs="Arial"/>
          <w:color w:val="002F5D"/>
        </w:rPr>
        <w:t>evel of overall deprivation</w:t>
      </w:r>
      <w:r w:rsidR="004B016A" w:rsidRPr="007235C4">
        <w:rPr>
          <w:rFonts w:cs="Arial"/>
          <w:color w:val="002F5D"/>
        </w:rPr>
        <w:t xml:space="preserve"> and income deprivation in children</w:t>
      </w:r>
      <w:r w:rsidRPr="007235C4">
        <w:rPr>
          <w:rFonts w:cs="Arial"/>
          <w:color w:val="002F5D"/>
        </w:rPr>
        <w:t xml:space="preserve"> </w:t>
      </w:r>
      <w:r w:rsidR="003A095D" w:rsidRPr="007235C4">
        <w:rPr>
          <w:rFonts w:cs="Arial"/>
          <w:color w:val="002F5D"/>
        </w:rPr>
        <w:t>compared with England</w:t>
      </w:r>
      <w:r w:rsidR="004B016A" w:rsidRPr="007235C4">
        <w:rPr>
          <w:rFonts w:cs="Arial"/>
          <w:color w:val="002F5D"/>
        </w:rPr>
        <w:t xml:space="preserve">.  </w:t>
      </w:r>
      <w:r w:rsidR="00EC563C" w:rsidRPr="007235C4">
        <w:rPr>
          <w:rFonts w:cs="Arial"/>
          <w:color w:val="002F5D"/>
        </w:rPr>
        <w:t>Fenland also has the largest proportion of its population living in the most deprived fifth (20%) of areas nationally, with a level that is similar to the average for all of England.</w:t>
      </w:r>
    </w:p>
    <w:p w14:paraId="59C61BA2" w14:textId="77777777" w:rsidR="00AB2EC3" w:rsidRPr="007235C4" w:rsidRDefault="00EC563C" w:rsidP="002F0658">
      <w:pPr>
        <w:pStyle w:val="ListParagraph"/>
        <w:numPr>
          <w:ilvl w:val="0"/>
          <w:numId w:val="36"/>
        </w:numPr>
        <w:spacing w:line="240" w:lineRule="auto"/>
        <w:ind w:left="714" w:hanging="357"/>
        <w:rPr>
          <w:b/>
          <w:color w:val="002F5D"/>
        </w:rPr>
      </w:pPr>
      <w:r w:rsidRPr="007235C4">
        <w:rPr>
          <w:rFonts w:cs="Arial"/>
          <w:color w:val="002F5D"/>
        </w:rPr>
        <w:t>South Cambridgeshire is markedly the least deprived district in Cambridgeshire, across all the measures presented and, along with East Cambridgeshire, has none of its population living in the most deprived fifth (20%) of areas nationally.</w:t>
      </w:r>
    </w:p>
    <w:p w14:paraId="201EF47D" w14:textId="77777777" w:rsidR="002B5BBE" w:rsidRPr="0037351D" w:rsidRDefault="002B5BBE" w:rsidP="002B5BBE">
      <w:pPr>
        <w:rPr>
          <w:color w:val="FF0000"/>
        </w:rPr>
      </w:pPr>
    </w:p>
    <w:p w14:paraId="5E9622B2" w14:textId="77777777" w:rsidR="002B5BBE" w:rsidRPr="0037351D" w:rsidRDefault="002B5BBE" w:rsidP="002B5BBE">
      <w:pPr>
        <w:rPr>
          <w:color w:val="FF0000"/>
        </w:rPr>
      </w:pPr>
    </w:p>
    <w:p w14:paraId="40BDE4D9" w14:textId="77777777" w:rsidR="002B5BBE" w:rsidRPr="0037351D" w:rsidRDefault="002B5BBE" w:rsidP="002B5BBE">
      <w:pPr>
        <w:rPr>
          <w:color w:val="FF0000"/>
        </w:rPr>
      </w:pPr>
    </w:p>
    <w:p w14:paraId="50013F09" w14:textId="77777777" w:rsidR="002B5BBE" w:rsidRPr="0037351D" w:rsidRDefault="002B5BBE" w:rsidP="002B5BBE">
      <w:pPr>
        <w:rPr>
          <w:color w:val="FF0000"/>
        </w:rPr>
      </w:pPr>
    </w:p>
    <w:p w14:paraId="5ADC0CD1" w14:textId="77777777" w:rsidR="002B5BBE" w:rsidRPr="0037351D" w:rsidRDefault="002B5BBE" w:rsidP="002B5BBE">
      <w:pPr>
        <w:rPr>
          <w:color w:val="FF0000"/>
        </w:rPr>
      </w:pPr>
    </w:p>
    <w:p w14:paraId="46E491E1" w14:textId="77777777" w:rsidR="002B5BBE" w:rsidRPr="0037351D" w:rsidRDefault="002B5BBE" w:rsidP="002B5BBE">
      <w:pPr>
        <w:rPr>
          <w:color w:val="FF0000"/>
        </w:rPr>
      </w:pPr>
    </w:p>
    <w:p w14:paraId="49BD4A6A" w14:textId="77777777" w:rsidR="002B5BBE" w:rsidRPr="0037351D" w:rsidRDefault="002B5BBE" w:rsidP="002B5BBE">
      <w:pPr>
        <w:rPr>
          <w:color w:val="FF0000"/>
        </w:rPr>
      </w:pPr>
    </w:p>
    <w:p w14:paraId="7DDCB100" w14:textId="77777777" w:rsidR="002B5BBE" w:rsidRPr="0037351D" w:rsidRDefault="002B5BBE" w:rsidP="002B5BBE">
      <w:pPr>
        <w:rPr>
          <w:color w:val="FF0000"/>
        </w:rPr>
      </w:pPr>
    </w:p>
    <w:p w14:paraId="167F4DCE" w14:textId="77777777" w:rsidR="00E23966" w:rsidRDefault="00E23966" w:rsidP="002B5BBE">
      <w:pPr>
        <w:rPr>
          <w:color w:val="FF0000"/>
        </w:rPr>
      </w:pPr>
    </w:p>
    <w:p w14:paraId="45776CC6" w14:textId="77777777" w:rsidR="005C4C3F" w:rsidRDefault="005C4C3F" w:rsidP="002B5BBE">
      <w:pPr>
        <w:rPr>
          <w:color w:val="FF0000"/>
        </w:rPr>
      </w:pPr>
    </w:p>
    <w:p w14:paraId="1194B4BC" w14:textId="77777777" w:rsidR="005C4C3F" w:rsidRPr="0037351D" w:rsidRDefault="005C4C3F" w:rsidP="002B5BBE">
      <w:pPr>
        <w:rPr>
          <w:color w:val="FF0000"/>
        </w:rPr>
      </w:pPr>
    </w:p>
    <w:p w14:paraId="2CD8949B" w14:textId="77777777" w:rsidR="00A17927" w:rsidRPr="0037351D" w:rsidRDefault="00A17927" w:rsidP="00EB6960">
      <w:pPr>
        <w:pStyle w:val="Caption"/>
        <w:rPr>
          <w:b/>
          <w:color w:val="FF0000"/>
        </w:rPr>
      </w:pPr>
    </w:p>
    <w:p w14:paraId="0BC9BDB4" w14:textId="3F2AA4CA" w:rsidR="005D482A" w:rsidRPr="007235C4" w:rsidRDefault="00EB6960" w:rsidP="00EB6960">
      <w:pPr>
        <w:pStyle w:val="Caption"/>
        <w:rPr>
          <w:rFonts w:cs="Arial"/>
          <w:color w:val="002F5D"/>
        </w:rPr>
      </w:pPr>
      <w:r w:rsidRPr="007235C4">
        <w:rPr>
          <w:b/>
          <w:color w:val="002F5D"/>
        </w:rPr>
        <w:t>Figure</w:t>
      </w:r>
      <w:r w:rsidR="004061DD">
        <w:rPr>
          <w:b/>
          <w:color w:val="002F5D"/>
        </w:rPr>
        <w:t xml:space="preserve"> 22</w:t>
      </w:r>
      <w:r w:rsidR="005D482A" w:rsidRPr="007235C4">
        <w:rPr>
          <w:rFonts w:cs="Arial"/>
          <w:color w:val="002F5D"/>
        </w:rPr>
        <w:t>. Indices of deprivation, 2015 - overall IMD2015 score for Cambridgeshire</w:t>
      </w:r>
      <w:r w:rsidR="00AB2EC3" w:rsidRPr="007235C4">
        <w:rPr>
          <w:rFonts w:cs="Arial"/>
          <w:color w:val="002F5D"/>
        </w:rPr>
        <w:t>, Peterboro</w:t>
      </w:r>
      <w:r w:rsidR="00872F58" w:rsidRPr="007235C4">
        <w:rPr>
          <w:rFonts w:cs="Arial"/>
          <w:color w:val="002F5D"/>
        </w:rPr>
        <w:t xml:space="preserve">ugh, </w:t>
      </w:r>
      <w:r w:rsidR="00AB2EC3" w:rsidRPr="007235C4">
        <w:rPr>
          <w:rFonts w:cs="Arial"/>
          <w:color w:val="002F5D"/>
        </w:rPr>
        <w:t>Cambrid</w:t>
      </w:r>
      <w:r w:rsidR="00D72ADA" w:rsidRPr="007235C4">
        <w:rPr>
          <w:rFonts w:cs="Arial"/>
          <w:color w:val="002F5D"/>
        </w:rPr>
        <w:t>ge</w:t>
      </w:r>
      <w:r w:rsidR="00AB2EC3" w:rsidRPr="007235C4">
        <w:rPr>
          <w:rFonts w:cs="Arial"/>
          <w:color w:val="002F5D"/>
        </w:rPr>
        <w:t>shire</w:t>
      </w:r>
      <w:r w:rsidR="005D482A" w:rsidRPr="007235C4">
        <w:rPr>
          <w:rFonts w:cs="Arial"/>
          <w:color w:val="002F5D"/>
        </w:rPr>
        <w:t xml:space="preserve"> districts and England</w:t>
      </w:r>
    </w:p>
    <w:p w14:paraId="557F4921" w14:textId="77777777" w:rsidR="00744A9F" w:rsidRPr="0037351D" w:rsidRDefault="00744A9F" w:rsidP="00744A9F">
      <w:pPr>
        <w:rPr>
          <w:color w:val="FF0000"/>
        </w:rPr>
      </w:pPr>
    </w:p>
    <w:p w14:paraId="0F254D4F" w14:textId="77777777" w:rsidR="005047E0" w:rsidRPr="0037351D" w:rsidRDefault="00744A9F" w:rsidP="0038179C">
      <w:pPr>
        <w:spacing w:line="240" w:lineRule="auto"/>
        <w:rPr>
          <w:rFonts w:cs="Arial"/>
          <w:color w:val="FF0000"/>
        </w:rPr>
      </w:pPr>
      <w:r w:rsidRPr="0037351D">
        <w:rPr>
          <w:rFonts w:cs="Arial"/>
          <w:noProof/>
          <w:color w:val="FF0000"/>
          <w:lang w:eastAsia="en-GB"/>
        </w:rPr>
        <w:drawing>
          <wp:inline distT="0" distB="0" distL="0" distR="0" wp14:anchorId="7E1109ED" wp14:editId="6EB6B285">
            <wp:extent cx="5676900" cy="3340763"/>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00422" cy="3354605"/>
                    </a:xfrm>
                    <a:prstGeom prst="rect">
                      <a:avLst/>
                    </a:prstGeom>
                    <a:noFill/>
                  </pic:spPr>
                </pic:pic>
              </a:graphicData>
            </a:graphic>
          </wp:inline>
        </w:drawing>
      </w:r>
    </w:p>
    <w:p w14:paraId="25138CC5" w14:textId="77777777" w:rsidR="006F3DF0" w:rsidRPr="0037351D" w:rsidRDefault="006F3DF0" w:rsidP="0038179C">
      <w:pPr>
        <w:spacing w:line="240" w:lineRule="auto"/>
        <w:rPr>
          <w:rFonts w:cs="Arial"/>
          <w:color w:val="FF0000"/>
        </w:rPr>
      </w:pPr>
    </w:p>
    <w:p w14:paraId="7A0C1676" w14:textId="77777777" w:rsidR="005047E0" w:rsidRPr="0037351D" w:rsidRDefault="005047E0" w:rsidP="0038179C">
      <w:pPr>
        <w:spacing w:line="240" w:lineRule="auto"/>
        <w:rPr>
          <w:rFonts w:eastAsia="Times New Roman" w:cs="Times New Roman"/>
          <w:b/>
          <w:bCs/>
          <w:color w:val="FF0000"/>
          <w:lang w:eastAsia="en-GB"/>
        </w:rPr>
      </w:pPr>
    </w:p>
    <w:p w14:paraId="3CC6B636" w14:textId="77777777" w:rsidR="005D482A" w:rsidRPr="007235C4" w:rsidRDefault="005D482A" w:rsidP="0038179C">
      <w:pPr>
        <w:spacing w:line="240" w:lineRule="auto"/>
        <w:rPr>
          <w:rFonts w:eastAsia="Times New Roman" w:cs="Times New Roman"/>
          <w:color w:val="002F5D"/>
          <w:lang w:eastAsia="en-GB"/>
        </w:rPr>
      </w:pPr>
      <w:r w:rsidRPr="007235C4">
        <w:rPr>
          <w:rFonts w:eastAsia="Times New Roman" w:cs="Times New Roman"/>
          <w:b/>
          <w:bCs/>
          <w:color w:val="002F5D"/>
          <w:lang w:eastAsia="en-GB"/>
        </w:rPr>
        <w:t>Source</w:t>
      </w:r>
      <w:r w:rsidRPr="007235C4">
        <w:rPr>
          <w:rFonts w:eastAsia="Times New Roman" w:cs="Times New Roman"/>
          <w:color w:val="002F5D"/>
          <w:lang w:eastAsia="en-GB"/>
        </w:rPr>
        <w:t>: DCLG from PHE Mental Health and Wellbeing JSNA</w:t>
      </w:r>
    </w:p>
    <w:p w14:paraId="2E490D82" w14:textId="77777777" w:rsidR="005D482A" w:rsidRPr="007235C4" w:rsidRDefault="005D482A" w:rsidP="0038179C">
      <w:pPr>
        <w:spacing w:line="240" w:lineRule="auto"/>
        <w:rPr>
          <w:rFonts w:cs="Arial"/>
          <w:color w:val="002F5D"/>
        </w:rPr>
      </w:pPr>
    </w:p>
    <w:p w14:paraId="4398108A" w14:textId="77777777" w:rsidR="00EC563C" w:rsidRPr="007235C4" w:rsidRDefault="00EC563C" w:rsidP="0038179C">
      <w:pPr>
        <w:spacing w:line="240" w:lineRule="auto"/>
        <w:rPr>
          <w:rFonts w:cs="Arial"/>
          <w:b/>
          <w:color w:val="002F5D"/>
        </w:rPr>
      </w:pPr>
      <w:r w:rsidRPr="007235C4">
        <w:rPr>
          <w:rFonts w:cs="Arial"/>
          <w:b/>
          <w:color w:val="002F5D"/>
        </w:rPr>
        <w:t>Key points:</w:t>
      </w:r>
    </w:p>
    <w:p w14:paraId="3BBF4F95" w14:textId="05BAA929" w:rsidR="00D72ADA" w:rsidRPr="007235C4" w:rsidRDefault="002B5BBE" w:rsidP="00A938F7">
      <w:pPr>
        <w:pStyle w:val="ListParagraph"/>
        <w:numPr>
          <w:ilvl w:val="0"/>
          <w:numId w:val="37"/>
        </w:numPr>
        <w:spacing w:line="240" w:lineRule="auto"/>
        <w:ind w:left="714" w:hanging="357"/>
        <w:rPr>
          <w:rFonts w:cs="Arial"/>
          <w:b/>
          <w:color w:val="002F5D"/>
        </w:rPr>
      </w:pPr>
      <w:r w:rsidRPr="007235C4">
        <w:rPr>
          <w:rFonts w:cs="Arial"/>
          <w:color w:val="002F5D"/>
        </w:rPr>
        <w:t xml:space="preserve">Peterborough has the highest level of overall deprivation and is above the national </w:t>
      </w:r>
      <w:r w:rsidR="0039185A">
        <w:rPr>
          <w:rFonts w:cs="Arial"/>
          <w:color w:val="002F5D"/>
        </w:rPr>
        <w:t>average</w:t>
      </w:r>
      <w:r w:rsidRPr="007235C4">
        <w:rPr>
          <w:rFonts w:cs="Arial"/>
          <w:color w:val="002F5D"/>
        </w:rPr>
        <w:t>.</w:t>
      </w:r>
    </w:p>
    <w:p w14:paraId="355CCB9D" w14:textId="77777777" w:rsidR="002B5BBE" w:rsidRPr="007235C4" w:rsidRDefault="002B5BBE" w:rsidP="00A938F7">
      <w:pPr>
        <w:pStyle w:val="ListParagraph"/>
        <w:numPr>
          <w:ilvl w:val="0"/>
          <w:numId w:val="37"/>
        </w:numPr>
        <w:spacing w:line="240" w:lineRule="auto"/>
        <w:ind w:left="714" w:hanging="357"/>
        <w:rPr>
          <w:rFonts w:cs="Arial"/>
          <w:b/>
          <w:color w:val="002F5D"/>
        </w:rPr>
      </w:pPr>
      <w:r w:rsidRPr="007235C4">
        <w:rPr>
          <w:rFonts w:cs="Arial"/>
          <w:color w:val="002F5D"/>
        </w:rPr>
        <w:t>Fenland is the most deprived district in Cambridgeshire, with overall levels of deprivation above the county and national levels.</w:t>
      </w:r>
    </w:p>
    <w:p w14:paraId="43FC20A0" w14:textId="77777777" w:rsidR="00EC563C" w:rsidRPr="007235C4" w:rsidRDefault="0084438B" w:rsidP="00A938F7">
      <w:pPr>
        <w:pStyle w:val="ListParagraph"/>
        <w:numPr>
          <w:ilvl w:val="0"/>
          <w:numId w:val="37"/>
        </w:numPr>
        <w:spacing w:line="240" w:lineRule="auto"/>
        <w:ind w:left="714" w:hanging="357"/>
        <w:rPr>
          <w:rFonts w:cs="Arial"/>
          <w:color w:val="002F5D"/>
        </w:rPr>
      </w:pPr>
      <w:r w:rsidRPr="007235C4">
        <w:rPr>
          <w:rFonts w:cs="Arial"/>
          <w:color w:val="002F5D"/>
        </w:rPr>
        <w:t>Cambridge</w:t>
      </w:r>
      <w:r w:rsidR="00A15749" w:rsidRPr="007235C4">
        <w:rPr>
          <w:rFonts w:cs="Arial"/>
          <w:color w:val="002F5D"/>
        </w:rPr>
        <w:t xml:space="preserve"> has similar levels of relative overall deprivation as the county average, at a level well below England, with all other districts having lower levels than the Cambridgeshire average.</w:t>
      </w:r>
    </w:p>
    <w:p w14:paraId="3A7C64C1" w14:textId="77777777" w:rsidR="00A15749" w:rsidRPr="0037351D" w:rsidRDefault="00A15749" w:rsidP="0038179C">
      <w:pPr>
        <w:spacing w:line="240" w:lineRule="auto"/>
        <w:rPr>
          <w:rFonts w:cs="Arial"/>
          <w:b/>
          <w:color w:val="FF0000"/>
        </w:rPr>
      </w:pPr>
    </w:p>
    <w:p w14:paraId="513216A8" w14:textId="77777777" w:rsidR="009B7702" w:rsidRPr="0037351D" w:rsidRDefault="009B7702">
      <w:pPr>
        <w:rPr>
          <w:rFonts w:cs="Arial"/>
          <w:b/>
          <w:color w:val="FF0000"/>
        </w:rPr>
      </w:pPr>
      <w:r w:rsidRPr="0037351D">
        <w:rPr>
          <w:rFonts w:cs="Arial"/>
          <w:b/>
          <w:color w:val="FF0000"/>
        </w:rPr>
        <w:br w:type="page"/>
      </w:r>
    </w:p>
    <w:p w14:paraId="099BFD02" w14:textId="49180589" w:rsidR="00772C92" w:rsidRPr="007235C4" w:rsidRDefault="00EB6960" w:rsidP="00EB6960">
      <w:pPr>
        <w:pStyle w:val="Caption"/>
        <w:rPr>
          <w:rFonts w:cs="Arial"/>
          <w:color w:val="002F5D"/>
        </w:rPr>
      </w:pPr>
      <w:r w:rsidRPr="007235C4">
        <w:rPr>
          <w:b/>
          <w:color w:val="002F5D"/>
        </w:rPr>
        <w:lastRenderedPageBreak/>
        <w:t xml:space="preserve">Figure </w:t>
      </w:r>
      <w:r w:rsidR="006B19C2">
        <w:rPr>
          <w:b/>
          <w:color w:val="002F5D"/>
        </w:rPr>
        <w:t>2</w:t>
      </w:r>
      <w:r w:rsidR="004061DD">
        <w:rPr>
          <w:b/>
          <w:color w:val="002F5D"/>
        </w:rPr>
        <w:t>3</w:t>
      </w:r>
      <w:r w:rsidR="00772C92" w:rsidRPr="007235C4">
        <w:rPr>
          <w:rFonts w:cs="Arial"/>
          <w:b/>
          <w:color w:val="002F5D"/>
        </w:rPr>
        <w:t xml:space="preserve">. </w:t>
      </w:r>
      <w:r w:rsidR="00772C92" w:rsidRPr="007235C4">
        <w:rPr>
          <w:rFonts w:cs="Arial"/>
          <w:color w:val="002F5D"/>
        </w:rPr>
        <w:t>Indices of Multiple Deprivation, 2015 (IMD2015) - p</w:t>
      </w:r>
      <w:r w:rsidR="00873C5E" w:rsidRPr="007235C4">
        <w:rPr>
          <w:rFonts w:cs="Arial"/>
          <w:color w:val="002F5D"/>
        </w:rPr>
        <w:t>ercentage of lower super output</w:t>
      </w:r>
      <w:r w:rsidR="00772C92" w:rsidRPr="007235C4">
        <w:rPr>
          <w:rFonts w:cs="Arial"/>
          <w:color w:val="002F5D"/>
        </w:rPr>
        <w:t xml:space="preserve"> areas (LSOAs) in national IMD2015 deciles in Cambridgeshire</w:t>
      </w:r>
      <w:r w:rsidR="002B5BBE" w:rsidRPr="007235C4">
        <w:rPr>
          <w:rFonts w:cs="Arial"/>
          <w:color w:val="002F5D"/>
        </w:rPr>
        <w:t xml:space="preserve"> and Peterborough and Cambridgeshire Districts</w:t>
      </w:r>
    </w:p>
    <w:p w14:paraId="4045DE43" w14:textId="77777777" w:rsidR="005047E0" w:rsidRPr="0037351D" w:rsidRDefault="005047E0" w:rsidP="0038179C">
      <w:pPr>
        <w:spacing w:line="240" w:lineRule="auto"/>
        <w:rPr>
          <w:rFonts w:cs="Arial"/>
          <w:color w:val="FF0000"/>
        </w:rPr>
      </w:pPr>
    </w:p>
    <w:p w14:paraId="536C9471" w14:textId="77777777" w:rsidR="00772C92" w:rsidRPr="0037351D" w:rsidRDefault="002B5BBE" w:rsidP="0038179C">
      <w:pPr>
        <w:spacing w:line="240" w:lineRule="auto"/>
        <w:rPr>
          <w:rFonts w:cs="Arial"/>
          <w:b/>
          <w:color w:val="FF0000"/>
        </w:rPr>
      </w:pPr>
      <w:r w:rsidRPr="0037351D">
        <w:rPr>
          <w:rFonts w:cs="Arial"/>
          <w:b/>
          <w:noProof/>
          <w:color w:val="FF0000"/>
          <w:lang w:eastAsia="en-GB"/>
        </w:rPr>
        <w:drawing>
          <wp:inline distT="0" distB="0" distL="0" distR="0" wp14:anchorId="71EB8808" wp14:editId="73CE9483">
            <wp:extent cx="6181725" cy="25971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81725" cy="2597150"/>
                    </a:xfrm>
                    <a:prstGeom prst="rect">
                      <a:avLst/>
                    </a:prstGeom>
                    <a:noFill/>
                  </pic:spPr>
                </pic:pic>
              </a:graphicData>
            </a:graphic>
          </wp:inline>
        </w:drawing>
      </w:r>
    </w:p>
    <w:p w14:paraId="0787A6AB" w14:textId="77777777" w:rsidR="005047E0" w:rsidRPr="0037351D" w:rsidRDefault="005047E0" w:rsidP="0038179C">
      <w:pPr>
        <w:spacing w:line="240" w:lineRule="auto"/>
        <w:rPr>
          <w:rFonts w:eastAsia="Times New Roman" w:cs="Times New Roman"/>
          <w:b/>
          <w:bCs/>
          <w:color w:val="FF0000"/>
          <w:lang w:eastAsia="en-GB"/>
        </w:rPr>
      </w:pPr>
    </w:p>
    <w:p w14:paraId="7A11AC02" w14:textId="77777777" w:rsidR="00772C92" w:rsidRPr="007235C4" w:rsidRDefault="00772C92" w:rsidP="0038179C">
      <w:pPr>
        <w:spacing w:line="240" w:lineRule="auto"/>
        <w:rPr>
          <w:rFonts w:eastAsia="Times New Roman" w:cs="Times New Roman"/>
          <w:color w:val="002F5D"/>
          <w:lang w:eastAsia="en-GB"/>
        </w:rPr>
      </w:pPr>
      <w:r w:rsidRPr="007235C4">
        <w:rPr>
          <w:rFonts w:eastAsia="Times New Roman" w:cs="Times New Roman"/>
          <w:b/>
          <w:bCs/>
          <w:color w:val="002F5D"/>
          <w:lang w:eastAsia="en-GB"/>
        </w:rPr>
        <w:t>Source:</w:t>
      </w:r>
      <w:r w:rsidRPr="007235C4">
        <w:rPr>
          <w:rFonts w:eastAsia="Times New Roman" w:cs="Times New Roman"/>
          <w:color w:val="002F5D"/>
          <w:lang w:eastAsia="en-GB"/>
        </w:rPr>
        <w:t xml:space="preserve"> Index of Multiple Deprivation 2015, Department for Communities &amp; Local Government (DCLG)</w:t>
      </w:r>
    </w:p>
    <w:p w14:paraId="1300CA48" w14:textId="77777777" w:rsidR="005047E0" w:rsidRPr="007235C4" w:rsidRDefault="005047E0" w:rsidP="0038179C">
      <w:pPr>
        <w:spacing w:line="240" w:lineRule="auto"/>
        <w:rPr>
          <w:rFonts w:cs="Arial"/>
          <w:b/>
          <w:color w:val="002F5D"/>
        </w:rPr>
      </w:pPr>
    </w:p>
    <w:p w14:paraId="205CE1E2" w14:textId="77777777" w:rsidR="00772C92" w:rsidRPr="007235C4" w:rsidRDefault="00772C92" w:rsidP="0038179C">
      <w:pPr>
        <w:spacing w:line="240" w:lineRule="auto"/>
        <w:rPr>
          <w:rFonts w:cs="Arial"/>
          <w:b/>
          <w:color w:val="002F5D"/>
        </w:rPr>
      </w:pPr>
      <w:r w:rsidRPr="007235C4">
        <w:rPr>
          <w:rFonts w:cs="Arial"/>
          <w:b/>
          <w:color w:val="002F5D"/>
        </w:rPr>
        <w:t>Key points:</w:t>
      </w:r>
    </w:p>
    <w:p w14:paraId="265257A5" w14:textId="46D06115" w:rsidR="00581D26" w:rsidRPr="007235C4" w:rsidRDefault="00581D26" w:rsidP="00581D26">
      <w:pPr>
        <w:pStyle w:val="ListParagraph"/>
        <w:numPr>
          <w:ilvl w:val="0"/>
          <w:numId w:val="38"/>
        </w:numPr>
        <w:spacing w:line="240" w:lineRule="auto"/>
        <w:rPr>
          <w:rFonts w:cs="Arial"/>
          <w:color w:val="002F5D"/>
        </w:rPr>
      </w:pPr>
      <w:r w:rsidRPr="007235C4">
        <w:rPr>
          <w:rFonts w:cs="Arial"/>
          <w:color w:val="002F5D"/>
        </w:rPr>
        <w:t xml:space="preserve">Cambridgeshire and Peterborough as a whole has relatively less deprivation than England. However, almost 20% of its population live in the top three most nationally deprived </w:t>
      </w:r>
      <w:r w:rsidR="00CE2970">
        <w:rPr>
          <w:rFonts w:cs="Arial"/>
          <w:color w:val="002F5D"/>
        </w:rPr>
        <w:t>deciles</w:t>
      </w:r>
      <w:r w:rsidRPr="007235C4">
        <w:rPr>
          <w:rFonts w:cs="Arial"/>
          <w:color w:val="002F5D"/>
        </w:rPr>
        <w:t>.</w:t>
      </w:r>
    </w:p>
    <w:p w14:paraId="3FF925CA" w14:textId="4D13FAC4" w:rsidR="0085661F" w:rsidRPr="007235C4" w:rsidRDefault="0085661F" w:rsidP="00A938F7">
      <w:pPr>
        <w:pStyle w:val="ListParagraph"/>
        <w:numPr>
          <w:ilvl w:val="0"/>
          <w:numId w:val="38"/>
        </w:numPr>
        <w:spacing w:line="240" w:lineRule="auto"/>
        <w:ind w:left="714" w:hanging="357"/>
        <w:rPr>
          <w:rFonts w:cs="Arial"/>
          <w:color w:val="002F5D"/>
        </w:rPr>
      </w:pPr>
      <w:r w:rsidRPr="007235C4">
        <w:rPr>
          <w:rFonts w:cs="Arial"/>
          <w:color w:val="002F5D"/>
        </w:rPr>
        <w:t xml:space="preserve">Peterborough has a large proportion of its population living in the more deprived </w:t>
      </w:r>
      <w:r w:rsidR="00FB5706">
        <w:rPr>
          <w:rFonts w:cs="Arial"/>
          <w:color w:val="002F5D"/>
        </w:rPr>
        <w:t>deciles,</w:t>
      </w:r>
      <w:r w:rsidR="005E2D41" w:rsidRPr="007235C4">
        <w:rPr>
          <w:rFonts w:cs="Arial"/>
          <w:color w:val="002F5D"/>
        </w:rPr>
        <w:t xml:space="preserve"> with over 40% of LSOAs being in the top three most deprived</w:t>
      </w:r>
      <w:r w:rsidRPr="007235C4">
        <w:rPr>
          <w:rFonts w:cs="Arial"/>
          <w:color w:val="002F5D"/>
        </w:rPr>
        <w:t xml:space="preserve"> </w:t>
      </w:r>
      <w:r w:rsidR="00FB5706">
        <w:rPr>
          <w:rFonts w:cs="Arial"/>
          <w:color w:val="002F5D"/>
        </w:rPr>
        <w:t>deciles</w:t>
      </w:r>
      <w:r w:rsidR="005E2D41" w:rsidRPr="007235C4">
        <w:rPr>
          <w:rFonts w:cs="Arial"/>
          <w:color w:val="002F5D"/>
        </w:rPr>
        <w:t xml:space="preserve"> when these areas</w:t>
      </w:r>
      <w:r w:rsidRPr="007235C4">
        <w:rPr>
          <w:rFonts w:cs="Arial"/>
          <w:color w:val="002F5D"/>
        </w:rPr>
        <w:t xml:space="preserve"> are grouped nationally into tenths.</w:t>
      </w:r>
      <w:r w:rsidR="00D857E2" w:rsidRPr="007235C4">
        <w:rPr>
          <w:rFonts w:cs="Arial"/>
          <w:color w:val="002F5D"/>
        </w:rPr>
        <w:t xml:space="preserve"> Cambridgeshire is much less relatively deprived with less than 20% of its population living in the most deprived three national deciles.</w:t>
      </w:r>
    </w:p>
    <w:p w14:paraId="542B8FD9" w14:textId="0251D57E" w:rsidR="00A15749" w:rsidRPr="007235C4" w:rsidRDefault="00772C92" w:rsidP="00A938F7">
      <w:pPr>
        <w:pStyle w:val="ListParagraph"/>
        <w:numPr>
          <w:ilvl w:val="0"/>
          <w:numId w:val="38"/>
        </w:numPr>
        <w:spacing w:line="240" w:lineRule="auto"/>
        <w:ind w:left="714" w:hanging="357"/>
        <w:rPr>
          <w:rFonts w:cs="Arial"/>
          <w:b/>
          <w:color w:val="002F5D"/>
        </w:rPr>
      </w:pPr>
      <w:r w:rsidRPr="007235C4">
        <w:rPr>
          <w:rFonts w:cs="Arial"/>
          <w:color w:val="002F5D"/>
        </w:rPr>
        <w:t xml:space="preserve">Compared to other districts in Cambridgeshire, Fenland has by far the largest part of its population living in the more deprived </w:t>
      </w:r>
      <w:r w:rsidR="00FB5706">
        <w:rPr>
          <w:rFonts w:cs="Arial"/>
          <w:color w:val="002F5D"/>
        </w:rPr>
        <w:t>deciles</w:t>
      </w:r>
      <w:r w:rsidRPr="007235C4">
        <w:rPr>
          <w:rFonts w:cs="Arial"/>
          <w:color w:val="002F5D"/>
        </w:rPr>
        <w:t xml:space="preserve"> when these are grouped nationally into tenths</w:t>
      </w:r>
      <w:r w:rsidR="0085661F" w:rsidRPr="007235C4">
        <w:rPr>
          <w:rFonts w:cs="Arial"/>
          <w:color w:val="002F5D"/>
        </w:rPr>
        <w:t xml:space="preserve"> with no one living in an area that is judged as </w:t>
      </w:r>
      <w:r w:rsidR="00FB5706">
        <w:rPr>
          <w:rFonts w:cs="Arial"/>
          <w:color w:val="002F5D"/>
        </w:rPr>
        <w:t xml:space="preserve">within </w:t>
      </w:r>
      <w:r w:rsidR="0085661F" w:rsidRPr="007235C4">
        <w:rPr>
          <w:rFonts w:cs="Arial"/>
          <w:color w:val="002F5D"/>
        </w:rPr>
        <w:t>the least deprived nationally</w:t>
      </w:r>
      <w:r w:rsidRPr="007235C4">
        <w:rPr>
          <w:rFonts w:cs="Arial"/>
          <w:color w:val="002F5D"/>
        </w:rPr>
        <w:t>.</w:t>
      </w:r>
    </w:p>
    <w:p w14:paraId="263A4D07" w14:textId="0575A504" w:rsidR="00772C92" w:rsidRPr="007235C4" w:rsidRDefault="0084438B" w:rsidP="00A938F7">
      <w:pPr>
        <w:pStyle w:val="ListParagraph"/>
        <w:numPr>
          <w:ilvl w:val="0"/>
          <w:numId w:val="38"/>
        </w:numPr>
        <w:spacing w:line="240" w:lineRule="auto"/>
        <w:ind w:left="714" w:hanging="357"/>
        <w:rPr>
          <w:rFonts w:cs="Arial"/>
          <w:b/>
          <w:color w:val="002F5D"/>
        </w:rPr>
      </w:pPr>
      <w:r w:rsidRPr="007235C4">
        <w:rPr>
          <w:rFonts w:cs="Arial"/>
          <w:color w:val="002F5D"/>
        </w:rPr>
        <w:t>Cambridge</w:t>
      </w:r>
      <w:r w:rsidR="00772C92" w:rsidRPr="007235C4">
        <w:rPr>
          <w:rFonts w:cs="Arial"/>
          <w:color w:val="002F5D"/>
        </w:rPr>
        <w:t xml:space="preserve"> and Huntingdonshire</w:t>
      </w:r>
      <w:r w:rsidR="004B016A" w:rsidRPr="007235C4">
        <w:rPr>
          <w:rFonts w:cs="Arial"/>
          <w:color w:val="002F5D"/>
        </w:rPr>
        <w:t xml:space="preserve"> have around 3%</w:t>
      </w:r>
      <w:r w:rsidR="00940626" w:rsidRPr="007235C4">
        <w:rPr>
          <w:rFonts w:cs="Arial"/>
          <w:color w:val="002F5D"/>
        </w:rPr>
        <w:t xml:space="preserve"> </w:t>
      </w:r>
      <w:r w:rsidR="004B016A" w:rsidRPr="007235C4">
        <w:rPr>
          <w:rFonts w:cs="Arial"/>
          <w:color w:val="002F5D"/>
        </w:rPr>
        <w:t xml:space="preserve">of </w:t>
      </w:r>
      <w:r w:rsidR="00940626" w:rsidRPr="007235C4">
        <w:rPr>
          <w:rFonts w:cs="Arial"/>
          <w:color w:val="002F5D"/>
        </w:rPr>
        <w:t xml:space="preserve">LSOAs in the two </w:t>
      </w:r>
      <w:r w:rsidR="004B016A" w:rsidRPr="007235C4">
        <w:rPr>
          <w:rFonts w:cs="Arial"/>
          <w:color w:val="002F5D"/>
        </w:rPr>
        <w:t xml:space="preserve">most </w:t>
      </w:r>
      <w:r w:rsidR="00772C92" w:rsidRPr="007235C4">
        <w:rPr>
          <w:rFonts w:cs="Arial"/>
          <w:color w:val="002F5D"/>
        </w:rPr>
        <w:t>deprived</w:t>
      </w:r>
      <w:r w:rsidR="00940626" w:rsidRPr="007235C4">
        <w:rPr>
          <w:rFonts w:cs="Arial"/>
          <w:color w:val="002F5D"/>
        </w:rPr>
        <w:t xml:space="preserve"> deciles</w:t>
      </w:r>
      <w:r w:rsidR="00772C92" w:rsidRPr="007235C4">
        <w:rPr>
          <w:rFonts w:cs="Arial"/>
          <w:color w:val="002F5D"/>
        </w:rPr>
        <w:t xml:space="preserve"> and </w:t>
      </w:r>
      <w:r w:rsidR="00940626" w:rsidRPr="007235C4">
        <w:rPr>
          <w:rFonts w:cs="Arial"/>
          <w:color w:val="002F5D"/>
        </w:rPr>
        <w:t xml:space="preserve">there are no LSOAs in </w:t>
      </w:r>
      <w:r w:rsidR="00772C92" w:rsidRPr="007235C4">
        <w:rPr>
          <w:rFonts w:cs="Arial"/>
          <w:color w:val="002F5D"/>
        </w:rPr>
        <w:t xml:space="preserve">East Cambridgeshire and South Cambridgeshire </w:t>
      </w:r>
      <w:r w:rsidR="00940626" w:rsidRPr="007235C4">
        <w:rPr>
          <w:rFonts w:cs="Arial"/>
          <w:color w:val="002F5D"/>
        </w:rPr>
        <w:t>that are</w:t>
      </w:r>
      <w:r w:rsidR="00772C92" w:rsidRPr="007235C4">
        <w:rPr>
          <w:rFonts w:cs="Arial"/>
          <w:color w:val="002F5D"/>
        </w:rPr>
        <w:t xml:space="preserve"> judged as </w:t>
      </w:r>
      <w:r w:rsidR="003A0015">
        <w:rPr>
          <w:rFonts w:cs="Arial"/>
          <w:color w:val="002F5D"/>
        </w:rPr>
        <w:t xml:space="preserve">within </w:t>
      </w:r>
      <w:r w:rsidR="00772C92" w:rsidRPr="007235C4">
        <w:rPr>
          <w:rFonts w:cs="Arial"/>
          <w:color w:val="002F5D"/>
        </w:rPr>
        <w:t>the most deprived</w:t>
      </w:r>
      <w:r w:rsidR="003A0015">
        <w:rPr>
          <w:rFonts w:cs="Arial"/>
          <w:color w:val="002F5D"/>
        </w:rPr>
        <w:t xml:space="preserve"> 10%</w:t>
      </w:r>
      <w:r w:rsidR="00772C92" w:rsidRPr="007235C4">
        <w:rPr>
          <w:rFonts w:cs="Arial"/>
          <w:color w:val="002F5D"/>
        </w:rPr>
        <w:t xml:space="preserve"> nationally.</w:t>
      </w:r>
    </w:p>
    <w:p w14:paraId="25A9CD2D" w14:textId="77777777" w:rsidR="00772C92" w:rsidRPr="007235C4" w:rsidRDefault="00772C92" w:rsidP="00A938F7">
      <w:pPr>
        <w:pStyle w:val="ListParagraph"/>
        <w:numPr>
          <w:ilvl w:val="0"/>
          <w:numId w:val="38"/>
        </w:numPr>
        <w:spacing w:line="240" w:lineRule="auto"/>
        <w:ind w:left="714" w:hanging="357"/>
        <w:rPr>
          <w:rFonts w:cs="Arial"/>
          <w:b/>
          <w:color w:val="002F5D"/>
        </w:rPr>
      </w:pPr>
      <w:r w:rsidRPr="007235C4">
        <w:rPr>
          <w:rFonts w:cs="Arial"/>
          <w:color w:val="002F5D"/>
        </w:rPr>
        <w:t>South Cambridgeshire is by some distance the least overall relatively deprived place in Cambridgeshire.</w:t>
      </w:r>
    </w:p>
    <w:p w14:paraId="7E3103B2" w14:textId="77777777" w:rsidR="009B7702" w:rsidRPr="0037351D" w:rsidRDefault="009B7702">
      <w:pPr>
        <w:rPr>
          <w:rFonts w:cs="Arial"/>
          <w:b/>
          <w:color w:val="FF0000"/>
        </w:rPr>
      </w:pPr>
      <w:r w:rsidRPr="0037351D">
        <w:rPr>
          <w:rFonts w:cs="Arial"/>
          <w:b/>
          <w:color w:val="FF0000"/>
        </w:rPr>
        <w:br w:type="page"/>
      </w:r>
    </w:p>
    <w:p w14:paraId="3967C764" w14:textId="36C34E6A" w:rsidR="00772C92" w:rsidRPr="007235C4" w:rsidRDefault="00EB6960" w:rsidP="00EB6960">
      <w:pPr>
        <w:pStyle w:val="Caption"/>
        <w:rPr>
          <w:rFonts w:cs="Arial"/>
          <w:color w:val="002F5D"/>
        </w:rPr>
      </w:pPr>
      <w:r w:rsidRPr="007235C4">
        <w:rPr>
          <w:b/>
          <w:color w:val="002F5D"/>
        </w:rPr>
        <w:lastRenderedPageBreak/>
        <w:t xml:space="preserve">Figure </w:t>
      </w:r>
      <w:r w:rsidR="006B19C2">
        <w:rPr>
          <w:b/>
          <w:color w:val="002F5D"/>
        </w:rPr>
        <w:t>2</w:t>
      </w:r>
      <w:r w:rsidR="004061DD">
        <w:rPr>
          <w:b/>
          <w:color w:val="002F5D"/>
        </w:rPr>
        <w:t>4</w:t>
      </w:r>
      <w:r w:rsidR="00772C92" w:rsidRPr="007235C4">
        <w:rPr>
          <w:rFonts w:cs="Arial"/>
          <w:b/>
          <w:color w:val="002F5D"/>
        </w:rPr>
        <w:t xml:space="preserve">. </w:t>
      </w:r>
      <w:r w:rsidR="00772C92" w:rsidRPr="007235C4">
        <w:rPr>
          <w:rFonts w:cs="Arial"/>
          <w:color w:val="002F5D"/>
        </w:rPr>
        <w:t>Indices of deprivation, 2015 - Cambridgeshire LSOAs within national quintiles of IMD2015 score and the percentage of the population living within each deprivation group</w:t>
      </w:r>
    </w:p>
    <w:p w14:paraId="074651F3" w14:textId="77777777" w:rsidR="007235C4" w:rsidRDefault="007235C4" w:rsidP="007235C4"/>
    <w:p w14:paraId="2FC28104" w14:textId="092CB99F" w:rsidR="007235C4" w:rsidRPr="007235C4" w:rsidRDefault="007235C4" w:rsidP="007235C4">
      <w:r>
        <w:rPr>
          <w:noProof/>
          <w:lang w:eastAsia="en-GB"/>
        </w:rPr>
        <w:drawing>
          <wp:inline distT="0" distB="0" distL="0" distR="0" wp14:anchorId="4141359F" wp14:editId="0967130D">
            <wp:extent cx="5391150" cy="3258334"/>
            <wp:effectExtent l="19050" t="19050" r="19050" b="1841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15887" cy="3273285"/>
                    </a:xfrm>
                    <a:prstGeom prst="rect">
                      <a:avLst/>
                    </a:prstGeom>
                    <a:noFill/>
                    <a:ln w="19050">
                      <a:solidFill>
                        <a:schemeClr val="tx2"/>
                      </a:solidFill>
                    </a:ln>
                  </pic:spPr>
                </pic:pic>
              </a:graphicData>
            </a:graphic>
          </wp:inline>
        </w:drawing>
      </w:r>
    </w:p>
    <w:p w14:paraId="55C30C3F" w14:textId="77777777" w:rsidR="00E23966" w:rsidRPr="0037351D" w:rsidRDefault="00E23966" w:rsidP="00940626">
      <w:pPr>
        <w:spacing w:line="240" w:lineRule="auto"/>
        <w:rPr>
          <w:rFonts w:eastAsia="Times New Roman" w:cs="Times New Roman"/>
          <w:b/>
          <w:bCs/>
          <w:color w:val="FF0000"/>
          <w:lang w:eastAsia="en-GB"/>
        </w:rPr>
      </w:pPr>
    </w:p>
    <w:p w14:paraId="36B9B3B0" w14:textId="57A28763" w:rsidR="00940626" w:rsidRPr="0037351D" w:rsidRDefault="00940626" w:rsidP="00940626">
      <w:pPr>
        <w:spacing w:line="240" w:lineRule="auto"/>
        <w:rPr>
          <w:rFonts w:eastAsia="Times New Roman" w:cs="Times New Roman"/>
          <w:color w:val="FF0000"/>
          <w:lang w:eastAsia="en-GB"/>
        </w:rPr>
      </w:pPr>
      <w:r w:rsidRPr="007235C4">
        <w:rPr>
          <w:rFonts w:eastAsia="Times New Roman" w:cs="Times New Roman"/>
          <w:b/>
          <w:bCs/>
          <w:color w:val="002F5D"/>
          <w:lang w:eastAsia="en-GB"/>
        </w:rPr>
        <w:t>Source:</w:t>
      </w:r>
      <w:r w:rsidRPr="007235C4">
        <w:rPr>
          <w:rFonts w:eastAsia="Times New Roman" w:cs="Times New Roman"/>
          <w:color w:val="002F5D"/>
          <w:lang w:eastAsia="en-GB"/>
        </w:rPr>
        <w:t xml:space="preserve"> DCLG from PHE Cambridgeshire Health Profile </w:t>
      </w:r>
      <w:r w:rsidR="007235C4" w:rsidRPr="007235C4">
        <w:rPr>
          <w:rFonts w:eastAsia="Times New Roman" w:cs="Times New Roman"/>
          <w:color w:val="002F5D"/>
          <w:lang w:eastAsia="en-GB"/>
        </w:rPr>
        <w:t>2018 (Crown Copyright 2018</w:t>
      </w:r>
      <w:r w:rsidRPr="007235C4">
        <w:rPr>
          <w:rFonts w:eastAsia="Times New Roman" w:cs="Times New Roman"/>
          <w:color w:val="002F5D"/>
          <w:lang w:eastAsia="en-GB"/>
        </w:rPr>
        <w:t xml:space="preserve">) - </w:t>
      </w:r>
      <w:hyperlink r:id="rId100" w:history="1">
        <w:r w:rsidR="0062122F" w:rsidRPr="00E57DF4">
          <w:rPr>
            <w:rStyle w:val="Hyperlink"/>
            <w:rFonts w:eastAsia="Times New Roman" w:cs="Times New Roman"/>
            <w:lang w:eastAsia="en-GB"/>
          </w:rPr>
          <w:t>http://fingertipsreports.phe.org.uk/health-profiles/2018/e10000003.pdf</w:t>
        </w:r>
      </w:hyperlink>
      <w:r w:rsidRPr="0037351D">
        <w:rPr>
          <w:rFonts w:eastAsia="Times New Roman" w:cs="Times New Roman"/>
          <w:color w:val="FF0000"/>
          <w:lang w:eastAsia="en-GB"/>
        </w:rPr>
        <w:t xml:space="preserve"> </w:t>
      </w:r>
    </w:p>
    <w:p w14:paraId="0D2F48DF" w14:textId="77777777" w:rsidR="0085661F" w:rsidRPr="0037351D" w:rsidRDefault="0085661F" w:rsidP="0085661F">
      <w:pPr>
        <w:spacing w:line="240" w:lineRule="auto"/>
        <w:rPr>
          <w:rFonts w:cs="Arial"/>
          <w:b/>
          <w:color w:val="FF0000"/>
        </w:rPr>
      </w:pPr>
    </w:p>
    <w:p w14:paraId="6A0B55FF" w14:textId="1B09AB71" w:rsidR="0085661F" w:rsidRPr="007235C4" w:rsidRDefault="00E23966" w:rsidP="0085661F">
      <w:pPr>
        <w:pStyle w:val="Caption"/>
        <w:rPr>
          <w:rFonts w:cs="Arial"/>
          <w:color w:val="002F5D"/>
        </w:rPr>
      </w:pPr>
      <w:r w:rsidRPr="007235C4">
        <w:rPr>
          <w:b/>
          <w:color w:val="002F5D"/>
        </w:rPr>
        <w:t xml:space="preserve">Figure </w:t>
      </w:r>
      <w:r w:rsidR="006B19C2">
        <w:rPr>
          <w:b/>
          <w:color w:val="002F5D"/>
        </w:rPr>
        <w:t>2</w:t>
      </w:r>
      <w:r w:rsidR="004061DD">
        <w:rPr>
          <w:b/>
          <w:color w:val="002F5D"/>
        </w:rPr>
        <w:t>5</w:t>
      </w:r>
      <w:r w:rsidR="0085661F" w:rsidRPr="007235C4">
        <w:rPr>
          <w:rFonts w:cs="Arial"/>
          <w:b/>
          <w:color w:val="002F5D"/>
        </w:rPr>
        <w:t xml:space="preserve">. </w:t>
      </w:r>
      <w:r w:rsidR="0085661F" w:rsidRPr="007235C4">
        <w:rPr>
          <w:rFonts w:cs="Arial"/>
          <w:color w:val="002F5D"/>
        </w:rPr>
        <w:t xml:space="preserve">Indices of deprivation, 2015 </w:t>
      </w:r>
      <w:r w:rsidR="00863BEF" w:rsidRPr="007235C4">
        <w:rPr>
          <w:rFonts w:cs="Arial"/>
          <w:color w:val="002F5D"/>
        </w:rPr>
        <w:t>–</w:t>
      </w:r>
      <w:r w:rsidR="003A0015">
        <w:rPr>
          <w:rFonts w:cs="Arial"/>
          <w:color w:val="002F5D"/>
        </w:rPr>
        <w:t xml:space="preserve"> </w:t>
      </w:r>
      <w:r w:rsidR="0085661F" w:rsidRPr="007235C4">
        <w:rPr>
          <w:rFonts w:cs="Arial"/>
          <w:color w:val="002F5D"/>
        </w:rPr>
        <w:t>Peterborough LSOAs within national quintiles of IMD2015 score and the percentage of the population living within each deprivation group</w:t>
      </w:r>
    </w:p>
    <w:p w14:paraId="4FEF0050" w14:textId="77777777" w:rsidR="00CC248B" w:rsidRPr="0037351D" w:rsidRDefault="00CC248B" w:rsidP="0038179C">
      <w:pPr>
        <w:spacing w:line="240" w:lineRule="auto"/>
        <w:rPr>
          <w:rFonts w:eastAsia="Times New Roman" w:cs="Times New Roman"/>
          <w:color w:val="FF0000"/>
          <w:lang w:eastAsia="en-GB"/>
        </w:rPr>
      </w:pPr>
    </w:p>
    <w:p w14:paraId="1EEBCD63" w14:textId="3492B438" w:rsidR="00CC248B" w:rsidRPr="0037351D" w:rsidRDefault="007235C4" w:rsidP="0038179C">
      <w:pPr>
        <w:spacing w:line="240" w:lineRule="auto"/>
        <w:rPr>
          <w:color w:val="FF0000"/>
        </w:rPr>
      </w:pPr>
      <w:r>
        <w:rPr>
          <w:noProof/>
          <w:color w:val="FF0000"/>
          <w:lang w:eastAsia="en-GB"/>
        </w:rPr>
        <w:drawing>
          <wp:inline distT="0" distB="0" distL="0" distR="0" wp14:anchorId="3622CDC9" wp14:editId="50037DBC">
            <wp:extent cx="5400675" cy="3145416"/>
            <wp:effectExtent l="19050" t="19050" r="9525" b="1714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12836" cy="3152499"/>
                    </a:xfrm>
                    <a:prstGeom prst="rect">
                      <a:avLst/>
                    </a:prstGeom>
                    <a:noFill/>
                    <a:ln w="22225">
                      <a:solidFill>
                        <a:schemeClr val="tx2"/>
                      </a:solidFill>
                    </a:ln>
                  </pic:spPr>
                </pic:pic>
              </a:graphicData>
            </a:graphic>
          </wp:inline>
        </w:drawing>
      </w:r>
    </w:p>
    <w:p w14:paraId="70EADA6C" w14:textId="77777777" w:rsidR="00CC248B" w:rsidRPr="0037351D" w:rsidRDefault="00CC248B" w:rsidP="0038179C">
      <w:pPr>
        <w:spacing w:line="240" w:lineRule="auto"/>
        <w:rPr>
          <w:color w:val="FF0000"/>
        </w:rPr>
      </w:pPr>
    </w:p>
    <w:p w14:paraId="3899B4B0" w14:textId="77777777" w:rsidR="00E23966" w:rsidRPr="0037351D" w:rsidRDefault="00E23966" w:rsidP="0038179C">
      <w:pPr>
        <w:spacing w:line="240" w:lineRule="auto"/>
        <w:rPr>
          <w:color w:val="FF0000"/>
        </w:rPr>
      </w:pPr>
    </w:p>
    <w:p w14:paraId="7BB5A8B6" w14:textId="619ED973" w:rsidR="00CC248B" w:rsidRPr="0062122F" w:rsidRDefault="00863BEF" w:rsidP="0038179C">
      <w:pPr>
        <w:spacing w:line="240" w:lineRule="auto"/>
        <w:rPr>
          <w:color w:val="002F5D"/>
        </w:rPr>
      </w:pPr>
      <w:r w:rsidRPr="0062122F">
        <w:rPr>
          <w:rFonts w:eastAsia="Times New Roman" w:cs="Times New Roman"/>
          <w:b/>
          <w:bCs/>
          <w:color w:val="002F5D"/>
          <w:lang w:eastAsia="en-GB"/>
        </w:rPr>
        <w:t>Source:</w:t>
      </w:r>
      <w:r w:rsidR="00940626" w:rsidRPr="0062122F">
        <w:rPr>
          <w:rFonts w:eastAsia="Times New Roman" w:cs="Times New Roman"/>
          <w:color w:val="002F5D"/>
          <w:lang w:eastAsia="en-GB"/>
        </w:rPr>
        <w:t xml:space="preserve"> DCLG from PHE Peterborough</w:t>
      </w:r>
      <w:r w:rsidR="0062122F" w:rsidRPr="0062122F">
        <w:rPr>
          <w:rFonts w:eastAsia="Times New Roman" w:cs="Times New Roman"/>
          <w:color w:val="002F5D"/>
          <w:lang w:eastAsia="en-GB"/>
        </w:rPr>
        <w:t xml:space="preserve"> Health Profile 2018 (Crown Copyright 2018</w:t>
      </w:r>
      <w:r w:rsidRPr="0062122F">
        <w:rPr>
          <w:rFonts w:eastAsia="Times New Roman" w:cs="Times New Roman"/>
          <w:color w:val="002F5D"/>
          <w:lang w:eastAsia="en-GB"/>
        </w:rPr>
        <w:t xml:space="preserve">) - </w:t>
      </w:r>
      <w:hyperlink r:id="rId102" w:history="1">
        <w:r w:rsidR="00940626" w:rsidRPr="003A0015">
          <w:rPr>
            <w:rStyle w:val="Hyperlink"/>
          </w:rPr>
          <w:t>http://fingertipsreports</w:t>
        </w:r>
        <w:r w:rsidR="0062122F" w:rsidRPr="003A0015">
          <w:rPr>
            <w:rStyle w:val="Hyperlink"/>
          </w:rPr>
          <w:t>.phe.org.uk/health-profiles/2018</w:t>
        </w:r>
        <w:r w:rsidR="00940626" w:rsidRPr="003A0015">
          <w:rPr>
            <w:rStyle w:val="Hyperlink"/>
          </w:rPr>
          <w:t>/e06000031.pdf</w:t>
        </w:r>
      </w:hyperlink>
    </w:p>
    <w:p w14:paraId="03165A16" w14:textId="77777777" w:rsidR="002104F8" w:rsidRPr="0037351D" w:rsidRDefault="002104F8">
      <w:pPr>
        <w:rPr>
          <w:rFonts w:cs="Arial"/>
          <w:b/>
          <w:color w:val="FF0000"/>
        </w:rPr>
      </w:pPr>
    </w:p>
    <w:p w14:paraId="0B8ABD29" w14:textId="77777777" w:rsidR="00863BEF" w:rsidRPr="00DE71DB" w:rsidRDefault="00863BEF" w:rsidP="00863BEF">
      <w:pPr>
        <w:spacing w:line="240" w:lineRule="auto"/>
        <w:rPr>
          <w:rFonts w:cs="Arial"/>
          <w:b/>
          <w:color w:val="002F5D"/>
        </w:rPr>
      </w:pPr>
      <w:r w:rsidRPr="00DE71DB">
        <w:rPr>
          <w:rFonts w:cs="Arial"/>
          <w:b/>
          <w:color w:val="002F5D"/>
        </w:rPr>
        <w:t>Key points:</w:t>
      </w:r>
    </w:p>
    <w:p w14:paraId="64878617" w14:textId="77777777" w:rsidR="00863BEF" w:rsidRPr="00DE71DB" w:rsidRDefault="00863BEF" w:rsidP="00A938F7">
      <w:pPr>
        <w:pStyle w:val="ListParagraph"/>
        <w:numPr>
          <w:ilvl w:val="0"/>
          <w:numId w:val="39"/>
        </w:numPr>
        <w:spacing w:line="240" w:lineRule="auto"/>
        <w:rPr>
          <w:color w:val="002F5D"/>
        </w:rPr>
      </w:pPr>
      <w:r w:rsidRPr="00DE71DB">
        <w:rPr>
          <w:rFonts w:cs="Arial"/>
          <w:color w:val="002F5D"/>
        </w:rPr>
        <w:t>At a small area level, the map above shows greater levels of relative deprivation in the north of Cambridgeshire, clustered in Fenland.  There are a few areas with higher deprivation levels in East Cambridgeshire, Huntingdon and north-east Cambridge.</w:t>
      </w:r>
    </w:p>
    <w:p w14:paraId="3E301A08" w14:textId="26E384F6" w:rsidR="00863BEF" w:rsidRPr="001E47E1" w:rsidRDefault="001E47E1" w:rsidP="00A938F7">
      <w:pPr>
        <w:pStyle w:val="ListParagraph"/>
        <w:numPr>
          <w:ilvl w:val="0"/>
          <w:numId w:val="39"/>
        </w:numPr>
        <w:spacing w:line="240" w:lineRule="auto"/>
        <w:rPr>
          <w:color w:val="002F5D"/>
        </w:rPr>
      </w:pPr>
      <w:r w:rsidRPr="001E47E1">
        <w:rPr>
          <w:rFonts w:cs="Arial"/>
          <w:color w:val="002F5D"/>
        </w:rPr>
        <w:t xml:space="preserve">The </w:t>
      </w:r>
      <w:r>
        <w:rPr>
          <w:rFonts w:cs="Arial"/>
          <w:color w:val="002F5D"/>
        </w:rPr>
        <w:t>chart</w:t>
      </w:r>
      <w:r w:rsidR="00863BEF" w:rsidRPr="001E47E1">
        <w:rPr>
          <w:rFonts w:cs="Arial"/>
          <w:color w:val="002F5D"/>
        </w:rPr>
        <w:t xml:space="preserve"> shows that, when compared with England, Cambridgeshire is an area that overall is not relatively deprived with most areas in the more affluent groups.</w:t>
      </w:r>
    </w:p>
    <w:p w14:paraId="56636EDC" w14:textId="77777777" w:rsidR="00863BEF" w:rsidRPr="001E47E1" w:rsidRDefault="00863BEF" w:rsidP="00A938F7">
      <w:pPr>
        <w:pStyle w:val="ListParagraph"/>
        <w:numPr>
          <w:ilvl w:val="0"/>
          <w:numId w:val="39"/>
        </w:numPr>
        <w:spacing w:line="240" w:lineRule="auto"/>
        <w:rPr>
          <w:color w:val="002F5D"/>
        </w:rPr>
      </w:pPr>
      <w:r w:rsidRPr="001E47E1">
        <w:rPr>
          <w:color w:val="002F5D"/>
        </w:rPr>
        <w:t>The map above illustrates that deprivation varies substantially across Peterborough. Areas towards the urban centre of Peterborough, primarily within electoral wards such as Central, North, Dogsthorpe and Ravensthorpe, are among the most deprived within the city, whereas rural, outer areas have less deprivation.</w:t>
      </w:r>
    </w:p>
    <w:p w14:paraId="3FA0D27A" w14:textId="38BC3F92" w:rsidR="00863BEF" w:rsidRPr="001E47E1" w:rsidRDefault="00863BEF" w:rsidP="00A938F7">
      <w:pPr>
        <w:pStyle w:val="ListParagraph"/>
        <w:numPr>
          <w:ilvl w:val="0"/>
          <w:numId w:val="39"/>
        </w:numPr>
        <w:spacing w:line="240" w:lineRule="auto"/>
        <w:rPr>
          <w:color w:val="002F5D"/>
        </w:rPr>
      </w:pPr>
      <w:r w:rsidRPr="001E47E1">
        <w:rPr>
          <w:rFonts w:cs="Arial"/>
          <w:color w:val="002F5D"/>
        </w:rPr>
        <w:t>The chart shows that, when compared with England, Peterborough is an area that overall is relatively deprived with most areas in the more deprived groups.</w:t>
      </w:r>
    </w:p>
    <w:p w14:paraId="17B76305" w14:textId="77777777" w:rsidR="00863BEF" w:rsidRPr="0037351D" w:rsidRDefault="00863BEF" w:rsidP="00863BEF">
      <w:pPr>
        <w:ind w:left="360"/>
        <w:rPr>
          <w:color w:val="FF0000"/>
        </w:rPr>
      </w:pPr>
    </w:p>
    <w:p w14:paraId="715E8257" w14:textId="77777777" w:rsidR="009775E7" w:rsidRPr="0037351D" w:rsidRDefault="009775E7">
      <w:pPr>
        <w:rPr>
          <w:b/>
          <w:color w:val="FF0000"/>
        </w:rPr>
      </w:pPr>
    </w:p>
    <w:p w14:paraId="51BB4767" w14:textId="77777777" w:rsidR="009B7702" w:rsidRPr="0037351D" w:rsidRDefault="009B7702">
      <w:pPr>
        <w:rPr>
          <w:b/>
          <w:color w:val="FF0000"/>
        </w:rPr>
      </w:pPr>
      <w:r w:rsidRPr="0037351D">
        <w:rPr>
          <w:b/>
          <w:color w:val="FF0000"/>
        </w:rPr>
        <w:br w:type="page"/>
      </w:r>
    </w:p>
    <w:p w14:paraId="18AF27BE" w14:textId="745558E3" w:rsidR="00E93E17" w:rsidRPr="001E47E1" w:rsidRDefault="00EB6960" w:rsidP="00EB6960">
      <w:pPr>
        <w:pStyle w:val="Caption"/>
        <w:rPr>
          <w:color w:val="002F5D"/>
        </w:rPr>
      </w:pPr>
      <w:r w:rsidRPr="001E47E1">
        <w:rPr>
          <w:b/>
          <w:color w:val="002F5D"/>
        </w:rPr>
        <w:lastRenderedPageBreak/>
        <w:t xml:space="preserve">Figure </w:t>
      </w:r>
      <w:r w:rsidR="006B19C2">
        <w:rPr>
          <w:b/>
          <w:color w:val="002F5D"/>
        </w:rPr>
        <w:t>2</w:t>
      </w:r>
      <w:r w:rsidR="004061DD">
        <w:rPr>
          <w:b/>
          <w:color w:val="002F5D"/>
        </w:rPr>
        <w:t>6</w:t>
      </w:r>
      <w:r w:rsidR="00E93E17" w:rsidRPr="001E47E1">
        <w:rPr>
          <w:b/>
          <w:color w:val="002F5D"/>
        </w:rPr>
        <w:t>.</w:t>
      </w:r>
      <w:r w:rsidR="00E93E17" w:rsidRPr="001E47E1">
        <w:rPr>
          <w:color w:val="002F5D"/>
        </w:rPr>
        <w:t xml:space="preserve"> Indices of Multiple Deprivation, 2015 </w:t>
      </w:r>
      <w:r w:rsidR="005E2D41" w:rsidRPr="001E47E1">
        <w:rPr>
          <w:color w:val="002F5D"/>
        </w:rPr>
        <w:t>–</w:t>
      </w:r>
      <w:r w:rsidR="00E93E17" w:rsidRPr="001E47E1">
        <w:rPr>
          <w:color w:val="002F5D"/>
        </w:rPr>
        <w:t xml:space="preserve"> Cambridgeshire</w:t>
      </w:r>
      <w:r w:rsidR="005E2D41" w:rsidRPr="001E47E1">
        <w:rPr>
          <w:color w:val="002F5D"/>
        </w:rPr>
        <w:t xml:space="preserve"> and Peterborough main index rankings for LSOAs</w:t>
      </w:r>
    </w:p>
    <w:p w14:paraId="12945807" w14:textId="77777777" w:rsidR="005D7198" w:rsidRPr="0037351D" w:rsidRDefault="005D7198" w:rsidP="002A5B1E">
      <w:pPr>
        <w:spacing w:line="240" w:lineRule="auto"/>
        <w:rPr>
          <w:color w:val="FF0000"/>
        </w:rPr>
      </w:pPr>
    </w:p>
    <w:p w14:paraId="6001BA44" w14:textId="77777777" w:rsidR="009B7702" w:rsidRPr="0037351D" w:rsidRDefault="005E2D41" w:rsidP="0038179C">
      <w:pPr>
        <w:spacing w:line="240" w:lineRule="auto"/>
        <w:rPr>
          <w:color w:val="FF0000"/>
        </w:rPr>
      </w:pPr>
      <w:r w:rsidRPr="0037351D">
        <w:rPr>
          <w:noProof/>
          <w:color w:val="FF0000"/>
          <w:lang w:eastAsia="en-GB"/>
        </w:rPr>
        <w:drawing>
          <wp:inline distT="0" distB="0" distL="0" distR="0" wp14:anchorId="7D5845CE" wp14:editId="3E7ADA89">
            <wp:extent cx="5164666" cy="7302065"/>
            <wp:effectExtent l="19050" t="19050" r="17145" b="133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69157" cy="7308415"/>
                    </a:xfrm>
                    <a:prstGeom prst="rect">
                      <a:avLst/>
                    </a:prstGeom>
                    <a:noFill/>
                    <a:ln w="25400">
                      <a:solidFill>
                        <a:srgbClr val="002F5D"/>
                      </a:solidFill>
                    </a:ln>
                  </pic:spPr>
                </pic:pic>
              </a:graphicData>
            </a:graphic>
          </wp:inline>
        </w:drawing>
      </w:r>
    </w:p>
    <w:p w14:paraId="3D53A59C" w14:textId="77777777" w:rsidR="0052745E" w:rsidRPr="0037351D" w:rsidRDefault="0052745E" w:rsidP="0038179C">
      <w:pPr>
        <w:spacing w:line="240" w:lineRule="auto"/>
        <w:rPr>
          <w:rFonts w:cs="Arial"/>
          <w:color w:val="FF0000"/>
        </w:rPr>
      </w:pPr>
    </w:p>
    <w:p w14:paraId="4D052285" w14:textId="77777777" w:rsidR="0052745E" w:rsidRPr="001E47E1" w:rsidRDefault="0052745E" w:rsidP="0038179C">
      <w:pPr>
        <w:spacing w:line="240" w:lineRule="auto"/>
        <w:rPr>
          <w:rFonts w:cs="Arial"/>
          <w:color w:val="002F5D"/>
          <w:sz w:val="18"/>
        </w:rPr>
      </w:pPr>
      <w:r w:rsidRPr="001E47E1">
        <w:rPr>
          <w:rFonts w:cs="Arial"/>
          <w:color w:val="002F5D"/>
          <w:sz w:val="18"/>
        </w:rPr>
        <w:t>© Crown copyright and database rights 2017 Ordnance Survey 100023205</w:t>
      </w:r>
    </w:p>
    <w:p w14:paraId="590A21C8" w14:textId="77777777" w:rsidR="00A93E5F" w:rsidRPr="001E47E1" w:rsidRDefault="00A93E5F" w:rsidP="0038179C">
      <w:pPr>
        <w:spacing w:line="240" w:lineRule="auto"/>
        <w:rPr>
          <w:rFonts w:cs="Arial"/>
          <w:b/>
          <w:color w:val="002F5D"/>
          <w:sz w:val="18"/>
        </w:rPr>
      </w:pPr>
    </w:p>
    <w:p w14:paraId="74BECAD9" w14:textId="77777777" w:rsidR="0052745E" w:rsidRPr="001E47E1" w:rsidRDefault="00B35EF8" w:rsidP="0038179C">
      <w:pPr>
        <w:spacing w:line="240" w:lineRule="auto"/>
        <w:rPr>
          <w:rFonts w:cs="Arial"/>
          <w:color w:val="002F5D"/>
          <w:sz w:val="18"/>
        </w:rPr>
      </w:pPr>
      <w:r w:rsidRPr="001E47E1">
        <w:rPr>
          <w:rFonts w:cs="Arial"/>
          <w:b/>
          <w:color w:val="002F5D"/>
          <w:sz w:val="18"/>
        </w:rPr>
        <w:t>Note</w:t>
      </w:r>
      <w:r w:rsidRPr="001E47E1">
        <w:rPr>
          <w:rFonts w:cs="Arial"/>
          <w:color w:val="002F5D"/>
          <w:sz w:val="18"/>
        </w:rPr>
        <w:t>: Ward level geography for Cambridgeshire can be found with</w:t>
      </w:r>
      <w:r w:rsidR="00A93E5F" w:rsidRPr="001E47E1">
        <w:rPr>
          <w:rFonts w:cs="Arial"/>
          <w:color w:val="002F5D"/>
          <w:sz w:val="18"/>
        </w:rPr>
        <w:t>in</w:t>
      </w:r>
      <w:r w:rsidRPr="001E47E1">
        <w:rPr>
          <w:rFonts w:cs="Arial"/>
          <w:color w:val="002F5D"/>
          <w:sz w:val="18"/>
        </w:rPr>
        <w:t xml:space="preserve"> the 2016/2017 Annual Public Health Report at:</w:t>
      </w:r>
    </w:p>
    <w:p w14:paraId="7489955D" w14:textId="6ACC3312" w:rsidR="00A93E5F" w:rsidRPr="001E47E1" w:rsidRDefault="00E80CFE" w:rsidP="0038179C">
      <w:pPr>
        <w:spacing w:line="240" w:lineRule="auto"/>
        <w:rPr>
          <w:rFonts w:eastAsia="Times New Roman" w:cs="Times New Roman"/>
          <w:b/>
          <w:bCs/>
          <w:color w:val="002F5D"/>
          <w:lang w:eastAsia="en-GB"/>
        </w:rPr>
      </w:pPr>
      <w:hyperlink r:id="rId104" w:history="1">
        <w:r w:rsidR="008F6FBB" w:rsidRPr="008F6FBB">
          <w:rPr>
            <w:rStyle w:val="Hyperlink"/>
            <w:rFonts w:eastAsia="Times New Roman" w:cs="Times New Roman"/>
            <w:b/>
            <w:bCs/>
            <w:lang w:eastAsia="en-GB"/>
          </w:rPr>
          <w:t>http://cambridgeshireinsight.org.uk/health/aphr</w:t>
        </w:r>
      </w:hyperlink>
      <w:r w:rsidR="008F6FBB">
        <w:rPr>
          <w:rFonts w:eastAsia="Times New Roman" w:cs="Times New Roman"/>
          <w:b/>
          <w:bCs/>
          <w:color w:val="002F5D"/>
          <w:lang w:eastAsia="en-GB"/>
        </w:rPr>
        <w:t xml:space="preserve"> </w:t>
      </w:r>
    </w:p>
    <w:p w14:paraId="5D341482" w14:textId="77777777" w:rsidR="0052745E" w:rsidRPr="001E47E1" w:rsidRDefault="0052745E" w:rsidP="0038179C">
      <w:pPr>
        <w:spacing w:line="240" w:lineRule="auto"/>
        <w:rPr>
          <w:rFonts w:eastAsia="Times New Roman" w:cs="Times New Roman"/>
          <w:color w:val="002F5D"/>
          <w:lang w:eastAsia="en-GB"/>
        </w:rPr>
      </w:pPr>
      <w:r w:rsidRPr="001E47E1">
        <w:rPr>
          <w:rFonts w:eastAsia="Times New Roman" w:cs="Times New Roman"/>
          <w:b/>
          <w:bCs/>
          <w:color w:val="002F5D"/>
          <w:lang w:eastAsia="en-GB"/>
        </w:rPr>
        <w:t>Source</w:t>
      </w:r>
      <w:r w:rsidRPr="001E47E1">
        <w:rPr>
          <w:rFonts w:eastAsia="Times New Roman" w:cs="Times New Roman"/>
          <w:color w:val="002F5D"/>
          <w:lang w:eastAsia="en-GB"/>
        </w:rPr>
        <w:t>: Index of Multiple Deprivation 2015, Department for Communities &amp; Local Government (DCLG)</w:t>
      </w:r>
    </w:p>
    <w:p w14:paraId="3203A5A8" w14:textId="77777777" w:rsidR="0052745E" w:rsidRPr="0037351D" w:rsidRDefault="0052745E" w:rsidP="0038179C">
      <w:pPr>
        <w:spacing w:line="240" w:lineRule="auto"/>
        <w:rPr>
          <w:rFonts w:eastAsia="Times New Roman" w:cs="Times New Roman"/>
          <w:color w:val="FF0000"/>
          <w:lang w:eastAsia="en-GB"/>
        </w:rPr>
      </w:pPr>
    </w:p>
    <w:p w14:paraId="50F6DD1F" w14:textId="77777777" w:rsidR="0052745E" w:rsidRPr="001E47E1" w:rsidRDefault="0052745E" w:rsidP="0038179C">
      <w:pPr>
        <w:spacing w:line="240" w:lineRule="auto"/>
        <w:rPr>
          <w:rFonts w:cs="Arial"/>
          <w:b/>
          <w:color w:val="002F5D"/>
        </w:rPr>
      </w:pPr>
      <w:r w:rsidRPr="001E47E1">
        <w:rPr>
          <w:rFonts w:cs="Arial"/>
          <w:b/>
          <w:color w:val="002F5D"/>
        </w:rPr>
        <w:lastRenderedPageBreak/>
        <w:t>Key points:</w:t>
      </w:r>
    </w:p>
    <w:p w14:paraId="298DC5DB" w14:textId="77777777" w:rsidR="0052745E" w:rsidRPr="001E47E1" w:rsidRDefault="005E2D41" w:rsidP="00A938F7">
      <w:pPr>
        <w:pStyle w:val="ListParagraph"/>
        <w:numPr>
          <w:ilvl w:val="0"/>
          <w:numId w:val="26"/>
        </w:numPr>
        <w:spacing w:line="240" w:lineRule="auto"/>
        <w:rPr>
          <w:rFonts w:eastAsia="Times New Roman" w:cs="Times New Roman"/>
          <w:color w:val="002F5D"/>
          <w:lang w:eastAsia="en-GB"/>
        </w:rPr>
      </w:pPr>
      <w:r w:rsidRPr="001E47E1">
        <w:rPr>
          <w:rFonts w:cs="Arial"/>
          <w:color w:val="002F5D"/>
        </w:rPr>
        <w:t>Relative deprivation at LSOA</w:t>
      </w:r>
      <w:r w:rsidR="0052745E" w:rsidRPr="001E47E1">
        <w:rPr>
          <w:rFonts w:cs="Arial"/>
          <w:color w:val="002F5D"/>
        </w:rPr>
        <w:t xml:space="preserve"> level is concentrated</w:t>
      </w:r>
      <w:r w:rsidRPr="001E47E1">
        <w:rPr>
          <w:rFonts w:cs="Arial"/>
          <w:color w:val="002F5D"/>
        </w:rPr>
        <w:t xml:space="preserve"> </w:t>
      </w:r>
      <w:r w:rsidRPr="001E47E1">
        <w:rPr>
          <w:color w:val="002F5D"/>
        </w:rPr>
        <w:t>in areas towards the u</w:t>
      </w:r>
      <w:r w:rsidR="00940626" w:rsidRPr="001E47E1">
        <w:rPr>
          <w:color w:val="002F5D"/>
        </w:rPr>
        <w:t>rban centre of Peterborough and</w:t>
      </w:r>
      <w:r w:rsidRPr="001E47E1">
        <w:rPr>
          <w:rFonts w:cs="Arial"/>
          <w:color w:val="002F5D"/>
        </w:rPr>
        <w:t xml:space="preserve"> </w:t>
      </w:r>
      <w:r w:rsidR="0052745E" w:rsidRPr="001E47E1">
        <w:rPr>
          <w:rFonts w:cs="Arial"/>
          <w:color w:val="002F5D"/>
        </w:rPr>
        <w:t>in Fenland in the north of Cambridgeshire.</w:t>
      </w:r>
    </w:p>
    <w:p w14:paraId="3EEC22FF" w14:textId="77777777" w:rsidR="00140479" w:rsidRPr="001E47E1" w:rsidRDefault="0052745E" w:rsidP="00A938F7">
      <w:pPr>
        <w:pStyle w:val="ListParagraph"/>
        <w:numPr>
          <w:ilvl w:val="0"/>
          <w:numId w:val="26"/>
        </w:numPr>
        <w:spacing w:line="240" w:lineRule="auto"/>
        <w:rPr>
          <w:rFonts w:eastAsia="Times New Roman" w:cs="Times New Roman"/>
          <w:color w:val="002F5D"/>
          <w:lang w:eastAsia="en-GB"/>
        </w:rPr>
      </w:pPr>
      <w:r w:rsidRPr="001E47E1">
        <w:rPr>
          <w:rFonts w:cs="Arial"/>
          <w:color w:val="002F5D"/>
        </w:rPr>
        <w:t xml:space="preserve">There are pockets of greater relative deprivation elsewhere in Cambridgeshire, most notably in north-east </w:t>
      </w:r>
      <w:r w:rsidR="0084438B" w:rsidRPr="001E47E1">
        <w:rPr>
          <w:rFonts w:cs="Arial"/>
          <w:color w:val="002F5D"/>
        </w:rPr>
        <w:t>Cambridge</w:t>
      </w:r>
      <w:r w:rsidRPr="001E47E1">
        <w:rPr>
          <w:rFonts w:cs="Arial"/>
          <w:color w:val="002F5D"/>
        </w:rPr>
        <w:t xml:space="preserve">, north Huntingdon and </w:t>
      </w:r>
      <w:r w:rsidR="00B35EF8" w:rsidRPr="001E47E1">
        <w:rPr>
          <w:rFonts w:cs="Arial"/>
          <w:color w:val="002F5D"/>
        </w:rPr>
        <w:t>Littleport West</w:t>
      </w:r>
      <w:r w:rsidR="00140479" w:rsidRPr="001E47E1">
        <w:rPr>
          <w:rFonts w:cs="Arial"/>
          <w:color w:val="002F5D"/>
        </w:rPr>
        <w:t>.</w:t>
      </w:r>
    </w:p>
    <w:p w14:paraId="04077292" w14:textId="77777777" w:rsidR="005E2D41" w:rsidRPr="0037351D" w:rsidRDefault="005E2D41" w:rsidP="005E2D41">
      <w:pPr>
        <w:pStyle w:val="ListParagraph"/>
        <w:spacing w:line="240" w:lineRule="auto"/>
        <w:rPr>
          <w:rFonts w:eastAsia="Times New Roman" w:cs="Times New Roman"/>
          <w:color w:val="FF0000"/>
          <w:lang w:eastAsia="en-GB"/>
        </w:rPr>
      </w:pPr>
    </w:p>
    <w:p w14:paraId="2CC30E07" w14:textId="32D662D4" w:rsidR="00140479" w:rsidRPr="001E47E1" w:rsidRDefault="007C40C2" w:rsidP="007C40C2">
      <w:pPr>
        <w:pStyle w:val="Caption"/>
        <w:rPr>
          <w:rFonts w:cs="Arial"/>
          <w:color w:val="002F5D"/>
        </w:rPr>
      </w:pPr>
      <w:r w:rsidRPr="001E47E1">
        <w:rPr>
          <w:b/>
          <w:color w:val="002F5D"/>
        </w:rPr>
        <w:t xml:space="preserve">Table </w:t>
      </w:r>
      <w:r w:rsidR="006B19C2">
        <w:rPr>
          <w:b/>
          <w:color w:val="002F5D"/>
        </w:rPr>
        <w:t>23</w:t>
      </w:r>
      <w:r w:rsidR="00140479" w:rsidRPr="001E47E1">
        <w:rPr>
          <w:rFonts w:cs="Arial"/>
          <w:color w:val="002F5D"/>
        </w:rPr>
        <w:t>. Indices of deprivation, 2015 – wards in the most deprived quintile (20%) of wards in Cambridgeshire</w:t>
      </w:r>
      <w:r w:rsidR="00106CAD" w:rsidRPr="001E47E1">
        <w:rPr>
          <w:rFonts w:cs="Arial"/>
          <w:color w:val="002F5D"/>
        </w:rPr>
        <w:t xml:space="preserve"> and Peterborough by area</w:t>
      </w:r>
    </w:p>
    <w:p w14:paraId="51FDE4DB" w14:textId="77777777" w:rsidR="00744A9F" w:rsidRPr="0037351D" w:rsidRDefault="00744A9F" w:rsidP="00744A9F">
      <w:pPr>
        <w:rPr>
          <w:color w:val="FF0000"/>
        </w:rPr>
      </w:pPr>
    </w:p>
    <w:p w14:paraId="144175E2" w14:textId="77777777" w:rsidR="00A93E5F" w:rsidRPr="0037351D" w:rsidRDefault="00744A9F" w:rsidP="00744A9F">
      <w:pPr>
        <w:rPr>
          <w:color w:val="FF0000"/>
        </w:rPr>
      </w:pPr>
      <w:r w:rsidRPr="0037351D">
        <w:rPr>
          <w:noProof/>
          <w:color w:val="FF0000"/>
          <w:lang w:eastAsia="en-GB"/>
        </w:rPr>
        <w:drawing>
          <wp:inline distT="0" distB="0" distL="0" distR="0" wp14:anchorId="0A1E866D" wp14:editId="5017B01B">
            <wp:extent cx="4486275" cy="574357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6275" cy="5743575"/>
                    </a:xfrm>
                    <a:prstGeom prst="rect">
                      <a:avLst/>
                    </a:prstGeom>
                    <a:noFill/>
                    <a:ln>
                      <a:noFill/>
                    </a:ln>
                  </pic:spPr>
                </pic:pic>
              </a:graphicData>
            </a:graphic>
          </wp:inline>
        </w:drawing>
      </w:r>
    </w:p>
    <w:p w14:paraId="2E542E27" w14:textId="77777777" w:rsidR="00A93E5F" w:rsidRPr="0037351D" w:rsidRDefault="00A93E5F" w:rsidP="00140479">
      <w:pPr>
        <w:spacing w:line="240" w:lineRule="auto"/>
        <w:rPr>
          <w:rFonts w:eastAsia="Times New Roman" w:cs="Times New Roman"/>
          <w:b/>
          <w:bCs/>
          <w:color w:val="FF0000"/>
          <w:lang w:eastAsia="en-GB"/>
        </w:rPr>
      </w:pPr>
    </w:p>
    <w:p w14:paraId="6E7B59D8" w14:textId="77777777" w:rsidR="00140479" w:rsidRPr="001E47E1" w:rsidRDefault="00140479" w:rsidP="00140479">
      <w:pPr>
        <w:spacing w:line="240" w:lineRule="auto"/>
        <w:rPr>
          <w:rFonts w:eastAsia="Times New Roman" w:cs="Times New Roman"/>
          <w:color w:val="002F5D"/>
          <w:lang w:eastAsia="en-GB"/>
        </w:rPr>
      </w:pPr>
      <w:r w:rsidRPr="001E47E1">
        <w:rPr>
          <w:rFonts w:eastAsia="Times New Roman" w:cs="Times New Roman"/>
          <w:b/>
          <w:bCs/>
          <w:color w:val="002F5D"/>
          <w:lang w:eastAsia="en-GB"/>
        </w:rPr>
        <w:t>Source</w:t>
      </w:r>
      <w:r w:rsidRPr="001E47E1">
        <w:rPr>
          <w:rFonts w:eastAsia="Times New Roman" w:cs="Times New Roman"/>
          <w:color w:val="002F5D"/>
          <w:lang w:eastAsia="en-GB"/>
        </w:rPr>
        <w:t>: Index of Multiple Deprivation 2015, Department for Communities &amp; Local Government (DCLG)</w:t>
      </w:r>
    </w:p>
    <w:p w14:paraId="0D329ED8" w14:textId="77777777" w:rsidR="00140479" w:rsidRPr="001E47E1" w:rsidRDefault="00140479" w:rsidP="002A5B1E">
      <w:pPr>
        <w:spacing w:line="240" w:lineRule="auto"/>
        <w:rPr>
          <w:rFonts w:cs="Arial"/>
          <w:color w:val="002F5D"/>
        </w:rPr>
      </w:pPr>
    </w:p>
    <w:p w14:paraId="6A04832E" w14:textId="77777777" w:rsidR="00140479" w:rsidRPr="001E47E1" w:rsidRDefault="00140479" w:rsidP="00140479">
      <w:pPr>
        <w:spacing w:line="240" w:lineRule="auto"/>
        <w:rPr>
          <w:rFonts w:cs="Arial"/>
          <w:b/>
          <w:color w:val="002F5D"/>
        </w:rPr>
      </w:pPr>
      <w:r w:rsidRPr="001E47E1">
        <w:rPr>
          <w:rFonts w:cs="Arial"/>
          <w:b/>
          <w:color w:val="002F5D"/>
        </w:rPr>
        <w:t>Key points:</w:t>
      </w:r>
    </w:p>
    <w:p w14:paraId="34B46F7B" w14:textId="64C2FED5" w:rsidR="00140479" w:rsidRPr="00466722" w:rsidRDefault="00106CAD" w:rsidP="006B2F70">
      <w:pPr>
        <w:pStyle w:val="ListParagraph"/>
        <w:numPr>
          <w:ilvl w:val="0"/>
          <w:numId w:val="42"/>
        </w:numPr>
        <w:spacing w:line="240" w:lineRule="auto"/>
        <w:ind w:left="714" w:hanging="357"/>
        <w:rPr>
          <w:rFonts w:cs="Arial"/>
          <w:color w:val="002F5D"/>
        </w:rPr>
      </w:pPr>
      <w:r w:rsidRPr="001E47E1">
        <w:rPr>
          <w:rFonts w:cs="Arial"/>
          <w:color w:val="002F5D"/>
        </w:rPr>
        <w:t>Of the 29</w:t>
      </w:r>
      <w:r w:rsidR="00140479" w:rsidRPr="001E47E1">
        <w:rPr>
          <w:rFonts w:cs="Arial"/>
          <w:color w:val="002F5D"/>
        </w:rPr>
        <w:t xml:space="preserve"> wards i</w:t>
      </w:r>
      <w:r w:rsidR="00A019B5" w:rsidRPr="001E47E1">
        <w:rPr>
          <w:rFonts w:cs="Arial"/>
          <w:color w:val="002F5D"/>
        </w:rPr>
        <w:t xml:space="preserve">n the most deprived quintile </w:t>
      </w:r>
      <w:r w:rsidR="00140479" w:rsidRPr="001E47E1">
        <w:rPr>
          <w:rFonts w:cs="Arial"/>
          <w:color w:val="002F5D"/>
        </w:rPr>
        <w:t>of wards in Cambridgeshire</w:t>
      </w:r>
      <w:r w:rsidR="00A019B5" w:rsidRPr="001E47E1">
        <w:rPr>
          <w:rFonts w:cs="Arial"/>
          <w:color w:val="002F5D"/>
        </w:rPr>
        <w:t xml:space="preserve"> and Peterborough, 15 (52%) are in Fenland </w:t>
      </w:r>
      <w:r w:rsidR="003C1EFE" w:rsidRPr="001E47E1">
        <w:rPr>
          <w:rFonts w:cs="Arial"/>
          <w:color w:val="002F5D"/>
        </w:rPr>
        <w:t xml:space="preserve">(predominantly Wisbech and surrounding areas) </w:t>
      </w:r>
      <w:r w:rsidR="00A019B5" w:rsidRPr="001E47E1">
        <w:rPr>
          <w:rFonts w:cs="Arial"/>
          <w:color w:val="002F5D"/>
        </w:rPr>
        <w:t>and 11 (38%</w:t>
      </w:r>
      <w:r w:rsidR="00140479" w:rsidRPr="001E47E1">
        <w:rPr>
          <w:rFonts w:cs="Arial"/>
          <w:color w:val="002F5D"/>
        </w:rPr>
        <w:t>) of them are in</w:t>
      </w:r>
      <w:r w:rsidR="00A019B5" w:rsidRPr="001E47E1">
        <w:rPr>
          <w:rFonts w:cs="Arial"/>
          <w:color w:val="002F5D"/>
        </w:rPr>
        <w:t xml:space="preserve"> Peterborough. </w:t>
      </w:r>
      <w:r w:rsidR="00140479" w:rsidRPr="00466722">
        <w:rPr>
          <w:rFonts w:cs="Arial"/>
          <w:color w:val="002F5D"/>
        </w:rPr>
        <w:t>Th</w:t>
      </w:r>
      <w:r w:rsidR="00A019B5" w:rsidRPr="00466722">
        <w:rPr>
          <w:rFonts w:cs="Arial"/>
          <w:color w:val="002F5D"/>
        </w:rPr>
        <w:t xml:space="preserve">e remainder are in Cambridge (2 </w:t>
      </w:r>
      <w:r w:rsidR="00EF788A" w:rsidRPr="00466722">
        <w:rPr>
          <w:rFonts w:cs="Arial"/>
          <w:color w:val="002F5D"/>
        </w:rPr>
        <w:t>wards)</w:t>
      </w:r>
      <w:r w:rsidR="00140479" w:rsidRPr="00466722">
        <w:rPr>
          <w:rFonts w:cs="Arial"/>
          <w:color w:val="002F5D"/>
        </w:rPr>
        <w:t xml:space="preserve"> and Huntingdonshire (1 ward).</w:t>
      </w:r>
    </w:p>
    <w:p w14:paraId="0925A1BF" w14:textId="77777777" w:rsidR="00140479" w:rsidRPr="0037351D" w:rsidRDefault="00140479">
      <w:pPr>
        <w:rPr>
          <w:rFonts w:eastAsia="Times New Roman" w:cs="Times New Roman"/>
          <w:color w:val="FF0000"/>
          <w:lang w:eastAsia="en-GB"/>
        </w:rPr>
      </w:pPr>
    </w:p>
    <w:p w14:paraId="03BACA9F" w14:textId="77777777" w:rsidR="00DD0527" w:rsidRPr="003A5D43" w:rsidRDefault="00DD0527" w:rsidP="00D17493">
      <w:pPr>
        <w:pStyle w:val="JSNA2"/>
      </w:pPr>
      <w:bookmarkStart w:id="744" w:name="_Toc4407843"/>
      <w:r w:rsidRPr="003A5D43">
        <w:lastRenderedPageBreak/>
        <w:t>Socio-economic factors and wider determinants influencing health and wellbeing</w:t>
      </w:r>
      <w:bookmarkEnd w:id="744"/>
    </w:p>
    <w:p w14:paraId="7C763E7F" w14:textId="161A5A75" w:rsidR="00656DEF" w:rsidRDefault="00656DEF" w:rsidP="00656DEF">
      <w:pPr>
        <w:rPr>
          <w:color w:val="002F5D"/>
          <w:shd w:val="clear" w:color="auto" w:fill="FFFFFF"/>
        </w:rPr>
      </w:pPr>
    </w:p>
    <w:p w14:paraId="5F4880A0" w14:textId="77777777" w:rsidR="00656DEF" w:rsidRPr="00DA777F" w:rsidRDefault="00656DEF" w:rsidP="00656DEF">
      <w:pPr>
        <w:spacing w:line="240" w:lineRule="auto"/>
        <w:jc w:val="both"/>
        <w:rPr>
          <w:rFonts w:ascii="Calibri" w:eastAsia="Times New Roman" w:hAnsi="Calibri" w:cs="Times New Roman"/>
          <w:color w:val="002F5D"/>
          <w:lang w:eastAsia="en-GB"/>
        </w:rPr>
      </w:pPr>
      <w:r w:rsidRPr="007525E0">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Public Health England</w:t>
      </w:r>
      <w:r w:rsidRPr="00DA777F">
        <w:rPr>
          <w:rFonts w:ascii="Calibri" w:eastAsia="Times New Roman" w:hAnsi="Calibri" w:cs="Times New Roman"/>
          <w:color w:val="002F5D"/>
          <w:lang w:eastAsia="en-GB"/>
        </w:rPr>
        <w:t xml:space="preserve"> (PHE) </w:t>
      </w:r>
      <w:r>
        <w:rPr>
          <w:rFonts w:ascii="Calibri" w:eastAsia="Times New Roman" w:hAnsi="Calibri" w:cs="Times New Roman"/>
          <w:color w:val="002F5D"/>
          <w:lang w:eastAsia="en-GB"/>
        </w:rPr>
        <w:t>calculate statistical significance using comparator area confidence intervals compared with the area value for the benchmark. This method is used in the RAG rated tables in this section.</w:t>
      </w:r>
      <w:r w:rsidRPr="00DA777F">
        <w:rPr>
          <w:rFonts w:ascii="Calibri" w:eastAsia="Times New Roman" w:hAnsi="Calibri" w:cs="Times New Roman"/>
          <w:color w:val="002F5D"/>
          <w:lang w:eastAsia="en-GB"/>
        </w:rPr>
        <w:t xml:space="preserve"> </w:t>
      </w:r>
    </w:p>
    <w:p w14:paraId="21080C8B" w14:textId="1F7208A5" w:rsidR="00CD6625" w:rsidRDefault="00CD6625" w:rsidP="0038179C">
      <w:pPr>
        <w:spacing w:line="240" w:lineRule="auto"/>
        <w:rPr>
          <w:rFonts w:cs="Arial"/>
          <w:b/>
          <w:color w:val="FF0000"/>
        </w:rPr>
      </w:pPr>
    </w:p>
    <w:p w14:paraId="74C269F2" w14:textId="77777777" w:rsidR="00CD6625" w:rsidRPr="0037351D" w:rsidRDefault="00CD6625" w:rsidP="0038179C">
      <w:pPr>
        <w:spacing w:line="240" w:lineRule="auto"/>
        <w:rPr>
          <w:rFonts w:cs="Arial"/>
          <w:b/>
          <w:color w:val="FF0000"/>
        </w:rPr>
      </w:pPr>
    </w:p>
    <w:p w14:paraId="6E99F60B" w14:textId="77777777" w:rsidR="00D17493" w:rsidRPr="0037351D" w:rsidRDefault="00197EC6" w:rsidP="00A3568F">
      <w:pPr>
        <w:pStyle w:val="JSNA3"/>
      </w:pPr>
      <w:bookmarkStart w:id="745" w:name="_Toc4407844"/>
      <w:r w:rsidRPr="0037351D">
        <w:t>Child poverty</w:t>
      </w:r>
      <w:bookmarkEnd w:id="745"/>
    </w:p>
    <w:p w14:paraId="238104BA" w14:textId="77777777" w:rsidR="00197EC6" w:rsidRPr="00466722" w:rsidRDefault="00197EC6" w:rsidP="0038179C">
      <w:pPr>
        <w:spacing w:line="240" w:lineRule="auto"/>
        <w:rPr>
          <w:rFonts w:cs="Arial"/>
          <w:b/>
          <w:color w:val="002F5D"/>
        </w:rPr>
      </w:pPr>
    </w:p>
    <w:p w14:paraId="279F0972" w14:textId="427C75F3" w:rsidR="00197EC6" w:rsidRPr="00466722" w:rsidRDefault="00C7157B" w:rsidP="00C7157B">
      <w:pPr>
        <w:pStyle w:val="Caption"/>
        <w:rPr>
          <w:rFonts w:cs="Arial"/>
          <w:color w:val="002F5D"/>
        </w:rPr>
      </w:pPr>
      <w:r w:rsidRPr="00466722">
        <w:rPr>
          <w:b/>
          <w:color w:val="002F5D"/>
        </w:rPr>
        <w:t>Table</w:t>
      </w:r>
      <w:r w:rsidR="006B19C2">
        <w:rPr>
          <w:b/>
          <w:color w:val="002F5D"/>
        </w:rPr>
        <w:t xml:space="preserve"> 24</w:t>
      </w:r>
      <w:r w:rsidR="00AE3238" w:rsidRPr="00466722">
        <w:rPr>
          <w:rFonts w:cs="Arial"/>
          <w:color w:val="002F5D"/>
        </w:rPr>
        <w:t xml:space="preserve">. </w:t>
      </w:r>
      <w:r w:rsidR="00197EC6" w:rsidRPr="00466722">
        <w:rPr>
          <w:rFonts w:cs="Arial"/>
          <w:color w:val="002F5D"/>
        </w:rPr>
        <w:t>Percentage of children in low income families (aged under 16), 201</w:t>
      </w:r>
      <w:r w:rsidR="001E0FE2" w:rsidRPr="00466722">
        <w:rPr>
          <w:rFonts w:cs="Arial"/>
          <w:color w:val="002F5D"/>
        </w:rPr>
        <w:t>5</w:t>
      </w:r>
    </w:p>
    <w:p w14:paraId="1B3A24E5" w14:textId="2E0EE0DA" w:rsidR="005C1BAD" w:rsidRDefault="005C1BAD" w:rsidP="005C1BAD">
      <w:pPr>
        <w:spacing w:line="240" w:lineRule="auto"/>
        <w:rPr>
          <w:color w:val="FF0000"/>
        </w:rPr>
      </w:pPr>
    </w:p>
    <w:p w14:paraId="0BD4CD49" w14:textId="710FEAA9" w:rsidR="00E9147B" w:rsidRDefault="00E9147B" w:rsidP="005C1BAD">
      <w:pPr>
        <w:spacing w:line="240" w:lineRule="auto"/>
        <w:rPr>
          <w:color w:val="FF0000"/>
        </w:rPr>
      </w:pPr>
      <w:r w:rsidRPr="00E9147B">
        <w:rPr>
          <w:noProof/>
          <w:lang w:eastAsia="en-GB"/>
        </w:rPr>
        <w:drawing>
          <wp:inline distT="0" distB="0" distL="0" distR="0" wp14:anchorId="1256CAC4" wp14:editId="3B135E28">
            <wp:extent cx="5781675" cy="2238375"/>
            <wp:effectExtent l="0" t="0" r="9525"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81675" cy="2238375"/>
                    </a:xfrm>
                    <a:prstGeom prst="rect">
                      <a:avLst/>
                    </a:prstGeom>
                    <a:noFill/>
                    <a:ln>
                      <a:noFill/>
                    </a:ln>
                  </pic:spPr>
                </pic:pic>
              </a:graphicData>
            </a:graphic>
          </wp:inline>
        </w:drawing>
      </w:r>
    </w:p>
    <w:p w14:paraId="2237C553" w14:textId="77777777" w:rsidR="00106CAD" w:rsidRPr="0037351D" w:rsidRDefault="00106CAD" w:rsidP="005C1BAD">
      <w:pPr>
        <w:spacing w:line="240" w:lineRule="auto"/>
        <w:rPr>
          <w:color w:val="FF0000"/>
        </w:rPr>
      </w:pPr>
    </w:p>
    <w:p w14:paraId="5099CF4D" w14:textId="260C52BF" w:rsidR="00041822" w:rsidRDefault="00041822" w:rsidP="005C1BAD">
      <w:pPr>
        <w:spacing w:line="240" w:lineRule="auto"/>
        <w:rPr>
          <w:rFonts w:cs="Arial"/>
          <w:color w:val="002F5D"/>
          <w:sz w:val="18"/>
          <w:szCs w:val="18"/>
        </w:rPr>
      </w:pPr>
      <w:r w:rsidRPr="00466722">
        <w:rPr>
          <w:rFonts w:cs="Arial"/>
          <w:color w:val="002F5D"/>
          <w:sz w:val="18"/>
          <w:szCs w:val="18"/>
        </w:rPr>
        <w:t>*Value aggregated from all known lower geography values</w:t>
      </w:r>
    </w:p>
    <w:p w14:paraId="529743A0" w14:textId="45E2C3DB" w:rsidR="00ED764F" w:rsidRDefault="00ED764F" w:rsidP="00ED764F">
      <w:pPr>
        <w:spacing w:line="240" w:lineRule="auto"/>
        <w:rPr>
          <w:rFonts w:cs="Arial"/>
          <w:color w:val="002F5D"/>
          <w:sz w:val="18"/>
          <w:szCs w:val="18"/>
        </w:rPr>
      </w:pPr>
    </w:p>
    <w:p w14:paraId="100A3ED3" w14:textId="77777777" w:rsidR="00ED764F" w:rsidRDefault="00ED764F" w:rsidP="00ED764F">
      <w:pPr>
        <w:spacing w:line="240" w:lineRule="auto"/>
        <w:rPr>
          <w:rFonts w:cs="Arial"/>
          <w:color w:val="002F5D"/>
          <w:sz w:val="18"/>
          <w:szCs w:val="18"/>
        </w:rPr>
      </w:pPr>
      <w:r>
        <w:rPr>
          <w:noProof/>
          <w:lang w:eastAsia="en-GB"/>
        </w:rPr>
        <w:drawing>
          <wp:inline distT="0" distB="0" distL="0" distR="0" wp14:anchorId="77B540D5" wp14:editId="7F85104E">
            <wp:extent cx="3802380" cy="616126"/>
            <wp:effectExtent l="0" t="0" r="762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9873" cy="622201"/>
                    </a:xfrm>
                    <a:prstGeom prst="rect">
                      <a:avLst/>
                    </a:prstGeom>
                  </pic:spPr>
                </pic:pic>
              </a:graphicData>
            </a:graphic>
          </wp:inline>
        </w:drawing>
      </w:r>
      <w:r>
        <w:rPr>
          <w:noProof/>
          <w:lang w:eastAsia="en-GB"/>
        </w:rPr>
        <w:drawing>
          <wp:inline distT="0" distB="0" distL="0" distR="0" wp14:anchorId="2ECF73F4" wp14:editId="67A0159B">
            <wp:extent cx="1539240" cy="566157"/>
            <wp:effectExtent l="0" t="0" r="381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550177" cy="570180"/>
                    </a:xfrm>
                    <a:prstGeom prst="rect">
                      <a:avLst/>
                    </a:prstGeom>
                  </pic:spPr>
                </pic:pic>
              </a:graphicData>
            </a:graphic>
          </wp:inline>
        </w:drawing>
      </w:r>
    </w:p>
    <w:p w14:paraId="7418D521" w14:textId="77777777" w:rsidR="00ED764F" w:rsidRPr="00466722" w:rsidRDefault="00ED764F" w:rsidP="00ED764F">
      <w:pPr>
        <w:spacing w:line="240" w:lineRule="auto"/>
        <w:rPr>
          <w:rFonts w:eastAsia="Times New Roman" w:cs="Times New Roman"/>
          <w:b/>
          <w:bCs/>
          <w:color w:val="002F5D"/>
          <w:lang w:eastAsia="en-GB"/>
        </w:rPr>
      </w:pPr>
    </w:p>
    <w:p w14:paraId="30F174C0" w14:textId="77777777" w:rsidR="00AE3238" w:rsidRPr="00466722" w:rsidRDefault="00AE3238" w:rsidP="0038179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HMRC, from PHE Publ</w:t>
      </w:r>
      <w:r w:rsidR="007F635E" w:rsidRPr="00466722">
        <w:rPr>
          <w:rFonts w:eastAsia="Times New Roman" w:cs="Times New Roman"/>
          <w:color w:val="002F5D"/>
          <w:lang w:eastAsia="en-GB"/>
        </w:rPr>
        <w:t>ic Health Outcomes Framework</w:t>
      </w:r>
    </w:p>
    <w:p w14:paraId="3A18BE7F" w14:textId="77777777" w:rsidR="00997FF7" w:rsidRPr="00466722" w:rsidRDefault="00997FF7" w:rsidP="003A1584">
      <w:pPr>
        <w:spacing w:line="240" w:lineRule="auto"/>
        <w:rPr>
          <w:rFonts w:cs="Arial"/>
          <w:color w:val="002F5D"/>
        </w:rPr>
      </w:pPr>
    </w:p>
    <w:p w14:paraId="6250D252" w14:textId="77777777" w:rsidR="000A0830" w:rsidRPr="00466722" w:rsidRDefault="000A0830" w:rsidP="0038179C">
      <w:pPr>
        <w:spacing w:line="240" w:lineRule="auto"/>
        <w:rPr>
          <w:rFonts w:cs="Arial"/>
          <w:b/>
          <w:color w:val="002F5D"/>
        </w:rPr>
      </w:pPr>
      <w:r w:rsidRPr="00466722">
        <w:rPr>
          <w:rFonts w:cs="Arial"/>
          <w:b/>
          <w:color w:val="002F5D"/>
        </w:rPr>
        <w:t>Key points:</w:t>
      </w:r>
    </w:p>
    <w:p w14:paraId="51A178DE" w14:textId="56D07F9E" w:rsidR="002513DD" w:rsidRPr="00466722" w:rsidRDefault="002513DD" w:rsidP="00A938F7">
      <w:pPr>
        <w:pStyle w:val="ListParagraph"/>
        <w:numPr>
          <w:ilvl w:val="0"/>
          <w:numId w:val="27"/>
        </w:numPr>
        <w:spacing w:line="240" w:lineRule="auto"/>
        <w:ind w:left="714" w:hanging="357"/>
        <w:rPr>
          <w:rFonts w:cs="Arial"/>
          <w:color w:val="002F5D"/>
        </w:rPr>
      </w:pPr>
      <w:r w:rsidRPr="00466722">
        <w:rPr>
          <w:rFonts w:cs="Arial"/>
          <w:color w:val="002F5D"/>
        </w:rPr>
        <w:t>Cambridgeshire and Peterborough</w:t>
      </w:r>
      <w:r w:rsidR="00ED764F" w:rsidRPr="00466722">
        <w:rPr>
          <w:rFonts w:cs="Arial"/>
          <w:color w:val="002F5D"/>
        </w:rPr>
        <w:t xml:space="preserve"> </w:t>
      </w:r>
      <w:r w:rsidR="0083044C">
        <w:rPr>
          <w:rFonts w:cs="Arial"/>
          <w:color w:val="002F5D"/>
        </w:rPr>
        <w:t>c</w:t>
      </w:r>
      <w:r w:rsidR="00ED764F" w:rsidRPr="00466722">
        <w:rPr>
          <w:rFonts w:cs="Arial"/>
          <w:color w:val="002F5D"/>
        </w:rPr>
        <w:t>ombined</w:t>
      </w:r>
      <w:r w:rsidRPr="00466722">
        <w:rPr>
          <w:rFonts w:cs="Arial"/>
          <w:color w:val="002F5D"/>
        </w:rPr>
        <w:t xml:space="preserve"> has a lower proportion of children in low </w:t>
      </w:r>
      <w:r w:rsidR="00B117A4" w:rsidRPr="00466722">
        <w:rPr>
          <w:rFonts w:cs="Arial"/>
          <w:color w:val="002F5D"/>
        </w:rPr>
        <w:t xml:space="preserve">income families than in England, but this is heavily positively influenced by Cambridgeshire, which has a low </w:t>
      </w:r>
      <w:r w:rsidR="0083044C">
        <w:rPr>
          <w:rFonts w:cs="Arial"/>
          <w:color w:val="002F5D"/>
        </w:rPr>
        <w:t>percentage</w:t>
      </w:r>
      <w:r w:rsidR="00B117A4" w:rsidRPr="00466722">
        <w:rPr>
          <w:rFonts w:cs="Arial"/>
          <w:color w:val="002F5D"/>
        </w:rPr>
        <w:t>.</w:t>
      </w:r>
    </w:p>
    <w:p w14:paraId="3AA6B7C3" w14:textId="5C4F1071" w:rsidR="003C4A81" w:rsidRPr="00466722" w:rsidRDefault="003C4A81" w:rsidP="00A938F7">
      <w:pPr>
        <w:pStyle w:val="ListParagraph"/>
        <w:numPr>
          <w:ilvl w:val="0"/>
          <w:numId w:val="27"/>
        </w:numPr>
        <w:spacing w:line="240" w:lineRule="auto"/>
        <w:ind w:left="714" w:hanging="357"/>
        <w:rPr>
          <w:rFonts w:cs="Arial"/>
          <w:b/>
          <w:color w:val="002F5D"/>
        </w:rPr>
      </w:pPr>
      <w:r w:rsidRPr="00466722">
        <w:rPr>
          <w:rFonts w:cs="Arial"/>
          <w:color w:val="002F5D"/>
        </w:rPr>
        <w:t xml:space="preserve">Peterborough’s percentage of children aged under 16 living in poverty is statistically significantly </w:t>
      </w:r>
      <w:r w:rsidR="002513DD" w:rsidRPr="00466722">
        <w:rPr>
          <w:rFonts w:cs="Arial"/>
          <w:color w:val="002F5D"/>
        </w:rPr>
        <w:t>higher</w:t>
      </w:r>
      <w:r w:rsidR="00ED7852" w:rsidRPr="00466722">
        <w:rPr>
          <w:rFonts w:cs="Arial"/>
          <w:color w:val="002F5D"/>
        </w:rPr>
        <w:t xml:space="preserve"> than England</w:t>
      </w:r>
      <w:r w:rsidR="00545DF1">
        <w:rPr>
          <w:rFonts w:cs="Arial"/>
          <w:color w:val="002F5D"/>
        </w:rPr>
        <w:t>,</w:t>
      </w:r>
      <w:r w:rsidR="00ED7852" w:rsidRPr="00466722">
        <w:rPr>
          <w:rFonts w:cs="Arial"/>
          <w:color w:val="002F5D"/>
        </w:rPr>
        <w:t xml:space="preserve"> although the trend is decreasing.</w:t>
      </w:r>
    </w:p>
    <w:p w14:paraId="28E488E3" w14:textId="55C2A099" w:rsidR="000A0830" w:rsidRPr="00466722" w:rsidRDefault="00FA3395" w:rsidP="00A938F7">
      <w:pPr>
        <w:pStyle w:val="ListParagraph"/>
        <w:numPr>
          <w:ilvl w:val="0"/>
          <w:numId w:val="27"/>
        </w:numPr>
        <w:spacing w:line="240" w:lineRule="auto"/>
        <w:ind w:left="714" w:hanging="357"/>
        <w:rPr>
          <w:rFonts w:cs="Arial"/>
          <w:b/>
          <w:color w:val="002F5D"/>
        </w:rPr>
      </w:pPr>
      <w:r w:rsidRPr="00466722">
        <w:rPr>
          <w:rFonts w:cs="Arial"/>
          <w:color w:val="002F5D"/>
        </w:rPr>
        <w:t>Fenland’s percentage of children aged under 16 living in poverty is statistically significantly worse than</w:t>
      </w:r>
      <w:r w:rsidR="007C08C7">
        <w:rPr>
          <w:rFonts w:cs="Arial"/>
          <w:color w:val="002F5D"/>
        </w:rPr>
        <w:t xml:space="preserve"> that</w:t>
      </w:r>
      <w:r w:rsidRPr="00466722">
        <w:rPr>
          <w:rFonts w:cs="Arial"/>
          <w:color w:val="002F5D"/>
        </w:rPr>
        <w:t xml:space="preserve"> found in England as a whole</w:t>
      </w:r>
      <w:r w:rsidR="007C08C7">
        <w:rPr>
          <w:rFonts w:cs="Arial"/>
          <w:color w:val="002F5D"/>
        </w:rPr>
        <w:t>; however,</w:t>
      </w:r>
      <w:r w:rsidRPr="00466722">
        <w:rPr>
          <w:rFonts w:cs="Arial"/>
          <w:color w:val="002F5D"/>
        </w:rPr>
        <w:t xml:space="preserve"> </w:t>
      </w:r>
      <w:r w:rsidR="002C3008" w:rsidRPr="00E9147B">
        <w:rPr>
          <w:rFonts w:cs="Arial"/>
          <w:color w:val="002F5D"/>
        </w:rPr>
        <w:t>the Fenland trend is getting better.</w:t>
      </w:r>
    </w:p>
    <w:p w14:paraId="62642628" w14:textId="50E277E6" w:rsidR="00F950F6" w:rsidRPr="00466722" w:rsidRDefault="001F11A5" w:rsidP="00A938F7">
      <w:pPr>
        <w:pStyle w:val="ListParagraph"/>
        <w:numPr>
          <w:ilvl w:val="0"/>
          <w:numId w:val="27"/>
        </w:numPr>
        <w:spacing w:line="240" w:lineRule="auto"/>
        <w:rPr>
          <w:rFonts w:cs="Arial"/>
          <w:b/>
          <w:color w:val="002F5D"/>
        </w:rPr>
      </w:pPr>
      <w:r w:rsidRPr="00466722">
        <w:rPr>
          <w:rFonts w:cs="Arial"/>
          <w:color w:val="002F5D"/>
        </w:rPr>
        <w:t xml:space="preserve">An internal Cambridgeshire comparison shows that </w:t>
      </w:r>
      <w:r w:rsidR="0084438B" w:rsidRPr="00466722">
        <w:rPr>
          <w:rFonts w:cs="Arial"/>
          <w:color w:val="002F5D"/>
        </w:rPr>
        <w:t>Cambridge</w:t>
      </w:r>
      <w:r w:rsidRPr="00466722">
        <w:rPr>
          <w:rFonts w:cs="Arial"/>
          <w:color w:val="002F5D"/>
        </w:rPr>
        <w:t xml:space="preserve"> and Fenland have statistically significantly worse child poverty rates than the Cambridgeshire averag</w:t>
      </w:r>
      <w:r w:rsidR="001D751A" w:rsidRPr="00466722">
        <w:rPr>
          <w:rFonts w:cs="Arial"/>
          <w:color w:val="002F5D"/>
        </w:rPr>
        <w:t xml:space="preserve">e. The remaining districts have </w:t>
      </w:r>
      <w:r w:rsidRPr="00466722">
        <w:rPr>
          <w:rFonts w:cs="Arial"/>
          <w:color w:val="002F5D"/>
        </w:rPr>
        <w:t xml:space="preserve">statistically significantly better rates than the </w:t>
      </w:r>
      <w:r w:rsidR="001D751A" w:rsidRPr="00466722">
        <w:rPr>
          <w:rFonts w:cs="Arial"/>
          <w:color w:val="002F5D"/>
        </w:rPr>
        <w:t xml:space="preserve">Cambridgeshire rate. </w:t>
      </w:r>
      <w:r w:rsidR="0084438B" w:rsidRPr="00466722">
        <w:rPr>
          <w:rFonts w:cs="Arial"/>
          <w:color w:val="002F5D"/>
        </w:rPr>
        <w:t>Cambridge</w:t>
      </w:r>
      <w:r w:rsidR="001D751A" w:rsidRPr="00466722">
        <w:rPr>
          <w:rFonts w:cs="Arial"/>
          <w:color w:val="002F5D"/>
        </w:rPr>
        <w:t xml:space="preserve">’s rate </w:t>
      </w:r>
      <w:r w:rsidR="007C08C7">
        <w:rPr>
          <w:rFonts w:cs="Arial"/>
          <w:color w:val="002F5D"/>
        </w:rPr>
        <w:t>has</w:t>
      </w:r>
      <w:r w:rsidR="001D751A" w:rsidRPr="00466722">
        <w:rPr>
          <w:rFonts w:cs="Arial"/>
          <w:color w:val="002F5D"/>
        </w:rPr>
        <w:t xml:space="preserve"> always </w:t>
      </w:r>
      <w:r w:rsidR="007C08C7">
        <w:rPr>
          <w:rFonts w:cs="Arial"/>
          <w:color w:val="002F5D"/>
        </w:rPr>
        <w:t xml:space="preserve">been </w:t>
      </w:r>
      <w:r w:rsidR="001D751A" w:rsidRPr="00466722">
        <w:rPr>
          <w:rFonts w:cs="Arial"/>
          <w:color w:val="002F5D"/>
        </w:rPr>
        <w:t>above the Cambridgeshire</w:t>
      </w:r>
      <w:r w:rsidRPr="00466722">
        <w:rPr>
          <w:rFonts w:cs="Arial"/>
          <w:color w:val="002F5D"/>
        </w:rPr>
        <w:t xml:space="preserve"> ave</w:t>
      </w:r>
      <w:r w:rsidR="001D751A" w:rsidRPr="00466722">
        <w:rPr>
          <w:rFonts w:cs="Arial"/>
          <w:color w:val="002F5D"/>
        </w:rPr>
        <w:t>rage</w:t>
      </w:r>
      <w:r w:rsidR="007C08C7">
        <w:rPr>
          <w:rFonts w:cs="Arial"/>
          <w:color w:val="002F5D"/>
        </w:rPr>
        <w:t xml:space="preserve"> in recent years</w:t>
      </w:r>
      <w:r w:rsidR="001D751A" w:rsidRPr="00466722">
        <w:rPr>
          <w:rFonts w:cs="Arial"/>
          <w:color w:val="002F5D"/>
        </w:rPr>
        <w:t>,</w:t>
      </w:r>
      <w:r w:rsidRPr="00466722">
        <w:rPr>
          <w:rFonts w:cs="Arial"/>
          <w:color w:val="002F5D"/>
        </w:rPr>
        <w:t xml:space="preserve"> but </w:t>
      </w:r>
      <w:r w:rsidR="00420E50" w:rsidRPr="00466722">
        <w:rPr>
          <w:rFonts w:cs="Arial"/>
          <w:color w:val="002F5D"/>
        </w:rPr>
        <w:t>has reduced</w:t>
      </w:r>
      <w:r w:rsidR="001D751A" w:rsidRPr="00466722">
        <w:rPr>
          <w:rFonts w:cs="Arial"/>
          <w:color w:val="002F5D"/>
        </w:rPr>
        <w:t xml:space="preserve"> over recent periods.</w:t>
      </w:r>
    </w:p>
    <w:p w14:paraId="3718C77D" w14:textId="77777777" w:rsidR="00F950F6" w:rsidRPr="0037351D" w:rsidRDefault="00F950F6" w:rsidP="0038179C">
      <w:pPr>
        <w:spacing w:line="240" w:lineRule="auto"/>
        <w:rPr>
          <w:rFonts w:cs="Arial"/>
          <w:b/>
          <w:color w:val="FF0000"/>
        </w:rPr>
      </w:pPr>
    </w:p>
    <w:p w14:paraId="4CA9E305" w14:textId="77777777" w:rsidR="009775E7" w:rsidRPr="0037351D" w:rsidRDefault="009775E7">
      <w:pPr>
        <w:rPr>
          <w:rFonts w:cs="Arial"/>
          <w:b/>
          <w:color w:val="FF0000"/>
        </w:rPr>
      </w:pPr>
      <w:r w:rsidRPr="0037351D">
        <w:rPr>
          <w:rFonts w:cs="Arial"/>
          <w:b/>
          <w:color w:val="FF0000"/>
        </w:rPr>
        <w:br w:type="page"/>
      </w:r>
    </w:p>
    <w:p w14:paraId="2C772423" w14:textId="74F2B933" w:rsidR="00F950F6" w:rsidRDefault="00C7157B" w:rsidP="00C7157B">
      <w:pPr>
        <w:pStyle w:val="Caption"/>
        <w:rPr>
          <w:rFonts w:cs="Arial"/>
          <w:color w:val="002F5D"/>
        </w:rPr>
      </w:pPr>
      <w:r w:rsidRPr="00466722">
        <w:rPr>
          <w:b/>
          <w:color w:val="002F5D"/>
        </w:rPr>
        <w:lastRenderedPageBreak/>
        <w:t xml:space="preserve">Figure </w:t>
      </w:r>
      <w:r w:rsidR="004061DD">
        <w:rPr>
          <w:b/>
          <w:color w:val="002F5D"/>
        </w:rPr>
        <w:t>27</w:t>
      </w:r>
      <w:r w:rsidR="00F950F6" w:rsidRPr="00466722">
        <w:rPr>
          <w:rFonts w:cs="Arial"/>
          <w:color w:val="002F5D"/>
        </w:rPr>
        <w:t xml:space="preserve">. Trends in the percentage of children in low income families (aged under 16) </w:t>
      </w:r>
      <w:r w:rsidR="00CB7FB3" w:rsidRPr="00466722">
        <w:rPr>
          <w:rFonts w:cs="Arial"/>
          <w:color w:val="002F5D"/>
        </w:rPr>
        <w:t>–</w:t>
      </w:r>
      <w:r w:rsidR="00C47B37" w:rsidRPr="00466722">
        <w:rPr>
          <w:rFonts w:cs="Arial"/>
          <w:color w:val="002F5D"/>
        </w:rPr>
        <w:t xml:space="preserve"> </w:t>
      </w:r>
      <w:r w:rsidR="00CB7FB3" w:rsidRPr="00466722">
        <w:rPr>
          <w:rFonts w:cs="Arial"/>
          <w:color w:val="002F5D"/>
        </w:rPr>
        <w:t>Peterborough,</w:t>
      </w:r>
      <w:r w:rsidR="00F950F6" w:rsidRPr="00466722">
        <w:rPr>
          <w:rFonts w:cs="Arial"/>
          <w:color w:val="002F5D"/>
        </w:rPr>
        <w:t xml:space="preserve"> Fenland, Cambridgeshire</w:t>
      </w:r>
      <w:r w:rsidR="00CB7FB3" w:rsidRPr="00466722">
        <w:rPr>
          <w:rFonts w:cs="Arial"/>
          <w:color w:val="002F5D"/>
        </w:rPr>
        <w:t>, Cambridgeshire and Peterborough</w:t>
      </w:r>
      <w:r w:rsidR="00F950F6" w:rsidRPr="00466722">
        <w:rPr>
          <w:rFonts w:cs="Arial"/>
          <w:color w:val="002F5D"/>
        </w:rPr>
        <w:t xml:space="preserve"> and England, 2006 to 201</w:t>
      </w:r>
      <w:r w:rsidR="00880135">
        <w:rPr>
          <w:rFonts w:cs="Arial"/>
          <w:color w:val="002F5D"/>
        </w:rPr>
        <w:t>5</w:t>
      </w:r>
      <w:r w:rsidR="003E02D3" w:rsidRPr="00466722">
        <w:rPr>
          <w:rFonts w:cs="Arial"/>
          <w:color w:val="002F5D"/>
        </w:rPr>
        <w:t xml:space="preserve"> </w:t>
      </w:r>
    </w:p>
    <w:p w14:paraId="7C88A9AE" w14:textId="77777777" w:rsidR="000C54A8" w:rsidRPr="00466722" w:rsidRDefault="000C54A8" w:rsidP="00466722"/>
    <w:p w14:paraId="0346C38E" w14:textId="4A3C181C" w:rsidR="00E9147B" w:rsidRDefault="000C54A8" w:rsidP="00466722">
      <w:r>
        <w:rPr>
          <w:noProof/>
          <w:lang w:eastAsia="en-GB"/>
        </w:rPr>
        <w:drawing>
          <wp:inline distT="0" distB="0" distL="0" distR="0" wp14:anchorId="083070DF" wp14:editId="562E533C">
            <wp:extent cx="5414010" cy="318833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14010" cy="3188335"/>
                    </a:xfrm>
                    <a:prstGeom prst="rect">
                      <a:avLst/>
                    </a:prstGeom>
                    <a:noFill/>
                  </pic:spPr>
                </pic:pic>
              </a:graphicData>
            </a:graphic>
          </wp:inline>
        </w:drawing>
      </w:r>
    </w:p>
    <w:p w14:paraId="3CDB6028" w14:textId="602858F5" w:rsidR="00E9147B" w:rsidRPr="00466722" w:rsidRDefault="00E9147B" w:rsidP="00466722"/>
    <w:p w14:paraId="5694B840" w14:textId="699C5A6B" w:rsidR="00456026" w:rsidRPr="00466722" w:rsidRDefault="00456026" w:rsidP="008D6A54">
      <w:pPr>
        <w:rPr>
          <w:color w:val="002F5D"/>
        </w:rPr>
      </w:pPr>
      <w:r w:rsidRPr="00466722">
        <w:rPr>
          <w:color w:val="002F5D"/>
          <w:sz w:val="18"/>
          <w:szCs w:val="18"/>
        </w:rPr>
        <w:t xml:space="preserve">Note: Cambridgeshire and Peterborough </w:t>
      </w:r>
      <w:r w:rsidR="001401CF" w:rsidRPr="00466722">
        <w:rPr>
          <w:color w:val="002F5D"/>
          <w:sz w:val="18"/>
          <w:szCs w:val="18"/>
        </w:rPr>
        <w:t>values were not RAG rated in the previous</w:t>
      </w:r>
      <w:r w:rsidR="004E060C">
        <w:rPr>
          <w:color w:val="002F5D"/>
          <w:sz w:val="18"/>
          <w:szCs w:val="18"/>
        </w:rPr>
        <w:t xml:space="preserve"> years and are depicted above as blank markers</w:t>
      </w:r>
    </w:p>
    <w:p w14:paraId="5B78345A" w14:textId="2B9CD5CA" w:rsidR="008D6A54" w:rsidRPr="00466722" w:rsidRDefault="008D6A54" w:rsidP="008D6A54"/>
    <w:p w14:paraId="75FEA341" w14:textId="252CFDFD" w:rsidR="00456026" w:rsidRPr="00466722" w:rsidRDefault="001D69B3" w:rsidP="0038179C">
      <w:pPr>
        <w:spacing w:line="240" w:lineRule="auto"/>
        <w:rPr>
          <w:color w:val="002F5D"/>
        </w:rPr>
      </w:pPr>
      <w:r w:rsidRPr="00466722">
        <w:rPr>
          <w:noProof/>
          <w:color w:val="002F5D"/>
          <w:lang w:eastAsia="en-GB"/>
        </w:rPr>
        <w:drawing>
          <wp:inline distT="0" distB="0" distL="0" distR="0" wp14:anchorId="3E9DB8BE" wp14:editId="43C5150F">
            <wp:extent cx="3663950" cy="5791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63950" cy="579120"/>
                    </a:xfrm>
                    <a:prstGeom prst="rect">
                      <a:avLst/>
                    </a:prstGeom>
                    <a:noFill/>
                  </pic:spPr>
                </pic:pic>
              </a:graphicData>
            </a:graphic>
          </wp:inline>
        </w:drawing>
      </w:r>
    </w:p>
    <w:p w14:paraId="399A1BAA" w14:textId="37A943B6" w:rsidR="001D69B3" w:rsidRPr="00466722" w:rsidRDefault="001D69B3" w:rsidP="0038179C">
      <w:pPr>
        <w:spacing w:line="240" w:lineRule="auto"/>
        <w:rPr>
          <w:color w:val="002F5D"/>
        </w:rPr>
      </w:pPr>
    </w:p>
    <w:p w14:paraId="68241E19" w14:textId="77777777" w:rsidR="00F950F6" w:rsidRPr="00466722" w:rsidRDefault="00F950F6" w:rsidP="0038179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HMRC, from PHE Publ</w:t>
      </w:r>
      <w:r w:rsidR="007F635E" w:rsidRPr="00466722">
        <w:rPr>
          <w:rFonts w:eastAsia="Times New Roman" w:cs="Times New Roman"/>
          <w:color w:val="002F5D"/>
          <w:lang w:eastAsia="en-GB"/>
        </w:rPr>
        <w:t>ic Health Outcomes Framework</w:t>
      </w:r>
    </w:p>
    <w:p w14:paraId="4CA3A103" w14:textId="77777777" w:rsidR="007F635E" w:rsidRPr="0037351D" w:rsidRDefault="007F635E" w:rsidP="0038179C">
      <w:pPr>
        <w:spacing w:line="240" w:lineRule="auto"/>
        <w:rPr>
          <w:rFonts w:cs="Arial"/>
          <w:b/>
          <w:color w:val="FF0000"/>
        </w:rPr>
      </w:pPr>
    </w:p>
    <w:p w14:paraId="3C64DA90" w14:textId="77777777" w:rsidR="009862AE" w:rsidRPr="00466722" w:rsidRDefault="009862AE" w:rsidP="0038179C">
      <w:pPr>
        <w:spacing w:line="240" w:lineRule="auto"/>
        <w:rPr>
          <w:rFonts w:cs="Arial"/>
          <w:b/>
          <w:color w:val="002F5D"/>
        </w:rPr>
      </w:pPr>
      <w:r w:rsidRPr="00466722">
        <w:rPr>
          <w:rFonts w:cs="Arial"/>
          <w:b/>
          <w:color w:val="002F5D"/>
        </w:rPr>
        <w:t>Key points:</w:t>
      </w:r>
    </w:p>
    <w:p w14:paraId="0421A46D" w14:textId="77777777" w:rsidR="007312B9" w:rsidRPr="00466722" w:rsidRDefault="003E02D3" w:rsidP="00A938F7">
      <w:pPr>
        <w:pStyle w:val="ListParagraph"/>
        <w:numPr>
          <w:ilvl w:val="0"/>
          <w:numId w:val="28"/>
        </w:numPr>
        <w:spacing w:line="240" w:lineRule="auto"/>
        <w:rPr>
          <w:rFonts w:eastAsia="Times New Roman" w:cs="Times New Roman"/>
          <w:color w:val="002F5D"/>
          <w:lang w:eastAsia="en-GB"/>
        </w:rPr>
      </w:pPr>
      <w:r w:rsidRPr="00466722">
        <w:rPr>
          <w:rFonts w:eastAsia="Times New Roman" w:cs="Times New Roman"/>
          <w:color w:val="002F5D"/>
          <w:lang w:eastAsia="en-GB"/>
        </w:rPr>
        <w:t xml:space="preserve">Cambridgeshire and Peterborough and Cambridgeshire have </w:t>
      </w:r>
      <w:r w:rsidR="007312B9" w:rsidRPr="00466722">
        <w:rPr>
          <w:rFonts w:eastAsia="Times New Roman" w:cs="Times New Roman"/>
          <w:color w:val="002F5D"/>
          <w:lang w:eastAsia="en-GB"/>
        </w:rPr>
        <w:t>consistently lower levels of children in low income families than in England.</w:t>
      </w:r>
    </w:p>
    <w:p w14:paraId="19ADA279" w14:textId="34C0F526" w:rsidR="00CB7FB3" w:rsidRPr="00466722" w:rsidRDefault="007312B9" w:rsidP="00A938F7">
      <w:pPr>
        <w:pStyle w:val="ListParagraph"/>
        <w:numPr>
          <w:ilvl w:val="0"/>
          <w:numId w:val="28"/>
        </w:numPr>
        <w:spacing w:line="240" w:lineRule="auto"/>
        <w:rPr>
          <w:rFonts w:eastAsia="Times New Roman" w:cs="Times New Roman"/>
          <w:color w:val="002F5D"/>
          <w:lang w:eastAsia="en-GB"/>
        </w:rPr>
      </w:pPr>
      <w:r w:rsidRPr="00466722">
        <w:rPr>
          <w:rFonts w:eastAsia="Times New Roman" w:cs="Times New Roman"/>
          <w:color w:val="002F5D"/>
          <w:lang w:eastAsia="en-GB"/>
        </w:rPr>
        <w:t xml:space="preserve">However, </w:t>
      </w:r>
      <w:r w:rsidR="00CB7FB3" w:rsidRPr="00466722">
        <w:rPr>
          <w:rFonts w:eastAsia="Times New Roman" w:cs="Times New Roman"/>
          <w:color w:val="002F5D"/>
          <w:lang w:eastAsia="en-GB"/>
        </w:rPr>
        <w:t xml:space="preserve">Peterborough has </w:t>
      </w:r>
      <w:r w:rsidRPr="00466722">
        <w:rPr>
          <w:rFonts w:eastAsia="Times New Roman" w:cs="Times New Roman"/>
          <w:color w:val="002F5D"/>
          <w:lang w:eastAsia="en-GB"/>
        </w:rPr>
        <w:t>had</w:t>
      </w:r>
      <w:r w:rsidR="00CB7FB3" w:rsidRPr="00466722">
        <w:rPr>
          <w:rFonts w:eastAsia="Times New Roman" w:cs="Times New Roman"/>
          <w:color w:val="002F5D"/>
          <w:lang w:eastAsia="en-GB"/>
        </w:rPr>
        <w:t xml:space="preserve"> statistically significantly </w:t>
      </w:r>
      <w:r w:rsidRPr="00466722">
        <w:rPr>
          <w:rFonts w:eastAsia="Times New Roman" w:cs="Times New Roman"/>
          <w:color w:val="002F5D"/>
          <w:lang w:eastAsia="en-GB"/>
        </w:rPr>
        <w:t xml:space="preserve">higher </w:t>
      </w:r>
      <w:r w:rsidR="007C08C7">
        <w:rPr>
          <w:rFonts w:eastAsia="Times New Roman" w:cs="Times New Roman"/>
          <w:color w:val="002F5D"/>
          <w:lang w:eastAsia="en-GB"/>
        </w:rPr>
        <w:t>percentages</w:t>
      </w:r>
      <w:r w:rsidR="00CB7FB3" w:rsidRPr="00466722">
        <w:rPr>
          <w:rFonts w:eastAsia="Times New Roman" w:cs="Times New Roman"/>
          <w:color w:val="002F5D"/>
          <w:lang w:eastAsia="en-GB"/>
        </w:rPr>
        <w:t xml:space="preserve"> than the England </w:t>
      </w:r>
      <w:r w:rsidR="007C08C7">
        <w:rPr>
          <w:rFonts w:eastAsia="Times New Roman" w:cs="Times New Roman"/>
          <w:color w:val="002F5D"/>
          <w:lang w:eastAsia="en-GB"/>
        </w:rPr>
        <w:t>average</w:t>
      </w:r>
      <w:r w:rsidR="00CB7FB3" w:rsidRPr="00466722">
        <w:rPr>
          <w:rFonts w:eastAsia="Times New Roman" w:cs="Times New Roman"/>
          <w:color w:val="002F5D"/>
          <w:lang w:eastAsia="en-GB"/>
        </w:rPr>
        <w:t xml:space="preserve"> since 2006</w:t>
      </w:r>
      <w:r w:rsidR="007C08C7">
        <w:rPr>
          <w:rFonts w:eastAsia="Times New Roman" w:cs="Times New Roman"/>
          <w:color w:val="002F5D"/>
          <w:lang w:eastAsia="en-GB"/>
        </w:rPr>
        <w:t>,</w:t>
      </w:r>
      <w:r w:rsidR="00CB7FB3" w:rsidRPr="00466722">
        <w:rPr>
          <w:rFonts w:eastAsia="Times New Roman" w:cs="Times New Roman"/>
          <w:color w:val="002F5D"/>
          <w:lang w:eastAsia="en-GB"/>
        </w:rPr>
        <w:t xml:space="preserve"> although </w:t>
      </w:r>
      <w:r w:rsidR="007C08C7">
        <w:rPr>
          <w:rFonts w:eastAsia="Times New Roman" w:cs="Times New Roman"/>
          <w:color w:val="002F5D"/>
          <w:lang w:eastAsia="en-GB"/>
        </w:rPr>
        <w:t>its</w:t>
      </w:r>
      <w:r w:rsidR="00CB7FB3" w:rsidRPr="00466722">
        <w:rPr>
          <w:rFonts w:eastAsia="Times New Roman" w:cs="Times New Roman"/>
          <w:color w:val="002F5D"/>
          <w:lang w:eastAsia="en-GB"/>
        </w:rPr>
        <w:t xml:space="preserve"> trend is decreasing.</w:t>
      </w:r>
    </w:p>
    <w:p w14:paraId="353EAA44" w14:textId="3F9A84B4" w:rsidR="009862AE" w:rsidRPr="00466722" w:rsidRDefault="009862AE" w:rsidP="00A938F7">
      <w:pPr>
        <w:pStyle w:val="ListParagraph"/>
        <w:numPr>
          <w:ilvl w:val="0"/>
          <w:numId w:val="28"/>
        </w:numPr>
        <w:spacing w:line="240" w:lineRule="auto"/>
        <w:rPr>
          <w:rFonts w:eastAsia="Times New Roman" w:cs="Times New Roman"/>
          <w:color w:val="002F5D"/>
          <w:lang w:eastAsia="en-GB"/>
        </w:rPr>
      </w:pPr>
      <w:r w:rsidRPr="00466722">
        <w:rPr>
          <w:rFonts w:cs="Arial"/>
          <w:color w:val="002F5D"/>
        </w:rPr>
        <w:t xml:space="preserve">Fenland’s rate of child poverty in children aged under 16 has worsened since 2006, increasing </w:t>
      </w:r>
      <w:r w:rsidR="007C08C7">
        <w:rPr>
          <w:rFonts w:cs="Arial"/>
          <w:color w:val="002F5D"/>
        </w:rPr>
        <w:t>until</w:t>
      </w:r>
      <w:r w:rsidRPr="00466722">
        <w:rPr>
          <w:rFonts w:cs="Arial"/>
          <w:color w:val="002F5D"/>
        </w:rPr>
        <w:t xml:space="preserve"> 2009 before largely levelling off.</w:t>
      </w:r>
    </w:p>
    <w:p w14:paraId="4016AFEB" w14:textId="188A6E59" w:rsidR="009862AE" w:rsidRPr="00466722" w:rsidRDefault="009862AE" w:rsidP="00A938F7">
      <w:pPr>
        <w:pStyle w:val="ListParagraph"/>
        <w:numPr>
          <w:ilvl w:val="0"/>
          <w:numId w:val="28"/>
        </w:numPr>
        <w:spacing w:line="240" w:lineRule="auto"/>
        <w:rPr>
          <w:rFonts w:eastAsia="Times New Roman" w:cs="Times New Roman"/>
          <w:color w:val="002F5D"/>
          <w:lang w:eastAsia="en-GB"/>
        </w:rPr>
      </w:pPr>
      <w:r w:rsidRPr="00466722">
        <w:rPr>
          <w:rFonts w:cs="Arial"/>
          <w:color w:val="002F5D"/>
        </w:rPr>
        <w:t xml:space="preserve">In 2012, as the national position improved, Fenland’s child poverty </w:t>
      </w:r>
      <w:r w:rsidR="007C08C7">
        <w:rPr>
          <w:rFonts w:cs="Arial"/>
          <w:color w:val="002F5D"/>
        </w:rPr>
        <w:t>percentage</w:t>
      </w:r>
      <w:r w:rsidRPr="00466722">
        <w:rPr>
          <w:rFonts w:cs="Arial"/>
          <w:color w:val="002F5D"/>
        </w:rPr>
        <w:t xml:space="preserve"> became statistically significantly worse than England’s </w:t>
      </w:r>
      <w:r w:rsidR="007C08C7">
        <w:rPr>
          <w:rFonts w:cs="Arial"/>
          <w:color w:val="002F5D"/>
        </w:rPr>
        <w:t>percentage</w:t>
      </w:r>
      <w:r w:rsidRPr="00466722">
        <w:rPr>
          <w:rFonts w:cs="Arial"/>
          <w:color w:val="002F5D"/>
        </w:rPr>
        <w:t>.</w:t>
      </w:r>
    </w:p>
    <w:p w14:paraId="4167B392" w14:textId="288DD8EA" w:rsidR="009862AE" w:rsidRPr="00466722" w:rsidRDefault="009862AE" w:rsidP="003E02D3">
      <w:pPr>
        <w:pStyle w:val="ListParagraph"/>
        <w:numPr>
          <w:ilvl w:val="0"/>
          <w:numId w:val="28"/>
        </w:numPr>
        <w:spacing w:line="240" w:lineRule="auto"/>
        <w:rPr>
          <w:rFonts w:eastAsia="Times New Roman" w:cs="Times New Roman"/>
          <w:color w:val="002F5D"/>
          <w:lang w:eastAsia="en-GB"/>
        </w:rPr>
      </w:pPr>
      <w:r w:rsidRPr="00466722">
        <w:rPr>
          <w:rFonts w:eastAsia="Times New Roman" w:cs="Times New Roman"/>
          <w:color w:val="002F5D"/>
          <w:lang w:eastAsia="en-GB"/>
        </w:rPr>
        <w:t xml:space="preserve">Fenland is always statistically significantly worse than the Cambridgeshire </w:t>
      </w:r>
      <w:r w:rsidR="007C08C7">
        <w:rPr>
          <w:rFonts w:eastAsia="Times New Roman" w:cs="Times New Roman"/>
          <w:color w:val="002F5D"/>
          <w:lang w:eastAsia="en-GB"/>
        </w:rPr>
        <w:t>percentage</w:t>
      </w:r>
      <w:r w:rsidRPr="00466722">
        <w:rPr>
          <w:rFonts w:eastAsia="Times New Roman" w:cs="Times New Roman"/>
          <w:color w:val="002F5D"/>
          <w:lang w:eastAsia="en-GB"/>
        </w:rPr>
        <w:t xml:space="preserve"> and shows no significant change compared with England or Cambridgeshire over the last </w:t>
      </w:r>
      <w:r w:rsidR="00880135" w:rsidRPr="00466722">
        <w:rPr>
          <w:rFonts w:eastAsia="Times New Roman" w:cs="Times New Roman"/>
          <w:color w:val="002F5D"/>
          <w:lang w:eastAsia="en-GB"/>
        </w:rPr>
        <w:t>7</w:t>
      </w:r>
      <w:r w:rsidRPr="00466722">
        <w:rPr>
          <w:rFonts w:eastAsia="Times New Roman" w:cs="Times New Roman"/>
          <w:color w:val="002F5D"/>
          <w:lang w:eastAsia="en-GB"/>
        </w:rPr>
        <w:t xml:space="preserve"> years.</w:t>
      </w:r>
    </w:p>
    <w:p w14:paraId="4260C2C7" w14:textId="77777777" w:rsidR="009775E7" w:rsidRPr="00466722" w:rsidRDefault="009775E7" w:rsidP="003E02D3">
      <w:pPr>
        <w:spacing w:line="240" w:lineRule="auto"/>
        <w:rPr>
          <w:rFonts w:eastAsia="Times New Roman" w:cs="Times New Roman"/>
          <w:color w:val="002F5D"/>
          <w:lang w:eastAsia="en-GB"/>
        </w:rPr>
      </w:pPr>
    </w:p>
    <w:p w14:paraId="151D24DC" w14:textId="77777777" w:rsidR="009775E7" w:rsidRPr="0037351D" w:rsidRDefault="007F635E" w:rsidP="003E02D3">
      <w:pPr>
        <w:spacing w:line="240" w:lineRule="auto"/>
        <w:rPr>
          <w:rFonts w:eastAsiaTheme="majorEastAsia" w:cstheme="majorBidi"/>
          <w:b/>
          <w:color w:val="FF0000"/>
        </w:rPr>
      </w:pPr>
      <w:r w:rsidRPr="00466722">
        <w:rPr>
          <w:color w:val="002F5D"/>
        </w:rPr>
        <w:t xml:space="preserve">USEFUL LINK: </w:t>
      </w:r>
      <w:hyperlink r:id="rId111" w:history="1">
        <w:r w:rsidRPr="00466722">
          <w:rPr>
            <w:rStyle w:val="Hyperlink"/>
            <w:rFonts w:eastAsia="Times New Roman" w:cs="Times New Roman"/>
            <w:color w:val="002F5D"/>
            <w:lang w:eastAsia="en-GB"/>
          </w:rPr>
          <w:t>http://www.phoutcomes.info</w:t>
        </w:r>
      </w:hyperlink>
      <w:r w:rsidRPr="00466722">
        <w:rPr>
          <w:rFonts w:eastAsia="Times New Roman" w:cs="Times New Roman"/>
          <w:color w:val="002F5D"/>
          <w:lang w:eastAsia="en-GB"/>
        </w:rPr>
        <w:t xml:space="preserve"> </w:t>
      </w:r>
      <w:r w:rsidR="009775E7" w:rsidRPr="0037351D">
        <w:rPr>
          <w:color w:val="FF0000"/>
        </w:rPr>
        <w:br w:type="page"/>
      </w:r>
    </w:p>
    <w:p w14:paraId="1A1BDA39" w14:textId="77777777" w:rsidR="00753A55" w:rsidRPr="0037351D" w:rsidRDefault="00753A55" w:rsidP="00A3568F">
      <w:pPr>
        <w:pStyle w:val="JSNA3"/>
      </w:pPr>
      <w:bookmarkStart w:id="746" w:name="_Toc4407845"/>
      <w:r w:rsidRPr="0037351D">
        <w:lastRenderedPageBreak/>
        <w:t>Child development and educational attainment</w:t>
      </w:r>
      <w:bookmarkEnd w:id="746"/>
    </w:p>
    <w:p w14:paraId="398F8F6E" w14:textId="77777777" w:rsidR="00753A55" w:rsidRPr="00466722" w:rsidRDefault="00753A55" w:rsidP="0038179C">
      <w:pPr>
        <w:spacing w:line="240" w:lineRule="auto"/>
        <w:rPr>
          <w:rFonts w:eastAsia="Times New Roman" w:cs="Times New Roman"/>
          <w:color w:val="002F5D"/>
          <w:lang w:eastAsia="en-GB"/>
        </w:rPr>
      </w:pPr>
    </w:p>
    <w:p w14:paraId="53C3E6E9" w14:textId="7ACD8740" w:rsidR="00BD4286" w:rsidRDefault="00EB6960" w:rsidP="00EB6960">
      <w:pPr>
        <w:pStyle w:val="Caption"/>
        <w:rPr>
          <w:rFonts w:cs="Arial"/>
          <w:color w:val="002F5D"/>
        </w:rPr>
      </w:pPr>
      <w:r w:rsidRPr="00466722">
        <w:rPr>
          <w:b/>
          <w:color w:val="002F5D"/>
        </w:rPr>
        <w:t xml:space="preserve">Figure </w:t>
      </w:r>
      <w:r w:rsidR="004061DD">
        <w:rPr>
          <w:b/>
          <w:color w:val="002F5D"/>
        </w:rPr>
        <w:t>28</w:t>
      </w:r>
      <w:r w:rsidR="00C90202" w:rsidRPr="00466722">
        <w:rPr>
          <w:rFonts w:cs="Arial"/>
          <w:color w:val="002F5D"/>
        </w:rPr>
        <w:t>. School Readiness: the percentage of children achieving a good level of development at the end of reception (</w:t>
      </w:r>
      <w:r w:rsidR="009269CF" w:rsidRPr="00466722">
        <w:rPr>
          <w:rFonts w:cs="Arial"/>
          <w:color w:val="002F5D"/>
        </w:rPr>
        <w:t>all pupils</w:t>
      </w:r>
      <w:r w:rsidR="00C90202" w:rsidRPr="00466722">
        <w:rPr>
          <w:rFonts w:cs="Arial"/>
          <w:color w:val="002F5D"/>
        </w:rPr>
        <w:t>) in Cambridgeshire</w:t>
      </w:r>
      <w:r w:rsidR="00412E2C">
        <w:rPr>
          <w:rFonts w:cs="Arial"/>
          <w:color w:val="002F5D"/>
        </w:rPr>
        <w:t>, Peterborough</w:t>
      </w:r>
      <w:r w:rsidR="00C90202" w:rsidRPr="00466722">
        <w:rPr>
          <w:rFonts w:cs="Arial"/>
          <w:color w:val="002F5D"/>
        </w:rPr>
        <w:t xml:space="preserve"> and England, 2012/13 to 201</w:t>
      </w:r>
      <w:r w:rsidR="00100B9D" w:rsidRPr="00466722">
        <w:rPr>
          <w:rFonts w:cs="Arial"/>
          <w:color w:val="002F5D"/>
        </w:rPr>
        <w:t>7</w:t>
      </w:r>
      <w:r w:rsidR="00C90202" w:rsidRPr="00466722">
        <w:rPr>
          <w:rFonts w:cs="Arial"/>
          <w:color w:val="002F5D"/>
        </w:rPr>
        <w:t>/</w:t>
      </w:r>
      <w:r w:rsidR="00100B9D" w:rsidRPr="00466722">
        <w:rPr>
          <w:rFonts w:cs="Arial"/>
          <w:color w:val="002F5D"/>
        </w:rPr>
        <w:t>18</w:t>
      </w:r>
    </w:p>
    <w:p w14:paraId="584BD242" w14:textId="77777777" w:rsidR="000C54A8" w:rsidRPr="00466722" w:rsidRDefault="000C54A8" w:rsidP="00E61D24"/>
    <w:p w14:paraId="537E36D1" w14:textId="275F025D" w:rsidR="00C90202" w:rsidRPr="00466722" w:rsidRDefault="000C54A8" w:rsidP="00EB6960">
      <w:pPr>
        <w:pStyle w:val="Caption"/>
        <w:rPr>
          <w:rFonts w:cs="Arial"/>
          <w:color w:val="002F5D"/>
        </w:rPr>
      </w:pPr>
      <w:r>
        <w:rPr>
          <w:rFonts w:cs="Arial"/>
          <w:noProof/>
          <w:color w:val="002F5D"/>
          <w:lang w:eastAsia="en-GB"/>
        </w:rPr>
        <w:drawing>
          <wp:inline distT="0" distB="0" distL="0" distR="0" wp14:anchorId="69A0D617" wp14:editId="4763F11C">
            <wp:extent cx="5419725" cy="3188335"/>
            <wp:effectExtent l="0" t="0" r="952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19725" cy="3188335"/>
                    </a:xfrm>
                    <a:prstGeom prst="rect">
                      <a:avLst/>
                    </a:prstGeom>
                    <a:noFill/>
                  </pic:spPr>
                </pic:pic>
              </a:graphicData>
            </a:graphic>
          </wp:inline>
        </w:drawing>
      </w:r>
    </w:p>
    <w:p w14:paraId="6518E05D" w14:textId="77777777" w:rsidR="000C54A8" w:rsidRPr="0037351D" w:rsidRDefault="000C54A8" w:rsidP="0038179C">
      <w:pPr>
        <w:spacing w:line="240" w:lineRule="auto"/>
        <w:rPr>
          <w:rFonts w:cs="Arial"/>
          <w:color w:val="FF0000"/>
        </w:rPr>
      </w:pPr>
    </w:p>
    <w:p w14:paraId="35E53106" w14:textId="269E6EA0" w:rsidR="00412E2C" w:rsidRPr="00E61D24" w:rsidRDefault="00BD4286" w:rsidP="0038179C">
      <w:pPr>
        <w:spacing w:line="240" w:lineRule="auto"/>
        <w:rPr>
          <w:rFonts w:cs="Arial"/>
          <w:color w:val="002F5D"/>
          <w:sz w:val="18"/>
          <w:szCs w:val="18"/>
        </w:rPr>
      </w:pPr>
      <w:r w:rsidRPr="00E61D24">
        <w:rPr>
          <w:rFonts w:cs="Arial"/>
          <w:color w:val="002F5D"/>
          <w:sz w:val="18"/>
          <w:szCs w:val="18"/>
        </w:rPr>
        <w:t>Note:  axis doesn’t start at 0</w:t>
      </w:r>
    </w:p>
    <w:p w14:paraId="0FAAC913" w14:textId="7CCE226F" w:rsidR="00C90202" w:rsidRPr="0037351D" w:rsidRDefault="00C90202" w:rsidP="0038179C">
      <w:pPr>
        <w:spacing w:line="240" w:lineRule="auto"/>
        <w:rPr>
          <w:rFonts w:cs="Arial"/>
          <w:color w:val="FF0000"/>
        </w:rPr>
      </w:pPr>
    </w:p>
    <w:p w14:paraId="25F09EF1" w14:textId="27667E22" w:rsidR="00C90202" w:rsidRPr="0037351D" w:rsidRDefault="00412E2C" w:rsidP="0038179C">
      <w:pPr>
        <w:spacing w:line="240" w:lineRule="auto"/>
        <w:rPr>
          <w:noProof/>
          <w:color w:val="FF0000"/>
          <w:lang w:eastAsia="en-GB"/>
        </w:rPr>
      </w:pPr>
      <w:r w:rsidRPr="00412E2C">
        <w:rPr>
          <w:noProof/>
          <w:lang w:eastAsia="en-GB"/>
        </w:rPr>
        <w:drawing>
          <wp:inline distT="0" distB="0" distL="0" distR="0" wp14:anchorId="0233B594" wp14:editId="3E9CFB6E">
            <wp:extent cx="4276725" cy="6096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76725" cy="609600"/>
                    </a:xfrm>
                    <a:prstGeom prst="rect">
                      <a:avLst/>
                    </a:prstGeom>
                    <a:noFill/>
                    <a:ln>
                      <a:noFill/>
                    </a:ln>
                  </pic:spPr>
                </pic:pic>
              </a:graphicData>
            </a:graphic>
          </wp:inline>
        </w:drawing>
      </w:r>
    </w:p>
    <w:p w14:paraId="76C7E012" w14:textId="77777777" w:rsidR="006439D8" w:rsidRPr="0037351D" w:rsidRDefault="006439D8" w:rsidP="006F017A">
      <w:pPr>
        <w:spacing w:line="240" w:lineRule="auto"/>
        <w:rPr>
          <w:rFonts w:eastAsia="Times New Roman" w:cs="Times New Roman"/>
          <w:b/>
          <w:bCs/>
          <w:color w:val="FF0000"/>
          <w:lang w:eastAsia="en-GB"/>
        </w:rPr>
      </w:pPr>
    </w:p>
    <w:p w14:paraId="0F332D3F" w14:textId="77777777" w:rsidR="006F017A" w:rsidRPr="00466722" w:rsidRDefault="006F017A" w:rsidP="006F017A">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xml:space="preserve"> Department of Education, from PHE Public Health Outcomes Framework</w:t>
      </w:r>
    </w:p>
    <w:p w14:paraId="4D0E076C" w14:textId="77777777" w:rsidR="007A30C0" w:rsidRPr="00466722" w:rsidRDefault="007A30C0" w:rsidP="0038179C">
      <w:pPr>
        <w:spacing w:line="240" w:lineRule="auto"/>
        <w:rPr>
          <w:rFonts w:cs="Arial"/>
          <w:b/>
          <w:color w:val="002F5D"/>
        </w:rPr>
      </w:pPr>
    </w:p>
    <w:p w14:paraId="2E3FA90E" w14:textId="77777777" w:rsidR="00C90202" w:rsidRPr="00466722" w:rsidRDefault="00C90202" w:rsidP="0038179C">
      <w:pPr>
        <w:spacing w:line="240" w:lineRule="auto"/>
        <w:rPr>
          <w:rFonts w:eastAsia="Times New Roman" w:cs="Times New Roman"/>
          <w:color w:val="002F5D"/>
          <w:lang w:eastAsia="en-GB"/>
        </w:rPr>
      </w:pPr>
      <w:r w:rsidRPr="00466722">
        <w:rPr>
          <w:rFonts w:cs="Arial"/>
          <w:b/>
          <w:color w:val="002F5D"/>
        </w:rPr>
        <w:t>Key points:</w:t>
      </w:r>
    </w:p>
    <w:p w14:paraId="0C42A82E" w14:textId="7BB7B7BC" w:rsidR="001D69B3" w:rsidRPr="00466722" w:rsidRDefault="001D69B3" w:rsidP="001D69B3">
      <w:pPr>
        <w:pStyle w:val="ListParagraph"/>
        <w:numPr>
          <w:ilvl w:val="0"/>
          <w:numId w:val="29"/>
        </w:numPr>
        <w:spacing w:line="240" w:lineRule="auto"/>
        <w:rPr>
          <w:rFonts w:eastAsia="Times New Roman" w:cs="Times New Roman"/>
          <w:color w:val="002F5D"/>
          <w:lang w:eastAsia="en-GB"/>
        </w:rPr>
      </w:pPr>
      <w:r w:rsidRPr="00466722">
        <w:rPr>
          <w:rFonts w:cs="Arial"/>
          <w:color w:val="002F5D"/>
        </w:rPr>
        <w:t xml:space="preserve">Cambridgeshire’s </w:t>
      </w:r>
      <w:r w:rsidR="005969BA">
        <w:rPr>
          <w:rFonts w:cs="Arial"/>
          <w:color w:val="002F5D"/>
        </w:rPr>
        <w:t>percentage</w:t>
      </w:r>
      <w:r w:rsidR="004F5058" w:rsidRPr="00466722">
        <w:rPr>
          <w:rFonts w:cs="Arial"/>
          <w:color w:val="002F5D"/>
        </w:rPr>
        <w:t xml:space="preserve"> </w:t>
      </w:r>
      <w:r w:rsidRPr="00466722">
        <w:rPr>
          <w:rFonts w:cs="Arial"/>
          <w:color w:val="002F5D"/>
        </w:rPr>
        <w:t>is statistically similar to the England average and</w:t>
      </w:r>
      <w:r w:rsidR="004F5058" w:rsidRPr="00466722">
        <w:rPr>
          <w:rFonts w:cs="Arial"/>
          <w:color w:val="002F5D"/>
        </w:rPr>
        <w:t xml:space="preserve">, in line with the national </w:t>
      </w:r>
      <w:r w:rsidR="005969BA">
        <w:rPr>
          <w:rFonts w:cs="Arial"/>
          <w:color w:val="002F5D"/>
        </w:rPr>
        <w:t>percentage</w:t>
      </w:r>
      <w:r w:rsidRPr="00466722">
        <w:rPr>
          <w:rFonts w:cs="Arial"/>
          <w:color w:val="002F5D"/>
        </w:rPr>
        <w:t>, has increased over recent periods.</w:t>
      </w:r>
    </w:p>
    <w:p w14:paraId="743AB0BE" w14:textId="5B478590" w:rsidR="00011A18" w:rsidRPr="00466722" w:rsidRDefault="001D69B3" w:rsidP="00A938F7">
      <w:pPr>
        <w:pStyle w:val="ListParagraph"/>
        <w:numPr>
          <w:ilvl w:val="0"/>
          <w:numId w:val="29"/>
        </w:numPr>
        <w:spacing w:line="240" w:lineRule="auto"/>
        <w:rPr>
          <w:rFonts w:eastAsia="Times New Roman" w:cs="Times New Roman"/>
          <w:color w:val="002F5D"/>
          <w:lang w:eastAsia="en-GB"/>
        </w:rPr>
      </w:pPr>
      <w:r w:rsidRPr="00466722">
        <w:rPr>
          <w:rFonts w:cs="Arial"/>
          <w:color w:val="002F5D"/>
        </w:rPr>
        <w:t xml:space="preserve">Peterborough’s </w:t>
      </w:r>
      <w:r w:rsidR="005969BA">
        <w:rPr>
          <w:rFonts w:cs="Arial"/>
          <w:color w:val="002F5D"/>
        </w:rPr>
        <w:t xml:space="preserve">percentage has been statistically significantly worse than the national average for the four years 2014/15 – 2017/18, although an improvement from 61.1% in 2014/15 to 66.7% in 2017/18 shows a statistically significantly improving recent trend. </w:t>
      </w:r>
    </w:p>
    <w:p w14:paraId="7D969C50" w14:textId="3F70BC93" w:rsidR="00412E2C" w:rsidRDefault="00412E2C" w:rsidP="00466722">
      <w:pPr>
        <w:pStyle w:val="ListParagraph"/>
        <w:spacing w:line="240" w:lineRule="auto"/>
        <w:rPr>
          <w:rFonts w:eastAsia="Times New Roman" w:cs="Times New Roman"/>
          <w:color w:val="FF0000"/>
          <w:lang w:eastAsia="en-GB"/>
        </w:rPr>
      </w:pPr>
    </w:p>
    <w:p w14:paraId="62FF175C" w14:textId="385B6B79" w:rsidR="00412E2C" w:rsidRDefault="00412E2C" w:rsidP="00466722">
      <w:pPr>
        <w:pStyle w:val="ListParagraph"/>
        <w:spacing w:line="240" w:lineRule="auto"/>
        <w:rPr>
          <w:rFonts w:eastAsia="Times New Roman" w:cs="Times New Roman"/>
          <w:color w:val="FF0000"/>
          <w:lang w:eastAsia="en-GB"/>
        </w:rPr>
      </w:pPr>
    </w:p>
    <w:p w14:paraId="2636E464" w14:textId="5C839B28" w:rsidR="00412E2C" w:rsidRDefault="00412E2C" w:rsidP="00466722">
      <w:pPr>
        <w:pStyle w:val="ListParagraph"/>
        <w:spacing w:line="240" w:lineRule="auto"/>
        <w:rPr>
          <w:rFonts w:eastAsia="Times New Roman" w:cs="Times New Roman"/>
          <w:color w:val="FF0000"/>
          <w:lang w:eastAsia="en-GB"/>
        </w:rPr>
      </w:pPr>
    </w:p>
    <w:p w14:paraId="3FE42379" w14:textId="6A072731" w:rsidR="00412E2C" w:rsidRDefault="00412E2C" w:rsidP="00466722">
      <w:pPr>
        <w:pStyle w:val="ListParagraph"/>
        <w:spacing w:line="240" w:lineRule="auto"/>
        <w:rPr>
          <w:rFonts w:eastAsia="Times New Roman" w:cs="Times New Roman"/>
          <w:color w:val="FF0000"/>
          <w:lang w:eastAsia="en-GB"/>
        </w:rPr>
      </w:pPr>
    </w:p>
    <w:p w14:paraId="2F77809B" w14:textId="3A76B697" w:rsidR="00412E2C" w:rsidRDefault="00412E2C" w:rsidP="00466722">
      <w:pPr>
        <w:pStyle w:val="ListParagraph"/>
        <w:spacing w:line="240" w:lineRule="auto"/>
        <w:rPr>
          <w:rFonts w:eastAsia="Times New Roman" w:cs="Times New Roman"/>
          <w:color w:val="FF0000"/>
          <w:lang w:eastAsia="en-GB"/>
        </w:rPr>
      </w:pPr>
    </w:p>
    <w:p w14:paraId="77479818" w14:textId="5208533C" w:rsidR="00412E2C" w:rsidRDefault="00412E2C" w:rsidP="00466722">
      <w:pPr>
        <w:pStyle w:val="ListParagraph"/>
        <w:spacing w:line="240" w:lineRule="auto"/>
        <w:rPr>
          <w:rFonts w:eastAsia="Times New Roman" w:cs="Times New Roman"/>
          <w:color w:val="FF0000"/>
          <w:lang w:eastAsia="en-GB"/>
        </w:rPr>
      </w:pPr>
    </w:p>
    <w:p w14:paraId="246DFBCA" w14:textId="29DDE7E3" w:rsidR="00412E2C" w:rsidRDefault="00412E2C" w:rsidP="00466722">
      <w:pPr>
        <w:pStyle w:val="ListParagraph"/>
        <w:spacing w:line="240" w:lineRule="auto"/>
        <w:rPr>
          <w:rFonts w:eastAsia="Times New Roman" w:cs="Times New Roman"/>
          <w:color w:val="FF0000"/>
          <w:lang w:eastAsia="en-GB"/>
        </w:rPr>
      </w:pPr>
    </w:p>
    <w:p w14:paraId="4115A616" w14:textId="4D1C576E" w:rsidR="00412E2C" w:rsidRDefault="00412E2C" w:rsidP="00466722">
      <w:pPr>
        <w:pStyle w:val="ListParagraph"/>
        <w:spacing w:line="240" w:lineRule="auto"/>
        <w:rPr>
          <w:rFonts w:eastAsia="Times New Roman" w:cs="Times New Roman"/>
          <w:color w:val="FF0000"/>
          <w:lang w:eastAsia="en-GB"/>
        </w:rPr>
      </w:pPr>
    </w:p>
    <w:p w14:paraId="5352F96A" w14:textId="6F800E3D" w:rsidR="00412E2C" w:rsidRDefault="00412E2C" w:rsidP="00466722">
      <w:pPr>
        <w:pStyle w:val="ListParagraph"/>
        <w:spacing w:line="240" w:lineRule="auto"/>
        <w:rPr>
          <w:rFonts w:eastAsia="Times New Roman" w:cs="Times New Roman"/>
          <w:color w:val="FF0000"/>
          <w:lang w:eastAsia="en-GB"/>
        </w:rPr>
      </w:pPr>
    </w:p>
    <w:p w14:paraId="1EAF381E" w14:textId="386AD9F3" w:rsidR="00412E2C" w:rsidRDefault="00412E2C" w:rsidP="00466722">
      <w:pPr>
        <w:pStyle w:val="ListParagraph"/>
        <w:spacing w:line="240" w:lineRule="auto"/>
        <w:rPr>
          <w:rFonts w:eastAsia="Times New Roman" w:cs="Times New Roman"/>
          <w:color w:val="FF0000"/>
          <w:lang w:eastAsia="en-GB"/>
        </w:rPr>
      </w:pPr>
    </w:p>
    <w:p w14:paraId="1680C4C3" w14:textId="22EE9428" w:rsidR="00412E2C" w:rsidRDefault="00412E2C" w:rsidP="00466722">
      <w:pPr>
        <w:pStyle w:val="ListParagraph"/>
        <w:spacing w:line="240" w:lineRule="auto"/>
        <w:rPr>
          <w:rFonts w:eastAsia="Times New Roman" w:cs="Times New Roman"/>
          <w:color w:val="FF0000"/>
          <w:lang w:eastAsia="en-GB"/>
        </w:rPr>
      </w:pPr>
    </w:p>
    <w:p w14:paraId="35B68E5C" w14:textId="77777777" w:rsidR="00412E2C" w:rsidRPr="0037351D" w:rsidRDefault="00412E2C" w:rsidP="00466722">
      <w:pPr>
        <w:pStyle w:val="ListParagraph"/>
        <w:spacing w:line="240" w:lineRule="auto"/>
        <w:rPr>
          <w:rFonts w:eastAsia="Times New Roman" w:cs="Times New Roman"/>
          <w:color w:val="FF0000"/>
          <w:lang w:eastAsia="en-GB"/>
        </w:rPr>
      </w:pPr>
    </w:p>
    <w:p w14:paraId="526D0885" w14:textId="24AE9671" w:rsidR="00530F09" w:rsidRDefault="00EB6960" w:rsidP="00EB6960">
      <w:pPr>
        <w:pStyle w:val="Caption"/>
        <w:rPr>
          <w:rFonts w:cs="Arial"/>
          <w:color w:val="002F5D"/>
        </w:rPr>
      </w:pPr>
      <w:r w:rsidRPr="00466722">
        <w:rPr>
          <w:b/>
          <w:color w:val="002F5D"/>
        </w:rPr>
        <w:lastRenderedPageBreak/>
        <w:t xml:space="preserve">Figure </w:t>
      </w:r>
      <w:r w:rsidR="004061DD">
        <w:rPr>
          <w:b/>
          <w:color w:val="002F5D"/>
        </w:rPr>
        <w:t>29</w:t>
      </w:r>
      <w:r w:rsidR="00C90202" w:rsidRPr="00466722">
        <w:rPr>
          <w:rFonts w:cs="Arial"/>
          <w:color w:val="002F5D"/>
        </w:rPr>
        <w:t>. School Readiness: the percentage of children with free school meal status achieving a good level of development at the end of reception (</w:t>
      </w:r>
      <w:r w:rsidR="009269CF" w:rsidRPr="00466722">
        <w:rPr>
          <w:rFonts w:cs="Arial"/>
          <w:color w:val="002F5D"/>
        </w:rPr>
        <w:t>all pupils</w:t>
      </w:r>
      <w:r w:rsidR="00C90202" w:rsidRPr="00466722">
        <w:rPr>
          <w:rFonts w:cs="Arial"/>
          <w:color w:val="002F5D"/>
        </w:rPr>
        <w:t>) in Cambridgeshire</w:t>
      </w:r>
      <w:r w:rsidR="00412E2C">
        <w:rPr>
          <w:rFonts w:cs="Arial"/>
          <w:color w:val="002F5D"/>
        </w:rPr>
        <w:t>, Peterborough</w:t>
      </w:r>
      <w:r w:rsidR="00C90202" w:rsidRPr="00466722">
        <w:rPr>
          <w:rFonts w:cs="Arial"/>
          <w:color w:val="002F5D"/>
        </w:rPr>
        <w:t xml:space="preserve"> and England, 2012/13 to 201</w:t>
      </w:r>
      <w:r w:rsidR="00412E2C" w:rsidRPr="00466722">
        <w:rPr>
          <w:rFonts w:cs="Arial"/>
          <w:color w:val="002F5D"/>
        </w:rPr>
        <w:t>7</w:t>
      </w:r>
      <w:r w:rsidR="00C90202" w:rsidRPr="00466722">
        <w:rPr>
          <w:rFonts w:cs="Arial"/>
          <w:color w:val="002F5D"/>
        </w:rPr>
        <w:t>/1</w:t>
      </w:r>
      <w:r w:rsidR="00412E2C" w:rsidRPr="00466722">
        <w:rPr>
          <w:rFonts w:cs="Arial"/>
          <w:color w:val="002F5D"/>
        </w:rPr>
        <w:t>8</w:t>
      </w:r>
    </w:p>
    <w:p w14:paraId="48BB76C2" w14:textId="77777777" w:rsidR="000C54A8" w:rsidRPr="00466722" w:rsidRDefault="000C54A8" w:rsidP="00466722"/>
    <w:p w14:paraId="0A9B6688" w14:textId="19F521D7" w:rsidR="00C90202" w:rsidRPr="00466722" w:rsidRDefault="000C54A8" w:rsidP="00466722">
      <w:r>
        <w:rPr>
          <w:noProof/>
          <w:lang w:eastAsia="en-GB"/>
        </w:rPr>
        <w:drawing>
          <wp:inline distT="0" distB="0" distL="0" distR="0" wp14:anchorId="4BEA47B0" wp14:editId="14C39BD9">
            <wp:extent cx="5419725" cy="3157855"/>
            <wp:effectExtent l="0" t="0" r="9525" b="444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19725" cy="3157855"/>
                    </a:xfrm>
                    <a:prstGeom prst="rect">
                      <a:avLst/>
                    </a:prstGeom>
                    <a:noFill/>
                  </pic:spPr>
                </pic:pic>
              </a:graphicData>
            </a:graphic>
          </wp:inline>
        </w:drawing>
      </w:r>
    </w:p>
    <w:p w14:paraId="08EBF939" w14:textId="0E93DB7B" w:rsidR="00FA226D" w:rsidRPr="0037351D" w:rsidRDefault="00FA226D" w:rsidP="003D7D31">
      <w:pPr>
        <w:spacing w:line="240" w:lineRule="auto"/>
        <w:rPr>
          <w:noProof/>
          <w:color w:val="FF0000"/>
          <w:lang w:eastAsia="en-GB"/>
        </w:rPr>
      </w:pPr>
    </w:p>
    <w:p w14:paraId="197993F9" w14:textId="3CCC4A7B" w:rsidR="006F017A" w:rsidRPr="00466722" w:rsidRDefault="00412E2C" w:rsidP="0038179C">
      <w:pPr>
        <w:spacing w:line="240" w:lineRule="auto"/>
        <w:rPr>
          <w:rFonts w:eastAsia="Times New Roman" w:cs="Times New Roman"/>
          <w:color w:val="002F5D"/>
          <w:lang w:eastAsia="en-GB"/>
        </w:rPr>
      </w:pPr>
      <w:r w:rsidRPr="00466722">
        <w:rPr>
          <w:rFonts w:eastAsia="Times New Roman" w:cs="Times New Roman"/>
          <w:noProof/>
          <w:color w:val="002F5D"/>
          <w:lang w:eastAsia="en-GB"/>
        </w:rPr>
        <w:drawing>
          <wp:inline distT="0" distB="0" distL="0" distR="0" wp14:anchorId="76B2A4B0" wp14:editId="7997A824">
            <wp:extent cx="4279900" cy="6096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79900" cy="609600"/>
                    </a:xfrm>
                    <a:prstGeom prst="rect">
                      <a:avLst/>
                    </a:prstGeom>
                    <a:noFill/>
                  </pic:spPr>
                </pic:pic>
              </a:graphicData>
            </a:graphic>
          </wp:inline>
        </w:drawing>
      </w:r>
    </w:p>
    <w:p w14:paraId="77A34998" w14:textId="77777777" w:rsidR="006439D8" w:rsidRPr="00466722" w:rsidRDefault="006439D8" w:rsidP="0038179C">
      <w:pPr>
        <w:spacing w:line="240" w:lineRule="auto"/>
        <w:rPr>
          <w:rFonts w:eastAsia="Times New Roman" w:cs="Times New Roman"/>
          <w:b/>
          <w:bCs/>
          <w:color w:val="002F5D"/>
          <w:lang w:eastAsia="en-GB"/>
        </w:rPr>
      </w:pPr>
    </w:p>
    <w:p w14:paraId="682E666F" w14:textId="77777777" w:rsidR="003D7D31" w:rsidRPr="00466722" w:rsidRDefault="006F017A" w:rsidP="0038179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xml:space="preserve"> Department of Education, from PHE Public Health Outcomes Framework</w:t>
      </w:r>
    </w:p>
    <w:p w14:paraId="06C83FED" w14:textId="77777777" w:rsidR="007A30C0" w:rsidRPr="0037351D" w:rsidRDefault="007A30C0" w:rsidP="00C578AC">
      <w:pPr>
        <w:spacing w:line="240" w:lineRule="auto"/>
        <w:rPr>
          <w:rFonts w:eastAsia="Times New Roman" w:cs="Times New Roman"/>
          <w:color w:val="FF0000"/>
          <w:sz w:val="16"/>
          <w:szCs w:val="16"/>
          <w:lang w:eastAsia="en-GB"/>
        </w:rPr>
      </w:pPr>
    </w:p>
    <w:p w14:paraId="1D097CDE" w14:textId="1E287BB1" w:rsidR="00C90202" w:rsidRPr="00466722" w:rsidRDefault="00C90202" w:rsidP="00466722">
      <w:pPr>
        <w:spacing w:line="240" w:lineRule="auto"/>
      </w:pPr>
      <w:r w:rsidRPr="00466722">
        <w:rPr>
          <w:rFonts w:cs="Arial"/>
          <w:b/>
          <w:color w:val="002F5D"/>
        </w:rPr>
        <w:t>Key point:</w:t>
      </w:r>
    </w:p>
    <w:p w14:paraId="1FEEE1A7" w14:textId="45B216FA" w:rsidR="003D7D31" w:rsidRPr="00466722" w:rsidRDefault="00C90202" w:rsidP="00A355DE">
      <w:pPr>
        <w:pStyle w:val="ListParagraph"/>
        <w:numPr>
          <w:ilvl w:val="0"/>
          <w:numId w:val="29"/>
        </w:numPr>
        <w:spacing w:line="240" w:lineRule="auto"/>
        <w:rPr>
          <w:rFonts w:cs="Arial"/>
          <w:color w:val="002F5D"/>
        </w:rPr>
      </w:pPr>
      <w:r w:rsidRPr="00466722">
        <w:rPr>
          <w:rFonts w:cs="Arial"/>
          <w:color w:val="002F5D"/>
        </w:rPr>
        <w:t>While both England and Cambridgeshire have improving</w:t>
      </w:r>
      <w:r w:rsidR="004F5058" w:rsidRPr="00466722">
        <w:rPr>
          <w:rFonts w:cs="Arial"/>
          <w:color w:val="002F5D"/>
        </w:rPr>
        <w:t xml:space="preserve"> trends, the Cambridgeshire </w:t>
      </w:r>
      <w:r w:rsidR="00AB1A2B">
        <w:rPr>
          <w:rFonts w:cs="Arial"/>
          <w:color w:val="002F5D"/>
        </w:rPr>
        <w:t>percentage</w:t>
      </w:r>
      <w:r w:rsidRPr="00466722">
        <w:rPr>
          <w:rFonts w:cs="Arial"/>
          <w:color w:val="002F5D"/>
        </w:rPr>
        <w:t xml:space="preserve"> </w:t>
      </w:r>
      <w:r w:rsidR="00EC6D7F" w:rsidRPr="00466722">
        <w:rPr>
          <w:rFonts w:cs="Arial"/>
          <w:color w:val="002F5D"/>
        </w:rPr>
        <w:t>has rem</w:t>
      </w:r>
      <w:r w:rsidR="004F5058" w:rsidRPr="00466722">
        <w:rPr>
          <w:rFonts w:cs="Arial"/>
          <w:color w:val="002F5D"/>
        </w:rPr>
        <w:t xml:space="preserve">ained lower than England’s percentage </w:t>
      </w:r>
      <w:r w:rsidR="00EC6D7F" w:rsidRPr="00466722">
        <w:rPr>
          <w:rFonts w:cs="Arial"/>
          <w:color w:val="002F5D"/>
        </w:rPr>
        <w:t>through the entire period</w:t>
      </w:r>
      <w:r w:rsidR="00AB1A2B">
        <w:rPr>
          <w:rFonts w:cs="Arial"/>
          <w:color w:val="002F5D"/>
        </w:rPr>
        <w:t xml:space="preserve"> outlined within the table above</w:t>
      </w:r>
      <w:r w:rsidR="00EC6D7F" w:rsidRPr="00466722">
        <w:rPr>
          <w:rFonts w:cs="Arial"/>
          <w:color w:val="002F5D"/>
        </w:rPr>
        <w:t>.</w:t>
      </w:r>
      <w:r w:rsidR="00AD6063" w:rsidRPr="00466722">
        <w:rPr>
          <w:rFonts w:cs="Arial"/>
          <w:color w:val="002F5D"/>
        </w:rPr>
        <w:t xml:space="preserve"> </w:t>
      </w:r>
      <w:r w:rsidR="003D7D31" w:rsidRPr="00466722">
        <w:rPr>
          <w:rFonts w:cs="Arial"/>
          <w:color w:val="002F5D"/>
        </w:rPr>
        <w:t xml:space="preserve">Peterborough’s percentage of children with free school meal status achieving a good level of development at the end of reception is statistically similar to the England </w:t>
      </w:r>
      <w:r w:rsidR="003C76BF">
        <w:rPr>
          <w:rFonts w:cs="Arial"/>
          <w:color w:val="002F5D"/>
        </w:rPr>
        <w:t>percentage</w:t>
      </w:r>
      <w:r w:rsidR="003D7D31" w:rsidRPr="00466722">
        <w:rPr>
          <w:rFonts w:cs="Arial"/>
          <w:color w:val="002F5D"/>
        </w:rPr>
        <w:t xml:space="preserve"> and has remained so </w:t>
      </w:r>
      <w:r w:rsidR="007340C0" w:rsidRPr="00466722">
        <w:rPr>
          <w:rFonts w:cs="Arial"/>
          <w:color w:val="002F5D"/>
        </w:rPr>
        <w:t xml:space="preserve">since </w:t>
      </w:r>
      <w:r w:rsidR="003D7D31" w:rsidRPr="00466722">
        <w:rPr>
          <w:rFonts w:cs="Arial"/>
          <w:color w:val="002F5D"/>
        </w:rPr>
        <w:t>201</w:t>
      </w:r>
      <w:r w:rsidR="007340C0" w:rsidRPr="00466722">
        <w:rPr>
          <w:rFonts w:cs="Arial"/>
          <w:color w:val="002F5D"/>
        </w:rPr>
        <w:t>4</w:t>
      </w:r>
      <w:r w:rsidR="003D7D31" w:rsidRPr="00466722">
        <w:rPr>
          <w:rFonts w:cs="Arial"/>
          <w:color w:val="002F5D"/>
        </w:rPr>
        <w:t>/1</w:t>
      </w:r>
      <w:r w:rsidR="007340C0" w:rsidRPr="00466722">
        <w:rPr>
          <w:rFonts w:cs="Arial"/>
          <w:color w:val="002F5D"/>
        </w:rPr>
        <w:t>5</w:t>
      </w:r>
      <w:r w:rsidR="003D7D31" w:rsidRPr="00466722">
        <w:rPr>
          <w:rFonts w:cs="Arial"/>
          <w:color w:val="002F5D"/>
        </w:rPr>
        <w:t xml:space="preserve"> after being statistically</w:t>
      </w:r>
      <w:r w:rsidR="003C76BF">
        <w:rPr>
          <w:rFonts w:cs="Arial"/>
          <w:color w:val="002F5D"/>
        </w:rPr>
        <w:t xml:space="preserve"> significantly</w:t>
      </w:r>
      <w:r w:rsidR="003D7D31" w:rsidRPr="00466722">
        <w:rPr>
          <w:rFonts w:cs="Arial"/>
          <w:color w:val="002F5D"/>
        </w:rPr>
        <w:t xml:space="preserve"> better than the England rate in 2013/14.</w:t>
      </w:r>
    </w:p>
    <w:p w14:paraId="2A5376C5" w14:textId="77777777" w:rsidR="007A30C0" w:rsidRPr="00466722" w:rsidRDefault="007A30C0" w:rsidP="00C578AC">
      <w:pPr>
        <w:spacing w:line="240" w:lineRule="auto"/>
        <w:rPr>
          <w:rFonts w:eastAsia="Times New Roman" w:cs="Times New Roman"/>
          <w:color w:val="002F5D"/>
          <w:lang w:eastAsia="en-GB"/>
        </w:rPr>
      </w:pPr>
    </w:p>
    <w:p w14:paraId="5F0038C2" w14:textId="0784CC7E" w:rsidR="00BE27DA" w:rsidRDefault="00BE27DA" w:rsidP="00C578AC">
      <w:pPr>
        <w:spacing w:line="240" w:lineRule="auto"/>
        <w:rPr>
          <w:rStyle w:val="Hyperlink"/>
          <w:rFonts w:eastAsia="Times New Roman" w:cs="Times New Roman"/>
          <w:color w:val="002F5D"/>
          <w:lang w:eastAsia="en-GB"/>
        </w:rPr>
      </w:pPr>
      <w:r w:rsidRPr="00466722">
        <w:rPr>
          <w:rFonts w:eastAsia="Times New Roman" w:cs="Times New Roman"/>
          <w:color w:val="002F5D"/>
          <w:lang w:eastAsia="en-GB"/>
        </w:rPr>
        <w:t xml:space="preserve">USEFUL LINK: </w:t>
      </w:r>
      <w:hyperlink r:id="rId116" w:history="1">
        <w:r w:rsidRPr="00466722">
          <w:rPr>
            <w:rStyle w:val="Hyperlink"/>
            <w:rFonts w:eastAsia="Times New Roman" w:cs="Times New Roman"/>
            <w:color w:val="002F5D"/>
            <w:lang w:eastAsia="en-GB"/>
          </w:rPr>
          <w:t>http://www.phoutcomes.info</w:t>
        </w:r>
      </w:hyperlink>
    </w:p>
    <w:p w14:paraId="0CA5AD0F" w14:textId="7866C509" w:rsidR="007340C0" w:rsidRDefault="007340C0" w:rsidP="00C578AC">
      <w:pPr>
        <w:spacing w:line="240" w:lineRule="auto"/>
        <w:rPr>
          <w:rStyle w:val="Hyperlink"/>
          <w:rFonts w:eastAsia="Times New Roman" w:cs="Times New Roman"/>
          <w:color w:val="002F5D"/>
          <w:lang w:eastAsia="en-GB"/>
        </w:rPr>
      </w:pPr>
    </w:p>
    <w:p w14:paraId="19A1E887" w14:textId="5550B292" w:rsidR="007340C0" w:rsidRDefault="007340C0" w:rsidP="00C578AC">
      <w:pPr>
        <w:spacing w:line="240" w:lineRule="auto"/>
        <w:rPr>
          <w:rStyle w:val="Hyperlink"/>
          <w:rFonts w:eastAsia="Times New Roman" w:cs="Times New Roman"/>
          <w:color w:val="002F5D"/>
          <w:lang w:eastAsia="en-GB"/>
        </w:rPr>
      </w:pPr>
    </w:p>
    <w:p w14:paraId="13DF5C44" w14:textId="0A804707" w:rsidR="007340C0" w:rsidRDefault="007340C0" w:rsidP="00C578AC">
      <w:pPr>
        <w:spacing w:line="240" w:lineRule="auto"/>
        <w:rPr>
          <w:rStyle w:val="Hyperlink"/>
          <w:rFonts w:eastAsia="Times New Roman" w:cs="Times New Roman"/>
          <w:color w:val="002F5D"/>
          <w:lang w:eastAsia="en-GB"/>
        </w:rPr>
      </w:pPr>
    </w:p>
    <w:p w14:paraId="7631853F" w14:textId="7B0090EB" w:rsidR="007340C0" w:rsidRDefault="007340C0" w:rsidP="00C578AC">
      <w:pPr>
        <w:spacing w:line="240" w:lineRule="auto"/>
        <w:rPr>
          <w:rStyle w:val="Hyperlink"/>
          <w:rFonts w:eastAsia="Times New Roman" w:cs="Times New Roman"/>
          <w:color w:val="002F5D"/>
          <w:lang w:eastAsia="en-GB"/>
        </w:rPr>
      </w:pPr>
    </w:p>
    <w:p w14:paraId="5FC48E3E" w14:textId="335052B8" w:rsidR="007340C0" w:rsidRDefault="007340C0" w:rsidP="00C578AC">
      <w:pPr>
        <w:spacing w:line="240" w:lineRule="auto"/>
        <w:rPr>
          <w:rStyle w:val="Hyperlink"/>
          <w:rFonts w:eastAsia="Times New Roman" w:cs="Times New Roman"/>
          <w:color w:val="002F5D"/>
          <w:lang w:eastAsia="en-GB"/>
        </w:rPr>
      </w:pPr>
    </w:p>
    <w:p w14:paraId="2B822F1E" w14:textId="4162789E" w:rsidR="007340C0" w:rsidRDefault="007340C0" w:rsidP="00C578AC">
      <w:pPr>
        <w:spacing w:line="240" w:lineRule="auto"/>
        <w:rPr>
          <w:rStyle w:val="Hyperlink"/>
          <w:rFonts w:eastAsia="Times New Roman" w:cs="Times New Roman"/>
          <w:color w:val="002F5D"/>
          <w:lang w:eastAsia="en-GB"/>
        </w:rPr>
      </w:pPr>
    </w:p>
    <w:p w14:paraId="79BA17F7" w14:textId="77777777" w:rsidR="00962877" w:rsidRDefault="00962877" w:rsidP="00C578AC">
      <w:pPr>
        <w:spacing w:line="240" w:lineRule="auto"/>
        <w:rPr>
          <w:rStyle w:val="Hyperlink"/>
          <w:rFonts w:eastAsia="Times New Roman" w:cs="Times New Roman"/>
          <w:color w:val="002F5D"/>
          <w:lang w:eastAsia="en-GB"/>
        </w:rPr>
      </w:pPr>
    </w:p>
    <w:p w14:paraId="6D00DAAB" w14:textId="7AEE7F89" w:rsidR="007340C0" w:rsidRDefault="007340C0" w:rsidP="00C578AC">
      <w:pPr>
        <w:spacing w:line="240" w:lineRule="auto"/>
        <w:rPr>
          <w:rStyle w:val="Hyperlink"/>
          <w:rFonts w:eastAsia="Times New Roman" w:cs="Times New Roman"/>
          <w:color w:val="002F5D"/>
          <w:lang w:eastAsia="en-GB"/>
        </w:rPr>
      </w:pPr>
    </w:p>
    <w:p w14:paraId="2A9F9BEA" w14:textId="49F032F5" w:rsidR="007340C0" w:rsidRDefault="007340C0" w:rsidP="00C578AC">
      <w:pPr>
        <w:spacing w:line="240" w:lineRule="auto"/>
        <w:rPr>
          <w:rStyle w:val="Hyperlink"/>
          <w:rFonts w:eastAsia="Times New Roman" w:cs="Times New Roman"/>
          <w:color w:val="002F5D"/>
          <w:lang w:eastAsia="en-GB"/>
        </w:rPr>
      </w:pPr>
    </w:p>
    <w:p w14:paraId="1EDFAB09" w14:textId="391F821C" w:rsidR="007340C0" w:rsidRDefault="007340C0" w:rsidP="00C578AC">
      <w:pPr>
        <w:spacing w:line="240" w:lineRule="auto"/>
        <w:rPr>
          <w:rStyle w:val="Hyperlink"/>
          <w:rFonts w:eastAsia="Times New Roman" w:cs="Times New Roman"/>
          <w:color w:val="002F5D"/>
          <w:lang w:eastAsia="en-GB"/>
        </w:rPr>
      </w:pPr>
    </w:p>
    <w:p w14:paraId="08CF3AED" w14:textId="77777777" w:rsidR="007340C0" w:rsidRPr="00466722" w:rsidRDefault="007340C0" w:rsidP="00C578AC">
      <w:pPr>
        <w:spacing w:line="240" w:lineRule="auto"/>
        <w:rPr>
          <w:rStyle w:val="Hyperlink"/>
          <w:rFonts w:eastAsia="Times New Roman" w:cs="Times New Roman"/>
          <w:color w:val="002F5D"/>
          <w:lang w:eastAsia="en-GB"/>
        </w:rPr>
      </w:pPr>
    </w:p>
    <w:p w14:paraId="268E5879" w14:textId="77777777" w:rsidR="004F5058" w:rsidRPr="0037351D" w:rsidRDefault="004F5058" w:rsidP="00C578AC">
      <w:pPr>
        <w:spacing w:line="240" w:lineRule="auto"/>
        <w:rPr>
          <w:rStyle w:val="Hyperlink"/>
          <w:rFonts w:eastAsia="Times New Roman" w:cs="Times New Roman"/>
          <w:color w:val="FF0000"/>
          <w:u w:val="none"/>
          <w:lang w:eastAsia="en-GB"/>
        </w:rPr>
      </w:pPr>
    </w:p>
    <w:p w14:paraId="3DE4E64F" w14:textId="6D1E055C" w:rsidR="000E52E7" w:rsidRPr="00466722" w:rsidRDefault="007C40C2" w:rsidP="007A30C0">
      <w:pPr>
        <w:spacing w:line="240" w:lineRule="auto"/>
        <w:rPr>
          <w:rFonts w:cs="Arial"/>
          <w:b/>
          <w:color w:val="002F5D"/>
        </w:rPr>
      </w:pPr>
      <w:r w:rsidRPr="00466722">
        <w:rPr>
          <w:b/>
          <w:color w:val="002F5D"/>
        </w:rPr>
        <w:lastRenderedPageBreak/>
        <w:t>Table</w:t>
      </w:r>
      <w:r w:rsidR="00B911A5">
        <w:rPr>
          <w:b/>
          <w:color w:val="002F5D"/>
        </w:rPr>
        <w:t xml:space="preserve"> 25</w:t>
      </w:r>
      <w:r w:rsidR="000E52E7" w:rsidRPr="00466722">
        <w:rPr>
          <w:rFonts w:cs="Arial"/>
          <w:color w:val="002F5D"/>
        </w:rPr>
        <w:t>. Educational attainment - the proportion of pupils achieving at least 5 GCSEs at grade A*-C including English &amp; Maths, 2015/16</w:t>
      </w:r>
    </w:p>
    <w:p w14:paraId="11644210" w14:textId="45B05FE5" w:rsidR="00C45724" w:rsidRDefault="00C45724" w:rsidP="00C45724">
      <w:pPr>
        <w:rPr>
          <w:color w:val="002F5D"/>
          <w:sz w:val="16"/>
          <w:szCs w:val="16"/>
        </w:rPr>
      </w:pPr>
    </w:p>
    <w:p w14:paraId="1A5BA843" w14:textId="6038B161" w:rsidR="008F2EC5" w:rsidRDefault="008F2EC5" w:rsidP="00C45724">
      <w:pPr>
        <w:rPr>
          <w:color w:val="002F5D"/>
          <w:sz w:val="16"/>
          <w:szCs w:val="16"/>
        </w:rPr>
      </w:pPr>
      <w:r w:rsidRPr="008F2EC5">
        <w:rPr>
          <w:noProof/>
          <w:lang w:eastAsia="en-GB"/>
        </w:rPr>
        <w:drawing>
          <wp:inline distT="0" distB="0" distL="0" distR="0" wp14:anchorId="047BDB12" wp14:editId="309539E8">
            <wp:extent cx="4770120" cy="2321963"/>
            <wp:effectExtent l="0" t="0" r="0" b="254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80759" cy="2327142"/>
                    </a:xfrm>
                    <a:prstGeom prst="rect">
                      <a:avLst/>
                    </a:prstGeom>
                    <a:noFill/>
                    <a:ln>
                      <a:noFill/>
                    </a:ln>
                  </pic:spPr>
                </pic:pic>
              </a:graphicData>
            </a:graphic>
          </wp:inline>
        </w:drawing>
      </w:r>
    </w:p>
    <w:p w14:paraId="1998FA17" w14:textId="4B4E4CE1" w:rsidR="00C578AC" w:rsidRPr="00466722" w:rsidRDefault="00C578AC" w:rsidP="00466722"/>
    <w:p w14:paraId="1CBEFDD4" w14:textId="77777777" w:rsidR="00041822" w:rsidRPr="00466722" w:rsidRDefault="00041822" w:rsidP="00041822">
      <w:pPr>
        <w:pStyle w:val="Caption"/>
        <w:rPr>
          <w:b/>
          <w:color w:val="002F5D"/>
          <w:sz w:val="18"/>
        </w:rPr>
      </w:pPr>
      <w:r w:rsidRPr="00466722">
        <w:rPr>
          <w:rFonts w:cs="Arial"/>
          <w:color w:val="002F5D"/>
          <w:sz w:val="18"/>
        </w:rPr>
        <w:t>*Value aggregated from all known lower geography values</w:t>
      </w:r>
    </w:p>
    <w:p w14:paraId="661C6DB4" w14:textId="77777777" w:rsidR="00C45724" w:rsidRPr="00466722" w:rsidRDefault="00C45724" w:rsidP="0038179C">
      <w:pPr>
        <w:spacing w:line="240" w:lineRule="auto"/>
        <w:rPr>
          <w:rFonts w:cs="Arial"/>
          <w:color w:val="002F5D"/>
        </w:rPr>
      </w:pPr>
      <w:r w:rsidRPr="00466722">
        <w:rPr>
          <w:noProof/>
          <w:color w:val="002F5D"/>
          <w:lang w:eastAsia="en-GB"/>
        </w:rPr>
        <w:drawing>
          <wp:anchor distT="0" distB="0" distL="114300" distR="114300" simplePos="0" relativeHeight="251688960" behindDoc="0" locked="0" layoutInCell="1" allowOverlap="1" wp14:anchorId="29EAB8F4" wp14:editId="2CC627A8">
            <wp:simplePos x="0" y="0"/>
            <wp:positionH relativeFrom="column">
              <wp:posOffset>0</wp:posOffset>
            </wp:positionH>
            <wp:positionV relativeFrom="paragraph">
              <wp:posOffset>170815</wp:posOffset>
            </wp:positionV>
            <wp:extent cx="3667125" cy="495300"/>
            <wp:effectExtent l="0" t="0" r="9525"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67125"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97B5D" w14:textId="77777777" w:rsidR="003A1584" w:rsidRPr="0037351D" w:rsidRDefault="003A1584" w:rsidP="003A1584">
      <w:pPr>
        <w:spacing w:line="240" w:lineRule="auto"/>
        <w:rPr>
          <w:rFonts w:cs="Arial"/>
          <w:b/>
          <w:color w:val="FF0000"/>
        </w:rPr>
      </w:pPr>
    </w:p>
    <w:p w14:paraId="5FEE8AFB" w14:textId="77777777" w:rsidR="003A1584" w:rsidRPr="00466722" w:rsidRDefault="003A1584" w:rsidP="00C578AC">
      <w:pPr>
        <w:spacing w:line="240" w:lineRule="auto"/>
        <w:rPr>
          <w:rFonts w:cs="Arial"/>
          <w:color w:val="002F5D"/>
        </w:rPr>
      </w:pPr>
      <w:r w:rsidRPr="00466722">
        <w:rPr>
          <w:rFonts w:cs="Arial"/>
          <w:b/>
          <w:color w:val="002F5D"/>
        </w:rPr>
        <w:t>Source</w:t>
      </w:r>
      <w:r w:rsidRPr="00466722">
        <w:rPr>
          <w:rFonts w:cs="Arial"/>
          <w:color w:val="002F5D"/>
        </w:rPr>
        <w:t>: Department of Education, from PHE Wider Determinants of Health Atlas</w:t>
      </w:r>
    </w:p>
    <w:p w14:paraId="5D56A41C" w14:textId="77777777" w:rsidR="003A1584" w:rsidRPr="0037351D" w:rsidRDefault="003A1584" w:rsidP="00C578AC">
      <w:pPr>
        <w:pStyle w:val="Caption"/>
        <w:rPr>
          <w:b/>
          <w:color w:val="FF0000"/>
          <w:sz w:val="16"/>
          <w:szCs w:val="16"/>
        </w:rPr>
      </w:pPr>
    </w:p>
    <w:p w14:paraId="5FE2B9B6" w14:textId="76F40346" w:rsidR="00C54F9A" w:rsidRDefault="003A2AC2" w:rsidP="00C578AC">
      <w:pPr>
        <w:pStyle w:val="Caption"/>
        <w:rPr>
          <w:rFonts w:cs="Arial"/>
          <w:color w:val="002F5D"/>
        </w:rPr>
      </w:pPr>
      <w:r w:rsidRPr="00466722">
        <w:rPr>
          <w:b/>
          <w:color w:val="002F5D"/>
        </w:rPr>
        <w:t xml:space="preserve">Figure </w:t>
      </w:r>
      <w:r w:rsidR="004061DD">
        <w:rPr>
          <w:b/>
          <w:color w:val="002F5D"/>
        </w:rPr>
        <w:t>30</w:t>
      </w:r>
      <w:r w:rsidR="00047677" w:rsidRPr="00466722">
        <w:rPr>
          <w:rFonts w:cs="Arial"/>
          <w:b/>
          <w:color w:val="002F5D"/>
        </w:rPr>
        <w:t xml:space="preserve">. </w:t>
      </w:r>
      <w:r w:rsidR="00047677" w:rsidRPr="00466722">
        <w:rPr>
          <w:rFonts w:cs="Arial"/>
          <w:color w:val="002F5D"/>
        </w:rPr>
        <w:t>Educational attainment - the proportion of pupils achieving at least 5 GCSEs at grade A*-C including English &amp; Maths, 2015/16</w:t>
      </w:r>
    </w:p>
    <w:p w14:paraId="01CD0F2B" w14:textId="77777777" w:rsidR="00172365" w:rsidRDefault="00172365" w:rsidP="00172365"/>
    <w:p w14:paraId="32CBA6C9" w14:textId="34F27400" w:rsidR="00172365" w:rsidRPr="00172365" w:rsidRDefault="00E2705C" w:rsidP="00172365">
      <w:r>
        <w:rPr>
          <w:noProof/>
          <w:lang w:eastAsia="en-GB"/>
        </w:rPr>
        <w:drawing>
          <wp:inline distT="0" distB="0" distL="0" distR="0" wp14:anchorId="0892D141" wp14:editId="7AA06144">
            <wp:extent cx="4962525" cy="2956560"/>
            <wp:effectExtent l="19050" t="19050" r="28575"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62525" cy="2956560"/>
                    </a:xfrm>
                    <a:prstGeom prst="rect">
                      <a:avLst/>
                    </a:prstGeom>
                    <a:noFill/>
                    <a:ln w="12700">
                      <a:solidFill>
                        <a:srgbClr val="002B61"/>
                      </a:solidFill>
                    </a:ln>
                  </pic:spPr>
                </pic:pic>
              </a:graphicData>
            </a:graphic>
          </wp:inline>
        </w:drawing>
      </w:r>
    </w:p>
    <w:p w14:paraId="0FAC3023" w14:textId="77777777" w:rsidR="00E2705C" w:rsidRPr="00E2705C" w:rsidRDefault="00E2705C" w:rsidP="00E2705C">
      <w:pPr>
        <w:spacing w:line="240" w:lineRule="auto"/>
        <w:rPr>
          <w:rFonts w:ascii="Times New Roman" w:eastAsia="Times New Roman" w:hAnsi="Times New Roman" w:cs="Times New Roman"/>
          <w:sz w:val="24"/>
          <w:szCs w:val="24"/>
          <w:lang w:eastAsia="en-GB"/>
        </w:rPr>
      </w:pPr>
      <w:r w:rsidRPr="00E2705C">
        <w:rPr>
          <w:rFonts w:ascii="Calibri" w:eastAsia="Calibri" w:hAnsi="Calibri" w:cs="Arial"/>
          <w:color w:val="002F5D"/>
          <w:kern w:val="24"/>
          <w:sz w:val="20"/>
          <w:szCs w:val="20"/>
          <w:lang w:eastAsia="en-GB"/>
        </w:rPr>
        <w:t>*Value aggregated from all known lower geography values</w:t>
      </w:r>
    </w:p>
    <w:p w14:paraId="0B17A2DF" w14:textId="5B016C25" w:rsidR="00571FAE" w:rsidRPr="00466722" w:rsidRDefault="00E2705C" w:rsidP="00E61D24">
      <w:r w:rsidRPr="00466722">
        <w:rPr>
          <w:noProof/>
          <w:color w:val="002F5D"/>
          <w:lang w:eastAsia="en-GB"/>
        </w:rPr>
        <w:drawing>
          <wp:anchor distT="0" distB="0" distL="114300" distR="114300" simplePos="0" relativeHeight="251702272" behindDoc="0" locked="0" layoutInCell="1" allowOverlap="1" wp14:anchorId="609EB8A8" wp14:editId="441EF07A">
            <wp:simplePos x="0" y="0"/>
            <wp:positionH relativeFrom="column">
              <wp:posOffset>0</wp:posOffset>
            </wp:positionH>
            <wp:positionV relativeFrom="paragraph">
              <wp:posOffset>174625</wp:posOffset>
            </wp:positionV>
            <wp:extent cx="3667125" cy="495300"/>
            <wp:effectExtent l="0" t="0" r="952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67125"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C644A" w14:textId="77777777" w:rsidR="00E2705C" w:rsidRDefault="00E2705C" w:rsidP="0038179C">
      <w:pPr>
        <w:spacing w:line="240" w:lineRule="auto"/>
        <w:rPr>
          <w:rFonts w:cs="Arial"/>
          <w:b/>
          <w:color w:val="002F5D"/>
        </w:rPr>
      </w:pPr>
    </w:p>
    <w:p w14:paraId="421AB5B6" w14:textId="77777777" w:rsidR="000E52E7" w:rsidRPr="00466722" w:rsidRDefault="000E52E7" w:rsidP="0038179C">
      <w:pPr>
        <w:spacing w:line="240" w:lineRule="auto"/>
        <w:rPr>
          <w:rFonts w:cs="Arial"/>
          <w:color w:val="002F5D"/>
        </w:rPr>
      </w:pPr>
      <w:r w:rsidRPr="00466722">
        <w:rPr>
          <w:rFonts w:cs="Arial"/>
          <w:b/>
          <w:color w:val="002F5D"/>
        </w:rPr>
        <w:t>Source</w:t>
      </w:r>
      <w:r w:rsidRPr="00466722">
        <w:rPr>
          <w:rFonts w:cs="Arial"/>
          <w:color w:val="002F5D"/>
        </w:rPr>
        <w:t>: Department of Educat</w:t>
      </w:r>
      <w:r w:rsidR="00047677" w:rsidRPr="00466722">
        <w:rPr>
          <w:rFonts w:cs="Arial"/>
          <w:color w:val="002F5D"/>
        </w:rPr>
        <w:t>ion, from PHE Wider Determinants</w:t>
      </w:r>
      <w:r w:rsidR="00BE27DA" w:rsidRPr="00466722">
        <w:rPr>
          <w:rFonts w:cs="Arial"/>
          <w:color w:val="002F5D"/>
        </w:rPr>
        <w:t xml:space="preserve"> of Health Atlas</w:t>
      </w:r>
    </w:p>
    <w:p w14:paraId="27A83535" w14:textId="77777777" w:rsidR="0050160B" w:rsidRPr="00466722" w:rsidRDefault="0050160B" w:rsidP="0038179C">
      <w:pPr>
        <w:spacing w:line="240" w:lineRule="auto"/>
        <w:rPr>
          <w:rFonts w:cs="Arial"/>
          <w:b/>
          <w:color w:val="002F5D"/>
        </w:rPr>
      </w:pPr>
      <w:r w:rsidRPr="00466722">
        <w:rPr>
          <w:rFonts w:cs="Arial"/>
          <w:b/>
          <w:color w:val="002F5D"/>
        </w:rPr>
        <w:lastRenderedPageBreak/>
        <w:t>Key points:</w:t>
      </w:r>
    </w:p>
    <w:p w14:paraId="7B0E062C" w14:textId="77777777" w:rsidR="00E30B35" w:rsidRPr="00466722" w:rsidRDefault="00E30B35" w:rsidP="00A938F7">
      <w:pPr>
        <w:pStyle w:val="ListParagraph"/>
        <w:numPr>
          <w:ilvl w:val="0"/>
          <w:numId w:val="30"/>
        </w:numPr>
        <w:spacing w:line="240" w:lineRule="auto"/>
        <w:rPr>
          <w:rFonts w:cs="Arial"/>
          <w:color w:val="002F5D"/>
        </w:rPr>
      </w:pPr>
      <w:r w:rsidRPr="00466722">
        <w:rPr>
          <w:rFonts w:cs="Arial"/>
          <w:color w:val="002F5D"/>
        </w:rPr>
        <w:t>Cambridgeshire and Peterborough’s GSCE attainment rate is similar to the England average.</w:t>
      </w:r>
    </w:p>
    <w:p w14:paraId="640FB09B" w14:textId="77777777" w:rsidR="0050160B" w:rsidRPr="00466722" w:rsidRDefault="008725BB" w:rsidP="00A938F7">
      <w:pPr>
        <w:pStyle w:val="ListParagraph"/>
        <w:numPr>
          <w:ilvl w:val="0"/>
          <w:numId w:val="30"/>
        </w:numPr>
        <w:spacing w:line="240" w:lineRule="auto"/>
        <w:rPr>
          <w:rFonts w:cs="Arial"/>
          <w:color w:val="002F5D"/>
        </w:rPr>
      </w:pPr>
      <w:r w:rsidRPr="00466722">
        <w:rPr>
          <w:rFonts w:cs="Arial"/>
          <w:color w:val="002F5D"/>
        </w:rPr>
        <w:t>Peterborough</w:t>
      </w:r>
      <w:r w:rsidR="0050160B" w:rsidRPr="00466722">
        <w:rPr>
          <w:rFonts w:cs="Arial"/>
          <w:color w:val="002F5D"/>
        </w:rPr>
        <w:t>’s GSCE attainment rate is statistically significantly worse than the England average.</w:t>
      </w:r>
    </w:p>
    <w:p w14:paraId="48F7166E" w14:textId="77777777" w:rsidR="00A871EE" w:rsidRPr="00466722" w:rsidRDefault="00ED7852" w:rsidP="00A938F7">
      <w:pPr>
        <w:pStyle w:val="ListParagraph"/>
        <w:numPr>
          <w:ilvl w:val="0"/>
          <w:numId w:val="30"/>
        </w:numPr>
        <w:spacing w:line="240" w:lineRule="auto"/>
        <w:rPr>
          <w:rFonts w:cs="Arial"/>
          <w:color w:val="002F5D"/>
        </w:rPr>
      </w:pPr>
      <w:r w:rsidRPr="00466722">
        <w:rPr>
          <w:rFonts w:cs="Arial"/>
          <w:color w:val="002F5D"/>
        </w:rPr>
        <w:t>Cambridgeshire’s GSCE attainment rate is statistically significantly better than the England average.</w:t>
      </w:r>
    </w:p>
    <w:p w14:paraId="6F4DCA07" w14:textId="052556AA" w:rsidR="00C578AC" w:rsidRPr="00466722" w:rsidRDefault="008725BB" w:rsidP="00A355DE">
      <w:pPr>
        <w:pStyle w:val="ListParagraph"/>
        <w:numPr>
          <w:ilvl w:val="0"/>
          <w:numId w:val="30"/>
        </w:numPr>
        <w:spacing w:line="240" w:lineRule="auto"/>
        <w:rPr>
          <w:rFonts w:cs="Arial"/>
          <w:color w:val="002F5D"/>
        </w:rPr>
      </w:pPr>
      <w:r w:rsidRPr="00466722">
        <w:rPr>
          <w:rFonts w:cs="Arial"/>
          <w:color w:val="002F5D"/>
        </w:rPr>
        <w:t>Fenland’s GSCE attainment rate is statistically significantly worse than the England average.</w:t>
      </w:r>
      <w:r w:rsidR="00ED7852" w:rsidRPr="00466722">
        <w:rPr>
          <w:rFonts w:cs="Arial"/>
          <w:color w:val="002F5D"/>
        </w:rPr>
        <w:t xml:space="preserve">  Fenland’s </w:t>
      </w:r>
      <w:r w:rsidR="00634465">
        <w:rPr>
          <w:rFonts w:cs="Arial"/>
          <w:color w:val="002F5D"/>
        </w:rPr>
        <w:t xml:space="preserve">attainment </w:t>
      </w:r>
      <w:r w:rsidR="00ED7852" w:rsidRPr="00466722">
        <w:rPr>
          <w:rFonts w:cs="Arial"/>
          <w:color w:val="002F5D"/>
        </w:rPr>
        <w:t>rate is also statistically wors</w:t>
      </w:r>
      <w:r w:rsidR="00E12105" w:rsidRPr="00466722">
        <w:rPr>
          <w:rFonts w:cs="Arial"/>
          <w:color w:val="002F5D"/>
        </w:rPr>
        <w:t xml:space="preserve">e than the Cambridgeshire </w:t>
      </w:r>
      <w:r w:rsidR="00634465">
        <w:rPr>
          <w:rFonts w:cs="Arial"/>
          <w:color w:val="002F5D"/>
        </w:rPr>
        <w:t>average</w:t>
      </w:r>
      <w:r w:rsidR="00E12105" w:rsidRPr="00466722">
        <w:rPr>
          <w:rFonts w:cs="Arial"/>
          <w:color w:val="002F5D"/>
        </w:rPr>
        <w:t>.</w:t>
      </w:r>
    </w:p>
    <w:p w14:paraId="61B8973E" w14:textId="77777777" w:rsidR="006C74DD" w:rsidRPr="00466722" w:rsidRDefault="006C74DD" w:rsidP="00BE27DA">
      <w:pPr>
        <w:spacing w:line="240" w:lineRule="auto"/>
        <w:rPr>
          <w:rFonts w:cs="Arial"/>
          <w:color w:val="002F5D"/>
        </w:rPr>
      </w:pPr>
    </w:p>
    <w:p w14:paraId="164C71D2" w14:textId="77777777" w:rsidR="00BE27DA" w:rsidRPr="00466722" w:rsidRDefault="00BE27DA" w:rsidP="00BE27DA">
      <w:pPr>
        <w:spacing w:line="240" w:lineRule="auto"/>
        <w:rPr>
          <w:rStyle w:val="Hyperlink"/>
          <w:rFonts w:cs="Arial"/>
          <w:color w:val="002F5D"/>
        </w:rPr>
      </w:pPr>
      <w:r w:rsidRPr="00466722">
        <w:rPr>
          <w:rFonts w:cs="Arial"/>
          <w:color w:val="002F5D"/>
        </w:rPr>
        <w:t xml:space="preserve">USEFUL LINK: </w:t>
      </w:r>
      <w:r w:rsidRPr="00466722">
        <w:rPr>
          <w:rFonts w:cs="Arial"/>
          <w:color w:val="002F5D"/>
        </w:rPr>
        <w:fldChar w:fldCharType="begin"/>
      </w:r>
      <w:r w:rsidRPr="00466722">
        <w:rPr>
          <w:rFonts w:cs="Arial"/>
          <w:color w:val="002F5D"/>
        </w:rPr>
        <w:instrText xml:space="preserve"> HYPERLINK "https://fingertips.phe.org.uk/profile/wider-determinants" </w:instrText>
      </w:r>
      <w:r w:rsidRPr="00466722">
        <w:rPr>
          <w:rFonts w:cs="Arial"/>
          <w:color w:val="002F5D"/>
        </w:rPr>
        <w:fldChar w:fldCharType="separate"/>
      </w:r>
      <w:r w:rsidRPr="00466722">
        <w:rPr>
          <w:rStyle w:val="Hyperlink"/>
          <w:rFonts w:cs="Arial"/>
          <w:color w:val="002F5D"/>
        </w:rPr>
        <w:t>https://fingertips.phe.org.uk/profile/wider-determinants</w:t>
      </w:r>
    </w:p>
    <w:p w14:paraId="1EE74407" w14:textId="77777777" w:rsidR="00634465" w:rsidRDefault="00BE27DA" w:rsidP="00E62AA5">
      <w:pPr>
        <w:pStyle w:val="Caption"/>
        <w:rPr>
          <w:rFonts w:cs="Arial"/>
          <w:color w:val="002F5D"/>
        </w:rPr>
      </w:pPr>
      <w:r w:rsidRPr="00466722">
        <w:rPr>
          <w:rFonts w:cs="Arial"/>
          <w:color w:val="002F5D"/>
        </w:rPr>
        <w:fldChar w:fldCharType="end"/>
      </w:r>
    </w:p>
    <w:p w14:paraId="4A62795B" w14:textId="5ACB4CCD" w:rsidR="00E62AA5" w:rsidRPr="001E47E1" w:rsidRDefault="003A2AC2" w:rsidP="00E62AA5">
      <w:pPr>
        <w:pStyle w:val="Caption"/>
        <w:rPr>
          <w:rFonts w:cs="Arial"/>
          <w:color w:val="002F5D"/>
        </w:rPr>
      </w:pPr>
      <w:r w:rsidRPr="001E47E1">
        <w:rPr>
          <w:b/>
          <w:color w:val="002F5D"/>
        </w:rPr>
        <w:t xml:space="preserve">Figure </w:t>
      </w:r>
      <w:r w:rsidR="004061DD">
        <w:rPr>
          <w:b/>
          <w:color w:val="002F5D"/>
        </w:rPr>
        <w:t>31</w:t>
      </w:r>
      <w:r w:rsidR="00047677" w:rsidRPr="001E47E1">
        <w:rPr>
          <w:rFonts w:cs="Arial"/>
          <w:b/>
          <w:color w:val="002F5D"/>
        </w:rPr>
        <w:t xml:space="preserve">. </w:t>
      </w:r>
      <w:r w:rsidR="00047677" w:rsidRPr="001E47E1">
        <w:rPr>
          <w:rFonts w:cs="Arial"/>
          <w:color w:val="002F5D"/>
        </w:rPr>
        <w:t xml:space="preserve">Indices of Multiple Deprivation, 2015 </w:t>
      </w:r>
      <w:r w:rsidR="00DD563D" w:rsidRPr="001E47E1">
        <w:rPr>
          <w:rFonts w:cs="Arial"/>
          <w:color w:val="002F5D"/>
        </w:rPr>
        <w:t>–</w:t>
      </w:r>
      <w:r w:rsidR="00047677" w:rsidRPr="001E47E1">
        <w:rPr>
          <w:rFonts w:cs="Arial"/>
          <w:color w:val="002F5D"/>
        </w:rPr>
        <w:t xml:space="preserve"> education</w:t>
      </w:r>
      <w:r w:rsidR="00DD563D" w:rsidRPr="001E47E1">
        <w:rPr>
          <w:rFonts w:cs="Arial"/>
          <w:color w:val="002F5D"/>
        </w:rPr>
        <w:t xml:space="preserve">, </w:t>
      </w:r>
      <w:r w:rsidR="003666A0" w:rsidRPr="001E47E1">
        <w:rPr>
          <w:rFonts w:cs="Arial"/>
          <w:color w:val="002F5D"/>
        </w:rPr>
        <w:t xml:space="preserve">skills and training </w:t>
      </w:r>
      <w:r w:rsidR="00047677" w:rsidRPr="001E47E1">
        <w:rPr>
          <w:rFonts w:cs="Arial"/>
          <w:color w:val="002F5D"/>
        </w:rPr>
        <w:t>domain - p</w:t>
      </w:r>
      <w:r w:rsidR="00873C5E" w:rsidRPr="001E47E1">
        <w:rPr>
          <w:rFonts w:cs="Arial"/>
          <w:color w:val="002F5D"/>
        </w:rPr>
        <w:t>ercentage of lower super output</w:t>
      </w:r>
      <w:r w:rsidR="00047677" w:rsidRPr="001E47E1">
        <w:rPr>
          <w:rFonts w:cs="Arial"/>
          <w:color w:val="002F5D"/>
        </w:rPr>
        <w:t xml:space="preserve"> areas (LSOAs) in national IMD deciles in </w:t>
      </w:r>
      <w:r w:rsidR="00E62AA5" w:rsidRPr="001E47E1">
        <w:rPr>
          <w:rFonts w:cs="Arial"/>
          <w:color w:val="002F5D"/>
        </w:rPr>
        <w:t>Cambridgeshire and Peterborough and Cambridgeshire Districts</w:t>
      </w:r>
    </w:p>
    <w:p w14:paraId="3ED675A5" w14:textId="77777777" w:rsidR="00A43F7E" w:rsidRPr="0037351D" w:rsidRDefault="00A43F7E" w:rsidP="0038179C">
      <w:pPr>
        <w:spacing w:line="240" w:lineRule="auto"/>
        <w:rPr>
          <w:rFonts w:cs="Arial"/>
          <w:color w:val="FF0000"/>
        </w:rPr>
      </w:pPr>
    </w:p>
    <w:p w14:paraId="446C0FC3" w14:textId="77777777" w:rsidR="00047677" w:rsidRPr="0037351D" w:rsidRDefault="00FF7367" w:rsidP="0038179C">
      <w:pPr>
        <w:spacing w:line="240" w:lineRule="auto"/>
        <w:rPr>
          <w:rFonts w:cs="Arial"/>
          <w:color w:val="FF0000"/>
        </w:rPr>
      </w:pPr>
      <w:r w:rsidRPr="0037351D">
        <w:rPr>
          <w:rFonts w:cs="Arial"/>
          <w:noProof/>
          <w:color w:val="FF0000"/>
          <w:lang w:eastAsia="en-GB"/>
        </w:rPr>
        <w:drawing>
          <wp:inline distT="0" distB="0" distL="0" distR="0" wp14:anchorId="0CA5776A" wp14:editId="42E2E404">
            <wp:extent cx="6285230" cy="2573020"/>
            <wp:effectExtent l="0" t="0" r="127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85230" cy="2573020"/>
                    </a:xfrm>
                    <a:prstGeom prst="rect">
                      <a:avLst/>
                    </a:prstGeom>
                    <a:noFill/>
                  </pic:spPr>
                </pic:pic>
              </a:graphicData>
            </a:graphic>
          </wp:inline>
        </w:drawing>
      </w:r>
    </w:p>
    <w:p w14:paraId="00A576FF" w14:textId="77777777" w:rsidR="00A43F7E" w:rsidRPr="0037351D" w:rsidRDefault="00A43F7E" w:rsidP="00D11F22">
      <w:pPr>
        <w:spacing w:line="240" w:lineRule="auto"/>
        <w:rPr>
          <w:rFonts w:eastAsia="Times New Roman" w:cs="Times New Roman"/>
          <w:b/>
          <w:bCs/>
          <w:color w:val="FF0000"/>
          <w:lang w:eastAsia="en-GB"/>
        </w:rPr>
      </w:pPr>
    </w:p>
    <w:p w14:paraId="66D2CF3B" w14:textId="77777777" w:rsidR="00047677" w:rsidRPr="001E47E1" w:rsidRDefault="00047677" w:rsidP="00D11F22">
      <w:pPr>
        <w:spacing w:line="240" w:lineRule="auto"/>
        <w:rPr>
          <w:rFonts w:eastAsia="Times New Roman" w:cs="Times New Roman"/>
          <w:color w:val="002F5D"/>
          <w:lang w:eastAsia="en-GB"/>
        </w:rPr>
      </w:pPr>
      <w:r w:rsidRPr="001E47E1">
        <w:rPr>
          <w:rFonts w:eastAsia="Times New Roman" w:cs="Times New Roman"/>
          <w:b/>
          <w:bCs/>
          <w:color w:val="002F5D"/>
          <w:lang w:eastAsia="en-GB"/>
        </w:rPr>
        <w:t>Source:</w:t>
      </w:r>
      <w:r w:rsidRPr="001E47E1">
        <w:rPr>
          <w:rFonts w:eastAsia="Times New Roman" w:cs="Times New Roman"/>
          <w:color w:val="002F5D"/>
          <w:lang w:eastAsia="en-GB"/>
        </w:rPr>
        <w:t xml:space="preserve"> Index of Multiple Deprivation 2015, Department for Communities &amp; Local Government (DCLG)</w:t>
      </w:r>
    </w:p>
    <w:p w14:paraId="4064E5EC" w14:textId="77777777" w:rsidR="00047677" w:rsidRPr="001E47E1" w:rsidRDefault="00047677" w:rsidP="00D11F22">
      <w:pPr>
        <w:spacing w:line="240" w:lineRule="auto"/>
        <w:rPr>
          <w:rFonts w:cs="Arial"/>
          <w:color w:val="002F5D"/>
        </w:rPr>
      </w:pPr>
    </w:p>
    <w:p w14:paraId="79D56BB8" w14:textId="77777777" w:rsidR="00047677" w:rsidRPr="001E47E1" w:rsidRDefault="00047677" w:rsidP="00D11F22">
      <w:pPr>
        <w:spacing w:line="240" w:lineRule="auto"/>
        <w:rPr>
          <w:rFonts w:cs="Arial"/>
          <w:b/>
          <w:color w:val="002F5D"/>
        </w:rPr>
      </w:pPr>
      <w:r w:rsidRPr="001E47E1">
        <w:rPr>
          <w:rFonts w:cs="Arial"/>
          <w:b/>
          <w:color w:val="002F5D"/>
        </w:rPr>
        <w:t>Key points:</w:t>
      </w:r>
    </w:p>
    <w:p w14:paraId="0B925BA5" w14:textId="77777777" w:rsidR="00FF7367" w:rsidRPr="001E47E1" w:rsidRDefault="00FF7367" w:rsidP="00D11F22">
      <w:pPr>
        <w:spacing w:line="240" w:lineRule="auto"/>
        <w:rPr>
          <w:rFonts w:cs="Arial"/>
          <w:b/>
          <w:color w:val="002F5D"/>
        </w:rPr>
      </w:pPr>
    </w:p>
    <w:p w14:paraId="08D28EB4" w14:textId="680A71B2" w:rsidR="00D11F22" w:rsidRPr="001E47E1" w:rsidRDefault="00D11F22" w:rsidP="00D11F22">
      <w:pPr>
        <w:pStyle w:val="ListParagraph"/>
        <w:numPr>
          <w:ilvl w:val="0"/>
          <w:numId w:val="31"/>
        </w:numPr>
        <w:spacing w:line="240" w:lineRule="auto"/>
        <w:ind w:left="714" w:hanging="357"/>
        <w:rPr>
          <w:rFonts w:cs="Arial"/>
          <w:color w:val="002F5D"/>
        </w:rPr>
      </w:pPr>
      <w:r w:rsidRPr="001E47E1">
        <w:rPr>
          <w:rFonts w:cs="Arial"/>
          <w:color w:val="002F5D"/>
        </w:rPr>
        <w:t>Related to education, skills and training</w:t>
      </w:r>
      <w:r w:rsidR="00634465">
        <w:rPr>
          <w:rFonts w:cs="Arial"/>
          <w:color w:val="002F5D"/>
        </w:rPr>
        <w:t>,</w:t>
      </w:r>
      <w:r w:rsidRPr="001E47E1">
        <w:rPr>
          <w:rFonts w:cs="Arial"/>
          <w:color w:val="002F5D"/>
        </w:rPr>
        <w:t xml:space="preserve"> Cambridgeshire and Peterborough has around 50% of its population in the 5 most deprived national deciles and almost 20% in the worst 2 deciles.</w:t>
      </w:r>
    </w:p>
    <w:p w14:paraId="10B946FE" w14:textId="77777777" w:rsidR="002C0877" w:rsidRPr="001E47E1" w:rsidRDefault="00543946" w:rsidP="00D11F22">
      <w:pPr>
        <w:pStyle w:val="ListParagraph"/>
        <w:numPr>
          <w:ilvl w:val="0"/>
          <w:numId w:val="31"/>
        </w:numPr>
        <w:spacing w:line="240" w:lineRule="auto"/>
        <w:ind w:left="714" w:hanging="357"/>
        <w:rPr>
          <w:rFonts w:cs="Arial"/>
          <w:color w:val="002F5D"/>
        </w:rPr>
      </w:pPr>
      <w:r w:rsidRPr="001E47E1">
        <w:rPr>
          <w:rFonts w:cs="Arial"/>
          <w:color w:val="002F5D"/>
        </w:rPr>
        <w:t xml:space="preserve">Related to education, skills and training, </w:t>
      </w:r>
      <w:r w:rsidR="00E62AA5" w:rsidRPr="001E47E1">
        <w:rPr>
          <w:rFonts w:cs="Arial"/>
          <w:color w:val="002F5D"/>
        </w:rPr>
        <w:t>Cambridgeshire has</w:t>
      </w:r>
      <w:r w:rsidR="002C0877" w:rsidRPr="001E47E1">
        <w:rPr>
          <w:rFonts w:cs="Arial"/>
          <w:color w:val="002F5D"/>
        </w:rPr>
        <w:t xml:space="preserve"> just over 40% </w:t>
      </w:r>
      <w:r w:rsidR="00E62AA5" w:rsidRPr="001E47E1">
        <w:rPr>
          <w:rFonts w:cs="Arial"/>
          <w:color w:val="002F5D"/>
        </w:rPr>
        <w:t>of its LSOAs within the 5 most deprived deciles whereas Peterborough has almost 70%</w:t>
      </w:r>
      <w:r w:rsidRPr="001E47E1">
        <w:rPr>
          <w:rFonts w:cs="Arial"/>
          <w:color w:val="002F5D"/>
        </w:rPr>
        <w:t xml:space="preserve"> of its LSOAs within the 5 most deprived deciles</w:t>
      </w:r>
      <w:r w:rsidR="00E62AA5" w:rsidRPr="001E47E1">
        <w:rPr>
          <w:rFonts w:cs="Arial"/>
          <w:color w:val="002F5D"/>
        </w:rPr>
        <w:t>.</w:t>
      </w:r>
    </w:p>
    <w:p w14:paraId="2EE52935" w14:textId="77777777" w:rsidR="00047677" w:rsidRPr="001E47E1" w:rsidRDefault="00872F58" w:rsidP="00D11F22">
      <w:pPr>
        <w:pStyle w:val="ListParagraph"/>
        <w:numPr>
          <w:ilvl w:val="0"/>
          <w:numId w:val="31"/>
        </w:numPr>
        <w:spacing w:line="240" w:lineRule="auto"/>
        <w:ind w:left="714" w:hanging="357"/>
        <w:rPr>
          <w:rFonts w:cs="Arial"/>
          <w:color w:val="002F5D"/>
        </w:rPr>
      </w:pPr>
      <w:r w:rsidRPr="001E47E1">
        <w:rPr>
          <w:rFonts w:cs="Arial"/>
          <w:color w:val="002F5D"/>
        </w:rPr>
        <w:t>C</w:t>
      </w:r>
      <w:r w:rsidR="002C0877" w:rsidRPr="001E47E1">
        <w:rPr>
          <w:rFonts w:cs="Arial"/>
          <w:color w:val="002F5D"/>
        </w:rPr>
        <w:t xml:space="preserve">ompared to the </w:t>
      </w:r>
      <w:r w:rsidR="00264873" w:rsidRPr="001E47E1">
        <w:rPr>
          <w:rFonts w:cs="Arial"/>
          <w:color w:val="002F5D"/>
        </w:rPr>
        <w:t xml:space="preserve">Cambridgeshire districts, </w:t>
      </w:r>
      <w:r w:rsidR="00047677" w:rsidRPr="001E47E1">
        <w:rPr>
          <w:rFonts w:cs="Arial"/>
          <w:color w:val="002F5D"/>
        </w:rPr>
        <w:t>Fen</w:t>
      </w:r>
      <w:r w:rsidR="00264873" w:rsidRPr="001E47E1">
        <w:rPr>
          <w:rFonts w:cs="Arial"/>
          <w:color w:val="002F5D"/>
        </w:rPr>
        <w:t xml:space="preserve">land has by far the </w:t>
      </w:r>
      <w:r w:rsidR="006E51F3" w:rsidRPr="001E47E1">
        <w:rPr>
          <w:rFonts w:cs="Arial"/>
          <w:color w:val="002F5D"/>
        </w:rPr>
        <w:t>highest number of</w:t>
      </w:r>
      <w:r w:rsidR="00264873" w:rsidRPr="001E47E1">
        <w:rPr>
          <w:rFonts w:cs="Arial"/>
          <w:color w:val="002F5D"/>
        </w:rPr>
        <w:t xml:space="preserve"> small areas (LSOAs) in the most deprived national groups and no small areas in the four least deprived groups.</w:t>
      </w:r>
    </w:p>
    <w:p w14:paraId="286AB32B" w14:textId="77777777" w:rsidR="002F00CD" w:rsidRPr="001E47E1" w:rsidRDefault="002F00CD" w:rsidP="0038179C">
      <w:pPr>
        <w:spacing w:line="240" w:lineRule="auto"/>
        <w:rPr>
          <w:rFonts w:cs="Arial"/>
          <w:color w:val="002F5D"/>
        </w:rPr>
      </w:pPr>
    </w:p>
    <w:p w14:paraId="20683517" w14:textId="77777777" w:rsidR="00C578AC" w:rsidRPr="0037351D" w:rsidRDefault="00C578AC">
      <w:pPr>
        <w:rPr>
          <w:rFonts w:eastAsiaTheme="majorEastAsia" w:cstheme="majorBidi"/>
          <w:b/>
          <w:color w:val="FF0000"/>
        </w:rPr>
      </w:pPr>
      <w:r w:rsidRPr="0037351D">
        <w:rPr>
          <w:color w:val="FF0000"/>
        </w:rPr>
        <w:br w:type="page"/>
      </w:r>
    </w:p>
    <w:p w14:paraId="58C97D3C" w14:textId="77777777" w:rsidR="002F00CD" w:rsidRPr="0037351D" w:rsidRDefault="002F00CD" w:rsidP="00A3568F">
      <w:pPr>
        <w:pStyle w:val="JSNA3"/>
      </w:pPr>
      <w:bookmarkStart w:id="747" w:name="_Toc4407846"/>
      <w:r w:rsidRPr="0037351D">
        <w:lastRenderedPageBreak/>
        <w:t xml:space="preserve">Employment, </w:t>
      </w:r>
      <w:r w:rsidR="0085754D" w:rsidRPr="0037351D">
        <w:t xml:space="preserve">worklessness, </w:t>
      </w:r>
      <w:r w:rsidRPr="0037351D">
        <w:t>income and benefits</w:t>
      </w:r>
      <w:bookmarkEnd w:id="747"/>
    </w:p>
    <w:p w14:paraId="44D64462" w14:textId="77777777" w:rsidR="002F00CD" w:rsidRPr="0037351D" w:rsidRDefault="002F00CD" w:rsidP="0038179C">
      <w:pPr>
        <w:spacing w:line="240" w:lineRule="auto"/>
        <w:rPr>
          <w:rFonts w:cs="Arial"/>
          <w:color w:val="FF0000"/>
        </w:rPr>
      </w:pPr>
    </w:p>
    <w:p w14:paraId="6B0A386B" w14:textId="0D4F18A9" w:rsidR="00E62AA5" w:rsidRPr="001E47E1" w:rsidRDefault="003A2AC2" w:rsidP="00E62AA5">
      <w:pPr>
        <w:pStyle w:val="Caption"/>
        <w:rPr>
          <w:rFonts w:cs="Arial"/>
          <w:color w:val="002F5D"/>
        </w:rPr>
      </w:pPr>
      <w:r w:rsidRPr="001E47E1">
        <w:rPr>
          <w:b/>
          <w:color w:val="002F5D"/>
        </w:rPr>
        <w:t xml:space="preserve">Figure </w:t>
      </w:r>
      <w:r w:rsidR="004061DD">
        <w:rPr>
          <w:b/>
          <w:color w:val="002F5D"/>
        </w:rPr>
        <w:t>32</w:t>
      </w:r>
      <w:r w:rsidR="005960E9" w:rsidRPr="001E47E1">
        <w:rPr>
          <w:rFonts w:cs="Arial"/>
          <w:b/>
          <w:color w:val="002F5D"/>
        </w:rPr>
        <w:t>.</w:t>
      </w:r>
      <w:r w:rsidR="005960E9" w:rsidRPr="001E47E1">
        <w:rPr>
          <w:rFonts w:cs="Arial"/>
          <w:color w:val="002F5D"/>
        </w:rPr>
        <w:t xml:space="preserve"> Indices of Multiple Deprivation, 2015 - employment domain - p</w:t>
      </w:r>
      <w:r w:rsidR="00873C5E" w:rsidRPr="001E47E1">
        <w:rPr>
          <w:rFonts w:cs="Arial"/>
          <w:color w:val="002F5D"/>
        </w:rPr>
        <w:t xml:space="preserve">ercentage of lower super output </w:t>
      </w:r>
      <w:r w:rsidR="005960E9" w:rsidRPr="001E47E1">
        <w:rPr>
          <w:rFonts w:cs="Arial"/>
          <w:color w:val="002F5D"/>
        </w:rPr>
        <w:t xml:space="preserve">areas (LSOAs) in national decile </w:t>
      </w:r>
      <w:r w:rsidR="0016132A" w:rsidRPr="001E47E1">
        <w:rPr>
          <w:rFonts w:cs="Arial"/>
          <w:color w:val="002F5D"/>
        </w:rPr>
        <w:t xml:space="preserve">in </w:t>
      </w:r>
      <w:r w:rsidR="00E62AA5" w:rsidRPr="001E47E1">
        <w:rPr>
          <w:rFonts w:cs="Arial"/>
          <w:color w:val="002F5D"/>
        </w:rPr>
        <w:t>Cambridgeshire and Peterborough and Cambridgeshire Districts</w:t>
      </w:r>
    </w:p>
    <w:p w14:paraId="02235264" w14:textId="77777777" w:rsidR="00A43F7E" w:rsidRPr="001E47E1" w:rsidRDefault="00A43F7E" w:rsidP="00E62AA5">
      <w:pPr>
        <w:pStyle w:val="Caption"/>
        <w:rPr>
          <w:rFonts w:cs="Arial"/>
          <w:color w:val="002F5D"/>
        </w:rPr>
      </w:pPr>
    </w:p>
    <w:p w14:paraId="201C8100" w14:textId="77777777" w:rsidR="0016132A" w:rsidRPr="0037351D" w:rsidRDefault="00E62AA5" w:rsidP="0038179C">
      <w:pPr>
        <w:spacing w:line="240" w:lineRule="auto"/>
        <w:rPr>
          <w:rFonts w:cs="Arial"/>
          <w:color w:val="FF0000"/>
        </w:rPr>
      </w:pPr>
      <w:r w:rsidRPr="0037351D">
        <w:rPr>
          <w:rFonts w:cs="Arial"/>
          <w:noProof/>
          <w:color w:val="FF0000"/>
          <w:lang w:eastAsia="en-GB"/>
        </w:rPr>
        <w:drawing>
          <wp:inline distT="0" distB="0" distL="0" distR="0" wp14:anchorId="1552445F" wp14:editId="1015BEF7">
            <wp:extent cx="6259286" cy="2032000"/>
            <wp:effectExtent l="0" t="0" r="8255"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69910" cy="2035449"/>
                    </a:xfrm>
                    <a:prstGeom prst="rect">
                      <a:avLst/>
                    </a:prstGeom>
                    <a:noFill/>
                  </pic:spPr>
                </pic:pic>
              </a:graphicData>
            </a:graphic>
          </wp:inline>
        </w:drawing>
      </w:r>
    </w:p>
    <w:p w14:paraId="008D9919" w14:textId="77777777" w:rsidR="00A43F7E" w:rsidRPr="0037351D" w:rsidRDefault="00A43F7E" w:rsidP="0038179C">
      <w:pPr>
        <w:spacing w:line="240" w:lineRule="auto"/>
        <w:rPr>
          <w:rFonts w:eastAsia="Times New Roman" w:cs="Times New Roman"/>
          <w:b/>
          <w:bCs/>
          <w:color w:val="FF0000"/>
          <w:lang w:eastAsia="en-GB"/>
        </w:rPr>
      </w:pPr>
    </w:p>
    <w:p w14:paraId="5337121F" w14:textId="77777777" w:rsidR="0016132A" w:rsidRPr="001E47E1" w:rsidRDefault="0016132A" w:rsidP="0038179C">
      <w:pPr>
        <w:spacing w:line="240" w:lineRule="auto"/>
        <w:rPr>
          <w:rFonts w:eastAsia="Times New Roman" w:cs="Times New Roman"/>
          <w:color w:val="002F5D"/>
          <w:lang w:eastAsia="en-GB"/>
        </w:rPr>
      </w:pPr>
      <w:r w:rsidRPr="001E47E1">
        <w:rPr>
          <w:rFonts w:eastAsia="Times New Roman" w:cs="Times New Roman"/>
          <w:b/>
          <w:bCs/>
          <w:color w:val="002F5D"/>
          <w:lang w:eastAsia="en-GB"/>
        </w:rPr>
        <w:t>Source:</w:t>
      </w:r>
      <w:r w:rsidRPr="001E47E1">
        <w:rPr>
          <w:rFonts w:eastAsia="Times New Roman" w:cs="Times New Roman"/>
          <w:color w:val="002F5D"/>
          <w:lang w:eastAsia="en-GB"/>
        </w:rPr>
        <w:t xml:space="preserve"> Index of Multiple Deprivation 2015, Department for Communities &amp; Local Government (DCLG)</w:t>
      </w:r>
    </w:p>
    <w:p w14:paraId="02BF1864" w14:textId="77777777" w:rsidR="00A43F7E" w:rsidRPr="001E47E1" w:rsidRDefault="00A43F7E" w:rsidP="0038179C">
      <w:pPr>
        <w:spacing w:line="240" w:lineRule="auto"/>
        <w:rPr>
          <w:rFonts w:cs="Arial"/>
          <w:b/>
          <w:color w:val="002F5D"/>
        </w:rPr>
      </w:pPr>
    </w:p>
    <w:p w14:paraId="78176D32" w14:textId="77777777" w:rsidR="0016132A" w:rsidRPr="001E47E1" w:rsidRDefault="0016132A" w:rsidP="0038179C">
      <w:pPr>
        <w:spacing w:line="240" w:lineRule="auto"/>
        <w:rPr>
          <w:rFonts w:cs="Arial"/>
          <w:b/>
          <w:color w:val="002F5D"/>
        </w:rPr>
      </w:pPr>
      <w:r w:rsidRPr="001E47E1">
        <w:rPr>
          <w:rFonts w:cs="Arial"/>
          <w:b/>
          <w:color w:val="002F5D"/>
        </w:rPr>
        <w:t>Key points:</w:t>
      </w:r>
    </w:p>
    <w:p w14:paraId="35C51233" w14:textId="77777777" w:rsidR="00952270" w:rsidRPr="001E47E1" w:rsidRDefault="00952270" w:rsidP="00A938F7">
      <w:pPr>
        <w:pStyle w:val="ListParagraph"/>
        <w:numPr>
          <w:ilvl w:val="0"/>
          <w:numId w:val="31"/>
        </w:numPr>
        <w:spacing w:line="240" w:lineRule="auto"/>
        <w:ind w:left="714" w:hanging="357"/>
        <w:rPr>
          <w:rFonts w:cs="Arial"/>
          <w:color w:val="002F5D"/>
        </w:rPr>
      </w:pPr>
      <w:r w:rsidRPr="001E47E1">
        <w:rPr>
          <w:rFonts w:cs="Arial"/>
          <w:color w:val="002F5D"/>
        </w:rPr>
        <w:t>Related to employment, Cambridgeshire and Peterborough has almost 20% of its population living in the 3</w:t>
      </w:r>
      <w:r w:rsidR="00F5496B" w:rsidRPr="001E47E1">
        <w:rPr>
          <w:rFonts w:cs="Arial"/>
          <w:color w:val="002F5D"/>
        </w:rPr>
        <w:t xml:space="preserve"> most deprived national deciles, but overall is not relatively deprived.</w:t>
      </w:r>
    </w:p>
    <w:p w14:paraId="645802D2" w14:textId="77777777" w:rsidR="00E62AA5" w:rsidRPr="001E47E1" w:rsidRDefault="00543946" w:rsidP="00A938F7">
      <w:pPr>
        <w:pStyle w:val="ListParagraph"/>
        <w:numPr>
          <w:ilvl w:val="0"/>
          <w:numId w:val="31"/>
        </w:numPr>
        <w:spacing w:line="240" w:lineRule="auto"/>
        <w:ind w:left="714" w:hanging="357"/>
        <w:rPr>
          <w:rFonts w:cs="Arial"/>
          <w:color w:val="002F5D"/>
        </w:rPr>
      </w:pPr>
      <w:r w:rsidRPr="001E47E1">
        <w:rPr>
          <w:rFonts w:cs="Arial"/>
          <w:color w:val="002F5D"/>
        </w:rPr>
        <w:t xml:space="preserve">Related to employment, </w:t>
      </w:r>
      <w:r w:rsidR="00E62AA5" w:rsidRPr="001E47E1">
        <w:rPr>
          <w:rFonts w:cs="Arial"/>
          <w:color w:val="002F5D"/>
        </w:rPr>
        <w:t>Cambridgeshire has</w:t>
      </w:r>
      <w:r w:rsidRPr="001E47E1">
        <w:rPr>
          <w:rFonts w:cs="Arial"/>
          <w:color w:val="002F5D"/>
        </w:rPr>
        <w:t xml:space="preserve"> only 3</w:t>
      </w:r>
      <w:r w:rsidR="00E62AA5" w:rsidRPr="001E47E1">
        <w:rPr>
          <w:rFonts w:cs="Arial"/>
          <w:color w:val="002F5D"/>
        </w:rPr>
        <w:t xml:space="preserve">% of its LSOAs </w:t>
      </w:r>
      <w:r w:rsidRPr="001E47E1">
        <w:rPr>
          <w:rFonts w:cs="Arial"/>
          <w:color w:val="002F5D"/>
        </w:rPr>
        <w:t>within the 2</w:t>
      </w:r>
      <w:r w:rsidR="00E62AA5" w:rsidRPr="001E47E1">
        <w:rPr>
          <w:rFonts w:cs="Arial"/>
          <w:color w:val="002F5D"/>
        </w:rPr>
        <w:t xml:space="preserve"> most deprived deciles whereas Peterborough has </w:t>
      </w:r>
      <w:r w:rsidRPr="001E47E1">
        <w:rPr>
          <w:rFonts w:cs="Arial"/>
          <w:color w:val="002F5D"/>
        </w:rPr>
        <w:t>24</w:t>
      </w:r>
      <w:r w:rsidR="00E62AA5" w:rsidRPr="001E47E1">
        <w:rPr>
          <w:rFonts w:cs="Arial"/>
          <w:color w:val="002F5D"/>
        </w:rPr>
        <w:t>%</w:t>
      </w:r>
      <w:r w:rsidRPr="001E47E1">
        <w:rPr>
          <w:rFonts w:cs="Arial"/>
          <w:color w:val="002F5D"/>
        </w:rPr>
        <w:t xml:space="preserve"> of its LSOAs within the 2 most deprived deciles</w:t>
      </w:r>
      <w:r w:rsidR="00E62AA5" w:rsidRPr="001E47E1">
        <w:rPr>
          <w:rFonts w:cs="Arial"/>
          <w:color w:val="002F5D"/>
        </w:rPr>
        <w:t>.</w:t>
      </w:r>
    </w:p>
    <w:p w14:paraId="1F711965" w14:textId="77777777" w:rsidR="0016132A" w:rsidRPr="001E47E1" w:rsidRDefault="0016132A" w:rsidP="00A938F7">
      <w:pPr>
        <w:pStyle w:val="ListParagraph"/>
        <w:numPr>
          <w:ilvl w:val="0"/>
          <w:numId w:val="31"/>
        </w:numPr>
        <w:spacing w:line="240" w:lineRule="auto"/>
        <w:ind w:left="714" w:hanging="357"/>
        <w:rPr>
          <w:rFonts w:cs="Arial"/>
          <w:color w:val="002F5D"/>
        </w:rPr>
      </w:pPr>
      <w:r w:rsidRPr="001E47E1">
        <w:rPr>
          <w:rFonts w:cs="Arial"/>
          <w:color w:val="002F5D"/>
        </w:rPr>
        <w:t xml:space="preserve">Related to employment, of Cambridgeshire districts, Fenland has by far the </w:t>
      </w:r>
      <w:r w:rsidR="00741ECF" w:rsidRPr="001E47E1">
        <w:rPr>
          <w:rFonts w:cs="Arial"/>
          <w:color w:val="002F5D"/>
        </w:rPr>
        <w:t xml:space="preserve">highest number of </w:t>
      </w:r>
      <w:r w:rsidRPr="001E47E1">
        <w:rPr>
          <w:rFonts w:cs="Arial"/>
          <w:color w:val="002F5D"/>
        </w:rPr>
        <w:t>small areas (LSOAs) in the most deprived national groups and no small areas in the two least deprived groups.</w:t>
      </w:r>
    </w:p>
    <w:p w14:paraId="50E7E8C5" w14:textId="77777777" w:rsidR="0016132A" w:rsidRPr="001E47E1" w:rsidRDefault="005036CA" w:rsidP="00A938F7">
      <w:pPr>
        <w:pStyle w:val="ListParagraph"/>
        <w:numPr>
          <w:ilvl w:val="0"/>
          <w:numId w:val="31"/>
        </w:numPr>
        <w:spacing w:line="240" w:lineRule="auto"/>
        <w:rPr>
          <w:rFonts w:cs="Arial"/>
          <w:color w:val="002F5D"/>
        </w:rPr>
      </w:pPr>
      <w:r w:rsidRPr="001E47E1">
        <w:rPr>
          <w:rFonts w:cs="Arial"/>
          <w:color w:val="002F5D"/>
        </w:rPr>
        <w:t>Huntingdonshire</w:t>
      </w:r>
      <w:r w:rsidR="0016132A" w:rsidRPr="001E47E1">
        <w:rPr>
          <w:rFonts w:cs="Arial"/>
          <w:color w:val="002F5D"/>
        </w:rPr>
        <w:t xml:space="preserve"> has the next </w:t>
      </w:r>
      <w:r w:rsidR="00741ECF" w:rsidRPr="001E47E1">
        <w:rPr>
          <w:rFonts w:cs="Arial"/>
          <w:color w:val="002F5D"/>
        </w:rPr>
        <w:t xml:space="preserve">highest number of </w:t>
      </w:r>
      <w:r w:rsidR="0016132A" w:rsidRPr="001E47E1">
        <w:rPr>
          <w:rFonts w:cs="Arial"/>
          <w:color w:val="002F5D"/>
        </w:rPr>
        <w:t xml:space="preserve">most small areas </w:t>
      </w:r>
      <w:r w:rsidRPr="001E47E1">
        <w:rPr>
          <w:rFonts w:cs="Arial"/>
          <w:color w:val="002F5D"/>
        </w:rPr>
        <w:t xml:space="preserve">across the </w:t>
      </w:r>
      <w:r w:rsidR="0016132A" w:rsidRPr="001E47E1">
        <w:rPr>
          <w:rFonts w:cs="Arial"/>
          <w:color w:val="002F5D"/>
        </w:rPr>
        <w:t>relatively depriv</w:t>
      </w:r>
      <w:r w:rsidRPr="001E47E1">
        <w:rPr>
          <w:rFonts w:cs="Arial"/>
          <w:color w:val="002F5D"/>
        </w:rPr>
        <w:t xml:space="preserve">ed national groups and </w:t>
      </w:r>
      <w:r w:rsidR="0084438B" w:rsidRPr="001E47E1">
        <w:rPr>
          <w:rFonts w:cs="Arial"/>
          <w:color w:val="002F5D"/>
        </w:rPr>
        <w:t>Cambridge</w:t>
      </w:r>
      <w:r w:rsidRPr="001E47E1">
        <w:rPr>
          <w:rFonts w:cs="Arial"/>
          <w:color w:val="002F5D"/>
        </w:rPr>
        <w:t xml:space="preserve"> has a few small areas in the most deprived groups</w:t>
      </w:r>
      <w:r w:rsidR="0016132A" w:rsidRPr="001E47E1">
        <w:rPr>
          <w:rFonts w:cs="Arial"/>
          <w:color w:val="002F5D"/>
        </w:rPr>
        <w:t>.</w:t>
      </w:r>
    </w:p>
    <w:p w14:paraId="6BD9A66E" w14:textId="77777777" w:rsidR="005960E9" w:rsidRPr="001E47E1" w:rsidRDefault="005960E9" w:rsidP="0038179C">
      <w:pPr>
        <w:spacing w:line="240" w:lineRule="auto"/>
        <w:rPr>
          <w:rFonts w:cs="Arial"/>
          <w:color w:val="002F5D"/>
        </w:rPr>
      </w:pPr>
    </w:p>
    <w:p w14:paraId="17D2B423" w14:textId="77777777" w:rsidR="002104F8" w:rsidRPr="001E47E1" w:rsidRDefault="002104F8">
      <w:pPr>
        <w:rPr>
          <w:b/>
          <w:iCs/>
          <w:color w:val="002F5D"/>
          <w:szCs w:val="18"/>
        </w:rPr>
      </w:pPr>
      <w:r w:rsidRPr="001E47E1">
        <w:rPr>
          <w:b/>
          <w:color w:val="002F5D"/>
        </w:rPr>
        <w:br w:type="page"/>
      </w:r>
    </w:p>
    <w:p w14:paraId="09556508" w14:textId="51CC8DC9" w:rsidR="00A43F7E" w:rsidRPr="001E47E1" w:rsidRDefault="003A2AC2" w:rsidP="00E62AA5">
      <w:pPr>
        <w:pStyle w:val="Caption"/>
        <w:rPr>
          <w:rFonts w:cs="Arial"/>
          <w:color w:val="002F5D"/>
        </w:rPr>
      </w:pPr>
      <w:r w:rsidRPr="001E47E1">
        <w:rPr>
          <w:b/>
          <w:color w:val="002F5D"/>
        </w:rPr>
        <w:lastRenderedPageBreak/>
        <w:t xml:space="preserve">Figure </w:t>
      </w:r>
      <w:r w:rsidR="004061DD">
        <w:rPr>
          <w:b/>
          <w:color w:val="002F5D"/>
        </w:rPr>
        <w:t>33</w:t>
      </w:r>
      <w:r w:rsidR="005F4A9D" w:rsidRPr="001E47E1">
        <w:rPr>
          <w:rFonts w:cs="Arial"/>
          <w:b/>
          <w:color w:val="002F5D"/>
        </w:rPr>
        <w:t>.</w:t>
      </w:r>
      <w:r w:rsidR="005F4A9D" w:rsidRPr="001E47E1">
        <w:rPr>
          <w:rFonts w:cs="Arial"/>
          <w:color w:val="002F5D"/>
        </w:rPr>
        <w:t xml:space="preserve"> Indices of Multiple Deprivation, 2015 - income domain - percentage of LSOAS in national </w:t>
      </w:r>
      <w:r w:rsidR="00E62AA5" w:rsidRPr="001E47E1">
        <w:rPr>
          <w:rFonts w:cs="Arial"/>
          <w:color w:val="002F5D"/>
        </w:rPr>
        <w:t>decile in Cambridgeshire and Peterborough and Cambridgeshire Districts</w:t>
      </w:r>
    </w:p>
    <w:p w14:paraId="2C118DDE" w14:textId="77777777" w:rsidR="00E62AA5" w:rsidRPr="0037351D" w:rsidRDefault="00E62AA5" w:rsidP="00E62AA5">
      <w:pPr>
        <w:rPr>
          <w:color w:val="FF0000"/>
        </w:rPr>
      </w:pPr>
    </w:p>
    <w:p w14:paraId="387C4CB3" w14:textId="77777777" w:rsidR="005F4A9D" w:rsidRPr="0037351D" w:rsidRDefault="00543946" w:rsidP="0038179C">
      <w:pPr>
        <w:spacing w:line="240" w:lineRule="auto"/>
        <w:rPr>
          <w:rFonts w:cs="Arial"/>
          <w:color w:val="FF0000"/>
        </w:rPr>
      </w:pPr>
      <w:r w:rsidRPr="0037351D">
        <w:rPr>
          <w:rFonts w:cs="Arial"/>
          <w:noProof/>
          <w:color w:val="FF0000"/>
          <w:lang w:eastAsia="en-GB"/>
        </w:rPr>
        <w:drawing>
          <wp:inline distT="0" distB="0" distL="0" distR="0" wp14:anchorId="2D4BC407" wp14:editId="4EAC0028">
            <wp:extent cx="6054090" cy="2042160"/>
            <wp:effectExtent l="0" t="0" r="381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54090" cy="2042160"/>
                    </a:xfrm>
                    <a:prstGeom prst="rect">
                      <a:avLst/>
                    </a:prstGeom>
                    <a:noFill/>
                  </pic:spPr>
                </pic:pic>
              </a:graphicData>
            </a:graphic>
          </wp:inline>
        </w:drawing>
      </w:r>
    </w:p>
    <w:p w14:paraId="13973AB5" w14:textId="77777777" w:rsidR="00A43F7E" w:rsidRPr="0037351D" w:rsidRDefault="00A43F7E" w:rsidP="0038179C">
      <w:pPr>
        <w:spacing w:line="240" w:lineRule="auto"/>
        <w:rPr>
          <w:rFonts w:eastAsia="Times New Roman" w:cs="Times New Roman"/>
          <w:b/>
          <w:bCs/>
          <w:color w:val="FF0000"/>
          <w:lang w:eastAsia="en-GB"/>
        </w:rPr>
      </w:pPr>
    </w:p>
    <w:p w14:paraId="2BB3F6C4" w14:textId="77777777" w:rsidR="005F4A9D" w:rsidRPr="001E47E1" w:rsidRDefault="005F4A9D" w:rsidP="0038179C">
      <w:pPr>
        <w:spacing w:line="240" w:lineRule="auto"/>
        <w:rPr>
          <w:rFonts w:eastAsia="Times New Roman" w:cs="Times New Roman"/>
          <w:color w:val="002F5D"/>
          <w:lang w:eastAsia="en-GB"/>
        </w:rPr>
      </w:pPr>
      <w:r w:rsidRPr="001E47E1">
        <w:rPr>
          <w:rFonts w:eastAsia="Times New Roman" w:cs="Times New Roman"/>
          <w:b/>
          <w:bCs/>
          <w:color w:val="002F5D"/>
          <w:lang w:eastAsia="en-GB"/>
        </w:rPr>
        <w:t>Source:</w:t>
      </w:r>
      <w:r w:rsidRPr="001E47E1">
        <w:rPr>
          <w:rFonts w:eastAsia="Times New Roman" w:cs="Times New Roman"/>
          <w:color w:val="002F5D"/>
          <w:lang w:eastAsia="en-GB"/>
        </w:rPr>
        <w:t xml:space="preserve"> Index of Multiple Deprivation 2015, Department for Communities &amp; Local Government (DCLG)</w:t>
      </w:r>
    </w:p>
    <w:p w14:paraId="320E7BD8" w14:textId="77777777" w:rsidR="005F4A9D" w:rsidRPr="001E47E1" w:rsidRDefault="005F4A9D" w:rsidP="0038179C">
      <w:pPr>
        <w:spacing w:line="240" w:lineRule="auto"/>
        <w:rPr>
          <w:rFonts w:cs="Arial"/>
          <w:color w:val="002F5D"/>
        </w:rPr>
      </w:pPr>
    </w:p>
    <w:p w14:paraId="70B1E19C" w14:textId="77777777" w:rsidR="005F4A9D" w:rsidRPr="001E47E1" w:rsidRDefault="005F4A9D" w:rsidP="0038179C">
      <w:pPr>
        <w:spacing w:line="240" w:lineRule="auto"/>
        <w:rPr>
          <w:rFonts w:cs="Arial"/>
          <w:b/>
          <w:color w:val="002F5D"/>
        </w:rPr>
      </w:pPr>
      <w:r w:rsidRPr="001E47E1">
        <w:rPr>
          <w:rFonts w:cs="Arial"/>
          <w:b/>
          <w:color w:val="002F5D"/>
        </w:rPr>
        <w:t>Key points:</w:t>
      </w:r>
    </w:p>
    <w:p w14:paraId="73291D32" w14:textId="77777777" w:rsidR="00EB2447" w:rsidRPr="001E47E1" w:rsidRDefault="00EB2447" w:rsidP="00EB2447">
      <w:pPr>
        <w:pStyle w:val="ListParagraph"/>
        <w:numPr>
          <w:ilvl w:val="0"/>
          <w:numId w:val="31"/>
        </w:numPr>
        <w:spacing w:line="240" w:lineRule="auto"/>
        <w:ind w:left="714" w:hanging="357"/>
        <w:rPr>
          <w:rFonts w:cs="Arial"/>
          <w:color w:val="002F5D"/>
        </w:rPr>
      </w:pPr>
      <w:r w:rsidRPr="001E47E1">
        <w:rPr>
          <w:rFonts w:cs="Arial"/>
          <w:color w:val="002F5D"/>
        </w:rPr>
        <w:t>Related to income levels, Cambridgeshire and Peterborough has almost 20% of its population living in the 3 most deprived national deciles, but overall is not relatively deprived.</w:t>
      </w:r>
    </w:p>
    <w:p w14:paraId="0B520D5D" w14:textId="77777777" w:rsidR="00543946" w:rsidRPr="001E47E1" w:rsidRDefault="00543946" w:rsidP="00A938F7">
      <w:pPr>
        <w:pStyle w:val="ListParagraph"/>
        <w:numPr>
          <w:ilvl w:val="0"/>
          <w:numId w:val="31"/>
        </w:numPr>
        <w:spacing w:line="240" w:lineRule="auto"/>
        <w:ind w:left="714" w:hanging="357"/>
        <w:rPr>
          <w:rFonts w:cs="Arial"/>
          <w:color w:val="002F5D"/>
        </w:rPr>
      </w:pPr>
      <w:r w:rsidRPr="001E47E1">
        <w:rPr>
          <w:rFonts w:cs="Arial"/>
          <w:color w:val="002F5D"/>
        </w:rPr>
        <w:t>Related to income levels, Cambridgeshire has only 3% of its LSOAs within the 2 most deprived deciles whereas Peterborough has 35% of its LSOAs within the 2 most deprived deciles.</w:t>
      </w:r>
    </w:p>
    <w:p w14:paraId="65D7688C" w14:textId="77777777" w:rsidR="005F4A9D" w:rsidRPr="001E47E1" w:rsidRDefault="005F4A9D" w:rsidP="00A938F7">
      <w:pPr>
        <w:pStyle w:val="ListParagraph"/>
        <w:numPr>
          <w:ilvl w:val="0"/>
          <w:numId w:val="31"/>
        </w:numPr>
        <w:spacing w:line="240" w:lineRule="auto"/>
        <w:ind w:left="714" w:hanging="357"/>
        <w:rPr>
          <w:rFonts w:cs="Arial"/>
          <w:color w:val="002F5D"/>
        </w:rPr>
      </w:pPr>
      <w:r w:rsidRPr="001E47E1">
        <w:rPr>
          <w:rFonts w:cs="Arial"/>
          <w:color w:val="002F5D"/>
        </w:rPr>
        <w:t xml:space="preserve">Related to income levels, of Cambridgeshire districts, Fenland has by far the </w:t>
      </w:r>
      <w:r w:rsidR="00741ECF" w:rsidRPr="001E47E1">
        <w:rPr>
          <w:rFonts w:cs="Arial"/>
          <w:color w:val="002F5D"/>
        </w:rPr>
        <w:t xml:space="preserve">highest number of </w:t>
      </w:r>
      <w:r w:rsidRPr="001E47E1">
        <w:rPr>
          <w:rFonts w:cs="Arial"/>
          <w:color w:val="002F5D"/>
        </w:rPr>
        <w:t>small areas (LSOAs) in the most deprived national groups and no small areas in the two least deprived groups.</w:t>
      </w:r>
    </w:p>
    <w:p w14:paraId="13D2B2CE" w14:textId="77777777" w:rsidR="00C578AC" w:rsidRPr="001E47E1" w:rsidRDefault="005F4A9D" w:rsidP="00C578AC">
      <w:pPr>
        <w:pStyle w:val="ListParagraph"/>
        <w:numPr>
          <w:ilvl w:val="0"/>
          <w:numId w:val="31"/>
        </w:numPr>
        <w:spacing w:line="240" w:lineRule="auto"/>
        <w:rPr>
          <w:rFonts w:cs="Arial"/>
          <w:color w:val="002F5D"/>
        </w:rPr>
      </w:pPr>
      <w:r w:rsidRPr="001E47E1">
        <w:rPr>
          <w:rFonts w:cs="Arial"/>
          <w:color w:val="002F5D"/>
        </w:rPr>
        <w:t xml:space="preserve">The picture in Huntingdonshire and East Cambridgeshire is relatively similar, although Huntingdonshire has </w:t>
      </w:r>
      <w:r w:rsidR="00B564D3" w:rsidRPr="001E47E1">
        <w:rPr>
          <w:rFonts w:cs="Arial"/>
          <w:color w:val="002F5D"/>
        </w:rPr>
        <w:t xml:space="preserve">more </w:t>
      </w:r>
      <w:r w:rsidRPr="001E47E1">
        <w:rPr>
          <w:rFonts w:cs="Arial"/>
          <w:color w:val="002F5D"/>
        </w:rPr>
        <w:t>areas in more deprived groups than East Cambridgeshire and, conversely, more ar</w:t>
      </w:r>
      <w:r w:rsidR="00297BF1" w:rsidRPr="001E47E1">
        <w:rPr>
          <w:rFonts w:cs="Arial"/>
          <w:color w:val="002F5D"/>
        </w:rPr>
        <w:t>eas in the least deprived decil</w:t>
      </w:r>
      <w:r w:rsidRPr="001E47E1">
        <w:rPr>
          <w:rFonts w:cs="Arial"/>
          <w:color w:val="002F5D"/>
        </w:rPr>
        <w:t>e.</w:t>
      </w:r>
    </w:p>
    <w:p w14:paraId="15224A8D" w14:textId="77777777" w:rsidR="00C578AC" w:rsidRPr="001E47E1" w:rsidRDefault="00C578AC" w:rsidP="00C578AC">
      <w:pPr>
        <w:spacing w:line="240" w:lineRule="auto"/>
        <w:rPr>
          <w:rFonts w:cs="Arial"/>
          <w:color w:val="002F5D"/>
        </w:rPr>
      </w:pPr>
    </w:p>
    <w:p w14:paraId="5F92C229" w14:textId="77777777" w:rsidR="002104F8" w:rsidRPr="001E47E1" w:rsidRDefault="002104F8">
      <w:pPr>
        <w:rPr>
          <w:b/>
          <w:color w:val="002F5D"/>
        </w:rPr>
      </w:pPr>
      <w:r w:rsidRPr="001E47E1">
        <w:rPr>
          <w:b/>
          <w:color w:val="002F5D"/>
        </w:rPr>
        <w:br w:type="page"/>
      </w:r>
    </w:p>
    <w:p w14:paraId="51EC814E" w14:textId="0BBD432F" w:rsidR="00E9693C" w:rsidRPr="00466722" w:rsidRDefault="007C40C2" w:rsidP="00C578AC">
      <w:pPr>
        <w:spacing w:line="240" w:lineRule="auto"/>
        <w:rPr>
          <w:rFonts w:cs="Arial"/>
          <w:color w:val="002F5D"/>
        </w:rPr>
      </w:pPr>
      <w:r w:rsidRPr="00466722">
        <w:rPr>
          <w:b/>
          <w:color w:val="002F5D"/>
        </w:rPr>
        <w:lastRenderedPageBreak/>
        <w:t xml:space="preserve">Table </w:t>
      </w:r>
      <w:r w:rsidR="009226D1">
        <w:rPr>
          <w:b/>
          <w:color w:val="002F5D"/>
        </w:rPr>
        <w:t>26</w:t>
      </w:r>
      <w:r w:rsidR="00297BF1" w:rsidRPr="00466722">
        <w:rPr>
          <w:rFonts w:cs="Arial"/>
          <w:color w:val="002F5D"/>
        </w:rPr>
        <w:t xml:space="preserve">. Percentage of people aged 16-64 </w:t>
      </w:r>
      <w:r w:rsidR="00934D6C" w:rsidRPr="00466722">
        <w:rPr>
          <w:rFonts w:cs="Arial"/>
          <w:color w:val="002F5D"/>
        </w:rPr>
        <w:t>in employment (Persons), 20</w:t>
      </w:r>
      <w:r w:rsidR="00E9693C" w:rsidRPr="00466722">
        <w:rPr>
          <w:rFonts w:cs="Arial"/>
          <w:color w:val="002F5D"/>
        </w:rPr>
        <w:t>17/18</w:t>
      </w:r>
    </w:p>
    <w:p w14:paraId="619CFF45" w14:textId="63AC569B" w:rsidR="008625F7" w:rsidRDefault="008625F7" w:rsidP="00C578AC">
      <w:pPr>
        <w:spacing w:line="240" w:lineRule="auto"/>
        <w:rPr>
          <w:rFonts w:cs="Arial"/>
          <w:color w:val="FF0000"/>
        </w:rPr>
      </w:pPr>
    </w:p>
    <w:p w14:paraId="65835A8A" w14:textId="4A62C808" w:rsidR="008625F7" w:rsidRDefault="003E3825" w:rsidP="00C578AC">
      <w:pPr>
        <w:spacing w:line="240" w:lineRule="auto"/>
        <w:rPr>
          <w:rFonts w:cs="Arial"/>
          <w:color w:val="FF0000"/>
        </w:rPr>
      </w:pPr>
      <w:r w:rsidRPr="003E3825">
        <w:rPr>
          <w:noProof/>
          <w:lang w:eastAsia="en-GB"/>
        </w:rPr>
        <w:drawing>
          <wp:inline distT="0" distB="0" distL="0" distR="0" wp14:anchorId="25B839E0" wp14:editId="759C0C4A">
            <wp:extent cx="5158740" cy="2072627"/>
            <wp:effectExtent l="0" t="0" r="381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62355" cy="2074079"/>
                    </a:xfrm>
                    <a:prstGeom prst="rect">
                      <a:avLst/>
                    </a:prstGeom>
                    <a:noFill/>
                    <a:ln>
                      <a:noFill/>
                    </a:ln>
                  </pic:spPr>
                </pic:pic>
              </a:graphicData>
            </a:graphic>
          </wp:inline>
        </w:drawing>
      </w:r>
    </w:p>
    <w:p w14:paraId="1C9E334B" w14:textId="3AACC00F" w:rsidR="00C578AC" w:rsidRPr="00466722" w:rsidRDefault="00C578AC" w:rsidP="00041822">
      <w:pPr>
        <w:spacing w:line="240" w:lineRule="auto"/>
        <w:rPr>
          <w:rFonts w:cs="Arial"/>
          <w:color w:val="002F5D"/>
          <w:sz w:val="18"/>
          <w:szCs w:val="18"/>
        </w:rPr>
      </w:pPr>
    </w:p>
    <w:p w14:paraId="7C228967" w14:textId="0CD38D9D" w:rsidR="00041822" w:rsidRDefault="00041822" w:rsidP="00041822">
      <w:pPr>
        <w:spacing w:line="240" w:lineRule="auto"/>
        <w:rPr>
          <w:rFonts w:cs="Arial"/>
          <w:color w:val="002F5D"/>
          <w:sz w:val="18"/>
          <w:szCs w:val="18"/>
        </w:rPr>
      </w:pPr>
      <w:r w:rsidRPr="00466722">
        <w:rPr>
          <w:rFonts w:cs="Arial"/>
          <w:color w:val="002F5D"/>
          <w:sz w:val="18"/>
          <w:szCs w:val="18"/>
        </w:rPr>
        <w:t>*Value aggregated from all known lower geography values</w:t>
      </w:r>
    </w:p>
    <w:p w14:paraId="3919A50B" w14:textId="77777777" w:rsidR="00DB37E1" w:rsidRDefault="00DB37E1" w:rsidP="00041822">
      <w:pPr>
        <w:spacing w:line="240" w:lineRule="auto"/>
        <w:rPr>
          <w:rFonts w:cs="Arial"/>
          <w:color w:val="002F5D"/>
          <w:sz w:val="18"/>
          <w:szCs w:val="18"/>
        </w:rPr>
      </w:pPr>
    </w:p>
    <w:p w14:paraId="7C7E9EF5" w14:textId="20BB6361" w:rsidR="008C1DF2" w:rsidRDefault="00DB37E1" w:rsidP="00041822">
      <w:pPr>
        <w:spacing w:line="240" w:lineRule="auto"/>
        <w:rPr>
          <w:rFonts w:cs="Arial"/>
          <w:color w:val="002F5D"/>
          <w:sz w:val="18"/>
          <w:szCs w:val="18"/>
        </w:rPr>
      </w:pPr>
      <w:r>
        <w:rPr>
          <w:noProof/>
          <w:lang w:eastAsia="en-GB"/>
        </w:rPr>
        <w:drawing>
          <wp:inline distT="0" distB="0" distL="0" distR="0" wp14:anchorId="0699DDCE" wp14:editId="5A1011E2">
            <wp:extent cx="3802380" cy="616126"/>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9873" cy="622201"/>
                    </a:xfrm>
                    <a:prstGeom prst="rect">
                      <a:avLst/>
                    </a:prstGeom>
                  </pic:spPr>
                </pic:pic>
              </a:graphicData>
            </a:graphic>
          </wp:inline>
        </w:drawing>
      </w:r>
      <w:r>
        <w:rPr>
          <w:noProof/>
          <w:lang w:eastAsia="en-GB"/>
        </w:rPr>
        <w:drawing>
          <wp:inline distT="0" distB="0" distL="0" distR="0" wp14:anchorId="4FE03450" wp14:editId="6743C41E">
            <wp:extent cx="1539240" cy="566157"/>
            <wp:effectExtent l="0" t="0" r="3810" b="571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550177" cy="570180"/>
                    </a:xfrm>
                    <a:prstGeom prst="rect">
                      <a:avLst/>
                    </a:prstGeom>
                  </pic:spPr>
                </pic:pic>
              </a:graphicData>
            </a:graphic>
          </wp:inline>
        </w:drawing>
      </w:r>
    </w:p>
    <w:p w14:paraId="7B16DA98" w14:textId="77777777" w:rsidR="00B564D3" w:rsidRPr="0037351D" w:rsidRDefault="00B564D3" w:rsidP="00C578AC">
      <w:pPr>
        <w:spacing w:line="240" w:lineRule="auto"/>
        <w:rPr>
          <w:rFonts w:eastAsia="Times New Roman" w:cs="Times New Roman"/>
          <w:b/>
          <w:bCs/>
          <w:color w:val="FF0000"/>
          <w:lang w:eastAsia="en-GB"/>
        </w:rPr>
      </w:pPr>
    </w:p>
    <w:p w14:paraId="36CCF59A" w14:textId="77777777" w:rsidR="003A1584" w:rsidRPr="00466722" w:rsidRDefault="003A1584" w:rsidP="00C578A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xml:space="preserve"> NOMIS from PHE Public Health Outcomes Framework </w:t>
      </w:r>
    </w:p>
    <w:p w14:paraId="6FF6DC80" w14:textId="77777777" w:rsidR="003A1584" w:rsidRPr="00466722" w:rsidRDefault="003A1584" w:rsidP="00C578AC">
      <w:pPr>
        <w:spacing w:line="240" w:lineRule="auto"/>
        <w:rPr>
          <w:rFonts w:cs="Arial"/>
          <w:color w:val="002F5D"/>
        </w:rPr>
      </w:pPr>
    </w:p>
    <w:p w14:paraId="6C76063F" w14:textId="77777777" w:rsidR="002F6B86" w:rsidRPr="00466722" w:rsidRDefault="002F6B86" w:rsidP="00C578AC">
      <w:pPr>
        <w:spacing w:line="240" w:lineRule="auto"/>
        <w:rPr>
          <w:rFonts w:cs="Arial"/>
          <w:b/>
          <w:color w:val="002F5D"/>
        </w:rPr>
      </w:pPr>
      <w:r w:rsidRPr="00466722">
        <w:rPr>
          <w:rFonts w:cs="Arial"/>
          <w:b/>
          <w:color w:val="002F5D"/>
        </w:rPr>
        <w:t>Key points:</w:t>
      </w:r>
    </w:p>
    <w:p w14:paraId="1BC727E2" w14:textId="77777777" w:rsidR="00AB3174" w:rsidRPr="00466722" w:rsidRDefault="00C97037" w:rsidP="00C97037">
      <w:pPr>
        <w:pStyle w:val="ListParagraph"/>
        <w:numPr>
          <w:ilvl w:val="0"/>
          <w:numId w:val="32"/>
        </w:numPr>
        <w:spacing w:line="240" w:lineRule="auto"/>
        <w:rPr>
          <w:rFonts w:cs="Arial"/>
          <w:color w:val="002F5D"/>
        </w:rPr>
      </w:pPr>
      <w:r w:rsidRPr="00466722">
        <w:rPr>
          <w:rFonts w:cs="Arial"/>
          <w:color w:val="002F5D"/>
        </w:rPr>
        <w:t xml:space="preserve">Compared with England’s average, Cambridgeshire and Peterborough has a statistically </w:t>
      </w:r>
      <w:r w:rsidR="00CA38DB" w:rsidRPr="00466722">
        <w:rPr>
          <w:rFonts w:cs="Arial"/>
          <w:color w:val="002F5D"/>
        </w:rPr>
        <w:t xml:space="preserve">significantly </w:t>
      </w:r>
    </w:p>
    <w:p w14:paraId="06DA8086" w14:textId="6735F364" w:rsidR="00C97037" w:rsidRPr="00466722" w:rsidRDefault="00CA38DB" w:rsidP="00C97037">
      <w:pPr>
        <w:pStyle w:val="ListParagraph"/>
        <w:numPr>
          <w:ilvl w:val="0"/>
          <w:numId w:val="32"/>
        </w:numPr>
        <w:spacing w:line="240" w:lineRule="auto"/>
        <w:rPr>
          <w:rFonts w:cs="Arial"/>
          <w:color w:val="002F5D"/>
        </w:rPr>
      </w:pPr>
      <w:r w:rsidRPr="00466722">
        <w:rPr>
          <w:rFonts w:cs="Arial"/>
          <w:color w:val="002F5D"/>
        </w:rPr>
        <w:t xml:space="preserve">higher </w:t>
      </w:r>
      <w:r w:rsidR="00C97037" w:rsidRPr="00466722">
        <w:rPr>
          <w:rFonts w:cs="Arial"/>
          <w:color w:val="002F5D"/>
        </w:rPr>
        <w:t xml:space="preserve">percentage of people in employment. </w:t>
      </w:r>
    </w:p>
    <w:p w14:paraId="07813BDF" w14:textId="4BE63539" w:rsidR="002F6B86" w:rsidRPr="00466722" w:rsidRDefault="002F6B86" w:rsidP="00C578AC">
      <w:pPr>
        <w:pStyle w:val="ListParagraph"/>
        <w:numPr>
          <w:ilvl w:val="0"/>
          <w:numId w:val="32"/>
        </w:numPr>
        <w:spacing w:line="240" w:lineRule="auto"/>
        <w:rPr>
          <w:rFonts w:cs="Arial"/>
          <w:color w:val="002F5D"/>
        </w:rPr>
      </w:pPr>
      <w:r w:rsidRPr="00466722">
        <w:rPr>
          <w:rFonts w:cs="Arial"/>
          <w:color w:val="002F5D"/>
        </w:rPr>
        <w:t>Compared with England’s average, Cambridgeshire has a statist</w:t>
      </w:r>
      <w:r w:rsidR="00EB03C8" w:rsidRPr="00466722">
        <w:rPr>
          <w:rFonts w:cs="Arial"/>
          <w:color w:val="002F5D"/>
        </w:rPr>
        <w:t>ically significantly higher percentage</w:t>
      </w:r>
      <w:r w:rsidRPr="00466722">
        <w:rPr>
          <w:rFonts w:cs="Arial"/>
          <w:color w:val="002F5D"/>
        </w:rPr>
        <w:t xml:space="preserve"> of people in employment, as do </w:t>
      </w:r>
      <w:r w:rsidR="008C1DF2" w:rsidRPr="00466722">
        <w:rPr>
          <w:rFonts w:cs="Arial"/>
          <w:color w:val="002F5D"/>
        </w:rPr>
        <w:t>Huntingdonshire</w:t>
      </w:r>
      <w:r w:rsidRPr="00466722">
        <w:rPr>
          <w:rFonts w:cs="Arial"/>
          <w:color w:val="002F5D"/>
        </w:rPr>
        <w:t xml:space="preserve"> and South Cambridgeshire.</w:t>
      </w:r>
      <w:r w:rsidR="00896690" w:rsidRPr="00466722">
        <w:rPr>
          <w:rFonts w:cs="Arial"/>
          <w:color w:val="002F5D"/>
        </w:rPr>
        <w:t xml:space="preserve"> </w:t>
      </w:r>
    </w:p>
    <w:p w14:paraId="03E28D6B" w14:textId="5994AB2A" w:rsidR="008725BB" w:rsidRPr="00466722" w:rsidRDefault="008725BB" w:rsidP="00C578AC">
      <w:pPr>
        <w:pStyle w:val="ListParagraph"/>
        <w:numPr>
          <w:ilvl w:val="0"/>
          <w:numId w:val="32"/>
        </w:numPr>
        <w:spacing w:line="240" w:lineRule="auto"/>
        <w:rPr>
          <w:rFonts w:cs="Arial"/>
          <w:color w:val="002F5D"/>
        </w:rPr>
      </w:pPr>
      <w:r w:rsidRPr="00466722">
        <w:rPr>
          <w:rFonts w:cs="Arial"/>
          <w:color w:val="002F5D"/>
        </w:rPr>
        <w:t>Compared with England’s average, Peterborou</w:t>
      </w:r>
      <w:r w:rsidR="00EB03C8" w:rsidRPr="00466722">
        <w:rPr>
          <w:rFonts w:cs="Arial"/>
          <w:color w:val="002F5D"/>
        </w:rPr>
        <w:t>gh has a statistically s</w:t>
      </w:r>
      <w:r w:rsidR="008C1DF2" w:rsidRPr="00466722">
        <w:rPr>
          <w:rFonts w:cs="Arial"/>
          <w:color w:val="002F5D"/>
        </w:rPr>
        <w:t>ignificantly lower</w:t>
      </w:r>
      <w:r w:rsidR="00EB03C8" w:rsidRPr="00466722">
        <w:rPr>
          <w:rFonts w:cs="Arial"/>
          <w:color w:val="002F5D"/>
        </w:rPr>
        <w:t xml:space="preserve"> percentage</w:t>
      </w:r>
      <w:r w:rsidRPr="00466722">
        <w:rPr>
          <w:rFonts w:cs="Arial"/>
          <w:color w:val="002F5D"/>
        </w:rPr>
        <w:t xml:space="preserve"> of people in employment.</w:t>
      </w:r>
    </w:p>
    <w:p w14:paraId="2557E637" w14:textId="4A4E3188" w:rsidR="002F6B86" w:rsidRPr="00466722" w:rsidRDefault="003E68A4" w:rsidP="00C578AC">
      <w:pPr>
        <w:pStyle w:val="ListParagraph"/>
        <w:numPr>
          <w:ilvl w:val="0"/>
          <w:numId w:val="32"/>
        </w:numPr>
        <w:spacing w:line="240" w:lineRule="auto"/>
        <w:rPr>
          <w:rFonts w:cs="Arial"/>
          <w:color w:val="002F5D"/>
        </w:rPr>
      </w:pPr>
      <w:r w:rsidRPr="00466722">
        <w:rPr>
          <w:rFonts w:cs="Arial"/>
          <w:color w:val="002F5D"/>
        </w:rPr>
        <w:t xml:space="preserve">Within Cambridgeshire, there are no statistically important differences between the Cambridgeshire average and any of the districts. </w:t>
      </w:r>
      <w:r w:rsidR="008C1DF2" w:rsidRPr="00466722">
        <w:rPr>
          <w:rFonts w:cs="Arial"/>
          <w:color w:val="002F5D"/>
        </w:rPr>
        <w:t xml:space="preserve">Cambridge and Huntingdonshire both have  </w:t>
      </w:r>
      <w:r w:rsidR="00CA38DB" w:rsidRPr="00466722">
        <w:rPr>
          <w:rFonts w:cs="Arial"/>
          <w:color w:val="002F5D"/>
        </w:rPr>
        <w:t>adverse trend</w:t>
      </w:r>
      <w:r w:rsidR="008C1DF2" w:rsidRPr="00466722">
        <w:rPr>
          <w:rFonts w:cs="Arial"/>
          <w:color w:val="002F5D"/>
        </w:rPr>
        <w:t>s</w:t>
      </w:r>
      <w:r w:rsidR="00CA38DB" w:rsidRPr="00466722">
        <w:rPr>
          <w:rFonts w:cs="Arial"/>
          <w:color w:val="002F5D"/>
        </w:rPr>
        <w:t>.</w:t>
      </w:r>
      <w:r w:rsidR="006A20CC" w:rsidRPr="00466722">
        <w:rPr>
          <w:rFonts w:cs="Arial"/>
          <w:color w:val="002F5D"/>
        </w:rPr>
        <w:t xml:space="preserve"> </w:t>
      </w:r>
    </w:p>
    <w:p w14:paraId="38278321" w14:textId="77777777" w:rsidR="00EB03C8" w:rsidRPr="0037351D" w:rsidRDefault="00EB03C8" w:rsidP="00EB03C8">
      <w:pPr>
        <w:rPr>
          <w:b/>
          <w:iCs/>
          <w:color w:val="FF0000"/>
          <w:szCs w:val="18"/>
        </w:rPr>
      </w:pPr>
    </w:p>
    <w:p w14:paraId="5EDE56D6" w14:textId="77777777" w:rsidR="00CA38DB" w:rsidRPr="0037351D" w:rsidRDefault="00CA38DB" w:rsidP="00EB03C8">
      <w:pPr>
        <w:rPr>
          <w:b/>
          <w:iCs/>
          <w:color w:val="FF0000"/>
          <w:szCs w:val="18"/>
        </w:rPr>
      </w:pPr>
    </w:p>
    <w:p w14:paraId="12B64562" w14:textId="77777777" w:rsidR="00CA38DB" w:rsidRPr="0037351D" w:rsidRDefault="00CA38DB" w:rsidP="00EB03C8">
      <w:pPr>
        <w:rPr>
          <w:b/>
          <w:iCs/>
          <w:color w:val="FF0000"/>
          <w:szCs w:val="18"/>
        </w:rPr>
      </w:pPr>
    </w:p>
    <w:p w14:paraId="75907AD1" w14:textId="77777777" w:rsidR="00CA38DB" w:rsidRPr="0037351D" w:rsidRDefault="00CA38DB" w:rsidP="00EB03C8">
      <w:pPr>
        <w:rPr>
          <w:b/>
          <w:iCs/>
          <w:color w:val="FF0000"/>
          <w:szCs w:val="18"/>
        </w:rPr>
      </w:pPr>
    </w:p>
    <w:p w14:paraId="42C4A94C" w14:textId="77777777" w:rsidR="00CA38DB" w:rsidRPr="0037351D" w:rsidRDefault="00CA38DB" w:rsidP="00EB03C8">
      <w:pPr>
        <w:rPr>
          <w:b/>
          <w:iCs/>
          <w:color w:val="FF0000"/>
          <w:szCs w:val="18"/>
        </w:rPr>
      </w:pPr>
    </w:p>
    <w:p w14:paraId="0D9FAEBD" w14:textId="77777777" w:rsidR="00CA38DB" w:rsidRPr="0037351D" w:rsidRDefault="00CA38DB" w:rsidP="00EB03C8">
      <w:pPr>
        <w:rPr>
          <w:b/>
          <w:iCs/>
          <w:color w:val="FF0000"/>
          <w:szCs w:val="18"/>
        </w:rPr>
      </w:pPr>
    </w:p>
    <w:p w14:paraId="41FF523D" w14:textId="77777777" w:rsidR="00CA38DB" w:rsidRPr="0037351D" w:rsidRDefault="00CA38DB" w:rsidP="00EB03C8">
      <w:pPr>
        <w:rPr>
          <w:b/>
          <w:iCs/>
          <w:color w:val="FF0000"/>
          <w:szCs w:val="18"/>
        </w:rPr>
      </w:pPr>
    </w:p>
    <w:p w14:paraId="7B02D63B" w14:textId="08DF8285" w:rsidR="00CA38DB" w:rsidRDefault="00CA38DB" w:rsidP="00EB03C8">
      <w:pPr>
        <w:rPr>
          <w:b/>
          <w:iCs/>
          <w:color w:val="FF0000"/>
          <w:szCs w:val="18"/>
        </w:rPr>
      </w:pPr>
    </w:p>
    <w:p w14:paraId="019EED1B" w14:textId="2BD3C128" w:rsidR="00DB37E1" w:rsidRDefault="00DB37E1" w:rsidP="00EB03C8">
      <w:pPr>
        <w:rPr>
          <w:b/>
          <w:iCs/>
          <w:color w:val="FF0000"/>
          <w:szCs w:val="18"/>
        </w:rPr>
      </w:pPr>
    </w:p>
    <w:p w14:paraId="75A5D6F2" w14:textId="14530FBA" w:rsidR="00DB37E1" w:rsidRDefault="00DB37E1" w:rsidP="00EB03C8">
      <w:pPr>
        <w:rPr>
          <w:b/>
          <w:iCs/>
          <w:color w:val="FF0000"/>
          <w:szCs w:val="18"/>
        </w:rPr>
      </w:pPr>
    </w:p>
    <w:p w14:paraId="518F218B" w14:textId="600BA762" w:rsidR="00962877" w:rsidRDefault="00962877" w:rsidP="00EB03C8">
      <w:pPr>
        <w:rPr>
          <w:b/>
          <w:iCs/>
          <w:color w:val="FF0000"/>
          <w:szCs w:val="18"/>
        </w:rPr>
      </w:pPr>
    </w:p>
    <w:p w14:paraId="3A21399C" w14:textId="75D8C6EA" w:rsidR="00962877" w:rsidRDefault="00962877" w:rsidP="00EB03C8">
      <w:pPr>
        <w:rPr>
          <w:b/>
          <w:iCs/>
          <w:color w:val="FF0000"/>
          <w:szCs w:val="18"/>
        </w:rPr>
      </w:pPr>
    </w:p>
    <w:p w14:paraId="18540342" w14:textId="77777777" w:rsidR="00962877" w:rsidRDefault="00962877" w:rsidP="00EB03C8">
      <w:pPr>
        <w:rPr>
          <w:b/>
          <w:iCs/>
          <w:color w:val="FF0000"/>
          <w:szCs w:val="18"/>
        </w:rPr>
      </w:pPr>
    </w:p>
    <w:p w14:paraId="58E7B069" w14:textId="77777777" w:rsidR="00DB37E1" w:rsidRPr="0037351D" w:rsidRDefault="00DB37E1" w:rsidP="00EB03C8">
      <w:pPr>
        <w:rPr>
          <w:b/>
          <w:iCs/>
          <w:color w:val="FF0000"/>
          <w:szCs w:val="18"/>
        </w:rPr>
      </w:pPr>
    </w:p>
    <w:p w14:paraId="36E1A11A" w14:textId="77777777" w:rsidR="00CA38DB" w:rsidRPr="0037351D" w:rsidRDefault="00CA38DB" w:rsidP="00EB03C8">
      <w:pPr>
        <w:rPr>
          <w:b/>
          <w:iCs/>
          <w:color w:val="FF0000"/>
          <w:szCs w:val="18"/>
        </w:rPr>
      </w:pPr>
    </w:p>
    <w:p w14:paraId="08EE2C1A" w14:textId="77777777" w:rsidR="00CA38DB" w:rsidRPr="0037351D" w:rsidRDefault="00CA38DB" w:rsidP="00EB03C8">
      <w:pPr>
        <w:rPr>
          <w:b/>
          <w:iCs/>
          <w:color w:val="FF0000"/>
          <w:szCs w:val="18"/>
        </w:rPr>
      </w:pPr>
    </w:p>
    <w:p w14:paraId="341EAA20" w14:textId="77777777" w:rsidR="00CA38DB" w:rsidRPr="0037351D" w:rsidRDefault="00CA38DB" w:rsidP="00EB03C8">
      <w:pPr>
        <w:rPr>
          <w:color w:val="FF0000"/>
        </w:rPr>
      </w:pPr>
    </w:p>
    <w:p w14:paraId="17716ECF" w14:textId="77777777" w:rsidR="00665E92" w:rsidRPr="00466722" w:rsidRDefault="00665E92" w:rsidP="00EB03C8">
      <w:pPr>
        <w:rPr>
          <w:color w:val="002F5D"/>
        </w:rPr>
      </w:pPr>
    </w:p>
    <w:p w14:paraId="2D9AC633" w14:textId="7CAFB8A8" w:rsidR="008C1DF2" w:rsidRDefault="007C40C2" w:rsidP="00C578AC">
      <w:pPr>
        <w:pStyle w:val="Caption"/>
        <w:rPr>
          <w:rFonts w:cs="Arial"/>
          <w:color w:val="002F5D"/>
        </w:rPr>
      </w:pPr>
      <w:r w:rsidRPr="00466722">
        <w:rPr>
          <w:b/>
          <w:color w:val="002F5D"/>
        </w:rPr>
        <w:lastRenderedPageBreak/>
        <w:t xml:space="preserve">Table </w:t>
      </w:r>
      <w:r w:rsidR="009226D1">
        <w:rPr>
          <w:b/>
          <w:color w:val="002F5D"/>
        </w:rPr>
        <w:t>27</w:t>
      </w:r>
      <w:r w:rsidR="00944F0B" w:rsidRPr="00466722">
        <w:rPr>
          <w:rFonts w:cs="Arial"/>
          <w:color w:val="002F5D"/>
        </w:rPr>
        <w:t>. Gap in the employment rate between those with a long-term health condition and the overall employme</w:t>
      </w:r>
      <w:r w:rsidR="00934D6C" w:rsidRPr="00466722">
        <w:rPr>
          <w:rFonts w:cs="Arial"/>
          <w:color w:val="002F5D"/>
        </w:rPr>
        <w:t>nt rate (ages 16-64 years), 201</w:t>
      </w:r>
      <w:r w:rsidR="008C1DF2" w:rsidRPr="00466722">
        <w:rPr>
          <w:rFonts w:cs="Arial"/>
          <w:color w:val="002F5D"/>
        </w:rPr>
        <w:t>7</w:t>
      </w:r>
      <w:r w:rsidR="00934D6C" w:rsidRPr="00466722">
        <w:rPr>
          <w:rFonts w:cs="Arial"/>
          <w:color w:val="002F5D"/>
        </w:rPr>
        <w:t>/1</w:t>
      </w:r>
      <w:r w:rsidR="008C1DF2" w:rsidRPr="00466722">
        <w:rPr>
          <w:rFonts w:cs="Arial"/>
          <w:color w:val="002F5D"/>
        </w:rPr>
        <w:t>8</w:t>
      </w:r>
    </w:p>
    <w:p w14:paraId="5C9BC252" w14:textId="7D293219" w:rsidR="008C1DF2" w:rsidRDefault="008C1DF2" w:rsidP="00C578AC">
      <w:pPr>
        <w:pStyle w:val="Caption"/>
        <w:rPr>
          <w:rFonts w:cs="Arial"/>
          <w:color w:val="002F5D"/>
        </w:rPr>
      </w:pPr>
    </w:p>
    <w:p w14:paraId="75B4C53A" w14:textId="052A044F" w:rsidR="00944F0B" w:rsidRPr="0037351D" w:rsidRDefault="00FB2F28" w:rsidP="00C578AC">
      <w:pPr>
        <w:pStyle w:val="Caption"/>
        <w:rPr>
          <w:rFonts w:cs="Arial"/>
          <w:color w:val="FF0000"/>
        </w:rPr>
      </w:pPr>
      <w:r w:rsidRPr="00FB2F28">
        <w:rPr>
          <w:noProof/>
          <w:lang w:eastAsia="en-GB"/>
        </w:rPr>
        <w:drawing>
          <wp:inline distT="0" distB="0" distL="0" distR="0" wp14:anchorId="5AF002D5" wp14:editId="1725EFBE">
            <wp:extent cx="4351020" cy="210128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72526" cy="2111666"/>
                    </a:xfrm>
                    <a:prstGeom prst="rect">
                      <a:avLst/>
                    </a:prstGeom>
                    <a:noFill/>
                    <a:ln>
                      <a:noFill/>
                    </a:ln>
                  </pic:spPr>
                </pic:pic>
              </a:graphicData>
            </a:graphic>
          </wp:inline>
        </w:drawing>
      </w:r>
    </w:p>
    <w:p w14:paraId="407FF9E2" w14:textId="77777777" w:rsidR="00C578AC" w:rsidRPr="0037351D" w:rsidRDefault="00C578AC" w:rsidP="005E4BAD">
      <w:pPr>
        <w:spacing w:line="240" w:lineRule="auto"/>
        <w:rPr>
          <w:rFonts w:cs="Arial"/>
          <w:color w:val="FF0000"/>
          <w:sz w:val="18"/>
          <w:szCs w:val="18"/>
        </w:rPr>
      </w:pPr>
    </w:p>
    <w:p w14:paraId="08A228E7" w14:textId="77777777" w:rsidR="005E4BAD" w:rsidRPr="00466722" w:rsidRDefault="005E4BAD" w:rsidP="005E4BAD">
      <w:pPr>
        <w:spacing w:line="240" w:lineRule="auto"/>
        <w:rPr>
          <w:rFonts w:cs="Arial"/>
          <w:color w:val="002F5D"/>
          <w:sz w:val="18"/>
          <w:szCs w:val="18"/>
        </w:rPr>
      </w:pPr>
      <w:r w:rsidRPr="00466722">
        <w:rPr>
          <w:rFonts w:cs="Arial"/>
          <w:color w:val="002F5D"/>
          <w:sz w:val="18"/>
          <w:szCs w:val="18"/>
        </w:rPr>
        <w:t>*Value aggregated from all known lower geography values</w:t>
      </w:r>
    </w:p>
    <w:p w14:paraId="5007C935" w14:textId="77777777" w:rsidR="009568EF" w:rsidRPr="0037351D" w:rsidRDefault="009568EF" w:rsidP="005E4BAD">
      <w:pPr>
        <w:spacing w:line="240" w:lineRule="auto"/>
        <w:rPr>
          <w:rFonts w:cs="Arial"/>
          <w:color w:val="FF0000"/>
          <w:sz w:val="18"/>
          <w:szCs w:val="18"/>
        </w:rPr>
      </w:pPr>
    </w:p>
    <w:p w14:paraId="55BEE54C" w14:textId="2DDCABFA" w:rsidR="009568EF" w:rsidRPr="0037351D" w:rsidRDefault="00FB2F28" w:rsidP="005E4BAD">
      <w:pPr>
        <w:spacing w:line="240" w:lineRule="auto"/>
        <w:rPr>
          <w:rFonts w:cs="Arial"/>
          <w:color w:val="FF0000"/>
          <w:sz w:val="18"/>
          <w:szCs w:val="18"/>
        </w:rPr>
      </w:pPr>
      <w:r>
        <w:rPr>
          <w:rFonts w:cs="Arial"/>
          <w:noProof/>
          <w:color w:val="FF0000"/>
          <w:sz w:val="18"/>
          <w:szCs w:val="18"/>
          <w:lang w:eastAsia="en-GB"/>
        </w:rPr>
        <w:drawing>
          <wp:inline distT="0" distB="0" distL="0" distR="0" wp14:anchorId="1EA1050C" wp14:editId="04C36528">
            <wp:extent cx="3804285" cy="615950"/>
            <wp:effectExtent l="0" t="0" r="571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176F75CB" w14:textId="77777777" w:rsidR="00EB03C8" w:rsidRPr="0037351D" w:rsidRDefault="00EB03C8" w:rsidP="0038179C">
      <w:pPr>
        <w:spacing w:line="240" w:lineRule="auto"/>
        <w:rPr>
          <w:rFonts w:cs="Arial"/>
          <w:color w:val="FF0000"/>
        </w:rPr>
      </w:pPr>
    </w:p>
    <w:p w14:paraId="2A06B6C7" w14:textId="77777777" w:rsidR="003A1584" w:rsidRPr="00466722" w:rsidRDefault="003A1584" w:rsidP="00C578A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xml:space="preserve"> NOMIS from PHE Public Health Outcomes Framework</w:t>
      </w:r>
    </w:p>
    <w:p w14:paraId="09A3EFB9" w14:textId="77777777" w:rsidR="00BD7AAB" w:rsidRPr="0037351D" w:rsidRDefault="00BD7AAB" w:rsidP="00C578AC">
      <w:pPr>
        <w:spacing w:line="240" w:lineRule="auto"/>
        <w:rPr>
          <w:rFonts w:eastAsia="Times New Roman" w:cs="Times New Roman"/>
          <w:color w:val="FF0000"/>
          <w:lang w:eastAsia="en-GB"/>
        </w:rPr>
      </w:pPr>
    </w:p>
    <w:p w14:paraId="713031BE" w14:textId="77777777" w:rsidR="00BD7AAB" w:rsidRPr="00466722" w:rsidRDefault="00BD7AAB" w:rsidP="00C578AC">
      <w:pPr>
        <w:spacing w:line="240" w:lineRule="auto"/>
        <w:rPr>
          <w:rFonts w:cs="Arial"/>
          <w:b/>
          <w:color w:val="002F5D"/>
        </w:rPr>
      </w:pPr>
      <w:r w:rsidRPr="00466722">
        <w:rPr>
          <w:rFonts w:cs="Arial"/>
          <w:b/>
          <w:color w:val="002F5D"/>
        </w:rPr>
        <w:t>Key points:</w:t>
      </w:r>
    </w:p>
    <w:p w14:paraId="11AC2455" w14:textId="7F262699" w:rsidR="000A3AD3" w:rsidRDefault="00865E98" w:rsidP="00C578AC">
      <w:pPr>
        <w:pStyle w:val="ListParagraph"/>
        <w:numPr>
          <w:ilvl w:val="0"/>
          <w:numId w:val="33"/>
        </w:numPr>
        <w:spacing w:line="240" w:lineRule="auto"/>
        <w:rPr>
          <w:rFonts w:cs="Arial"/>
          <w:color w:val="002F5D"/>
        </w:rPr>
      </w:pPr>
      <w:r w:rsidRPr="00466722">
        <w:rPr>
          <w:rFonts w:cs="Arial"/>
          <w:color w:val="002F5D"/>
        </w:rPr>
        <w:t>Compared with England’s average, Cambridgeshire</w:t>
      </w:r>
      <w:r w:rsidR="000A3AD3" w:rsidRPr="00466722">
        <w:rPr>
          <w:rFonts w:cs="Arial"/>
          <w:color w:val="002F5D"/>
        </w:rPr>
        <w:t>, Peterborough</w:t>
      </w:r>
      <w:r w:rsidRPr="00466722">
        <w:rPr>
          <w:rFonts w:cs="Arial"/>
          <w:color w:val="002F5D"/>
        </w:rPr>
        <w:t xml:space="preserve"> </w:t>
      </w:r>
      <w:r w:rsidR="00EB03C8" w:rsidRPr="00466722">
        <w:rPr>
          <w:rFonts w:cs="Arial"/>
          <w:color w:val="002F5D"/>
        </w:rPr>
        <w:t xml:space="preserve">and Cambridgeshire and Peterborough as a whole </w:t>
      </w:r>
      <w:r w:rsidR="000A3AD3" w:rsidRPr="00466722">
        <w:rPr>
          <w:rFonts w:cs="Arial"/>
          <w:color w:val="002F5D"/>
        </w:rPr>
        <w:t xml:space="preserve">all </w:t>
      </w:r>
      <w:r w:rsidR="00EB03C8" w:rsidRPr="00466722">
        <w:rPr>
          <w:rFonts w:cs="Arial"/>
          <w:color w:val="002F5D"/>
        </w:rPr>
        <w:t>have</w:t>
      </w:r>
      <w:r w:rsidRPr="00466722">
        <w:rPr>
          <w:rFonts w:cs="Arial"/>
          <w:color w:val="002F5D"/>
        </w:rPr>
        <w:t xml:space="preserve"> statistically </w:t>
      </w:r>
      <w:r w:rsidR="000A3AD3" w:rsidRPr="00466722">
        <w:rPr>
          <w:rFonts w:cs="Arial"/>
          <w:color w:val="002F5D"/>
        </w:rPr>
        <w:t>similar</w:t>
      </w:r>
      <w:r w:rsidRPr="00466722">
        <w:rPr>
          <w:rFonts w:cs="Arial"/>
          <w:color w:val="002F5D"/>
        </w:rPr>
        <w:t xml:space="preserve"> gap</w:t>
      </w:r>
      <w:r w:rsidR="002928A1">
        <w:rPr>
          <w:rFonts w:cs="Arial"/>
          <w:color w:val="002F5D"/>
        </w:rPr>
        <w:t>s</w:t>
      </w:r>
      <w:r w:rsidRPr="00466722">
        <w:rPr>
          <w:rFonts w:cs="Arial"/>
          <w:color w:val="002F5D"/>
        </w:rPr>
        <w:t xml:space="preserve"> in employment rate</w:t>
      </w:r>
      <w:r w:rsidR="000A3AD3" w:rsidRPr="00466722">
        <w:rPr>
          <w:rFonts w:cs="Arial"/>
          <w:color w:val="002F5D"/>
        </w:rPr>
        <w:t>s</w:t>
      </w:r>
      <w:r w:rsidRPr="00466722">
        <w:rPr>
          <w:rFonts w:cs="Arial"/>
          <w:color w:val="002F5D"/>
        </w:rPr>
        <w:t xml:space="preserve"> between those with a long-term health condition </w:t>
      </w:r>
      <w:r w:rsidR="00EB03C8" w:rsidRPr="00466722">
        <w:rPr>
          <w:rFonts w:cs="Arial"/>
          <w:color w:val="002F5D"/>
        </w:rPr>
        <w:t xml:space="preserve">and the overall </w:t>
      </w:r>
      <w:r w:rsidR="002928A1">
        <w:rPr>
          <w:rFonts w:cs="Arial"/>
          <w:color w:val="002F5D"/>
        </w:rPr>
        <w:t xml:space="preserve">national </w:t>
      </w:r>
      <w:r w:rsidR="00EB03C8" w:rsidRPr="00466722">
        <w:rPr>
          <w:rFonts w:cs="Arial"/>
          <w:color w:val="002F5D"/>
        </w:rPr>
        <w:t>employment rate</w:t>
      </w:r>
      <w:r w:rsidRPr="00466722">
        <w:rPr>
          <w:rFonts w:cs="Arial"/>
          <w:color w:val="002F5D"/>
        </w:rPr>
        <w:t>, as do</w:t>
      </w:r>
      <w:r w:rsidR="000A3AD3" w:rsidRPr="00466722">
        <w:rPr>
          <w:rFonts w:cs="Arial"/>
          <w:color w:val="002F5D"/>
        </w:rPr>
        <w:t>es</w:t>
      </w:r>
      <w:r w:rsidR="00DC46DB">
        <w:rPr>
          <w:rFonts w:cs="Arial"/>
          <w:color w:val="002F5D"/>
        </w:rPr>
        <w:t xml:space="preserve"> </w:t>
      </w:r>
      <w:r w:rsidR="008F2EC5">
        <w:rPr>
          <w:rFonts w:cs="Arial"/>
          <w:color w:val="002F5D"/>
        </w:rPr>
        <w:t xml:space="preserve">East Cambridgeshire, </w:t>
      </w:r>
      <w:r w:rsidR="005104EC">
        <w:rPr>
          <w:rFonts w:cs="Arial"/>
          <w:color w:val="002F5D"/>
        </w:rPr>
        <w:t>Fenland and South Cambridgeshire.</w:t>
      </w:r>
    </w:p>
    <w:p w14:paraId="23A531A0" w14:textId="0E2F6FDF" w:rsidR="008F2EC5" w:rsidRPr="00466722" w:rsidRDefault="008F2EC5">
      <w:pPr>
        <w:pStyle w:val="ListParagraph"/>
        <w:numPr>
          <w:ilvl w:val="0"/>
          <w:numId w:val="33"/>
        </w:numPr>
        <w:spacing w:line="240" w:lineRule="auto"/>
        <w:rPr>
          <w:rFonts w:cs="Arial"/>
          <w:color w:val="002F5D"/>
        </w:rPr>
      </w:pPr>
      <w:r>
        <w:rPr>
          <w:rFonts w:cs="Arial"/>
          <w:color w:val="002F5D"/>
        </w:rPr>
        <w:t xml:space="preserve">Cambridge has a </w:t>
      </w:r>
      <w:r w:rsidR="000749DA">
        <w:rPr>
          <w:rFonts w:cs="Arial"/>
          <w:color w:val="002F5D"/>
        </w:rPr>
        <w:t>statistically significantly worse rate</w:t>
      </w:r>
      <w:r w:rsidR="000749DA" w:rsidRPr="000749DA">
        <w:rPr>
          <w:rFonts w:cs="Arial"/>
          <w:color w:val="002F5D"/>
        </w:rPr>
        <w:t xml:space="preserve"> </w:t>
      </w:r>
      <w:r w:rsidR="000749DA" w:rsidRPr="00FC0664">
        <w:rPr>
          <w:rFonts w:cs="Arial"/>
          <w:color w:val="002F5D"/>
        </w:rPr>
        <w:t>for the gap in employment rate between those with a long-term health condition and the overall employment rate.   The differences in the size of the population, overall employment rate, average earnings and stability of employment could all be contributory factors to this.</w:t>
      </w:r>
    </w:p>
    <w:p w14:paraId="4114BE6D" w14:textId="66DC5A54" w:rsidR="000C54A8" w:rsidRDefault="000A3AD3" w:rsidP="00466722">
      <w:pPr>
        <w:pStyle w:val="ListParagraph"/>
        <w:numPr>
          <w:ilvl w:val="0"/>
          <w:numId w:val="33"/>
        </w:numPr>
        <w:spacing w:line="240" w:lineRule="auto"/>
        <w:rPr>
          <w:rFonts w:cs="Arial"/>
          <w:color w:val="002F5D"/>
        </w:rPr>
      </w:pPr>
      <w:r w:rsidRPr="00466722">
        <w:rPr>
          <w:rFonts w:cs="Arial"/>
          <w:color w:val="002F5D"/>
        </w:rPr>
        <w:t>Huntingdonshire has a statistically significantly better rate for the gap in employment rate between those with a long-term health condition and the overall employment rate</w:t>
      </w:r>
      <w:r w:rsidR="00865E98" w:rsidRPr="00466722">
        <w:rPr>
          <w:rFonts w:cs="Arial"/>
          <w:color w:val="002F5D"/>
        </w:rPr>
        <w:t>.</w:t>
      </w:r>
      <w:r w:rsidR="00DE5981" w:rsidRPr="00466722">
        <w:rPr>
          <w:rFonts w:cs="Arial"/>
          <w:color w:val="002F5D"/>
        </w:rPr>
        <w:t xml:space="preserve">   </w:t>
      </w:r>
    </w:p>
    <w:p w14:paraId="09A9EC4F" w14:textId="77777777" w:rsidR="00E30335" w:rsidRPr="00466722" w:rsidRDefault="00E30335" w:rsidP="00466722">
      <w:pPr>
        <w:pStyle w:val="ListParagraph"/>
        <w:spacing w:line="240" w:lineRule="auto"/>
        <w:rPr>
          <w:rFonts w:cs="Arial"/>
          <w:color w:val="002F5D"/>
        </w:rPr>
      </w:pPr>
    </w:p>
    <w:p w14:paraId="56DB3AEF" w14:textId="77777777" w:rsidR="00BE27DA" w:rsidRPr="00466722" w:rsidRDefault="007F70D8" w:rsidP="00C578AC">
      <w:pPr>
        <w:spacing w:line="240" w:lineRule="auto"/>
        <w:rPr>
          <w:rFonts w:cs="Arial"/>
          <w:color w:val="002F5D"/>
        </w:rPr>
      </w:pPr>
      <w:r w:rsidRPr="00466722">
        <w:rPr>
          <w:rFonts w:cs="Arial"/>
          <w:color w:val="002F5D"/>
        </w:rPr>
        <w:t xml:space="preserve">USEFUL LINK: </w:t>
      </w:r>
      <w:hyperlink r:id="rId126" w:history="1">
        <w:r w:rsidRPr="00466722">
          <w:rPr>
            <w:rStyle w:val="Hyperlink"/>
            <w:rFonts w:cs="Arial"/>
            <w:color w:val="002F5D"/>
          </w:rPr>
          <w:t>http://www.phoutcomes.info</w:t>
        </w:r>
      </w:hyperlink>
    </w:p>
    <w:p w14:paraId="3370D16B" w14:textId="77777777" w:rsidR="007F70D8" w:rsidRPr="0037351D" w:rsidRDefault="007F70D8" w:rsidP="00C578AC">
      <w:pPr>
        <w:spacing w:line="240" w:lineRule="auto"/>
        <w:rPr>
          <w:rFonts w:cs="Arial"/>
          <w:b/>
          <w:color w:val="FF0000"/>
        </w:rPr>
      </w:pPr>
      <w:r w:rsidRPr="0037351D">
        <w:rPr>
          <w:rFonts w:cs="Arial"/>
          <w:b/>
          <w:color w:val="FF0000"/>
        </w:rPr>
        <w:br w:type="page"/>
      </w:r>
    </w:p>
    <w:p w14:paraId="0A1ED39C" w14:textId="0D41EEDF" w:rsidR="0085754D" w:rsidRDefault="007C40C2" w:rsidP="00C578AC">
      <w:pPr>
        <w:pStyle w:val="Caption"/>
        <w:rPr>
          <w:rFonts w:cs="Arial"/>
          <w:color w:val="002F5D"/>
        </w:rPr>
      </w:pPr>
      <w:r w:rsidRPr="00466722">
        <w:rPr>
          <w:b/>
          <w:color w:val="002F5D"/>
        </w:rPr>
        <w:lastRenderedPageBreak/>
        <w:t xml:space="preserve">Table </w:t>
      </w:r>
      <w:r w:rsidR="009226D1">
        <w:rPr>
          <w:b/>
          <w:color w:val="002F5D"/>
        </w:rPr>
        <w:t>28</w:t>
      </w:r>
      <w:r w:rsidR="0085754D" w:rsidRPr="00466722">
        <w:rPr>
          <w:rFonts w:cs="Arial"/>
          <w:color w:val="002F5D"/>
        </w:rPr>
        <w:t>. Employment Support Allowance (ESA) claimants for mental and behavioural disorders: rate per 1,000 working age population (people aged 16-64 years), 2016</w:t>
      </w:r>
    </w:p>
    <w:p w14:paraId="008B0F57" w14:textId="77777777" w:rsidR="00155677" w:rsidRPr="00466722" w:rsidRDefault="00155677" w:rsidP="00E61D24"/>
    <w:p w14:paraId="74768315" w14:textId="31B4F727" w:rsidR="006F017A" w:rsidRPr="00466722" w:rsidRDefault="00155677" w:rsidP="00466722">
      <w:pPr>
        <w:spacing w:line="276" w:lineRule="auto"/>
        <w:rPr>
          <w:color w:val="002F5D"/>
        </w:rPr>
      </w:pPr>
      <w:r w:rsidRPr="00155677">
        <w:rPr>
          <w:noProof/>
          <w:lang w:eastAsia="en-GB"/>
        </w:rPr>
        <w:drawing>
          <wp:inline distT="0" distB="0" distL="0" distR="0" wp14:anchorId="4CBF9E64" wp14:editId="60F16E75">
            <wp:extent cx="5458446" cy="1988820"/>
            <wp:effectExtent l="0" t="0" r="952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62844" cy="1990422"/>
                    </a:xfrm>
                    <a:prstGeom prst="rect">
                      <a:avLst/>
                    </a:prstGeom>
                    <a:noFill/>
                    <a:ln>
                      <a:noFill/>
                    </a:ln>
                  </pic:spPr>
                </pic:pic>
              </a:graphicData>
            </a:graphic>
          </wp:inline>
        </w:drawing>
      </w:r>
    </w:p>
    <w:p w14:paraId="018FC4B4" w14:textId="77777777" w:rsidR="00C578AC" w:rsidRPr="00466722" w:rsidRDefault="00C578AC" w:rsidP="00041822">
      <w:pPr>
        <w:pStyle w:val="Caption"/>
        <w:rPr>
          <w:rFonts w:cs="Arial"/>
          <w:color w:val="002F5D"/>
          <w:sz w:val="18"/>
        </w:rPr>
      </w:pPr>
    </w:p>
    <w:p w14:paraId="535E1666" w14:textId="30859FC2" w:rsidR="00554B43" w:rsidRDefault="00041822">
      <w:pPr>
        <w:pStyle w:val="Caption"/>
        <w:rPr>
          <w:b/>
          <w:color w:val="002F5D"/>
          <w:sz w:val="18"/>
        </w:rPr>
      </w:pPr>
      <w:r w:rsidRPr="00466722">
        <w:rPr>
          <w:rFonts w:cs="Arial"/>
          <w:color w:val="002F5D"/>
          <w:sz w:val="18"/>
        </w:rPr>
        <w:t>*Value aggregated from all known lower geography values</w:t>
      </w:r>
      <w:r w:rsidRPr="00466722">
        <w:rPr>
          <w:b/>
          <w:color w:val="002F5D"/>
          <w:sz w:val="18"/>
        </w:rPr>
        <w:t xml:space="preserve"> </w:t>
      </w:r>
    </w:p>
    <w:p w14:paraId="114E99BD" w14:textId="77777777" w:rsidR="00554B43" w:rsidRPr="00466722" w:rsidRDefault="00554B43" w:rsidP="00E61D24"/>
    <w:p w14:paraId="0A8D443C" w14:textId="3E685E67" w:rsidR="00962877" w:rsidRDefault="00554B43" w:rsidP="00155DD6">
      <w:pPr>
        <w:rPr>
          <w:color w:val="002F5D"/>
        </w:rPr>
      </w:pPr>
      <w:r>
        <w:rPr>
          <w:noProof/>
          <w:lang w:eastAsia="en-GB"/>
        </w:rPr>
        <w:drawing>
          <wp:inline distT="0" distB="0" distL="0" distR="0" wp14:anchorId="666B2727" wp14:editId="37C9E1BA">
            <wp:extent cx="4162425" cy="70485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162425" cy="704850"/>
                    </a:xfrm>
                    <a:prstGeom prst="rect">
                      <a:avLst/>
                    </a:prstGeom>
                  </pic:spPr>
                </pic:pic>
              </a:graphicData>
            </a:graphic>
          </wp:inline>
        </w:drawing>
      </w:r>
    </w:p>
    <w:p w14:paraId="5570DCFF" w14:textId="044E9655" w:rsidR="00962877" w:rsidRDefault="00962877" w:rsidP="00155DD6">
      <w:pPr>
        <w:rPr>
          <w:color w:val="002F5D"/>
        </w:rPr>
      </w:pPr>
      <w:r w:rsidRPr="00962877">
        <w:rPr>
          <w:noProof/>
          <w:lang w:eastAsia="en-GB"/>
        </w:rPr>
        <w:drawing>
          <wp:inline distT="0" distB="0" distL="0" distR="0" wp14:anchorId="3B3DB764" wp14:editId="51B81DBD">
            <wp:extent cx="1969783" cy="465667"/>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5306" cy="469337"/>
                    </a:xfrm>
                    <a:prstGeom prst="rect">
                      <a:avLst/>
                    </a:prstGeom>
                    <a:noFill/>
                    <a:ln>
                      <a:noFill/>
                    </a:ln>
                  </pic:spPr>
                </pic:pic>
              </a:graphicData>
            </a:graphic>
          </wp:inline>
        </w:drawing>
      </w:r>
    </w:p>
    <w:p w14:paraId="513F1682" w14:textId="77777777" w:rsidR="007D7A29" w:rsidRPr="0037351D" w:rsidRDefault="007D7A29" w:rsidP="00C578AC">
      <w:pPr>
        <w:spacing w:line="240" w:lineRule="auto"/>
        <w:rPr>
          <w:rFonts w:eastAsia="Times New Roman" w:cs="Times New Roman"/>
          <w:b/>
          <w:bCs/>
          <w:color w:val="FF0000"/>
          <w:lang w:eastAsia="en-GB"/>
        </w:rPr>
      </w:pPr>
    </w:p>
    <w:p w14:paraId="7C4F517D" w14:textId="77777777" w:rsidR="003A1584" w:rsidRPr="00466722" w:rsidRDefault="003A1584" w:rsidP="00C578AC">
      <w:pPr>
        <w:spacing w:line="240" w:lineRule="auto"/>
        <w:rPr>
          <w:rFonts w:eastAsia="Times New Roman" w:cs="Times New Roman"/>
          <w:color w:val="002F5D"/>
          <w:lang w:eastAsia="en-GB"/>
        </w:rPr>
      </w:pPr>
      <w:r w:rsidRPr="00466722">
        <w:rPr>
          <w:rFonts w:eastAsia="Times New Roman" w:cs="Times New Roman"/>
          <w:b/>
          <w:bCs/>
          <w:color w:val="002F5D"/>
          <w:lang w:eastAsia="en-GB"/>
        </w:rPr>
        <w:t>Source</w:t>
      </w:r>
      <w:r w:rsidRPr="00466722">
        <w:rPr>
          <w:rFonts w:eastAsia="Times New Roman" w:cs="Times New Roman"/>
          <w:color w:val="002F5D"/>
          <w:lang w:eastAsia="en-GB"/>
        </w:rPr>
        <w:t xml:space="preserve"> NOMIS, from PHE Mental Health and Wellbeing JSNA</w:t>
      </w:r>
    </w:p>
    <w:p w14:paraId="09F62791" w14:textId="77777777" w:rsidR="003A1584" w:rsidRPr="0037351D" w:rsidRDefault="003A1584" w:rsidP="00C578AC">
      <w:pPr>
        <w:pStyle w:val="Caption"/>
        <w:rPr>
          <w:b/>
          <w:color w:val="FF0000"/>
        </w:rPr>
      </w:pPr>
    </w:p>
    <w:p w14:paraId="4358A298" w14:textId="77777777" w:rsidR="002104F8" w:rsidRPr="0037351D" w:rsidRDefault="002104F8">
      <w:pPr>
        <w:rPr>
          <w:b/>
          <w:iCs/>
          <w:color w:val="FF0000"/>
          <w:szCs w:val="18"/>
        </w:rPr>
      </w:pPr>
      <w:r w:rsidRPr="0037351D">
        <w:rPr>
          <w:b/>
          <w:color w:val="FF0000"/>
        </w:rPr>
        <w:br w:type="page"/>
      </w:r>
    </w:p>
    <w:p w14:paraId="3A626E8C" w14:textId="533861CE" w:rsidR="00047677" w:rsidRDefault="003A2AC2" w:rsidP="00C578AC">
      <w:pPr>
        <w:pStyle w:val="Caption"/>
        <w:rPr>
          <w:rFonts w:cs="Arial"/>
          <w:color w:val="002F5D"/>
        </w:rPr>
      </w:pPr>
      <w:r w:rsidRPr="00466722">
        <w:rPr>
          <w:b/>
          <w:color w:val="002F5D"/>
        </w:rPr>
        <w:lastRenderedPageBreak/>
        <w:t xml:space="preserve">Figure </w:t>
      </w:r>
      <w:r w:rsidR="004061DD">
        <w:rPr>
          <w:b/>
          <w:color w:val="002F5D"/>
        </w:rPr>
        <w:t>34</w:t>
      </w:r>
      <w:r w:rsidR="0085754D" w:rsidRPr="00466722">
        <w:rPr>
          <w:rFonts w:cs="Arial"/>
          <w:b/>
          <w:color w:val="002F5D"/>
        </w:rPr>
        <w:t>.</w:t>
      </w:r>
      <w:r w:rsidR="0085754D" w:rsidRPr="00466722">
        <w:rPr>
          <w:rFonts w:cs="Arial"/>
          <w:color w:val="002F5D"/>
        </w:rPr>
        <w:t xml:space="preserve"> Trends in employment Support Allowance (ESA) claimants for mental and behavioural disorders: rate per 1,000 working age population (people aged 16-64 years), 2012-2016</w:t>
      </w:r>
    </w:p>
    <w:p w14:paraId="1776CD2E" w14:textId="77777777" w:rsidR="00C75069" w:rsidRPr="003A6A98" w:rsidRDefault="00C75069" w:rsidP="003A6A98"/>
    <w:p w14:paraId="09FC7F19" w14:textId="014412A8" w:rsidR="002C3008" w:rsidRDefault="00C75069" w:rsidP="003A6A98">
      <w:r>
        <w:rPr>
          <w:noProof/>
          <w:lang w:eastAsia="en-GB"/>
        </w:rPr>
        <w:drawing>
          <wp:inline distT="0" distB="0" distL="0" distR="0" wp14:anchorId="35645F4E" wp14:editId="737B2496">
            <wp:extent cx="5304155" cy="3352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04155" cy="3352800"/>
                    </a:xfrm>
                    <a:prstGeom prst="rect">
                      <a:avLst/>
                    </a:prstGeom>
                    <a:noFill/>
                  </pic:spPr>
                </pic:pic>
              </a:graphicData>
            </a:graphic>
          </wp:inline>
        </w:drawing>
      </w:r>
    </w:p>
    <w:p w14:paraId="05DB5DF4" w14:textId="77777777" w:rsidR="002C3008" w:rsidRDefault="002C3008" w:rsidP="003A6A98">
      <w:pPr>
        <w:rPr>
          <w:noProof/>
          <w:lang w:eastAsia="en-GB"/>
        </w:rPr>
      </w:pPr>
    </w:p>
    <w:p w14:paraId="0342C2DF" w14:textId="7FED8F7F" w:rsidR="00D57BD3" w:rsidRDefault="00D57BD3" w:rsidP="00D57BD3">
      <w:pPr>
        <w:spacing w:line="240" w:lineRule="auto"/>
        <w:rPr>
          <w:rFonts w:cs="Arial"/>
          <w:color w:val="002F5D"/>
          <w:sz w:val="18"/>
          <w:szCs w:val="18"/>
        </w:rPr>
      </w:pPr>
      <w:r w:rsidRPr="00693561">
        <w:rPr>
          <w:rFonts w:cs="Arial"/>
          <w:color w:val="002F5D"/>
          <w:sz w:val="18"/>
          <w:szCs w:val="18"/>
        </w:rPr>
        <w:t>*Value aggregated from all known lower geography values</w:t>
      </w:r>
    </w:p>
    <w:p w14:paraId="57A6FB1D" w14:textId="334E601B" w:rsidR="000C54A8" w:rsidRDefault="000C54A8" w:rsidP="00D57BD3">
      <w:pPr>
        <w:spacing w:line="240" w:lineRule="auto"/>
        <w:rPr>
          <w:rFonts w:cs="Arial"/>
          <w:color w:val="002F5D"/>
          <w:sz w:val="18"/>
          <w:szCs w:val="18"/>
        </w:rPr>
      </w:pPr>
    </w:p>
    <w:p w14:paraId="77CAED39" w14:textId="4B027E54" w:rsidR="009D7D78" w:rsidRPr="003A6A98" w:rsidRDefault="000C54A8" w:rsidP="0038179C">
      <w:pPr>
        <w:spacing w:line="240" w:lineRule="auto"/>
        <w:rPr>
          <w:rFonts w:cs="Arial"/>
          <w:color w:val="002F5D"/>
        </w:rPr>
      </w:pPr>
      <w:r w:rsidRPr="000C54A8">
        <w:rPr>
          <w:noProof/>
          <w:lang w:eastAsia="en-GB"/>
        </w:rPr>
        <w:drawing>
          <wp:inline distT="0" distB="0" distL="0" distR="0" wp14:anchorId="4D0A720F" wp14:editId="3A94C2DF">
            <wp:extent cx="4171950" cy="59055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71950" cy="590550"/>
                    </a:xfrm>
                    <a:prstGeom prst="rect">
                      <a:avLst/>
                    </a:prstGeom>
                    <a:noFill/>
                    <a:ln>
                      <a:noFill/>
                    </a:ln>
                  </pic:spPr>
                </pic:pic>
              </a:graphicData>
            </a:graphic>
          </wp:inline>
        </w:drawing>
      </w:r>
    </w:p>
    <w:p w14:paraId="51F0144C" w14:textId="77777777" w:rsidR="00521773" w:rsidRPr="003A6A98" w:rsidRDefault="00521773" w:rsidP="0038179C">
      <w:pPr>
        <w:spacing w:line="240" w:lineRule="auto"/>
        <w:rPr>
          <w:rFonts w:eastAsia="Times New Roman" w:cs="Times New Roman"/>
          <w:b/>
          <w:bCs/>
          <w:color w:val="002F5D"/>
          <w:lang w:eastAsia="en-GB"/>
        </w:rPr>
      </w:pPr>
    </w:p>
    <w:p w14:paraId="02478353" w14:textId="77777777" w:rsidR="00183E30" w:rsidRPr="003A6A98" w:rsidRDefault="0085754D" w:rsidP="0038179C">
      <w:pPr>
        <w:spacing w:line="240" w:lineRule="auto"/>
        <w:rPr>
          <w:rFonts w:eastAsia="Times New Roman" w:cs="Times New Roman"/>
          <w:color w:val="002F5D"/>
          <w:lang w:eastAsia="en-GB"/>
        </w:rPr>
      </w:pPr>
      <w:r w:rsidRPr="003A6A98">
        <w:rPr>
          <w:rFonts w:eastAsia="Times New Roman" w:cs="Times New Roman"/>
          <w:b/>
          <w:bCs/>
          <w:color w:val="002F5D"/>
          <w:lang w:eastAsia="en-GB"/>
        </w:rPr>
        <w:t>Source:</w:t>
      </w:r>
      <w:r w:rsidRPr="003A6A98">
        <w:rPr>
          <w:rFonts w:eastAsia="Times New Roman" w:cs="Times New Roman"/>
          <w:color w:val="002F5D"/>
          <w:lang w:eastAsia="en-GB"/>
        </w:rPr>
        <w:t xml:space="preserve"> NOMIS, from PHE Ment</w:t>
      </w:r>
      <w:r w:rsidR="007F70D8" w:rsidRPr="003A6A98">
        <w:rPr>
          <w:rFonts w:eastAsia="Times New Roman" w:cs="Times New Roman"/>
          <w:color w:val="002F5D"/>
          <w:lang w:eastAsia="en-GB"/>
        </w:rPr>
        <w:t>al Health and Wellbeing JSNA</w:t>
      </w:r>
    </w:p>
    <w:p w14:paraId="0C85C738" w14:textId="77777777" w:rsidR="00C578AC" w:rsidRPr="003A6A98" w:rsidRDefault="00C578AC" w:rsidP="0038179C">
      <w:pPr>
        <w:spacing w:line="240" w:lineRule="auto"/>
        <w:rPr>
          <w:rFonts w:eastAsia="Times New Roman" w:cs="Times New Roman"/>
          <w:color w:val="002F5D"/>
          <w:lang w:eastAsia="en-GB"/>
        </w:rPr>
      </w:pPr>
    </w:p>
    <w:p w14:paraId="03386E71" w14:textId="77777777" w:rsidR="00D358C1" w:rsidRPr="003A6A98" w:rsidRDefault="00D358C1" w:rsidP="00C578AC">
      <w:pPr>
        <w:rPr>
          <w:rFonts w:cs="Arial"/>
          <w:b/>
          <w:color w:val="002F5D"/>
        </w:rPr>
      </w:pPr>
      <w:r w:rsidRPr="003A6A98">
        <w:rPr>
          <w:rFonts w:cs="Arial"/>
          <w:b/>
          <w:color w:val="002F5D"/>
        </w:rPr>
        <w:t>Key points:</w:t>
      </w:r>
    </w:p>
    <w:p w14:paraId="26F186E9" w14:textId="77777777" w:rsidR="00155DD6" w:rsidRPr="003A6A98" w:rsidRDefault="00155DD6" w:rsidP="00C578AC">
      <w:pPr>
        <w:pStyle w:val="ListParagraph"/>
        <w:numPr>
          <w:ilvl w:val="0"/>
          <w:numId w:val="34"/>
        </w:numPr>
        <w:spacing w:line="240" w:lineRule="auto"/>
        <w:rPr>
          <w:rFonts w:cs="Arial"/>
          <w:color w:val="002F5D"/>
        </w:rPr>
      </w:pPr>
      <w:r w:rsidRPr="003A6A98">
        <w:rPr>
          <w:rFonts w:cs="Arial"/>
          <w:color w:val="002F5D"/>
        </w:rPr>
        <w:t xml:space="preserve">Although not statistically assessed, </w:t>
      </w:r>
      <w:r w:rsidR="00361DEA" w:rsidRPr="003A6A98">
        <w:rPr>
          <w:rFonts w:cs="Arial"/>
          <w:color w:val="002F5D"/>
        </w:rPr>
        <w:t xml:space="preserve">Cambridgeshire and Peterborough collectively </w:t>
      </w:r>
      <w:r w:rsidRPr="003A6A98">
        <w:rPr>
          <w:rFonts w:cs="Arial"/>
          <w:color w:val="002F5D"/>
        </w:rPr>
        <w:t xml:space="preserve">has a </w:t>
      </w:r>
      <w:r w:rsidR="00575963" w:rsidRPr="003A6A98">
        <w:rPr>
          <w:rFonts w:cs="Arial"/>
          <w:color w:val="002F5D"/>
        </w:rPr>
        <w:t xml:space="preserve">numerically </w:t>
      </w:r>
      <w:r w:rsidRPr="003A6A98">
        <w:rPr>
          <w:rFonts w:cs="Arial"/>
          <w:color w:val="002F5D"/>
        </w:rPr>
        <w:t>lower</w:t>
      </w:r>
      <w:r w:rsidR="00AF6900" w:rsidRPr="003A6A98">
        <w:rPr>
          <w:rFonts w:cs="Arial"/>
          <w:color w:val="002F5D"/>
        </w:rPr>
        <w:t xml:space="preserve"> rate of employment support allowance (ESA) claimants for mental and behavioural disorders than England</w:t>
      </w:r>
      <w:r w:rsidR="001E0A33" w:rsidRPr="003A6A98">
        <w:rPr>
          <w:rFonts w:cs="Arial"/>
          <w:color w:val="002F5D"/>
        </w:rPr>
        <w:t>.</w:t>
      </w:r>
      <w:r w:rsidR="00361DEA" w:rsidRPr="003A6A98">
        <w:rPr>
          <w:rFonts w:cs="Arial"/>
          <w:color w:val="002F5D"/>
        </w:rPr>
        <w:t xml:space="preserve"> </w:t>
      </w:r>
    </w:p>
    <w:p w14:paraId="1AD16721" w14:textId="4286D145" w:rsidR="00155DD6" w:rsidRPr="003A6A98" w:rsidRDefault="00361DEA" w:rsidP="00155DD6">
      <w:pPr>
        <w:pStyle w:val="ListParagraph"/>
        <w:numPr>
          <w:ilvl w:val="0"/>
          <w:numId w:val="34"/>
        </w:numPr>
        <w:spacing w:line="240" w:lineRule="auto"/>
        <w:rPr>
          <w:rFonts w:cs="Arial"/>
          <w:color w:val="002F5D"/>
        </w:rPr>
      </w:pPr>
      <w:r w:rsidRPr="003A6A98">
        <w:rPr>
          <w:rFonts w:cs="Arial"/>
          <w:color w:val="002F5D"/>
        </w:rPr>
        <w:t>Cambridgeshire’s rate is</w:t>
      </w:r>
      <w:r w:rsidR="002928A1">
        <w:rPr>
          <w:rFonts w:cs="Arial"/>
          <w:color w:val="002F5D"/>
        </w:rPr>
        <w:t xml:space="preserve"> statistically</w:t>
      </w:r>
      <w:r w:rsidRPr="003A6A98">
        <w:rPr>
          <w:rFonts w:cs="Arial"/>
          <w:color w:val="002F5D"/>
        </w:rPr>
        <w:t xml:space="preserve"> significantly lower than the national rate.</w:t>
      </w:r>
    </w:p>
    <w:p w14:paraId="6E6E0F56" w14:textId="77777777" w:rsidR="00155DD6" w:rsidRPr="003A6A98" w:rsidRDefault="00155DD6" w:rsidP="00C578AC">
      <w:pPr>
        <w:pStyle w:val="ListParagraph"/>
        <w:numPr>
          <w:ilvl w:val="0"/>
          <w:numId w:val="34"/>
        </w:numPr>
        <w:spacing w:line="240" w:lineRule="auto"/>
        <w:rPr>
          <w:rFonts w:cs="Arial"/>
          <w:color w:val="002F5D"/>
        </w:rPr>
      </w:pPr>
      <w:r w:rsidRPr="003A6A98">
        <w:rPr>
          <w:rFonts w:cs="Arial"/>
          <w:color w:val="002F5D"/>
        </w:rPr>
        <w:t xml:space="preserve">Peterborough has a statistically significantly higher rate of employment support allowance (ESA) claimants for mental and behavioural disorders than England. </w:t>
      </w:r>
    </w:p>
    <w:p w14:paraId="0F4F58D8" w14:textId="4C40910C" w:rsidR="001E0A33" w:rsidRPr="003A6A98" w:rsidRDefault="00155DD6" w:rsidP="00C578AC">
      <w:pPr>
        <w:pStyle w:val="ListParagraph"/>
        <w:numPr>
          <w:ilvl w:val="0"/>
          <w:numId w:val="34"/>
        </w:numPr>
        <w:spacing w:line="240" w:lineRule="auto"/>
        <w:rPr>
          <w:rFonts w:cs="Arial"/>
          <w:color w:val="002F5D"/>
        </w:rPr>
      </w:pPr>
      <w:r w:rsidRPr="003A6A98">
        <w:rPr>
          <w:rFonts w:cs="Arial"/>
          <w:color w:val="002F5D"/>
        </w:rPr>
        <w:t>All areas</w:t>
      </w:r>
      <w:r w:rsidR="002928A1">
        <w:rPr>
          <w:rFonts w:cs="Arial"/>
          <w:color w:val="002F5D"/>
        </w:rPr>
        <w:t xml:space="preserve"> within Cambridgeshire and Peterborough</w:t>
      </w:r>
      <w:r w:rsidR="001E0A33" w:rsidRPr="003A6A98">
        <w:rPr>
          <w:rFonts w:cs="Arial"/>
          <w:color w:val="002F5D"/>
        </w:rPr>
        <w:t xml:space="preserve"> and England have an increasing rate of claimants with mental and behavioural disorders.</w:t>
      </w:r>
    </w:p>
    <w:p w14:paraId="72102105" w14:textId="77777777" w:rsidR="00EC6D7F" w:rsidRPr="003A6A98" w:rsidRDefault="00D358C1" w:rsidP="00C578AC">
      <w:pPr>
        <w:pStyle w:val="ListParagraph"/>
        <w:numPr>
          <w:ilvl w:val="0"/>
          <w:numId w:val="34"/>
        </w:numPr>
        <w:spacing w:line="240" w:lineRule="auto"/>
        <w:rPr>
          <w:rFonts w:cs="Arial"/>
          <w:color w:val="002F5D"/>
        </w:rPr>
      </w:pPr>
      <w:r w:rsidRPr="003A6A98">
        <w:rPr>
          <w:rFonts w:cs="Arial"/>
          <w:color w:val="002F5D"/>
        </w:rPr>
        <w:t xml:space="preserve">Fenland’s rate of employment support allowance (ESA) claimants for mental and behavioural disorders is the only one in Cambridgeshire that is statistically similar to the England rate. Rates in all other districts, and the county average, </w:t>
      </w:r>
      <w:r w:rsidR="00521773" w:rsidRPr="003A6A98">
        <w:rPr>
          <w:rFonts w:cs="Arial"/>
          <w:color w:val="002F5D"/>
        </w:rPr>
        <w:t>are</w:t>
      </w:r>
      <w:r w:rsidRPr="003A6A98">
        <w:rPr>
          <w:rFonts w:cs="Arial"/>
          <w:color w:val="002F5D"/>
        </w:rPr>
        <w:t xml:space="preserve"> statistically significantly better than the England level.</w:t>
      </w:r>
    </w:p>
    <w:p w14:paraId="6FCFB2C0" w14:textId="42A1D908" w:rsidR="006C7FE9" w:rsidRPr="003A6A98" w:rsidRDefault="0084438B" w:rsidP="00C578AC">
      <w:pPr>
        <w:pStyle w:val="ListParagraph"/>
        <w:numPr>
          <w:ilvl w:val="0"/>
          <w:numId w:val="34"/>
        </w:numPr>
        <w:spacing w:line="240" w:lineRule="auto"/>
        <w:rPr>
          <w:rFonts w:cs="Arial"/>
          <w:color w:val="002F5D"/>
        </w:rPr>
      </w:pPr>
      <w:r w:rsidRPr="003A6A98">
        <w:rPr>
          <w:rFonts w:cs="Arial"/>
          <w:color w:val="002F5D"/>
        </w:rPr>
        <w:t>Cambridge</w:t>
      </w:r>
      <w:r w:rsidR="006C7FE9" w:rsidRPr="003A6A98">
        <w:rPr>
          <w:rFonts w:cs="Arial"/>
          <w:color w:val="002F5D"/>
        </w:rPr>
        <w:t xml:space="preserve">’s rate, along with Fenland’s rate, are </w:t>
      </w:r>
      <w:r w:rsidR="002928A1">
        <w:rPr>
          <w:rFonts w:cs="Arial"/>
          <w:color w:val="002F5D"/>
        </w:rPr>
        <w:t xml:space="preserve">statistically significantly </w:t>
      </w:r>
      <w:r w:rsidR="006C7FE9" w:rsidRPr="003A6A98">
        <w:rPr>
          <w:rFonts w:cs="Arial"/>
          <w:color w:val="002F5D"/>
        </w:rPr>
        <w:t xml:space="preserve">higher than </w:t>
      </w:r>
      <w:r w:rsidR="002928A1">
        <w:rPr>
          <w:rFonts w:cs="Arial"/>
          <w:color w:val="002F5D"/>
        </w:rPr>
        <w:t xml:space="preserve">the </w:t>
      </w:r>
      <w:r w:rsidR="006C7FE9" w:rsidRPr="003A6A98">
        <w:rPr>
          <w:rFonts w:cs="Arial"/>
          <w:color w:val="002F5D"/>
        </w:rPr>
        <w:t>Cambridgeshire average, with all other district rates being</w:t>
      </w:r>
      <w:r w:rsidR="002928A1">
        <w:rPr>
          <w:rFonts w:cs="Arial"/>
          <w:color w:val="002F5D"/>
        </w:rPr>
        <w:t xml:space="preserve"> statistically significantly</w:t>
      </w:r>
      <w:r w:rsidR="006C7FE9" w:rsidRPr="003A6A98">
        <w:rPr>
          <w:rFonts w:cs="Arial"/>
          <w:color w:val="002F5D"/>
        </w:rPr>
        <w:t xml:space="preserve"> lower than the county rate.</w:t>
      </w:r>
    </w:p>
    <w:p w14:paraId="0E096C5C" w14:textId="77777777" w:rsidR="00C776B5" w:rsidRPr="003A6A98" w:rsidRDefault="00C776B5" w:rsidP="00C578AC">
      <w:pPr>
        <w:spacing w:line="240" w:lineRule="auto"/>
        <w:rPr>
          <w:rFonts w:cs="Arial"/>
          <w:color w:val="002F5D"/>
        </w:rPr>
      </w:pPr>
    </w:p>
    <w:p w14:paraId="1A8EBB99" w14:textId="77777777" w:rsidR="007F70D8" w:rsidRPr="0037351D" w:rsidRDefault="007F70D8" w:rsidP="00C578AC">
      <w:pPr>
        <w:spacing w:line="240" w:lineRule="auto"/>
        <w:rPr>
          <w:rFonts w:cs="Arial"/>
          <w:color w:val="FF0000"/>
        </w:rPr>
      </w:pPr>
      <w:r w:rsidRPr="003A6A98">
        <w:rPr>
          <w:rFonts w:cs="Arial"/>
          <w:color w:val="002F5D"/>
        </w:rPr>
        <w:t xml:space="preserve">USEFUL LINK: </w:t>
      </w:r>
      <w:hyperlink r:id="rId132" w:history="1">
        <w:r w:rsidRPr="003A6A98">
          <w:rPr>
            <w:rStyle w:val="Hyperlink"/>
            <w:rFonts w:cs="Arial"/>
            <w:color w:val="002F5D"/>
          </w:rPr>
          <w:t>http://fingertips.phe.org.uk/mh-jsna</w:t>
        </w:r>
      </w:hyperlink>
      <w:r w:rsidRPr="0037351D">
        <w:rPr>
          <w:rFonts w:cs="Arial"/>
          <w:color w:val="FF0000"/>
        </w:rPr>
        <w:br w:type="page"/>
      </w:r>
    </w:p>
    <w:p w14:paraId="70BF9C91" w14:textId="77777777" w:rsidR="007C40C2" w:rsidRPr="0037351D" w:rsidRDefault="007C40C2" w:rsidP="0038179C">
      <w:pPr>
        <w:spacing w:line="240" w:lineRule="auto"/>
        <w:rPr>
          <w:rFonts w:cs="Arial"/>
          <w:b/>
          <w:color w:val="FF0000"/>
        </w:rPr>
        <w:sectPr w:rsidR="007C40C2" w:rsidRPr="0037351D" w:rsidSect="004C7797">
          <w:pgSz w:w="11906" w:h="16838"/>
          <w:pgMar w:top="1134" w:right="1134" w:bottom="1134" w:left="1134" w:header="709" w:footer="709" w:gutter="0"/>
          <w:cols w:space="708"/>
          <w:docGrid w:linePitch="360"/>
        </w:sectPr>
      </w:pPr>
    </w:p>
    <w:p w14:paraId="7FB7CF77" w14:textId="0F9B91CC" w:rsidR="00E7157D" w:rsidRDefault="00DC7DEE" w:rsidP="00F60906">
      <w:pPr>
        <w:pStyle w:val="Caption"/>
        <w:rPr>
          <w:rFonts w:cs="Arial"/>
          <w:color w:val="002F5D"/>
        </w:rPr>
      </w:pPr>
      <w:r w:rsidRPr="006633C5">
        <w:rPr>
          <w:b/>
          <w:color w:val="002F5D"/>
        </w:rPr>
        <w:lastRenderedPageBreak/>
        <w:t xml:space="preserve">Table </w:t>
      </w:r>
      <w:r w:rsidR="009226D1">
        <w:rPr>
          <w:b/>
          <w:color w:val="002F5D"/>
        </w:rPr>
        <w:t>29</w:t>
      </w:r>
      <w:r w:rsidR="00665E92" w:rsidRPr="006633C5">
        <w:rPr>
          <w:b/>
          <w:color w:val="002F5D"/>
        </w:rPr>
        <w:t>.</w:t>
      </w:r>
      <w:r w:rsidR="00A96285" w:rsidRPr="006633C5">
        <w:rPr>
          <w:rFonts w:cs="Arial"/>
          <w:color w:val="002F5D"/>
        </w:rPr>
        <w:t xml:space="preserve"> </w:t>
      </w:r>
      <w:r w:rsidR="00C776B5" w:rsidRPr="006633C5">
        <w:rPr>
          <w:rFonts w:cs="Arial"/>
          <w:color w:val="002F5D"/>
        </w:rPr>
        <w:t>Wider determinants of health and wellbeing: summary of key indicators from Public Health England’s Wider Determinants Atlas</w:t>
      </w:r>
    </w:p>
    <w:p w14:paraId="06325D54" w14:textId="77777777" w:rsidR="008F1392" w:rsidRPr="003A6A98" w:rsidRDefault="008F1392" w:rsidP="003A6A98"/>
    <w:p w14:paraId="7237545F" w14:textId="6827A18B" w:rsidR="008F1392" w:rsidRDefault="008F1392" w:rsidP="003A6A98">
      <w:r w:rsidRPr="008F1392">
        <w:rPr>
          <w:noProof/>
          <w:lang w:eastAsia="en-GB"/>
        </w:rPr>
        <w:drawing>
          <wp:inline distT="0" distB="0" distL="0" distR="0" wp14:anchorId="451CD359" wp14:editId="4F61708D">
            <wp:extent cx="8763000" cy="202692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763000" cy="2026920"/>
                    </a:xfrm>
                    <a:prstGeom prst="rect">
                      <a:avLst/>
                    </a:prstGeom>
                    <a:noFill/>
                    <a:ln>
                      <a:noFill/>
                    </a:ln>
                  </pic:spPr>
                </pic:pic>
              </a:graphicData>
            </a:graphic>
          </wp:inline>
        </w:drawing>
      </w:r>
    </w:p>
    <w:p w14:paraId="7241F388" w14:textId="77777777" w:rsidR="00C776B5" w:rsidRPr="003A6A98" w:rsidRDefault="00C776B5" w:rsidP="00C578AC">
      <w:pPr>
        <w:spacing w:line="240" w:lineRule="auto"/>
        <w:rPr>
          <w:rFonts w:cs="Arial"/>
          <w:color w:val="FF0000"/>
        </w:rPr>
      </w:pPr>
    </w:p>
    <w:p w14:paraId="6728A4A3" w14:textId="77777777" w:rsidR="00041822" w:rsidRPr="006633C5" w:rsidRDefault="00D82D48" w:rsidP="00C578AC">
      <w:pPr>
        <w:spacing w:line="240" w:lineRule="auto"/>
        <w:rPr>
          <w:rFonts w:cs="Arial"/>
          <w:color w:val="002F5D"/>
          <w:sz w:val="18"/>
          <w:szCs w:val="18"/>
        </w:rPr>
      </w:pPr>
      <w:r w:rsidRPr="006633C5">
        <w:rPr>
          <w:rFonts w:cs="Arial"/>
          <w:color w:val="002F5D"/>
          <w:sz w:val="18"/>
          <w:szCs w:val="18"/>
          <w:vertAlign w:val="superscript"/>
        </w:rPr>
        <w:t>1</w:t>
      </w:r>
      <w:r w:rsidR="00041822" w:rsidRPr="006633C5">
        <w:rPr>
          <w:rFonts w:cs="Arial"/>
          <w:color w:val="002F5D"/>
          <w:sz w:val="18"/>
          <w:szCs w:val="18"/>
          <w:vertAlign w:val="superscript"/>
        </w:rPr>
        <w:t xml:space="preserve"> </w:t>
      </w:r>
      <w:r w:rsidR="00041822" w:rsidRPr="006633C5">
        <w:rPr>
          <w:rFonts w:cs="Arial"/>
          <w:color w:val="002F5D"/>
          <w:sz w:val="18"/>
          <w:szCs w:val="18"/>
        </w:rPr>
        <w:t xml:space="preserve">Full indicator descriptions and definitions are available at </w:t>
      </w:r>
      <w:hyperlink r:id="rId134" w:history="1">
        <w:r w:rsidR="00041822" w:rsidRPr="006633C5">
          <w:rPr>
            <w:rStyle w:val="Hyperlink"/>
            <w:rFonts w:cs="Arial"/>
            <w:color w:val="002F5D"/>
            <w:sz w:val="18"/>
            <w:szCs w:val="18"/>
          </w:rPr>
          <w:t>https://fingertips.phe.org.uk/profile/wider-determinants</w:t>
        </w:r>
      </w:hyperlink>
      <w:r w:rsidR="00041822" w:rsidRPr="006633C5">
        <w:rPr>
          <w:rFonts w:cs="Arial"/>
          <w:color w:val="002F5D"/>
          <w:sz w:val="18"/>
          <w:szCs w:val="18"/>
        </w:rPr>
        <w:t xml:space="preserve"> </w:t>
      </w:r>
    </w:p>
    <w:p w14:paraId="1D40E15A" w14:textId="77777777" w:rsidR="00041822" w:rsidRPr="006633C5" w:rsidRDefault="00041822" w:rsidP="00C578AC">
      <w:pPr>
        <w:spacing w:line="240" w:lineRule="auto"/>
        <w:rPr>
          <w:rFonts w:cs="Arial"/>
          <w:color w:val="002F5D"/>
          <w:sz w:val="18"/>
          <w:szCs w:val="18"/>
        </w:rPr>
      </w:pPr>
      <w:r w:rsidRPr="006633C5">
        <w:rPr>
          <w:rFonts w:cs="Arial"/>
          <w:color w:val="002F5D"/>
          <w:sz w:val="18"/>
          <w:szCs w:val="18"/>
        </w:rPr>
        <w:t>*Value aggregated from all known lower geography values</w:t>
      </w:r>
    </w:p>
    <w:p w14:paraId="5D11EEE5" w14:textId="48E94BFF" w:rsidR="00DD0F34" w:rsidRPr="00D57BD3" w:rsidRDefault="00F51E30" w:rsidP="00C578AC">
      <w:pPr>
        <w:spacing w:line="240" w:lineRule="auto"/>
        <w:rPr>
          <w:rFonts w:cs="Arial"/>
          <w:b/>
          <w:color w:val="FF0000"/>
        </w:rPr>
      </w:pPr>
      <w:r w:rsidRPr="00F51E30">
        <w:rPr>
          <w:noProof/>
          <w:lang w:eastAsia="en-GB"/>
        </w:rPr>
        <w:drawing>
          <wp:inline distT="0" distB="0" distL="0" distR="0" wp14:anchorId="6F7F0852" wp14:editId="5AEAF08A">
            <wp:extent cx="9251950" cy="876162"/>
            <wp:effectExtent l="0" t="0" r="0" b="63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251950" cy="876162"/>
                    </a:xfrm>
                    <a:prstGeom prst="rect">
                      <a:avLst/>
                    </a:prstGeom>
                    <a:noFill/>
                    <a:ln>
                      <a:noFill/>
                    </a:ln>
                  </pic:spPr>
                </pic:pic>
              </a:graphicData>
            </a:graphic>
          </wp:inline>
        </w:drawing>
      </w:r>
    </w:p>
    <w:p w14:paraId="14069FAF" w14:textId="77777777" w:rsidR="009775E7" w:rsidRPr="00D57BD3" w:rsidRDefault="009775E7" w:rsidP="0038179C">
      <w:pPr>
        <w:spacing w:line="240" w:lineRule="auto"/>
        <w:rPr>
          <w:rFonts w:cs="Arial"/>
          <w:color w:val="FF0000"/>
          <w:sz w:val="8"/>
        </w:rPr>
      </w:pPr>
    </w:p>
    <w:p w14:paraId="4656FD1B" w14:textId="77777777" w:rsidR="00950F4D" w:rsidRPr="00D57BD3" w:rsidRDefault="00950F4D" w:rsidP="00C578AC">
      <w:pPr>
        <w:spacing w:line="240" w:lineRule="auto"/>
        <w:rPr>
          <w:rFonts w:eastAsia="Times New Roman" w:cs="Times New Roman"/>
          <w:b/>
          <w:bCs/>
          <w:color w:val="FF0000"/>
          <w:lang w:eastAsia="en-GB"/>
        </w:rPr>
      </w:pPr>
    </w:p>
    <w:p w14:paraId="1238D9BD" w14:textId="77777777" w:rsidR="00C776B5" w:rsidRPr="00F51E30" w:rsidRDefault="00C776B5" w:rsidP="00C578AC">
      <w:pPr>
        <w:spacing w:line="240" w:lineRule="auto"/>
        <w:rPr>
          <w:rFonts w:eastAsia="Times New Roman" w:cs="Times New Roman"/>
          <w:color w:val="002F5D"/>
          <w:lang w:eastAsia="en-GB"/>
        </w:rPr>
      </w:pPr>
      <w:r w:rsidRPr="00F51E30">
        <w:rPr>
          <w:rFonts w:eastAsia="Times New Roman" w:cs="Times New Roman"/>
          <w:b/>
          <w:bCs/>
          <w:color w:val="002F5D"/>
          <w:lang w:eastAsia="en-GB"/>
        </w:rPr>
        <w:t xml:space="preserve">Source: </w:t>
      </w:r>
      <w:r w:rsidR="00C578AC" w:rsidRPr="00F51E30">
        <w:rPr>
          <w:rFonts w:eastAsia="Times New Roman" w:cs="Times New Roman"/>
          <w:color w:val="002F5D"/>
          <w:lang w:eastAsia="en-GB"/>
        </w:rPr>
        <w:t>PHE Wider D</w:t>
      </w:r>
      <w:r w:rsidR="00665E92" w:rsidRPr="00F51E30">
        <w:rPr>
          <w:rFonts w:eastAsia="Times New Roman" w:cs="Times New Roman"/>
          <w:color w:val="002F5D"/>
          <w:lang w:eastAsia="en-GB"/>
        </w:rPr>
        <w:t>eter</w:t>
      </w:r>
      <w:r w:rsidR="00C578AC" w:rsidRPr="00F51E30">
        <w:rPr>
          <w:rFonts w:eastAsia="Times New Roman" w:cs="Times New Roman"/>
          <w:color w:val="002F5D"/>
          <w:lang w:eastAsia="en-GB"/>
        </w:rPr>
        <w:t>minants A</w:t>
      </w:r>
      <w:r w:rsidRPr="00F51E30">
        <w:rPr>
          <w:rFonts w:eastAsia="Times New Roman" w:cs="Times New Roman"/>
          <w:color w:val="002F5D"/>
          <w:lang w:eastAsia="en-GB"/>
        </w:rPr>
        <w:t>tlas</w:t>
      </w:r>
    </w:p>
    <w:p w14:paraId="2A05F4D7" w14:textId="77777777" w:rsidR="00950F4D" w:rsidRPr="0037351D" w:rsidRDefault="00950F4D" w:rsidP="0038179C">
      <w:pPr>
        <w:spacing w:line="240" w:lineRule="auto"/>
        <w:rPr>
          <w:rFonts w:cs="Arial"/>
          <w:b/>
          <w:color w:val="FF0000"/>
        </w:rPr>
      </w:pPr>
    </w:p>
    <w:p w14:paraId="418E9307" w14:textId="77777777" w:rsidR="007C40C2" w:rsidRPr="0037351D" w:rsidRDefault="007C40C2" w:rsidP="0038179C">
      <w:pPr>
        <w:spacing w:line="240" w:lineRule="auto"/>
        <w:rPr>
          <w:rFonts w:cs="Arial"/>
          <w:b/>
          <w:color w:val="FF0000"/>
        </w:rPr>
        <w:sectPr w:rsidR="007C40C2" w:rsidRPr="0037351D" w:rsidSect="004C7797">
          <w:pgSz w:w="16838" w:h="11906" w:orient="landscape"/>
          <w:pgMar w:top="1134" w:right="1134" w:bottom="1134" w:left="1134" w:header="709" w:footer="709" w:gutter="0"/>
          <w:cols w:space="708"/>
          <w:titlePg/>
          <w:docGrid w:linePitch="360"/>
        </w:sectPr>
      </w:pPr>
    </w:p>
    <w:p w14:paraId="15AB52DB" w14:textId="77777777" w:rsidR="007B26D6" w:rsidRPr="00991607" w:rsidRDefault="007B26D6" w:rsidP="007B26D6">
      <w:pPr>
        <w:spacing w:line="240" w:lineRule="auto"/>
        <w:rPr>
          <w:rFonts w:ascii="Calibri" w:eastAsia="Calibri" w:hAnsi="Calibri" w:cs="Arial"/>
          <w:b/>
          <w:color w:val="002F5D"/>
        </w:rPr>
      </w:pPr>
      <w:r w:rsidRPr="00991607">
        <w:rPr>
          <w:rFonts w:ascii="Calibri" w:eastAsia="Calibri" w:hAnsi="Calibri" w:cs="Arial"/>
          <w:b/>
          <w:color w:val="002F5D"/>
        </w:rPr>
        <w:lastRenderedPageBreak/>
        <w:t>Key points:</w:t>
      </w:r>
    </w:p>
    <w:p w14:paraId="689650D5" w14:textId="7DDE94FA" w:rsidR="007B26D6" w:rsidRPr="00991607" w:rsidRDefault="007B26D6" w:rsidP="007B26D6">
      <w:pPr>
        <w:numPr>
          <w:ilvl w:val="0"/>
          <w:numId w:val="35"/>
        </w:numPr>
        <w:spacing w:line="240" w:lineRule="auto"/>
        <w:contextualSpacing/>
        <w:rPr>
          <w:rFonts w:ascii="Calibri" w:eastAsia="Calibri" w:hAnsi="Calibri" w:cs="Arial"/>
          <w:color w:val="002F5D"/>
        </w:rPr>
      </w:pPr>
      <w:r w:rsidRPr="00991607">
        <w:rPr>
          <w:rFonts w:ascii="Calibri" w:eastAsia="Calibri" w:hAnsi="Calibri" w:cs="Arial"/>
          <w:b/>
          <w:color w:val="002F5D"/>
        </w:rPr>
        <w:t>Overall in Cambridgeshire and Peterborough</w:t>
      </w:r>
      <w:r w:rsidRPr="00991607">
        <w:rPr>
          <w:rFonts w:ascii="Calibri" w:eastAsia="Calibri" w:hAnsi="Calibri" w:cs="Arial"/>
          <w:color w:val="002F5D"/>
        </w:rPr>
        <w:t xml:space="preserve"> – in Cambridgeshire and Peterborough collectively, while</w:t>
      </w:r>
      <w:r w:rsidR="00F01A2C" w:rsidRPr="00E61D24">
        <w:rPr>
          <w:rFonts w:ascii="Calibri" w:eastAsia="Calibri" w:hAnsi="Calibri" w:cs="Arial"/>
          <w:color w:val="002F5D"/>
        </w:rPr>
        <w:t xml:space="preserve"> some</w:t>
      </w:r>
      <w:r w:rsidRPr="00991607">
        <w:rPr>
          <w:rFonts w:ascii="Calibri" w:eastAsia="Calibri" w:hAnsi="Calibri" w:cs="Arial"/>
          <w:color w:val="002F5D"/>
        </w:rPr>
        <w:t xml:space="preserve"> indicators are not formally statistically assessed, they are generally favourable when compared with national levels. </w:t>
      </w:r>
      <w:r w:rsidR="00FB497B" w:rsidRPr="003A6A98">
        <w:rPr>
          <w:color w:val="002F5D"/>
        </w:rPr>
        <w:t>This is generally because Cambridgeshire as a whole tends to have better wider determinant indicators than England and Peterborough tends to have indicators that are worse or similar to national levels</w:t>
      </w:r>
      <w:r w:rsidR="00FB497B">
        <w:t xml:space="preserve">. </w:t>
      </w:r>
      <w:r w:rsidRPr="00991607">
        <w:rPr>
          <w:rFonts w:ascii="Calibri" w:eastAsia="Calibri" w:hAnsi="Calibri" w:cs="Arial"/>
          <w:color w:val="002F5D"/>
        </w:rPr>
        <w:t>Sickness absence</w:t>
      </w:r>
      <w:r w:rsidR="00F60906" w:rsidRPr="00991607">
        <w:rPr>
          <w:rFonts w:ascii="Calibri" w:eastAsia="Calibri" w:hAnsi="Calibri" w:cs="Arial"/>
          <w:color w:val="002F5D"/>
        </w:rPr>
        <w:t xml:space="preserve"> is similar to the national rate</w:t>
      </w:r>
      <w:r w:rsidRPr="00991607">
        <w:rPr>
          <w:rFonts w:ascii="Calibri" w:eastAsia="Calibri" w:hAnsi="Calibri" w:cs="Arial"/>
          <w:color w:val="002F5D"/>
        </w:rPr>
        <w:t xml:space="preserve"> and</w:t>
      </w:r>
      <w:r w:rsidR="00F60906" w:rsidRPr="00991607">
        <w:rPr>
          <w:rFonts w:ascii="Calibri" w:eastAsia="Calibri" w:hAnsi="Calibri" w:cs="Arial"/>
          <w:color w:val="002F5D"/>
        </w:rPr>
        <w:t xml:space="preserve"> the employment rate, </w:t>
      </w:r>
      <w:r w:rsidR="00F01A2C" w:rsidRPr="00E61D24">
        <w:rPr>
          <w:rFonts w:ascii="Calibri" w:eastAsia="Calibri" w:hAnsi="Calibri" w:cs="Arial"/>
          <w:color w:val="002F5D"/>
        </w:rPr>
        <w:t xml:space="preserve">economic inactivity rate, child poverty rates, violent crime and </w:t>
      </w:r>
      <w:r w:rsidRPr="00991607">
        <w:rPr>
          <w:rFonts w:ascii="Calibri" w:eastAsia="Calibri" w:hAnsi="Calibri" w:cs="Arial"/>
          <w:color w:val="002F5D"/>
        </w:rPr>
        <w:t xml:space="preserve">pupil </w:t>
      </w:r>
      <w:r w:rsidR="00F60906" w:rsidRPr="00991607">
        <w:rPr>
          <w:rFonts w:ascii="Calibri" w:eastAsia="Calibri" w:hAnsi="Calibri" w:cs="Arial"/>
          <w:color w:val="002F5D"/>
        </w:rPr>
        <w:t>absence</w:t>
      </w:r>
      <w:r w:rsidR="00F01A2C" w:rsidRPr="00E61D24">
        <w:rPr>
          <w:rFonts w:ascii="Calibri" w:eastAsia="Calibri" w:hAnsi="Calibri" w:cs="Arial"/>
          <w:color w:val="002F5D"/>
        </w:rPr>
        <w:t xml:space="preserve"> rates</w:t>
      </w:r>
      <w:r w:rsidR="00F60906" w:rsidRPr="00991607">
        <w:rPr>
          <w:rFonts w:ascii="Calibri" w:eastAsia="Calibri" w:hAnsi="Calibri" w:cs="Arial"/>
          <w:color w:val="002F5D"/>
        </w:rPr>
        <w:t xml:space="preserve"> </w:t>
      </w:r>
      <w:r w:rsidR="005F7518" w:rsidRPr="00991607">
        <w:rPr>
          <w:rFonts w:ascii="Calibri" w:eastAsia="Calibri" w:hAnsi="Calibri" w:cs="Arial"/>
          <w:color w:val="002F5D"/>
        </w:rPr>
        <w:t>a</w:t>
      </w:r>
      <w:r w:rsidR="00F01A2C" w:rsidRPr="00E61D24">
        <w:rPr>
          <w:rFonts w:ascii="Calibri" w:eastAsia="Calibri" w:hAnsi="Calibri" w:cs="Arial"/>
          <w:color w:val="002F5D"/>
        </w:rPr>
        <w:t xml:space="preserve">re </w:t>
      </w:r>
      <w:r w:rsidR="005F7518" w:rsidRPr="00991607">
        <w:rPr>
          <w:rFonts w:ascii="Calibri" w:eastAsia="Calibri" w:hAnsi="Calibri" w:cs="Arial"/>
          <w:color w:val="002F5D"/>
        </w:rPr>
        <w:t>significantly better (lower) than the national rate</w:t>
      </w:r>
      <w:r w:rsidRPr="00991607">
        <w:rPr>
          <w:rFonts w:ascii="Calibri" w:eastAsia="Calibri" w:hAnsi="Calibri" w:cs="Arial"/>
          <w:color w:val="002F5D"/>
        </w:rPr>
        <w:t>.</w:t>
      </w:r>
    </w:p>
    <w:p w14:paraId="69A7DAD6" w14:textId="77777777" w:rsidR="007B26D6" w:rsidRPr="00991607" w:rsidRDefault="007B26D6" w:rsidP="007B26D6">
      <w:pPr>
        <w:numPr>
          <w:ilvl w:val="0"/>
          <w:numId w:val="35"/>
        </w:numPr>
        <w:spacing w:line="240" w:lineRule="auto"/>
        <w:contextualSpacing/>
        <w:rPr>
          <w:rFonts w:ascii="Calibri" w:eastAsia="Calibri" w:hAnsi="Calibri" w:cs="Arial"/>
          <w:color w:val="002F5D"/>
        </w:rPr>
      </w:pPr>
      <w:r w:rsidRPr="00991607">
        <w:rPr>
          <w:rFonts w:ascii="Calibri" w:eastAsia="Calibri" w:hAnsi="Calibri" w:cs="Arial"/>
          <w:b/>
          <w:color w:val="002F5D"/>
        </w:rPr>
        <w:t>Density of fast food outlets</w:t>
      </w:r>
      <w:r w:rsidRPr="00991607">
        <w:rPr>
          <w:rFonts w:ascii="Calibri" w:eastAsia="Calibri" w:hAnsi="Calibri" w:cs="Arial"/>
          <w:color w:val="002F5D"/>
        </w:rPr>
        <w:t xml:space="preserve"> – The rate for Cambridgeshire and Peterborough combined is lower than the England average.  Cambridgeshire and most district rates are statistically significantly better than the England average. The rate for Peterborough is statistically similar to the England rate.  At district level, the rates in Cambridge and Fenland are statistically similar to the England rate, but are statistically significantly worse than the Cambridgeshire average.</w:t>
      </w:r>
    </w:p>
    <w:p w14:paraId="67832D50" w14:textId="28D291C8" w:rsidR="007B26D6" w:rsidRPr="008F1392" w:rsidRDefault="007B26D6" w:rsidP="007B26D6">
      <w:pPr>
        <w:numPr>
          <w:ilvl w:val="0"/>
          <w:numId w:val="35"/>
        </w:numPr>
        <w:spacing w:line="240" w:lineRule="auto"/>
        <w:contextualSpacing/>
        <w:rPr>
          <w:rFonts w:ascii="Calibri" w:eastAsia="Calibri" w:hAnsi="Calibri" w:cs="Arial"/>
          <w:color w:val="002F5D"/>
        </w:rPr>
      </w:pPr>
      <w:r w:rsidRPr="00991607">
        <w:rPr>
          <w:rFonts w:ascii="Calibri" w:eastAsia="Calibri" w:hAnsi="Calibri" w:cs="Arial"/>
          <w:b/>
          <w:color w:val="002F5D"/>
        </w:rPr>
        <w:t>Air pollution: fine particulate matter concentration</w:t>
      </w:r>
      <w:r w:rsidRPr="00991607">
        <w:rPr>
          <w:rFonts w:ascii="Calibri" w:eastAsia="Calibri" w:hAnsi="Calibri" w:cs="Arial"/>
          <w:color w:val="002F5D"/>
        </w:rPr>
        <w:t xml:space="preserve"> – this measure is not formally tested statistically, but ba</w:t>
      </w:r>
      <w:r w:rsidR="009057E6" w:rsidRPr="00991607">
        <w:rPr>
          <w:rFonts w:ascii="Calibri" w:eastAsia="Calibri" w:hAnsi="Calibri" w:cs="Arial"/>
          <w:color w:val="002F5D"/>
        </w:rPr>
        <w:t>sed on a simple ranking C</w:t>
      </w:r>
      <w:r w:rsidR="004065FE" w:rsidRPr="00991607">
        <w:rPr>
          <w:rFonts w:ascii="Calibri" w:eastAsia="Calibri" w:hAnsi="Calibri" w:cs="Arial"/>
          <w:color w:val="002F5D"/>
        </w:rPr>
        <w:t xml:space="preserve">ambridge, </w:t>
      </w:r>
      <w:r w:rsidRPr="00991607">
        <w:rPr>
          <w:rFonts w:ascii="Calibri" w:eastAsia="Calibri" w:hAnsi="Calibri" w:cs="Arial"/>
          <w:color w:val="002F5D"/>
        </w:rPr>
        <w:t>Huntingdonshire</w:t>
      </w:r>
      <w:r w:rsidR="004065FE" w:rsidRPr="00991607">
        <w:rPr>
          <w:rFonts w:ascii="Calibri" w:eastAsia="Calibri" w:hAnsi="Calibri" w:cs="Arial"/>
          <w:color w:val="002F5D"/>
        </w:rPr>
        <w:t xml:space="preserve"> and Peterborough</w:t>
      </w:r>
      <w:r w:rsidRPr="00991607">
        <w:rPr>
          <w:rFonts w:ascii="Calibri" w:eastAsia="Calibri" w:hAnsi="Calibri" w:cs="Arial"/>
          <w:color w:val="002F5D"/>
        </w:rPr>
        <w:t xml:space="preserve"> have the higher levels. All other levels within Cambridgeshire, including the county average are around or above the national level.</w:t>
      </w:r>
      <w:r w:rsidR="009057E6" w:rsidRPr="00991607">
        <w:rPr>
          <w:rFonts w:ascii="Calibri" w:eastAsia="Calibri" w:hAnsi="Calibri" w:cs="Arial"/>
          <w:color w:val="002F5D"/>
        </w:rPr>
        <w:t xml:space="preserve">  </w:t>
      </w:r>
    </w:p>
    <w:p w14:paraId="2E6E53A5" w14:textId="79208ECC" w:rsidR="007B26D6" w:rsidRPr="00FB497B" w:rsidRDefault="007B26D6" w:rsidP="007B26D6">
      <w:pPr>
        <w:numPr>
          <w:ilvl w:val="0"/>
          <w:numId w:val="35"/>
        </w:numPr>
        <w:spacing w:line="240" w:lineRule="auto"/>
        <w:contextualSpacing/>
        <w:rPr>
          <w:rFonts w:ascii="Calibri" w:eastAsia="Calibri" w:hAnsi="Calibri" w:cs="Arial"/>
          <w:color w:val="002F5D"/>
        </w:rPr>
      </w:pPr>
      <w:r w:rsidRPr="008F1392">
        <w:rPr>
          <w:rFonts w:ascii="Calibri" w:eastAsia="Calibri" w:hAnsi="Calibri" w:cs="Arial"/>
          <w:b/>
          <w:color w:val="002F5D"/>
        </w:rPr>
        <w:t>Overcrowded households</w:t>
      </w:r>
      <w:r w:rsidRPr="008F1392">
        <w:rPr>
          <w:rFonts w:ascii="Calibri" w:eastAsia="Calibri" w:hAnsi="Calibri" w:cs="Arial"/>
          <w:color w:val="002F5D"/>
        </w:rPr>
        <w:t xml:space="preserve"> – The rate for Cambridgeshire and Peterborough combined is lower than the England average.  Peterborough has statistically</w:t>
      </w:r>
      <w:r w:rsidR="00C44F8D" w:rsidRPr="008F1392">
        <w:rPr>
          <w:rFonts w:ascii="Calibri" w:eastAsia="Calibri" w:hAnsi="Calibri" w:cs="Arial"/>
          <w:color w:val="002F5D"/>
        </w:rPr>
        <w:t xml:space="preserve"> significantly</w:t>
      </w:r>
      <w:r w:rsidRPr="008F1392">
        <w:rPr>
          <w:rFonts w:ascii="Calibri" w:eastAsia="Calibri" w:hAnsi="Calibri" w:cs="Arial"/>
          <w:color w:val="002F5D"/>
        </w:rPr>
        <w:t xml:space="preserve"> higher levels of household overcrowding than found on average in England. Cambridgeshire and all of the districts except Cambridge have statistically significantly lower levels. Cambridge has statistically </w:t>
      </w:r>
      <w:r w:rsidR="00C44F8D" w:rsidRPr="008F1392">
        <w:rPr>
          <w:rFonts w:ascii="Calibri" w:eastAsia="Calibri" w:hAnsi="Calibri" w:cs="Arial"/>
          <w:color w:val="002F5D"/>
        </w:rPr>
        <w:t xml:space="preserve">significantly </w:t>
      </w:r>
      <w:r w:rsidRPr="008F1392">
        <w:rPr>
          <w:rFonts w:ascii="Calibri" w:eastAsia="Calibri" w:hAnsi="Calibri" w:cs="Arial"/>
          <w:color w:val="002F5D"/>
        </w:rPr>
        <w:t xml:space="preserve">higher levels of household overcrowding than found on average in England. Cambridge and Fenland have levels that are statistically </w:t>
      </w:r>
      <w:r w:rsidR="00C44F8D" w:rsidRPr="008F1392">
        <w:rPr>
          <w:rFonts w:ascii="Calibri" w:eastAsia="Calibri" w:hAnsi="Calibri" w:cs="Arial"/>
          <w:color w:val="002F5D"/>
        </w:rPr>
        <w:t xml:space="preserve">significantly </w:t>
      </w:r>
      <w:r w:rsidRPr="008F1392">
        <w:rPr>
          <w:rFonts w:ascii="Calibri" w:eastAsia="Calibri" w:hAnsi="Calibri" w:cs="Arial"/>
          <w:color w:val="002F5D"/>
        </w:rPr>
        <w:t>higher than the Cambridgeshire rate.</w:t>
      </w:r>
    </w:p>
    <w:p w14:paraId="598BA4E6" w14:textId="06DA0A89" w:rsidR="007B26D6" w:rsidRPr="003A6A98" w:rsidRDefault="007B26D6" w:rsidP="00981DED">
      <w:pPr>
        <w:numPr>
          <w:ilvl w:val="0"/>
          <w:numId w:val="35"/>
        </w:numPr>
        <w:spacing w:line="240" w:lineRule="auto"/>
        <w:contextualSpacing/>
        <w:rPr>
          <w:rFonts w:ascii="Calibri" w:eastAsia="Calibri" w:hAnsi="Calibri" w:cs="Arial"/>
          <w:color w:val="FF0000"/>
        </w:rPr>
      </w:pPr>
      <w:r w:rsidRPr="00FB497B">
        <w:rPr>
          <w:rFonts w:ascii="Calibri" w:eastAsia="Calibri" w:hAnsi="Calibri" w:cs="Arial"/>
          <w:b/>
          <w:color w:val="002F5D"/>
        </w:rPr>
        <w:t xml:space="preserve">Employment rate ages 16-64 years </w:t>
      </w:r>
      <w:r w:rsidRPr="00FB497B">
        <w:rPr>
          <w:rFonts w:ascii="Calibri" w:eastAsia="Calibri" w:hAnsi="Calibri" w:cs="Arial"/>
          <w:color w:val="002F5D"/>
        </w:rPr>
        <w:t xml:space="preserve">- </w:t>
      </w:r>
      <w:r w:rsidR="00981DED" w:rsidRPr="00FB497B">
        <w:rPr>
          <w:rFonts w:ascii="Calibri" w:eastAsia="Calibri" w:hAnsi="Calibri" w:cs="Arial"/>
          <w:color w:val="002F5D"/>
        </w:rPr>
        <w:t xml:space="preserve">Cambridgeshire has a </w:t>
      </w:r>
      <w:r w:rsidR="004065FE" w:rsidRPr="00FB497B">
        <w:rPr>
          <w:rFonts w:ascii="Calibri" w:eastAsia="Calibri" w:hAnsi="Calibri" w:cs="Arial"/>
          <w:color w:val="002F5D"/>
        </w:rPr>
        <w:t xml:space="preserve">statistically significantly </w:t>
      </w:r>
      <w:r w:rsidR="00981DED" w:rsidRPr="00FB497B">
        <w:rPr>
          <w:rFonts w:ascii="Calibri" w:eastAsia="Calibri" w:hAnsi="Calibri" w:cs="Arial"/>
          <w:color w:val="002F5D"/>
        </w:rPr>
        <w:t xml:space="preserve">higher </w:t>
      </w:r>
      <w:r w:rsidR="00981DED" w:rsidRPr="008F1392">
        <w:rPr>
          <w:rFonts w:ascii="Calibri" w:eastAsia="Calibri" w:hAnsi="Calibri" w:cs="Arial"/>
          <w:color w:val="002F5D"/>
        </w:rPr>
        <w:t xml:space="preserve">rate of people in employment than nationally. </w:t>
      </w:r>
      <w:r w:rsidRPr="008F1392">
        <w:rPr>
          <w:rFonts w:ascii="Calibri" w:eastAsia="Calibri" w:hAnsi="Calibri" w:cs="Arial"/>
          <w:color w:val="002F5D"/>
        </w:rPr>
        <w:t>Employment r</w:t>
      </w:r>
      <w:r w:rsidR="004065FE" w:rsidRPr="008F1392">
        <w:rPr>
          <w:rFonts w:ascii="Calibri" w:eastAsia="Calibri" w:hAnsi="Calibri" w:cs="Arial"/>
          <w:color w:val="002F5D"/>
        </w:rPr>
        <w:t>ates in Peterborough are statistically significantly lower than</w:t>
      </w:r>
      <w:r w:rsidRPr="008F1392">
        <w:rPr>
          <w:rFonts w:ascii="Calibri" w:eastAsia="Calibri" w:hAnsi="Calibri" w:cs="Arial"/>
          <w:color w:val="002F5D"/>
        </w:rPr>
        <w:t xml:space="preserve"> the national average</w:t>
      </w:r>
      <w:r w:rsidR="004065FE" w:rsidRPr="008F1392">
        <w:rPr>
          <w:rFonts w:ascii="Calibri" w:eastAsia="Calibri" w:hAnsi="Calibri" w:cs="Arial"/>
          <w:color w:val="002F5D"/>
        </w:rPr>
        <w:t xml:space="preserve"> and have decreased over the last 5 years</w:t>
      </w:r>
      <w:r w:rsidRPr="008F1392">
        <w:rPr>
          <w:rFonts w:ascii="Calibri" w:eastAsia="Calibri" w:hAnsi="Calibri" w:cs="Arial"/>
          <w:color w:val="002F5D"/>
        </w:rPr>
        <w:t>. Compared with Englan</w:t>
      </w:r>
      <w:r w:rsidR="004065FE" w:rsidRPr="008F1392">
        <w:rPr>
          <w:rFonts w:ascii="Calibri" w:eastAsia="Calibri" w:hAnsi="Calibri" w:cs="Arial"/>
          <w:color w:val="002F5D"/>
        </w:rPr>
        <w:t>d's average, South Cambridgeshire and Huntingdonshire have</w:t>
      </w:r>
      <w:r w:rsidRPr="008F1392">
        <w:rPr>
          <w:rFonts w:ascii="Calibri" w:eastAsia="Calibri" w:hAnsi="Calibri" w:cs="Arial"/>
          <w:color w:val="002F5D"/>
        </w:rPr>
        <w:t xml:space="preserve"> a statistically significantly </w:t>
      </w:r>
      <w:r w:rsidR="00EB7FB6" w:rsidRPr="008F1392">
        <w:rPr>
          <w:rFonts w:ascii="Calibri" w:eastAsia="Calibri" w:hAnsi="Calibri" w:cs="Arial"/>
          <w:color w:val="002F5D"/>
        </w:rPr>
        <w:t>higher</w:t>
      </w:r>
      <w:r w:rsidR="004065FE" w:rsidRPr="008F1392">
        <w:rPr>
          <w:rFonts w:ascii="Calibri" w:eastAsia="Calibri" w:hAnsi="Calibri" w:cs="Arial"/>
          <w:color w:val="002F5D"/>
        </w:rPr>
        <w:t xml:space="preserve"> rate of people in employment</w:t>
      </w:r>
      <w:r w:rsidRPr="008F1392">
        <w:rPr>
          <w:rFonts w:ascii="Calibri" w:eastAsia="Calibri" w:hAnsi="Calibri" w:cs="Arial"/>
          <w:color w:val="002F5D"/>
        </w:rPr>
        <w:t>. Employment rates i</w:t>
      </w:r>
      <w:r w:rsidR="004065FE" w:rsidRPr="008F1392">
        <w:rPr>
          <w:rFonts w:ascii="Calibri" w:eastAsia="Calibri" w:hAnsi="Calibri" w:cs="Arial"/>
          <w:color w:val="002F5D"/>
        </w:rPr>
        <w:t>n Cambridge, East Cambridg</w:t>
      </w:r>
      <w:r w:rsidRPr="008F1392">
        <w:rPr>
          <w:rFonts w:ascii="Calibri" w:eastAsia="Calibri" w:hAnsi="Calibri" w:cs="Arial"/>
          <w:color w:val="002F5D"/>
        </w:rPr>
        <w:t>e</w:t>
      </w:r>
      <w:r w:rsidR="004065FE" w:rsidRPr="008F1392">
        <w:rPr>
          <w:rFonts w:ascii="Calibri" w:eastAsia="Calibri" w:hAnsi="Calibri" w:cs="Arial"/>
          <w:color w:val="002F5D"/>
        </w:rPr>
        <w:t>shire</w:t>
      </w:r>
      <w:r w:rsidRPr="008F1392">
        <w:rPr>
          <w:rFonts w:ascii="Calibri" w:eastAsia="Calibri" w:hAnsi="Calibri" w:cs="Arial"/>
          <w:color w:val="002F5D"/>
        </w:rPr>
        <w:t xml:space="preserve"> and Fenland are similar to the national average. Within Cambridgeshire, there are no statistically important differences between the Cambridg</w:t>
      </w:r>
      <w:r w:rsidRPr="00991607">
        <w:rPr>
          <w:rFonts w:ascii="Calibri" w:eastAsia="Calibri" w:hAnsi="Calibri" w:cs="Arial"/>
          <w:color w:val="002F5D"/>
        </w:rPr>
        <w:t>eshire average and any of the districts</w:t>
      </w:r>
      <w:r w:rsidR="00FB497B">
        <w:rPr>
          <w:rFonts w:ascii="Calibri" w:eastAsia="Calibri" w:hAnsi="Calibri" w:cs="Arial"/>
          <w:color w:val="002F5D"/>
        </w:rPr>
        <w:t>.</w:t>
      </w:r>
      <w:r w:rsidRPr="00991607">
        <w:rPr>
          <w:rFonts w:ascii="Calibri" w:eastAsia="Calibri" w:hAnsi="Calibri" w:cs="Arial"/>
          <w:color w:val="002F5D"/>
        </w:rPr>
        <w:t xml:space="preserve"> In Cambridge </w:t>
      </w:r>
      <w:r w:rsidR="004065FE" w:rsidRPr="00991607">
        <w:rPr>
          <w:rFonts w:ascii="Calibri" w:eastAsia="Calibri" w:hAnsi="Calibri" w:cs="Arial"/>
          <w:color w:val="002F5D"/>
        </w:rPr>
        <w:t xml:space="preserve">and Huntingdonshire </w:t>
      </w:r>
      <w:r w:rsidRPr="00991607">
        <w:rPr>
          <w:rFonts w:ascii="Calibri" w:eastAsia="Calibri" w:hAnsi="Calibri" w:cs="Arial"/>
          <w:color w:val="002F5D"/>
        </w:rPr>
        <w:t xml:space="preserve">the employment rate has decreased over the last 5 years. </w:t>
      </w:r>
    </w:p>
    <w:p w14:paraId="5D420217" w14:textId="5480421F" w:rsidR="007B26D6" w:rsidRPr="00991607" w:rsidRDefault="007B26D6" w:rsidP="007B26D6">
      <w:pPr>
        <w:numPr>
          <w:ilvl w:val="0"/>
          <w:numId w:val="35"/>
        </w:numPr>
        <w:spacing w:line="240" w:lineRule="auto"/>
        <w:contextualSpacing/>
        <w:rPr>
          <w:rFonts w:ascii="Calibri" w:eastAsia="Calibri" w:hAnsi="Calibri" w:cs="Arial"/>
          <w:color w:val="002F5D"/>
        </w:rPr>
      </w:pPr>
      <w:r w:rsidRPr="00991607">
        <w:rPr>
          <w:rFonts w:ascii="Calibri" w:eastAsia="Calibri" w:hAnsi="Calibri" w:cs="Arial"/>
          <w:b/>
          <w:color w:val="002F5D"/>
        </w:rPr>
        <w:t>Economic inactivity rate ages 16-64 years</w:t>
      </w:r>
      <w:r w:rsidRPr="00991607">
        <w:rPr>
          <w:rFonts w:ascii="Calibri" w:eastAsia="Calibri" w:hAnsi="Calibri" w:cs="Arial"/>
          <w:color w:val="002F5D"/>
        </w:rPr>
        <w:t xml:space="preserve"> – Economic inactivity rates for Cambridgeshire and Peterborough combined are lower than the national average.  In</w:t>
      </w:r>
      <w:r w:rsidR="00071DA9" w:rsidRPr="00991607">
        <w:rPr>
          <w:rFonts w:ascii="Calibri" w:eastAsia="Calibri" w:hAnsi="Calibri" w:cs="Arial"/>
          <w:color w:val="002F5D"/>
        </w:rPr>
        <w:t xml:space="preserve"> Cambridgeshire and </w:t>
      </w:r>
      <w:r w:rsidRPr="00991607">
        <w:rPr>
          <w:rFonts w:ascii="Calibri" w:eastAsia="Calibri" w:hAnsi="Calibri" w:cs="Arial"/>
          <w:color w:val="002F5D"/>
        </w:rPr>
        <w:t xml:space="preserve">Peterborough economic inactivity rates are </w:t>
      </w:r>
      <w:r w:rsidR="00C44F8D" w:rsidRPr="00991607">
        <w:rPr>
          <w:rFonts w:ascii="Calibri" w:eastAsia="Calibri" w:hAnsi="Calibri" w:cs="Arial"/>
          <w:color w:val="002F5D"/>
        </w:rPr>
        <w:t xml:space="preserve">statistically </w:t>
      </w:r>
      <w:r w:rsidRPr="00991607">
        <w:rPr>
          <w:rFonts w:ascii="Calibri" w:eastAsia="Calibri" w:hAnsi="Calibri" w:cs="Arial"/>
          <w:color w:val="002F5D"/>
        </w:rPr>
        <w:t xml:space="preserve">similar to the national average.  </w:t>
      </w:r>
      <w:r w:rsidR="000644DA" w:rsidRPr="00991607">
        <w:rPr>
          <w:rFonts w:ascii="Calibri" w:eastAsia="Calibri" w:hAnsi="Calibri" w:cs="Arial"/>
          <w:color w:val="002F5D"/>
        </w:rPr>
        <w:t>Rates in East Cambridgeshire</w:t>
      </w:r>
      <w:r w:rsidRPr="00991607">
        <w:rPr>
          <w:rFonts w:ascii="Calibri" w:eastAsia="Calibri" w:hAnsi="Calibri" w:cs="Arial"/>
          <w:color w:val="002F5D"/>
        </w:rPr>
        <w:t xml:space="preserve"> and South Cambridgeshire are statistically better than the England average. Cambridge, </w:t>
      </w:r>
      <w:r w:rsidR="000644DA" w:rsidRPr="00991607">
        <w:rPr>
          <w:rFonts w:ascii="Calibri" w:eastAsia="Calibri" w:hAnsi="Calibri" w:cs="Arial"/>
          <w:color w:val="002F5D"/>
        </w:rPr>
        <w:t>Huntin</w:t>
      </w:r>
      <w:r w:rsidR="00233BFE" w:rsidRPr="00991607">
        <w:rPr>
          <w:rFonts w:ascii="Calibri" w:eastAsia="Calibri" w:hAnsi="Calibri" w:cs="Arial"/>
          <w:color w:val="002F5D"/>
        </w:rPr>
        <w:t>g</w:t>
      </w:r>
      <w:r w:rsidR="000644DA" w:rsidRPr="00991607">
        <w:rPr>
          <w:rFonts w:ascii="Calibri" w:eastAsia="Calibri" w:hAnsi="Calibri" w:cs="Arial"/>
          <w:color w:val="002F5D"/>
        </w:rPr>
        <w:t xml:space="preserve">donshire and Fenland </w:t>
      </w:r>
      <w:r w:rsidRPr="00991607">
        <w:rPr>
          <w:rFonts w:ascii="Calibri" w:eastAsia="Calibri" w:hAnsi="Calibri" w:cs="Arial"/>
          <w:color w:val="002F5D"/>
        </w:rPr>
        <w:t>have levels of economic inactivity that do not differ significantly</w:t>
      </w:r>
      <w:r w:rsidR="00C74985">
        <w:rPr>
          <w:rFonts w:ascii="Calibri" w:eastAsia="Calibri" w:hAnsi="Calibri" w:cs="Arial"/>
          <w:color w:val="002F5D"/>
        </w:rPr>
        <w:t xml:space="preserve"> in comparison</w:t>
      </w:r>
      <w:r w:rsidRPr="00991607">
        <w:rPr>
          <w:rFonts w:ascii="Calibri" w:eastAsia="Calibri" w:hAnsi="Calibri" w:cs="Arial"/>
          <w:color w:val="002F5D"/>
        </w:rPr>
        <w:t xml:space="preserve"> to the England level. The Cambridgeshire ra</w:t>
      </w:r>
      <w:r w:rsidR="000644DA" w:rsidRPr="00991607">
        <w:rPr>
          <w:rFonts w:ascii="Calibri" w:eastAsia="Calibri" w:hAnsi="Calibri" w:cs="Arial"/>
          <w:color w:val="002F5D"/>
        </w:rPr>
        <w:t>te has decreased over the last 6</w:t>
      </w:r>
      <w:r w:rsidRPr="00991607">
        <w:rPr>
          <w:rFonts w:ascii="Calibri" w:eastAsia="Calibri" w:hAnsi="Calibri" w:cs="Arial"/>
          <w:color w:val="002F5D"/>
        </w:rPr>
        <w:t xml:space="preserve"> years.</w:t>
      </w:r>
      <w:r w:rsidR="004B3222" w:rsidRPr="00991607">
        <w:rPr>
          <w:rFonts w:ascii="Calibri" w:eastAsia="Calibri" w:hAnsi="Calibri" w:cs="Arial"/>
          <w:color w:val="002F5D"/>
        </w:rPr>
        <w:t xml:space="preserve">  Rates in all t</w:t>
      </w:r>
      <w:r w:rsidR="000644DA" w:rsidRPr="00991607">
        <w:rPr>
          <w:rFonts w:ascii="Calibri" w:eastAsia="Calibri" w:hAnsi="Calibri" w:cs="Arial"/>
          <w:color w:val="002F5D"/>
        </w:rPr>
        <w:t xml:space="preserve">he </w:t>
      </w:r>
      <w:r w:rsidR="004B3222" w:rsidRPr="00991607">
        <w:rPr>
          <w:rFonts w:ascii="Calibri" w:eastAsia="Calibri" w:hAnsi="Calibri" w:cs="Arial"/>
          <w:color w:val="002F5D"/>
        </w:rPr>
        <w:t>districts are decreasing apart from Cambridge and Huntingdonshire where rates have increased over the last 5 years.</w:t>
      </w:r>
    </w:p>
    <w:p w14:paraId="485713D5" w14:textId="618EB695" w:rsidR="007B26D6" w:rsidRPr="00991607" w:rsidRDefault="007B26D6" w:rsidP="007B26D6">
      <w:pPr>
        <w:numPr>
          <w:ilvl w:val="0"/>
          <w:numId w:val="35"/>
        </w:numPr>
        <w:spacing w:line="240" w:lineRule="auto"/>
        <w:contextualSpacing/>
        <w:rPr>
          <w:rFonts w:ascii="Calibri" w:eastAsia="Calibri" w:hAnsi="Calibri" w:cs="Arial"/>
          <w:color w:val="002F5D"/>
        </w:rPr>
      </w:pPr>
      <w:r w:rsidRPr="00991607">
        <w:rPr>
          <w:rFonts w:ascii="Calibri" w:eastAsia="Calibri" w:hAnsi="Calibri" w:cs="Arial"/>
          <w:b/>
          <w:color w:val="002F5D"/>
        </w:rPr>
        <w:t>Sickness absence</w:t>
      </w:r>
      <w:r w:rsidRPr="00991607">
        <w:rPr>
          <w:rFonts w:ascii="Calibri" w:eastAsia="Calibri" w:hAnsi="Calibri" w:cs="Arial"/>
          <w:color w:val="002F5D"/>
        </w:rPr>
        <w:t xml:space="preserve"> – Sickness absence rates in Pet</w:t>
      </w:r>
      <w:r w:rsidR="004B3222" w:rsidRPr="00991607">
        <w:rPr>
          <w:rFonts w:ascii="Calibri" w:eastAsia="Calibri" w:hAnsi="Calibri" w:cs="Arial"/>
          <w:color w:val="002F5D"/>
        </w:rPr>
        <w:t>erborough, Cambridgeshire, all</w:t>
      </w:r>
      <w:r w:rsidR="004E0571" w:rsidRPr="00991607">
        <w:rPr>
          <w:rFonts w:ascii="Calibri" w:eastAsia="Calibri" w:hAnsi="Calibri" w:cs="Arial"/>
          <w:color w:val="002F5D"/>
        </w:rPr>
        <w:t xml:space="preserve"> </w:t>
      </w:r>
      <w:r w:rsidRPr="00991607">
        <w:rPr>
          <w:rFonts w:ascii="Calibri" w:eastAsia="Calibri" w:hAnsi="Calibri" w:cs="Arial"/>
          <w:color w:val="002F5D"/>
        </w:rPr>
        <w:t xml:space="preserve">of the districts and Cambridgeshire and Peterborough Combined Authority are statistically similar to the national position. </w:t>
      </w:r>
    </w:p>
    <w:p w14:paraId="4FA0A64C" w14:textId="40E72731" w:rsidR="007B26D6" w:rsidRDefault="007B26D6" w:rsidP="007B26D6">
      <w:pPr>
        <w:numPr>
          <w:ilvl w:val="0"/>
          <w:numId w:val="35"/>
        </w:numPr>
        <w:spacing w:line="240" w:lineRule="auto"/>
        <w:contextualSpacing/>
        <w:rPr>
          <w:rFonts w:ascii="Calibri" w:eastAsia="Calibri" w:hAnsi="Calibri" w:cs="Arial"/>
          <w:color w:val="002F5D"/>
        </w:rPr>
      </w:pPr>
      <w:r w:rsidRPr="006C33EC">
        <w:rPr>
          <w:rFonts w:ascii="Calibri" w:eastAsia="Calibri" w:hAnsi="Calibri" w:cs="Arial"/>
          <w:b/>
          <w:color w:val="002F5D"/>
        </w:rPr>
        <w:t xml:space="preserve">Unpaid carers </w:t>
      </w:r>
      <w:r w:rsidRPr="006C33EC">
        <w:rPr>
          <w:rFonts w:ascii="Calibri" w:eastAsia="Calibri" w:hAnsi="Calibri" w:cs="Arial"/>
          <w:color w:val="002F5D"/>
        </w:rPr>
        <w:t xml:space="preserve">– </w:t>
      </w:r>
      <w:r w:rsidR="00C74985">
        <w:rPr>
          <w:rFonts w:ascii="Calibri" w:eastAsia="Calibri" w:hAnsi="Calibri" w:cs="Arial"/>
          <w:color w:val="002F5D"/>
        </w:rPr>
        <w:t>The percentage of unpaid carers</w:t>
      </w:r>
      <w:r w:rsidRPr="006C33EC">
        <w:rPr>
          <w:rFonts w:ascii="Calibri" w:eastAsia="Calibri" w:hAnsi="Calibri" w:cs="Arial"/>
          <w:color w:val="002F5D"/>
        </w:rPr>
        <w:t xml:space="preserve"> in Peterborough </w:t>
      </w:r>
      <w:r w:rsidR="00C74985">
        <w:rPr>
          <w:rFonts w:ascii="Calibri" w:eastAsia="Calibri" w:hAnsi="Calibri" w:cs="Arial"/>
          <w:color w:val="002F5D"/>
        </w:rPr>
        <w:t>is</w:t>
      </w:r>
      <w:r w:rsidRPr="006C33EC">
        <w:rPr>
          <w:rFonts w:ascii="Calibri" w:eastAsia="Calibri" w:hAnsi="Calibri" w:cs="Arial"/>
          <w:color w:val="002F5D"/>
        </w:rPr>
        <w:t xml:space="preserve"> statistically similar to the national average and </w:t>
      </w:r>
      <w:r w:rsidR="00C74985">
        <w:rPr>
          <w:rFonts w:ascii="Calibri" w:eastAsia="Calibri" w:hAnsi="Calibri" w:cs="Arial"/>
          <w:color w:val="002F5D"/>
        </w:rPr>
        <w:t>percentages</w:t>
      </w:r>
      <w:r w:rsidRPr="006C33EC">
        <w:rPr>
          <w:rFonts w:ascii="Calibri" w:eastAsia="Calibri" w:hAnsi="Calibri" w:cs="Arial"/>
          <w:color w:val="002F5D"/>
        </w:rPr>
        <w:t xml:space="preserve"> in Cambridgeshire and Cambridgeshire and Peterborough combined are statistically lower (better) than the national average.  Fenland has a statistically higher level of unpaid carers than England and Cambridgeshire collectively. The </w:t>
      </w:r>
      <w:r w:rsidR="00C74985">
        <w:rPr>
          <w:rFonts w:ascii="Calibri" w:eastAsia="Calibri" w:hAnsi="Calibri" w:cs="Arial"/>
          <w:color w:val="002F5D"/>
        </w:rPr>
        <w:t>percentage</w:t>
      </w:r>
      <w:r w:rsidRPr="006C33EC">
        <w:rPr>
          <w:rFonts w:ascii="Calibri" w:eastAsia="Calibri" w:hAnsi="Calibri" w:cs="Arial"/>
          <w:color w:val="002F5D"/>
        </w:rPr>
        <w:t xml:space="preserve"> in Huntingdonshire is statistically significantly higher than the county’s </w:t>
      </w:r>
      <w:r w:rsidR="00C74985">
        <w:rPr>
          <w:rFonts w:ascii="Calibri" w:eastAsia="Calibri" w:hAnsi="Calibri" w:cs="Arial"/>
          <w:color w:val="002F5D"/>
        </w:rPr>
        <w:t>percentage</w:t>
      </w:r>
      <w:r w:rsidRPr="006C33EC">
        <w:rPr>
          <w:rFonts w:ascii="Calibri" w:eastAsia="Calibri" w:hAnsi="Calibri" w:cs="Arial"/>
          <w:color w:val="002F5D"/>
        </w:rPr>
        <w:t xml:space="preserve">, with Cambridge and South Cambridgeshire having significantly lower </w:t>
      </w:r>
      <w:r w:rsidR="00C74985">
        <w:rPr>
          <w:rFonts w:ascii="Calibri" w:eastAsia="Calibri" w:hAnsi="Calibri" w:cs="Arial"/>
          <w:color w:val="002F5D"/>
        </w:rPr>
        <w:t>percentage</w:t>
      </w:r>
      <w:r w:rsidRPr="006C33EC">
        <w:rPr>
          <w:rFonts w:ascii="Calibri" w:eastAsia="Calibri" w:hAnsi="Calibri" w:cs="Arial"/>
          <w:color w:val="002F5D"/>
        </w:rPr>
        <w:t>.</w:t>
      </w:r>
    </w:p>
    <w:p w14:paraId="4B387158" w14:textId="594E1A30" w:rsidR="006C33EC" w:rsidRPr="003A6A98" w:rsidRDefault="006C33EC">
      <w:pPr>
        <w:numPr>
          <w:ilvl w:val="0"/>
          <w:numId w:val="35"/>
        </w:numPr>
        <w:spacing w:line="240" w:lineRule="auto"/>
        <w:contextualSpacing/>
        <w:rPr>
          <w:rFonts w:ascii="Calibri" w:eastAsia="Calibri" w:hAnsi="Calibri" w:cs="Arial"/>
          <w:b/>
          <w:color w:val="002F5D"/>
        </w:rPr>
      </w:pPr>
      <w:r w:rsidRPr="003A6A98">
        <w:rPr>
          <w:rFonts w:ascii="Calibri" w:eastAsia="Calibri" w:hAnsi="Calibri" w:cs="Arial"/>
          <w:b/>
          <w:color w:val="002F5D"/>
        </w:rPr>
        <w:t xml:space="preserve">Dependent children aged &lt;20years in low income families </w:t>
      </w:r>
      <w:r w:rsidRPr="003A6A98">
        <w:rPr>
          <w:rFonts w:ascii="Calibri" w:eastAsia="Calibri" w:hAnsi="Calibri" w:cs="Arial"/>
          <w:color w:val="002F5D"/>
        </w:rPr>
        <w:t xml:space="preserve">- The percentage of dependent children aged &lt;20 years in low income families in Cambridgeshire and Peterborough combined is lower than the England average and the trend is decreasing.  Peterborough has a statistically higher </w:t>
      </w:r>
      <w:r w:rsidR="00C74985">
        <w:rPr>
          <w:rFonts w:ascii="Calibri" w:eastAsia="Calibri" w:hAnsi="Calibri" w:cs="Arial"/>
          <w:color w:val="002F5D"/>
        </w:rPr>
        <w:t>percentage</w:t>
      </w:r>
      <w:r w:rsidRPr="00E61D24">
        <w:rPr>
          <w:rFonts w:ascii="Calibri" w:eastAsia="Calibri" w:hAnsi="Calibri" w:cs="Arial"/>
          <w:color w:val="002F5D"/>
        </w:rPr>
        <w:t xml:space="preserve"> than the England </w:t>
      </w:r>
      <w:r w:rsidR="00C74985">
        <w:rPr>
          <w:rFonts w:ascii="Calibri" w:eastAsia="Calibri" w:hAnsi="Calibri" w:cs="Arial"/>
          <w:color w:val="002F5D"/>
        </w:rPr>
        <w:t>percentage</w:t>
      </w:r>
      <w:r w:rsidRPr="00E61D24">
        <w:rPr>
          <w:rFonts w:ascii="Calibri" w:eastAsia="Calibri" w:hAnsi="Calibri" w:cs="Arial"/>
          <w:color w:val="002F5D"/>
        </w:rPr>
        <w:t xml:space="preserve">.  Fenland’s </w:t>
      </w:r>
      <w:r w:rsidR="00C74985">
        <w:rPr>
          <w:rFonts w:ascii="Calibri" w:eastAsia="Calibri" w:hAnsi="Calibri" w:cs="Arial"/>
          <w:color w:val="002F5D"/>
        </w:rPr>
        <w:t>percentage</w:t>
      </w:r>
      <w:r w:rsidRPr="00E61D24">
        <w:rPr>
          <w:rFonts w:ascii="Calibri" w:eastAsia="Calibri" w:hAnsi="Calibri" w:cs="Arial"/>
          <w:color w:val="002F5D"/>
        </w:rPr>
        <w:t xml:space="preserve"> is higher than the England </w:t>
      </w:r>
      <w:r w:rsidR="00C74985">
        <w:rPr>
          <w:rFonts w:ascii="Calibri" w:eastAsia="Calibri" w:hAnsi="Calibri" w:cs="Arial"/>
          <w:color w:val="002F5D"/>
        </w:rPr>
        <w:t>value</w:t>
      </w:r>
      <w:r w:rsidRPr="00E61D24">
        <w:rPr>
          <w:rFonts w:ascii="Calibri" w:eastAsia="Calibri" w:hAnsi="Calibri" w:cs="Arial"/>
          <w:color w:val="002F5D"/>
        </w:rPr>
        <w:t xml:space="preserve"> </w:t>
      </w:r>
      <w:r w:rsidRPr="00E61D24">
        <w:rPr>
          <w:rFonts w:ascii="Calibri" w:eastAsia="Calibri" w:hAnsi="Calibri" w:cs="Arial"/>
          <w:color w:val="002F5D"/>
        </w:rPr>
        <w:lastRenderedPageBreak/>
        <w:t xml:space="preserve">and the difference is statistically significant. Cambridgeshire’s </w:t>
      </w:r>
      <w:r w:rsidR="00C74985">
        <w:rPr>
          <w:rFonts w:ascii="Calibri" w:eastAsia="Calibri" w:hAnsi="Calibri" w:cs="Arial"/>
          <w:color w:val="002F5D"/>
        </w:rPr>
        <w:t>percentage</w:t>
      </w:r>
      <w:r w:rsidRPr="00E61D24">
        <w:rPr>
          <w:rFonts w:ascii="Calibri" w:eastAsia="Calibri" w:hAnsi="Calibri" w:cs="Arial"/>
          <w:color w:val="002F5D"/>
        </w:rPr>
        <w:t xml:space="preserve">, along with all other district’s </w:t>
      </w:r>
      <w:r w:rsidR="00C74985">
        <w:rPr>
          <w:rFonts w:ascii="Calibri" w:eastAsia="Calibri" w:hAnsi="Calibri" w:cs="Arial"/>
          <w:color w:val="002F5D"/>
        </w:rPr>
        <w:t>percentages</w:t>
      </w:r>
      <w:r w:rsidRPr="00E61D24">
        <w:rPr>
          <w:rFonts w:ascii="Calibri" w:eastAsia="Calibri" w:hAnsi="Calibri" w:cs="Arial"/>
          <w:color w:val="002F5D"/>
        </w:rPr>
        <w:t xml:space="preserve">, are statistically significantly lower than the England average. </w:t>
      </w:r>
      <w:r w:rsidR="00C74985">
        <w:rPr>
          <w:rFonts w:ascii="Calibri" w:eastAsia="Calibri" w:hAnsi="Calibri" w:cs="Arial"/>
          <w:color w:val="002F5D"/>
        </w:rPr>
        <w:t>With reference</w:t>
      </w:r>
      <w:r w:rsidRPr="00E61D24">
        <w:rPr>
          <w:rFonts w:ascii="Calibri" w:eastAsia="Calibri" w:hAnsi="Calibri" w:cs="Arial"/>
          <w:color w:val="002F5D"/>
        </w:rPr>
        <w:t xml:space="preserve"> to </w:t>
      </w:r>
      <w:r w:rsidR="00C74985">
        <w:rPr>
          <w:rFonts w:ascii="Calibri" w:eastAsia="Calibri" w:hAnsi="Calibri" w:cs="Arial"/>
          <w:color w:val="002F5D"/>
        </w:rPr>
        <w:t xml:space="preserve">the </w:t>
      </w:r>
      <w:r w:rsidRPr="00E61D24">
        <w:rPr>
          <w:rFonts w:ascii="Calibri" w:eastAsia="Calibri" w:hAnsi="Calibri" w:cs="Arial"/>
          <w:color w:val="002F5D"/>
        </w:rPr>
        <w:t>Cambridgeshire</w:t>
      </w:r>
      <w:r w:rsidR="00C74985">
        <w:rPr>
          <w:rFonts w:ascii="Calibri" w:eastAsia="Calibri" w:hAnsi="Calibri" w:cs="Arial"/>
          <w:color w:val="002F5D"/>
        </w:rPr>
        <w:t xml:space="preserve"> value</w:t>
      </w:r>
      <w:r w:rsidRPr="00E61D24">
        <w:rPr>
          <w:rFonts w:ascii="Calibri" w:eastAsia="Calibri" w:hAnsi="Calibri" w:cs="Arial"/>
          <w:color w:val="002F5D"/>
        </w:rPr>
        <w:t xml:space="preserve">, Cambridge and Fenland have </w:t>
      </w:r>
      <w:r w:rsidR="00C74985">
        <w:rPr>
          <w:rFonts w:ascii="Calibri" w:eastAsia="Calibri" w:hAnsi="Calibri" w:cs="Arial"/>
          <w:color w:val="002F5D"/>
        </w:rPr>
        <w:t>percentages</w:t>
      </w:r>
      <w:r w:rsidRPr="00E61D24">
        <w:rPr>
          <w:rFonts w:ascii="Calibri" w:eastAsia="Calibri" w:hAnsi="Calibri" w:cs="Arial"/>
          <w:color w:val="002F5D"/>
        </w:rPr>
        <w:t xml:space="preserve"> that are significantly worse than the county </w:t>
      </w:r>
      <w:r w:rsidR="00C74985">
        <w:rPr>
          <w:rFonts w:ascii="Calibri" w:eastAsia="Calibri" w:hAnsi="Calibri" w:cs="Arial"/>
          <w:color w:val="002F5D"/>
        </w:rPr>
        <w:t>percentage</w:t>
      </w:r>
      <w:r w:rsidRPr="00E61D24">
        <w:rPr>
          <w:rFonts w:ascii="Calibri" w:eastAsia="Calibri" w:hAnsi="Calibri" w:cs="Arial"/>
          <w:color w:val="002F5D"/>
        </w:rPr>
        <w:t xml:space="preserve"> and all other districts have </w:t>
      </w:r>
      <w:r w:rsidR="00C74985">
        <w:rPr>
          <w:rFonts w:ascii="Calibri" w:eastAsia="Calibri" w:hAnsi="Calibri" w:cs="Arial"/>
          <w:color w:val="002F5D"/>
        </w:rPr>
        <w:t>percentages</w:t>
      </w:r>
      <w:r w:rsidRPr="00E61D24">
        <w:rPr>
          <w:rFonts w:ascii="Calibri" w:eastAsia="Calibri" w:hAnsi="Calibri" w:cs="Arial"/>
          <w:color w:val="002F5D"/>
        </w:rPr>
        <w:t xml:space="preserve"> that are significantly better.</w:t>
      </w:r>
    </w:p>
    <w:p w14:paraId="082E6F7C" w14:textId="376C7896" w:rsidR="007B26D6" w:rsidRPr="00F71D5E" w:rsidRDefault="007B26D6" w:rsidP="007B26D6">
      <w:pPr>
        <w:numPr>
          <w:ilvl w:val="0"/>
          <w:numId w:val="35"/>
        </w:numPr>
        <w:spacing w:line="240" w:lineRule="auto"/>
        <w:contextualSpacing/>
        <w:rPr>
          <w:rFonts w:ascii="Calibri" w:eastAsia="Calibri" w:hAnsi="Calibri" w:cs="Arial"/>
          <w:b/>
          <w:color w:val="002F5D"/>
        </w:rPr>
      </w:pPr>
      <w:r w:rsidRPr="00F71D5E">
        <w:rPr>
          <w:rFonts w:ascii="Calibri" w:eastAsia="Calibri" w:hAnsi="Calibri" w:cs="Arial"/>
          <w:b/>
          <w:color w:val="002F5D"/>
        </w:rPr>
        <w:t xml:space="preserve">Dependent children aged &lt;16 years in low income families </w:t>
      </w:r>
      <w:r w:rsidRPr="00F71D5E">
        <w:rPr>
          <w:rFonts w:ascii="Calibri" w:eastAsia="Calibri" w:hAnsi="Calibri" w:cs="Arial"/>
          <w:color w:val="002F5D"/>
        </w:rPr>
        <w:t xml:space="preserve">- The percentage of dependent children aged &lt;16 years in low income families in Cambridgeshire and Peterborough combined is lower than the England average and the trend is decreasing.  Peterborough has a statistically higher </w:t>
      </w:r>
      <w:r w:rsidR="00C74985">
        <w:rPr>
          <w:rFonts w:ascii="Calibri" w:eastAsia="Calibri" w:hAnsi="Calibri" w:cs="Arial"/>
          <w:color w:val="002F5D"/>
        </w:rPr>
        <w:t>percent</w:t>
      </w:r>
      <w:r w:rsidRPr="00F71D5E">
        <w:rPr>
          <w:rFonts w:ascii="Calibri" w:eastAsia="Calibri" w:hAnsi="Calibri" w:cs="Arial"/>
          <w:color w:val="002F5D"/>
        </w:rPr>
        <w:t xml:space="preserve"> than the England </w:t>
      </w:r>
      <w:r w:rsidR="00C74985">
        <w:rPr>
          <w:rFonts w:ascii="Calibri" w:eastAsia="Calibri" w:hAnsi="Calibri" w:cs="Arial"/>
          <w:color w:val="002F5D"/>
        </w:rPr>
        <w:t>value</w:t>
      </w:r>
      <w:r w:rsidRPr="00F71D5E">
        <w:rPr>
          <w:rFonts w:ascii="Calibri" w:eastAsia="Calibri" w:hAnsi="Calibri" w:cs="Arial"/>
          <w:color w:val="002F5D"/>
        </w:rPr>
        <w:t xml:space="preserve">.  Fenland’s </w:t>
      </w:r>
      <w:r w:rsidR="00C74985">
        <w:rPr>
          <w:rFonts w:ascii="Calibri" w:eastAsia="Calibri" w:hAnsi="Calibri" w:cs="Arial"/>
          <w:color w:val="002F5D"/>
        </w:rPr>
        <w:t>percentage</w:t>
      </w:r>
      <w:r w:rsidRPr="00F71D5E">
        <w:rPr>
          <w:rFonts w:ascii="Calibri" w:eastAsia="Calibri" w:hAnsi="Calibri" w:cs="Arial"/>
          <w:color w:val="002F5D"/>
        </w:rPr>
        <w:t xml:space="preserve"> is higher than the England </w:t>
      </w:r>
      <w:r w:rsidR="00C74985">
        <w:rPr>
          <w:rFonts w:ascii="Calibri" w:eastAsia="Calibri" w:hAnsi="Calibri" w:cs="Arial"/>
          <w:color w:val="002F5D"/>
        </w:rPr>
        <w:t>percentage</w:t>
      </w:r>
      <w:r w:rsidRPr="00F71D5E">
        <w:rPr>
          <w:rFonts w:ascii="Calibri" w:eastAsia="Calibri" w:hAnsi="Calibri" w:cs="Arial"/>
          <w:color w:val="002F5D"/>
        </w:rPr>
        <w:t xml:space="preserve"> and the difference is statisticall</w:t>
      </w:r>
      <w:r w:rsidR="004B3222" w:rsidRPr="00F71D5E">
        <w:rPr>
          <w:rFonts w:ascii="Calibri" w:eastAsia="Calibri" w:hAnsi="Calibri" w:cs="Arial"/>
          <w:color w:val="002F5D"/>
        </w:rPr>
        <w:t>y significant</w:t>
      </w:r>
      <w:r w:rsidRPr="00F71D5E">
        <w:rPr>
          <w:rFonts w:ascii="Calibri" w:eastAsia="Calibri" w:hAnsi="Calibri" w:cs="Arial"/>
          <w:color w:val="002F5D"/>
        </w:rPr>
        <w:t xml:space="preserve">. Cambridgeshire’s </w:t>
      </w:r>
      <w:r w:rsidR="00C74985">
        <w:rPr>
          <w:rFonts w:ascii="Calibri" w:eastAsia="Calibri" w:hAnsi="Calibri" w:cs="Arial"/>
          <w:color w:val="002F5D"/>
        </w:rPr>
        <w:t>percentage</w:t>
      </w:r>
      <w:r w:rsidRPr="00F71D5E">
        <w:rPr>
          <w:rFonts w:ascii="Calibri" w:eastAsia="Calibri" w:hAnsi="Calibri" w:cs="Arial"/>
          <w:color w:val="002F5D"/>
        </w:rPr>
        <w:t xml:space="preserve">, along with all other district’s </w:t>
      </w:r>
      <w:r w:rsidR="00C74985">
        <w:rPr>
          <w:rFonts w:ascii="Calibri" w:eastAsia="Calibri" w:hAnsi="Calibri" w:cs="Arial"/>
          <w:color w:val="002F5D"/>
        </w:rPr>
        <w:t>percentages</w:t>
      </w:r>
      <w:r w:rsidRPr="00F71D5E">
        <w:rPr>
          <w:rFonts w:ascii="Calibri" w:eastAsia="Calibri" w:hAnsi="Calibri" w:cs="Arial"/>
          <w:color w:val="002F5D"/>
        </w:rPr>
        <w:t xml:space="preserve">, are statistically significantly lower than the England average. </w:t>
      </w:r>
      <w:r w:rsidR="00F71D5E" w:rsidRPr="00E61D24">
        <w:rPr>
          <w:rFonts w:ascii="Calibri" w:eastAsia="Calibri" w:hAnsi="Calibri" w:cs="Arial"/>
          <w:color w:val="002F5D"/>
        </w:rPr>
        <w:t>Compared to</w:t>
      </w:r>
      <w:r w:rsidRPr="00F71D5E">
        <w:rPr>
          <w:rFonts w:ascii="Calibri" w:eastAsia="Calibri" w:hAnsi="Calibri" w:cs="Arial"/>
          <w:color w:val="002F5D"/>
        </w:rPr>
        <w:t xml:space="preserve"> Cambridgeshire, Cambridge and Fenland have levels that are significantly worse and all other districts have </w:t>
      </w:r>
      <w:r w:rsidR="00C74985">
        <w:rPr>
          <w:rFonts w:ascii="Calibri" w:eastAsia="Calibri" w:hAnsi="Calibri" w:cs="Arial"/>
          <w:color w:val="002F5D"/>
        </w:rPr>
        <w:t>percentages</w:t>
      </w:r>
      <w:r w:rsidRPr="00F71D5E">
        <w:rPr>
          <w:rFonts w:ascii="Calibri" w:eastAsia="Calibri" w:hAnsi="Calibri" w:cs="Arial"/>
          <w:color w:val="002F5D"/>
        </w:rPr>
        <w:t xml:space="preserve"> that are significantly better.</w:t>
      </w:r>
    </w:p>
    <w:p w14:paraId="787798AC" w14:textId="4D20DF2F" w:rsidR="007B26D6" w:rsidRPr="00F71D5E" w:rsidRDefault="007B26D6" w:rsidP="007B26D6">
      <w:pPr>
        <w:numPr>
          <w:ilvl w:val="0"/>
          <w:numId w:val="35"/>
        </w:numPr>
        <w:spacing w:line="240" w:lineRule="auto"/>
        <w:contextualSpacing/>
        <w:rPr>
          <w:rFonts w:ascii="Calibri" w:eastAsia="Calibri" w:hAnsi="Calibri" w:cs="Arial"/>
          <w:b/>
          <w:color w:val="002F5D"/>
        </w:rPr>
      </w:pPr>
      <w:r w:rsidRPr="00F71D5E">
        <w:rPr>
          <w:rFonts w:ascii="Calibri" w:eastAsia="Calibri" w:hAnsi="Calibri" w:cs="Arial"/>
          <w:b/>
          <w:color w:val="002F5D"/>
        </w:rPr>
        <w:t xml:space="preserve">Income deprived older people aged 60+ years (IDAOPI) </w:t>
      </w:r>
      <w:r w:rsidRPr="00F71D5E">
        <w:rPr>
          <w:rFonts w:ascii="Calibri" w:eastAsia="Calibri" w:hAnsi="Calibri" w:cs="Arial"/>
          <w:color w:val="002F5D"/>
        </w:rPr>
        <w:t xml:space="preserve">– The Peterborough </w:t>
      </w:r>
      <w:r w:rsidR="00C74985">
        <w:rPr>
          <w:rFonts w:ascii="Calibri" w:eastAsia="Calibri" w:hAnsi="Calibri" w:cs="Arial"/>
          <w:color w:val="002F5D"/>
        </w:rPr>
        <w:t>IDAOPI value</w:t>
      </w:r>
      <w:r w:rsidRPr="00F71D5E">
        <w:rPr>
          <w:rFonts w:ascii="Calibri" w:eastAsia="Calibri" w:hAnsi="Calibri" w:cs="Arial"/>
          <w:color w:val="002F5D"/>
        </w:rPr>
        <w:t xml:space="preserve"> is higher than the national average. While not statistically assessed, the highest levels within Cambridgeshire are in Fenland with a </w:t>
      </w:r>
      <w:r w:rsidR="00C74985">
        <w:rPr>
          <w:rFonts w:ascii="Calibri" w:eastAsia="Calibri" w:hAnsi="Calibri" w:cs="Arial"/>
          <w:color w:val="002F5D"/>
        </w:rPr>
        <w:t>percentage</w:t>
      </w:r>
      <w:r w:rsidRPr="00F71D5E">
        <w:rPr>
          <w:rFonts w:ascii="Calibri" w:eastAsia="Calibri" w:hAnsi="Calibri" w:cs="Arial"/>
          <w:color w:val="002F5D"/>
        </w:rPr>
        <w:t xml:space="preserve"> that is around the national average. All other districts, and Cambridgeshire, have lower levels than found nationally, with Huntingdonshire and South Cambridgeshire having the lowest levels.</w:t>
      </w:r>
    </w:p>
    <w:p w14:paraId="1F28FA45" w14:textId="3A1FA76C" w:rsidR="007B26D6" w:rsidRPr="00F71D5E" w:rsidRDefault="007B26D6" w:rsidP="007B26D6">
      <w:pPr>
        <w:numPr>
          <w:ilvl w:val="0"/>
          <w:numId w:val="35"/>
        </w:numPr>
        <w:spacing w:line="240" w:lineRule="auto"/>
        <w:contextualSpacing/>
        <w:rPr>
          <w:rFonts w:ascii="Calibri" w:eastAsia="Calibri" w:hAnsi="Calibri" w:cs="Arial"/>
          <w:b/>
          <w:color w:val="002F5D"/>
        </w:rPr>
      </w:pPr>
      <w:r w:rsidRPr="00F71D5E">
        <w:rPr>
          <w:rFonts w:ascii="Calibri" w:eastAsia="Calibri" w:hAnsi="Calibri" w:cs="Arial"/>
          <w:b/>
          <w:color w:val="002F5D"/>
        </w:rPr>
        <w:t xml:space="preserve">Violent crime: emergency hospital admissions </w:t>
      </w:r>
      <w:r w:rsidRPr="00F71D5E">
        <w:rPr>
          <w:rFonts w:ascii="Calibri" w:eastAsia="Calibri" w:hAnsi="Calibri" w:cs="Arial"/>
          <w:color w:val="002F5D"/>
        </w:rPr>
        <w:t xml:space="preserve">– Peterborough has a markedly high rate and statistically higher rate compared to the national rate. The Cambridgeshire rate and the levels in </w:t>
      </w:r>
      <w:r w:rsidR="00F71D5E" w:rsidRPr="00E61D24">
        <w:rPr>
          <w:rFonts w:ascii="Calibri" w:eastAsia="Calibri" w:hAnsi="Calibri" w:cs="Arial"/>
          <w:color w:val="002F5D"/>
        </w:rPr>
        <w:t xml:space="preserve">East </w:t>
      </w:r>
      <w:r w:rsidRPr="00F71D5E">
        <w:rPr>
          <w:rFonts w:ascii="Calibri" w:eastAsia="Calibri" w:hAnsi="Calibri" w:cs="Arial"/>
          <w:color w:val="002F5D"/>
        </w:rPr>
        <w:t>Cambridgeshir</w:t>
      </w:r>
      <w:r w:rsidR="00F71D5E" w:rsidRPr="00E61D24">
        <w:rPr>
          <w:rFonts w:ascii="Calibri" w:eastAsia="Calibri" w:hAnsi="Calibri" w:cs="Arial"/>
          <w:color w:val="002F5D"/>
        </w:rPr>
        <w:t>e, Huntingdonshire and South Cambridgeshire</w:t>
      </w:r>
      <w:r w:rsidRPr="00F71D5E">
        <w:rPr>
          <w:rFonts w:ascii="Calibri" w:eastAsia="Calibri" w:hAnsi="Calibri" w:cs="Arial"/>
          <w:color w:val="002F5D"/>
        </w:rPr>
        <w:t xml:space="preserve"> are all statistically better than the national rate</w:t>
      </w:r>
      <w:r w:rsidR="00F71D5E" w:rsidRPr="00E61D24">
        <w:rPr>
          <w:rFonts w:ascii="Calibri" w:eastAsia="Calibri" w:hAnsi="Calibri" w:cs="Arial"/>
          <w:color w:val="002F5D"/>
        </w:rPr>
        <w:t xml:space="preserve"> with Cambridge and Fenland statistically similar to the national rate</w:t>
      </w:r>
      <w:r w:rsidRPr="00F71D5E">
        <w:rPr>
          <w:rFonts w:ascii="Calibri" w:eastAsia="Calibri" w:hAnsi="Calibri" w:cs="Arial"/>
          <w:color w:val="002F5D"/>
        </w:rPr>
        <w:t xml:space="preserve">. The rates in Cambridge and Fenland are statistically significantly higher than the Cambridgeshire average, with rates in </w:t>
      </w:r>
      <w:r w:rsidR="00F71D5E" w:rsidRPr="009A2AB3">
        <w:rPr>
          <w:rFonts w:ascii="Calibri" w:eastAsia="Calibri" w:hAnsi="Calibri" w:cs="Arial"/>
          <w:color w:val="002F5D"/>
        </w:rPr>
        <w:t>East Cambridgeshire</w:t>
      </w:r>
      <w:r w:rsidR="00F71D5E" w:rsidRPr="00F71D5E">
        <w:rPr>
          <w:rFonts w:ascii="Calibri" w:eastAsia="Calibri" w:hAnsi="Calibri" w:cs="Arial"/>
          <w:color w:val="002F5D"/>
        </w:rPr>
        <w:t xml:space="preserve"> </w:t>
      </w:r>
      <w:r w:rsidRPr="00F71D5E">
        <w:rPr>
          <w:rFonts w:ascii="Calibri" w:eastAsia="Calibri" w:hAnsi="Calibri" w:cs="Arial"/>
          <w:color w:val="002F5D"/>
        </w:rPr>
        <w:t>significantly better.</w:t>
      </w:r>
    </w:p>
    <w:p w14:paraId="0215DF3E" w14:textId="77777777" w:rsidR="007B26D6" w:rsidRPr="00F71D5E" w:rsidRDefault="007B26D6" w:rsidP="007B26D6">
      <w:pPr>
        <w:numPr>
          <w:ilvl w:val="0"/>
          <w:numId w:val="35"/>
        </w:numPr>
        <w:spacing w:line="240" w:lineRule="auto"/>
        <w:ind w:left="714" w:hanging="357"/>
        <w:contextualSpacing/>
        <w:rPr>
          <w:rFonts w:ascii="Calibri" w:eastAsia="Calibri" w:hAnsi="Calibri" w:cs="Arial"/>
          <w:color w:val="002F5D"/>
        </w:rPr>
      </w:pPr>
      <w:r w:rsidRPr="00F71D5E">
        <w:rPr>
          <w:rFonts w:ascii="Calibri" w:eastAsia="Calibri" w:hAnsi="Calibri" w:cs="Arial"/>
          <w:b/>
          <w:color w:val="002F5D"/>
        </w:rPr>
        <w:t>GCSE achieved 5A*-C including English &amp; Maths</w:t>
      </w:r>
      <w:r w:rsidRPr="00F71D5E">
        <w:rPr>
          <w:rFonts w:ascii="Calibri" w:eastAsia="Calibri" w:hAnsi="Calibri" w:cs="Arial"/>
          <w:color w:val="002F5D"/>
        </w:rPr>
        <w:t xml:space="preserve"> – Cambridgeshire and Peterborough combined have a GCSE attainment rate that is similar to England.  Peterborough's GCSE attainment rate is statistically significantly worse than the England average</w:t>
      </w:r>
      <w:r w:rsidR="00987C7B" w:rsidRPr="00F71D5E">
        <w:rPr>
          <w:rFonts w:ascii="Calibri" w:eastAsia="Calibri" w:hAnsi="Calibri" w:cs="Arial"/>
          <w:color w:val="002F5D"/>
        </w:rPr>
        <w:t xml:space="preserve">.  </w:t>
      </w:r>
      <w:r w:rsidRPr="00F71D5E">
        <w:rPr>
          <w:rFonts w:ascii="Calibri" w:eastAsia="Calibri" w:hAnsi="Calibri" w:cs="Arial"/>
          <w:color w:val="002F5D"/>
        </w:rPr>
        <w:t>The rates in Cambridgeshire as a whole, Cambridge and South Cambridgeshire are statistically significantly better when compared nationally.  Fenland's GSCE attainment rate is statistically significantly worse than the England average and is also statistically worse than the Cambridgeshire rate.</w:t>
      </w:r>
    </w:p>
    <w:p w14:paraId="4CA3B2E1" w14:textId="3E96FDAF" w:rsidR="00856726" w:rsidRPr="00F71D5E" w:rsidRDefault="007B26D6" w:rsidP="00856726">
      <w:pPr>
        <w:numPr>
          <w:ilvl w:val="0"/>
          <w:numId w:val="35"/>
        </w:numPr>
        <w:spacing w:line="240" w:lineRule="auto"/>
        <w:contextualSpacing/>
        <w:rPr>
          <w:rFonts w:ascii="Calibri" w:eastAsia="Calibri" w:hAnsi="Calibri" w:cs="Arial"/>
          <w:color w:val="002F5D"/>
        </w:rPr>
      </w:pPr>
      <w:r w:rsidRPr="00F71D5E">
        <w:rPr>
          <w:rFonts w:ascii="Calibri" w:eastAsia="Calibri" w:hAnsi="Calibri" w:cs="Arial"/>
          <w:b/>
          <w:color w:val="002F5D"/>
        </w:rPr>
        <w:t>Pupil absence</w:t>
      </w:r>
      <w:r w:rsidRPr="00F71D5E">
        <w:rPr>
          <w:rFonts w:ascii="Calibri" w:eastAsia="Calibri" w:hAnsi="Calibri" w:cs="Arial"/>
          <w:color w:val="002F5D"/>
        </w:rPr>
        <w:t xml:space="preserve"> –The Cambridgeshire and Peterborough combine</w:t>
      </w:r>
      <w:r w:rsidR="00856726" w:rsidRPr="00F71D5E">
        <w:rPr>
          <w:rFonts w:ascii="Calibri" w:eastAsia="Calibri" w:hAnsi="Calibri" w:cs="Arial"/>
          <w:color w:val="002F5D"/>
        </w:rPr>
        <w:t xml:space="preserve">d authority and Cambridgeshire </w:t>
      </w:r>
      <w:r w:rsidRPr="00F71D5E">
        <w:rPr>
          <w:rFonts w:ascii="Calibri" w:eastAsia="Calibri" w:hAnsi="Calibri" w:cs="Arial"/>
          <w:color w:val="002F5D"/>
        </w:rPr>
        <w:t>rates are statistically s</w:t>
      </w:r>
      <w:r w:rsidR="00447D3C" w:rsidRPr="00F71D5E">
        <w:rPr>
          <w:rFonts w:ascii="Calibri" w:eastAsia="Calibri" w:hAnsi="Calibri" w:cs="Arial"/>
          <w:color w:val="002F5D"/>
        </w:rPr>
        <w:t>i</w:t>
      </w:r>
      <w:r w:rsidR="00856726" w:rsidRPr="00F71D5E">
        <w:rPr>
          <w:rFonts w:ascii="Calibri" w:eastAsia="Calibri" w:hAnsi="Calibri" w:cs="Arial"/>
          <w:color w:val="002F5D"/>
        </w:rPr>
        <w:t>g</w:t>
      </w:r>
      <w:r w:rsidR="00447D3C" w:rsidRPr="00F71D5E">
        <w:rPr>
          <w:rFonts w:ascii="Calibri" w:eastAsia="Calibri" w:hAnsi="Calibri" w:cs="Arial"/>
          <w:color w:val="002F5D"/>
        </w:rPr>
        <w:t>nif</w:t>
      </w:r>
      <w:r w:rsidR="00856726" w:rsidRPr="00F71D5E">
        <w:rPr>
          <w:rFonts w:ascii="Calibri" w:eastAsia="Calibri" w:hAnsi="Calibri" w:cs="Arial"/>
          <w:color w:val="002F5D"/>
        </w:rPr>
        <w:t>i</w:t>
      </w:r>
      <w:r w:rsidR="00447D3C" w:rsidRPr="00F71D5E">
        <w:rPr>
          <w:rFonts w:ascii="Calibri" w:eastAsia="Calibri" w:hAnsi="Calibri" w:cs="Arial"/>
          <w:color w:val="002F5D"/>
        </w:rPr>
        <w:t>cantly lower than</w:t>
      </w:r>
      <w:r w:rsidRPr="00F71D5E">
        <w:rPr>
          <w:rFonts w:ascii="Calibri" w:eastAsia="Calibri" w:hAnsi="Calibri" w:cs="Arial"/>
          <w:color w:val="002F5D"/>
        </w:rPr>
        <w:t xml:space="preserve"> the national rate. </w:t>
      </w:r>
      <w:r w:rsidR="00856726" w:rsidRPr="00F71D5E">
        <w:rPr>
          <w:rFonts w:ascii="Calibri" w:eastAsia="Calibri" w:hAnsi="Calibri" w:cs="Arial"/>
          <w:color w:val="002F5D"/>
        </w:rPr>
        <w:t>The rates in East Cambridgeshire, Huntingdonshire and South Cambridgeshire are significantly better than in England.</w:t>
      </w:r>
    </w:p>
    <w:p w14:paraId="616D3913" w14:textId="7DF0F445" w:rsidR="007B26D6" w:rsidRPr="00F71D5E" w:rsidRDefault="007B26D6" w:rsidP="00856726">
      <w:pPr>
        <w:spacing w:line="240" w:lineRule="auto"/>
        <w:ind w:left="720"/>
        <w:contextualSpacing/>
        <w:rPr>
          <w:rFonts w:ascii="Calibri" w:eastAsia="Calibri" w:hAnsi="Calibri" w:cs="Arial"/>
          <w:color w:val="002F5D"/>
        </w:rPr>
      </w:pPr>
      <w:r w:rsidRPr="00F71D5E">
        <w:rPr>
          <w:rFonts w:ascii="Calibri" w:eastAsia="Calibri" w:hAnsi="Calibri" w:cs="Arial"/>
          <w:color w:val="002F5D"/>
        </w:rPr>
        <w:t>The rate</w:t>
      </w:r>
      <w:r w:rsidR="00856726" w:rsidRPr="00F71D5E">
        <w:rPr>
          <w:rFonts w:ascii="Calibri" w:eastAsia="Calibri" w:hAnsi="Calibri" w:cs="Arial"/>
          <w:color w:val="002F5D"/>
        </w:rPr>
        <w:t>s</w:t>
      </w:r>
      <w:r w:rsidRPr="00F71D5E">
        <w:rPr>
          <w:rFonts w:ascii="Calibri" w:eastAsia="Calibri" w:hAnsi="Calibri" w:cs="Arial"/>
          <w:color w:val="002F5D"/>
        </w:rPr>
        <w:t xml:space="preserve"> in Cambridge </w:t>
      </w:r>
      <w:r w:rsidR="00856726" w:rsidRPr="00F71D5E">
        <w:rPr>
          <w:rFonts w:ascii="Calibri" w:eastAsia="Calibri" w:hAnsi="Calibri" w:cs="Arial"/>
          <w:color w:val="002F5D"/>
        </w:rPr>
        <w:t xml:space="preserve">and Fenland are statistically similar to the </w:t>
      </w:r>
      <w:r w:rsidRPr="00F71D5E">
        <w:rPr>
          <w:rFonts w:ascii="Calibri" w:eastAsia="Calibri" w:hAnsi="Calibri" w:cs="Arial"/>
          <w:color w:val="002F5D"/>
        </w:rPr>
        <w:t xml:space="preserve">national average </w:t>
      </w:r>
      <w:r w:rsidR="00856726" w:rsidRPr="00F71D5E">
        <w:rPr>
          <w:rFonts w:ascii="Calibri" w:eastAsia="Calibri" w:hAnsi="Calibri" w:cs="Arial"/>
          <w:color w:val="002F5D"/>
        </w:rPr>
        <w:t xml:space="preserve">and statistically significantly better than the Cambridgeshire rate. </w:t>
      </w:r>
    </w:p>
    <w:p w14:paraId="1FD7F49A" w14:textId="77777777" w:rsidR="00856726" w:rsidRPr="009A2AB3" w:rsidRDefault="00856726" w:rsidP="00856726">
      <w:pPr>
        <w:spacing w:line="240" w:lineRule="auto"/>
        <w:ind w:left="720"/>
        <w:contextualSpacing/>
        <w:rPr>
          <w:rFonts w:ascii="Calibri" w:eastAsia="Calibri" w:hAnsi="Calibri" w:cs="Arial"/>
          <w:color w:val="002F5D"/>
        </w:rPr>
      </w:pPr>
    </w:p>
    <w:p w14:paraId="3633809E" w14:textId="77777777" w:rsidR="007B26D6" w:rsidRPr="00F71D5E" w:rsidRDefault="007B26D6" w:rsidP="007B26D6">
      <w:pPr>
        <w:spacing w:line="240" w:lineRule="auto"/>
        <w:rPr>
          <w:rFonts w:ascii="Calibri" w:eastAsia="Calibri" w:hAnsi="Calibri" w:cs="Arial"/>
          <w:b/>
          <w:color w:val="002F5D"/>
        </w:rPr>
      </w:pPr>
      <w:r w:rsidRPr="00F71D5E">
        <w:rPr>
          <w:rFonts w:ascii="Calibri" w:eastAsia="Calibri" w:hAnsi="Calibri" w:cs="Arial"/>
          <w:color w:val="002F5D"/>
        </w:rPr>
        <w:t xml:space="preserve">USEFUL LINK: </w:t>
      </w:r>
      <w:hyperlink r:id="rId136" w:history="1">
        <w:r w:rsidRPr="00F71D5E">
          <w:rPr>
            <w:rFonts w:ascii="Calibri" w:eastAsia="Calibri" w:hAnsi="Calibri" w:cs="Arial"/>
            <w:color w:val="002F5D"/>
            <w:u w:val="single"/>
          </w:rPr>
          <w:t>https://fingertips.phe.org.uk/profile/wider-determinants</w:t>
        </w:r>
      </w:hyperlink>
    </w:p>
    <w:p w14:paraId="70DA0AC2" w14:textId="77777777" w:rsidR="00DE2910" w:rsidRPr="009A2AB3" w:rsidRDefault="00DE2910">
      <w:pPr>
        <w:rPr>
          <w:rFonts w:eastAsiaTheme="majorEastAsia" w:cs="Arial"/>
          <w:b/>
          <w:color w:val="002F5D"/>
          <w:sz w:val="28"/>
          <w:szCs w:val="32"/>
        </w:rPr>
      </w:pPr>
      <w:r w:rsidRPr="009A2AB3">
        <w:rPr>
          <w:color w:val="002F5D"/>
        </w:rPr>
        <w:br w:type="page"/>
      </w:r>
    </w:p>
    <w:p w14:paraId="77DB9AC0" w14:textId="77777777" w:rsidR="006A4B01" w:rsidRPr="009A2AB3" w:rsidRDefault="00EA1751" w:rsidP="00D17493">
      <w:pPr>
        <w:pStyle w:val="JSNA1"/>
      </w:pPr>
      <w:bookmarkStart w:id="748" w:name="_Toc4407847"/>
      <w:r w:rsidRPr="009A2AB3">
        <w:lastRenderedPageBreak/>
        <w:t xml:space="preserve">LIFESTYLES, </w:t>
      </w:r>
      <w:r w:rsidR="005108FF" w:rsidRPr="009A2AB3">
        <w:t xml:space="preserve">RISK FACTORS </w:t>
      </w:r>
      <w:r w:rsidRPr="009A2AB3">
        <w:t>AND</w:t>
      </w:r>
      <w:r w:rsidR="005108FF" w:rsidRPr="009A2AB3">
        <w:t xml:space="preserve"> HEALTH AND WELLBEING</w:t>
      </w:r>
      <w:bookmarkEnd w:id="748"/>
    </w:p>
    <w:p w14:paraId="1B7DB644" w14:textId="79BFF9B6" w:rsidR="00656DEF" w:rsidRDefault="00656DEF" w:rsidP="008975BF">
      <w:pPr>
        <w:spacing w:line="240" w:lineRule="auto"/>
        <w:jc w:val="both"/>
        <w:rPr>
          <w:rFonts w:ascii="Calibri" w:eastAsia="Times New Roman" w:hAnsi="Calibri" w:cs="Times New Roman"/>
          <w:color w:val="002F5D"/>
          <w:lang w:eastAsia="en-GB"/>
        </w:rPr>
      </w:pPr>
    </w:p>
    <w:p w14:paraId="3DC7F0F9" w14:textId="3477C63B" w:rsidR="00656DEF" w:rsidRPr="00DA777F" w:rsidRDefault="00656DEF" w:rsidP="00656DEF">
      <w:pPr>
        <w:spacing w:line="240" w:lineRule="auto"/>
        <w:jc w:val="both"/>
        <w:rPr>
          <w:rFonts w:ascii="Calibri" w:eastAsia="Times New Roman" w:hAnsi="Calibri" w:cs="Times New Roman"/>
          <w:color w:val="002F5D"/>
          <w:lang w:eastAsia="en-GB"/>
        </w:rPr>
      </w:pPr>
      <w:r w:rsidRPr="007525E0">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Cambridgeshire and Peterborough PHI Team calculate statistical significance using comparator area confidence intervals compared with confidence intervals for the benchmark. This method is used in the RAG rated QOF tables in this section.</w:t>
      </w:r>
      <w:r w:rsidRPr="00DA777F">
        <w:rPr>
          <w:rFonts w:ascii="Calibri" w:eastAsia="Times New Roman" w:hAnsi="Calibri" w:cs="Times New Roman"/>
          <w:color w:val="002F5D"/>
          <w:lang w:eastAsia="en-GB"/>
        </w:rPr>
        <w:t xml:space="preserve"> </w:t>
      </w:r>
      <w:r>
        <w:rPr>
          <w:rFonts w:ascii="Calibri" w:eastAsia="Times New Roman" w:hAnsi="Calibri" w:cs="Times New Roman"/>
          <w:color w:val="002F5D"/>
          <w:lang w:eastAsia="en-GB"/>
        </w:rPr>
        <w:t xml:space="preserve"> Public Health England</w:t>
      </w:r>
      <w:r w:rsidRPr="00DA777F">
        <w:rPr>
          <w:rFonts w:ascii="Calibri" w:eastAsia="Times New Roman" w:hAnsi="Calibri" w:cs="Times New Roman"/>
          <w:color w:val="002F5D"/>
          <w:lang w:eastAsia="en-GB"/>
        </w:rPr>
        <w:t xml:space="preserve"> (PHE) </w:t>
      </w:r>
      <w:r>
        <w:rPr>
          <w:rFonts w:ascii="Calibri" w:eastAsia="Times New Roman" w:hAnsi="Calibri" w:cs="Times New Roman"/>
          <w:color w:val="002F5D"/>
          <w:lang w:eastAsia="en-GB"/>
        </w:rPr>
        <w:t>calculate statistical significance using comparator area confidence intervals compared with the area value for the benchmark. This method is used in the RAG rated PHE tables in this section.</w:t>
      </w:r>
    </w:p>
    <w:p w14:paraId="603C15C5" w14:textId="5E230FAC" w:rsidR="00DA384F" w:rsidRPr="009A2AB3" w:rsidRDefault="00DA384F" w:rsidP="0038179C">
      <w:pPr>
        <w:spacing w:line="240" w:lineRule="auto"/>
        <w:rPr>
          <w:rFonts w:cs="Arial"/>
          <w:b/>
          <w:color w:val="FFFFFF" w:themeColor="background1"/>
        </w:rPr>
      </w:pPr>
    </w:p>
    <w:p w14:paraId="4E63A144" w14:textId="77777777" w:rsidR="00CD159A" w:rsidRPr="009A2AB3" w:rsidRDefault="00CD159A" w:rsidP="005108FF">
      <w:pPr>
        <w:pStyle w:val="JSNA2"/>
      </w:pPr>
      <w:bookmarkStart w:id="749" w:name="_Toc4407848"/>
      <w:r w:rsidRPr="009A2AB3">
        <w:t>Excess weight</w:t>
      </w:r>
      <w:bookmarkEnd w:id="749"/>
    </w:p>
    <w:p w14:paraId="5F2E969A" w14:textId="77777777" w:rsidR="00CD159A" w:rsidRPr="0037351D" w:rsidRDefault="00CD159A" w:rsidP="0038179C">
      <w:pPr>
        <w:spacing w:line="240" w:lineRule="auto"/>
        <w:rPr>
          <w:rFonts w:cs="Arial"/>
          <w:b/>
          <w:color w:val="FF0000"/>
        </w:rPr>
      </w:pPr>
    </w:p>
    <w:p w14:paraId="1954772D" w14:textId="77777777" w:rsidR="000F6257" w:rsidRPr="0037351D" w:rsidRDefault="000F6257" w:rsidP="00A3568F">
      <w:pPr>
        <w:pStyle w:val="JSNA3"/>
      </w:pPr>
      <w:bookmarkStart w:id="750" w:name="_Toc4407849"/>
      <w:r w:rsidRPr="0037351D">
        <w:t>Children</w:t>
      </w:r>
      <w:bookmarkEnd w:id="750"/>
    </w:p>
    <w:p w14:paraId="6B3FEB5E" w14:textId="2E697920" w:rsidR="00D63E27" w:rsidRPr="009A2AB3" w:rsidRDefault="00D63E27" w:rsidP="00C578AC">
      <w:pPr>
        <w:spacing w:line="240" w:lineRule="auto"/>
        <w:rPr>
          <w:rFonts w:cs="Arial"/>
          <w:b/>
          <w:color w:val="002F5D"/>
        </w:rPr>
      </w:pPr>
    </w:p>
    <w:p w14:paraId="34C4F833" w14:textId="204EB6F1" w:rsidR="00D63E27" w:rsidRPr="009A2AB3" w:rsidRDefault="007C40C2" w:rsidP="00C578AC">
      <w:pPr>
        <w:pStyle w:val="Caption"/>
        <w:rPr>
          <w:rFonts w:cs="Arial"/>
          <w:color w:val="002F5D"/>
        </w:rPr>
      </w:pPr>
      <w:r w:rsidRPr="009A2AB3">
        <w:rPr>
          <w:b/>
          <w:color w:val="002F5D"/>
        </w:rPr>
        <w:t>Table</w:t>
      </w:r>
      <w:r w:rsidR="009226D1">
        <w:rPr>
          <w:b/>
          <w:color w:val="002F5D"/>
        </w:rPr>
        <w:t xml:space="preserve"> 30</w:t>
      </w:r>
      <w:r w:rsidR="00467D3B" w:rsidRPr="009A2AB3">
        <w:rPr>
          <w:rFonts w:cs="Arial"/>
          <w:b/>
          <w:color w:val="002F5D"/>
        </w:rPr>
        <w:t xml:space="preserve">. </w:t>
      </w:r>
      <w:r w:rsidR="00467D3B" w:rsidRPr="009A2AB3">
        <w:rPr>
          <w:rFonts w:cs="Arial"/>
          <w:color w:val="002F5D"/>
        </w:rPr>
        <w:t>Prevalence of excess weight in chil</w:t>
      </w:r>
      <w:r w:rsidR="006B2FF3" w:rsidRPr="009A2AB3">
        <w:rPr>
          <w:rFonts w:cs="Arial"/>
          <w:color w:val="002F5D"/>
        </w:rPr>
        <w:t>dren (overweight or obese), 201</w:t>
      </w:r>
      <w:r w:rsidR="00D57BD3" w:rsidRPr="009A2AB3">
        <w:rPr>
          <w:rFonts w:cs="Arial"/>
          <w:color w:val="002F5D"/>
        </w:rPr>
        <w:t>7</w:t>
      </w:r>
      <w:r w:rsidR="006B2FF3" w:rsidRPr="009A2AB3">
        <w:rPr>
          <w:rFonts w:cs="Arial"/>
          <w:color w:val="002F5D"/>
        </w:rPr>
        <w:t>/1</w:t>
      </w:r>
      <w:r w:rsidR="00D57BD3" w:rsidRPr="009A2AB3">
        <w:rPr>
          <w:rFonts w:cs="Arial"/>
          <w:color w:val="002F5D"/>
        </w:rPr>
        <w:t>8</w:t>
      </w:r>
    </w:p>
    <w:p w14:paraId="6E7E6CEE" w14:textId="77777777" w:rsidR="00D63E27" w:rsidRPr="009A2AB3" w:rsidRDefault="00D63E27" w:rsidP="00E61D24"/>
    <w:p w14:paraId="44E59A02" w14:textId="6DBBF247" w:rsidR="00D63E27" w:rsidRDefault="00D63E27" w:rsidP="00C578AC">
      <w:pPr>
        <w:pStyle w:val="Caption"/>
        <w:rPr>
          <w:rFonts w:cs="Arial"/>
          <w:b/>
          <w:color w:val="002F5D"/>
        </w:rPr>
      </w:pPr>
      <w:r w:rsidRPr="00D63E27">
        <w:rPr>
          <w:noProof/>
          <w:lang w:eastAsia="en-GB"/>
        </w:rPr>
        <w:drawing>
          <wp:inline distT="0" distB="0" distL="0" distR="0" wp14:anchorId="3F7AD2F7" wp14:editId="4B461F82">
            <wp:extent cx="5348080" cy="1676400"/>
            <wp:effectExtent l="0" t="0" r="508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48922" cy="1676664"/>
                    </a:xfrm>
                    <a:prstGeom prst="rect">
                      <a:avLst/>
                    </a:prstGeom>
                    <a:noFill/>
                    <a:ln>
                      <a:noFill/>
                    </a:ln>
                  </pic:spPr>
                </pic:pic>
              </a:graphicData>
            </a:graphic>
          </wp:inline>
        </w:drawing>
      </w:r>
    </w:p>
    <w:p w14:paraId="180113DF" w14:textId="77777777" w:rsidR="00C578AC" w:rsidRPr="009A2AB3" w:rsidRDefault="00C578AC" w:rsidP="00E61D24">
      <w:pPr>
        <w:pStyle w:val="Caption"/>
      </w:pPr>
    </w:p>
    <w:p w14:paraId="7C6401D0" w14:textId="77777777" w:rsidR="00041822" w:rsidRPr="009A2AB3" w:rsidRDefault="00041822" w:rsidP="00041822">
      <w:pPr>
        <w:spacing w:line="240" w:lineRule="auto"/>
        <w:rPr>
          <w:rFonts w:cs="Arial"/>
          <w:color w:val="002F5D"/>
          <w:sz w:val="18"/>
          <w:szCs w:val="18"/>
        </w:rPr>
      </w:pPr>
      <w:r w:rsidRPr="009A2AB3">
        <w:rPr>
          <w:rFonts w:cs="Arial"/>
          <w:color w:val="002F5D"/>
          <w:sz w:val="18"/>
          <w:szCs w:val="18"/>
        </w:rPr>
        <w:t>*Value aggregated from all known lower geography values</w:t>
      </w:r>
    </w:p>
    <w:p w14:paraId="41594152" w14:textId="77777777" w:rsidR="00B25C5F" w:rsidRDefault="00B25C5F" w:rsidP="00B25C5F">
      <w:pPr>
        <w:spacing w:line="240" w:lineRule="auto"/>
        <w:rPr>
          <w:rFonts w:cs="Arial"/>
          <w:color w:val="002F5D"/>
          <w:sz w:val="18"/>
          <w:szCs w:val="18"/>
        </w:rPr>
      </w:pPr>
    </w:p>
    <w:p w14:paraId="182BCD98" w14:textId="77777777" w:rsidR="00B25C5F" w:rsidRDefault="00B25C5F" w:rsidP="00B25C5F">
      <w:pPr>
        <w:spacing w:line="240" w:lineRule="auto"/>
        <w:rPr>
          <w:rFonts w:cs="Arial"/>
          <w:color w:val="002F5D"/>
          <w:sz w:val="18"/>
          <w:szCs w:val="18"/>
        </w:rPr>
      </w:pPr>
      <w:r>
        <w:rPr>
          <w:noProof/>
          <w:lang w:eastAsia="en-GB"/>
        </w:rPr>
        <w:drawing>
          <wp:inline distT="0" distB="0" distL="0" distR="0" wp14:anchorId="001A375F" wp14:editId="08CAF9D4">
            <wp:extent cx="3802380" cy="616126"/>
            <wp:effectExtent l="0" t="0" r="762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9873" cy="622201"/>
                    </a:xfrm>
                    <a:prstGeom prst="rect">
                      <a:avLst/>
                    </a:prstGeom>
                  </pic:spPr>
                </pic:pic>
              </a:graphicData>
            </a:graphic>
          </wp:inline>
        </w:drawing>
      </w:r>
      <w:r>
        <w:rPr>
          <w:noProof/>
          <w:lang w:eastAsia="en-GB"/>
        </w:rPr>
        <w:drawing>
          <wp:inline distT="0" distB="0" distL="0" distR="0" wp14:anchorId="6DDEE3F9" wp14:editId="1ADCCB40">
            <wp:extent cx="1539240" cy="566157"/>
            <wp:effectExtent l="0" t="0" r="3810" b="571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550177" cy="570180"/>
                    </a:xfrm>
                    <a:prstGeom prst="rect">
                      <a:avLst/>
                    </a:prstGeom>
                  </pic:spPr>
                </pic:pic>
              </a:graphicData>
            </a:graphic>
          </wp:inline>
        </w:drawing>
      </w:r>
    </w:p>
    <w:p w14:paraId="3BCF458F" w14:textId="77777777" w:rsidR="003A1584" w:rsidRPr="009A2AB3" w:rsidRDefault="003A1584" w:rsidP="0038179C">
      <w:pPr>
        <w:spacing w:line="240" w:lineRule="auto"/>
        <w:rPr>
          <w:rFonts w:cs="Arial"/>
          <w:color w:val="002F5D"/>
        </w:rPr>
      </w:pPr>
    </w:p>
    <w:p w14:paraId="19AC5784" w14:textId="77777777" w:rsidR="003A1584" w:rsidRPr="009A2AB3" w:rsidRDefault="003A1584" w:rsidP="00C578AC">
      <w:pPr>
        <w:spacing w:line="240" w:lineRule="auto"/>
        <w:rPr>
          <w:rFonts w:cs="Arial"/>
          <w:color w:val="002F5D"/>
        </w:rPr>
      </w:pPr>
      <w:r w:rsidRPr="009A2AB3">
        <w:rPr>
          <w:rFonts w:cs="Arial"/>
          <w:b/>
          <w:color w:val="002F5D"/>
        </w:rPr>
        <w:t>Source:</w:t>
      </w:r>
      <w:r w:rsidRPr="009A2AB3">
        <w:rPr>
          <w:rFonts w:cs="Arial"/>
          <w:color w:val="002F5D"/>
        </w:rPr>
        <w:t xml:space="preserve"> Public Health England Public Health Outcomes Framework Indicator 2.06 (National Child Measurement Programme, NHS Digital)</w:t>
      </w:r>
    </w:p>
    <w:p w14:paraId="03A63142" w14:textId="77777777" w:rsidR="00C46A6D" w:rsidRPr="009A2AB3" w:rsidRDefault="00C46A6D" w:rsidP="00C578AC">
      <w:pPr>
        <w:spacing w:line="240" w:lineRule="auto"/>
        <w:rPr>
          <w:rFonts w:cs="Arial"/>
          <w:b/>
          <w:color w:val="002F5D"/>
        </w:rPr>
      </w:pPr>
    </w:p>
    <w:p w14:paraId="19BC5D56" w14:textId="77777777" w:rsidR="00A83C24" w:rsidRPr="009A2AB3" w:rsidRDefault="00A83C24" w:rsidP="00C578AC">
      <w:pPr>
        <w:spacing w:line="240" w:lineRule="auto"/>
        <w:rPr>
          <w:rFonts w:cs="Arial"/>
          <w:b/>
          <w:color w:val="002F5D"/>
        </w:rPr>
      </w:pPr>
      <w:r w:rsidRPr="009A2AB3">
        <w:rPr>
          <w:rFonts w:cs="Arial"/>
          <w:b/>
          <w:color w:val="002F5D"/>
        </w:rPr>
        <w:t>Key point</w:t>
      </w:r>
      <w:r w:rsidR="00226515" w:rsidRPr="009A2AB3">
        <w:rPr>
          <w:rFonts w:cs="Arial"/>
          <w:b/>
          <w:color w:val="002F5D"/>
        </w:rPr>
        <w:t>s</w:t>
      </w:r>
      <w:r w:rsidRPr="009A2AB3">
        <w:rPr>
          <w:rFonts w:cs="Arial"/>
          <w:b/>
          <w:color w:val="002F5D"/>
        </w:rPr>
        <w:t>:</w:t>
      </w:r>
    </w:p>
    <w:p w14:paraId="6A557419" w14:textId="16D0654C" w:rsidR="00226515" w:rsidRPr="009A2AB3" w:rsidRDefault="00226515" w:rsidP="00C578AC">
      <w:pPr>
        <w:pStyle w:val="ListParagraph"/>
        <w:numPr>
          <w:ilvl w:val="0"/>
          <w:numId w:val="2"/>
        </w:numPr>
        <w:tabs>
          <w:tab w:val="left" w:pos="1404"/>
        </w:tabs>
        <w:spacing w:line="240" w:lineRule="auto"/>
        <w:rPr>
          <w:rFonts w:cs="Arial"/>
          <w:b/>
          <w:color w:val="002F5D"/>
        </w:rPr>
      </w:pPr>
      <w:r w:rsidRPr="009A2AB3">
        <w:rPr>
          <w:rFonts w:cs="Arial"/>
          <w:color w:val="002F5D"/>
        </w:rPr>
        <w:t xml:space="preserve">Cambridgeshire and Peterborough combined has </w:t>
      </w:r>
      <w:r w:rsidR="008E395A" w:rsidRPr="005E11AB">
        <w:rPr>
          <w:rFonts w:cs="Arial"/>
          <w:color w:val="002F5D"/>
        </w:rPr>
        <w:t xml:space="preserve">a </w:t>
      </w:r>
      <w:r w:rsidRPr="009A2AB3">
        <w:rPr>
          <w:rFonts w:cs="Arial"/>
          <w:color w:val="002F5D"/>
        </w:rPr>
        <w:t xml:space="preserve">lower </w:t>
      </w:r>
      <w:r w:rsidR="008E395A" w:rsidRPr="005E11AB">
        <w:rPr>
          <w:rFonts w:cs="Arial"/>
          <w:color w:val="002F5D"/>
        </w:rPr>
        <w:t>percentage</w:t>
      </w:r>
      <w:r w:rsidRPr="009A2AB3">
        <w:rPr>
          <w:rFonts w:cs="Arial"/>
          <w:color w:val="002F5D"/>
        </w:rPr>
        <w:t xml:space="preserve"> o</w:t>
      </w:r>
      <w:r w:rsidR="000E613C" w:rsidRPr="009A2AB3">
        <w:rPr>
          <w:rFonts w:cs="Arial"/>
          <w:color w:val="002F5D"/>
        </w:rPr>
        <w:t>f childhood obesity than in Eng</w:t>
      </w:r>
      <w:r w:rsidRPr="009A2AB3">
        <w:rPr>
          <w:rFonts w:cs="Arial"/>
          <w:color w:val="002F5D"/>
        </w:rPr>
        <w:t>l</w:t>
      </w:r>
      <w:r w:rsidR="000E613C" w:rsidRPr="009A2AB3">
        <w:rPr>
          <w:rFonts w:cs="Arial"/>
          <w:color w:val="002F5D"/>
        </w:rPr>
        <w:t>a</w:t>
      </w:r>
      <w:r w:rsidRPr="009A2AB3">
        <w:rPr>
          <w:rFonts w:cs="Arial"/>
          <w:color w:val="002F5D"/>
        </w:rPr>
        <w:t>nd.</w:t>
      </w:r>
    </w:p>
    <w:p w14:paraId="6B53C456" w14:textId="0744A924" w:rsidR="000E613C" w:rsidRPr="009A2AB3" w:rsidRDefault="004A0190" w:rsidP="00C578AC">
      <w:pPr>
        <w:pStyle w:val="ListParagraph"/>
        <w:numPr>
          <w:ilvl w:val="0"/>
          <w:numId w:val="2"/>
        </w:numPr>
        <w:tabs>
          <w:tab w:val="left" w:pos="1404"/>
        </w:tabs>
        <w:spacing w:line="240" w:lineRule="auto"/>
        <w:rPr>
          <w:rFonts w:cs="Arial"/>
          <w:b/>
          <w:color w:val="002F5D"/>
        </w:rPr>
      </w:pPr>
      <w:r w:rsidRPr="005E11AB">
        <w:rPr>
          <w:rFonts w:cs="Arial"/>
          <w:color w:val="002F5D"/>
        </w:rPr>
        <w:t>Percentages</w:t>
      </w:r>
      <w:r w:rsidR="00A83C24" w:rsidRPr="009A2AB3">
        <w:rPr>
          <w:rFonts w:cs="Arial"/>
          <w:color w:val="002F5D"/>
        </w:rPr>
        <w:t xml:space="preserve"> of excess weight in children in Reception Year</w:t>
      </w:r>
      <w:r w:rsidR="002E0359" w:rsidRPr="009A2AB3">
        <w:rPr>
          <w:rFonts w:cs="Arial"/>
          <w:color w:val="002F5D"/>
        </w:rPr>
        <w:t xml:space="preserve"> and Year 6</w:t>
      </w:r>
      <w:r w:rsidR="00A83C24" w:rsidRPr="009A2AB3">
        <w:rPr>
          <w:rFonts w:cs="Arial"/>
          <w:color w:val="002F5D"/>
        </w:rPr>
        <w:t xml:space="preserve"> are statistically similar to</w:t>
      </w:r>
      <w:r w:rsidR="003A1584" w:rsidRPr="009A2AB3">
        <w:rPr>
          <w:rFonts w:cs="Arial"/>
          <w:color w:val="002F5D"/>
        </w:rPr>
        <w:t xml:space="preserve"> the England average in Peterborough</w:t>
      </w:r>
      <w:r w:rsidR="006B2FF3" w:rsidRPr="009A2AB3">
        <w:rPr>
          <w:rFonts w:cs="Arial"/>
          <w:color w:val="002F5D"/>
        </w:rPr>
        <w:t>.</w:t>
      </w:r>
    </w:p>
    <w:p w14:paraId="07A00E9B" w14:textId="4FC1F3BA" w:rsidR="006B2FF3" w:rsidRPr="009A2AB3" w:rsidRDefault="006B2FF3" w:rsidP="006B2FF3">
      <w:pPr>
        <w:pStyle w:val="ListParagraph"/>
        <w:numPr>
          <w:ilvl w:val="0"/>
          <w:numId w:val="2"/>
        </w:numPr>
        <w:tabs>
          <w:tab w:val="left" w:pos="1404"/>
        </w:tabs>
        <w:spacing w:line="240" w:lineRule="auto"/>
        <w:rPr>
          <w:rFonts w:cs="Arial"/>
          <w:b/>
          <w:color w:val="002F5D"/>
        </w:rPr>
      </w:pPr>
      <w:r w:rsidRPr="009A2AB3">
        <w:rPr>
          <w:rFonts w:cs="Arial"/>
          <w:color w:val="002F5D"/>
        </w:rPr>
        <w:t>In Cambridgeshire</w:t>
      </w:r>
      <w:r w:rsidR="004A0190" w:rsidRPr="005E11AB">
        <w:rPr>
          <w:rFonts w:cs="Arial"/>
          <w:color w:val="002F5D"/>
        </w:rPr>
        <w:t>,</w:t>
      </w:r>
      <w:r w:rsidRPr="009A2AB3">
        <w:rPr>
          <w:rFonts w:cs="Arial"/>
          <w:color w:val="002F5D"/>
        </w:rPr>
        <w:t xml:space="preserve"> </w:t>
      </w:r>
      <w:r w:rsidR="004A0190" w:rsidRPr="005E11AB">
        <w:rPr>
          <w:rFonts w:cs="Arial"/>
          <w:color w:val="002F5D"/>
        </w:rPr>
        <w:t>the percentage</w:t>
      </w:r>
      <w:r w:rsidRPr="009A2AB3">
        <w:rPr>
          <w:rFonts w:cs="Arial"/>
          <w:color w:val="002F5D"/>
        </w:rPr>
        <w:t xml:space="preserve"> of excess weight in children in Reception Year and Year 6 are statistically significantly lower than the England.</w:t>
      </w:r>
    </w:p>
    <w:p w14:paraId="22AE32CB" w14:textId="767AE8BA" w:rsidR="00C578AC" w:rsidRPr="0037351D" w:rsidRDefault="00541AD3" w:rsidP="009A2AB3">
      <w:pPr>
        <w:pStyle w:val="ListParagraph"/>
        <w:numPr>
          <w:ilvl w:val="0"/>
          <w:numId w:val="2"/>
        </w:numPr>
        <w:tabs>
          <w:tab w:val="left" w:pos="1404"/>
        </w:tabs>
        <w:spacing w:line="240" w:lineRule="auto"/>
        <w:rPr>
          <w:rFonts w:eastAsiaTheme="majorEastAsia" w:cstheme="majorBidi"/>
          <w:b/>
        </w:rPr>
      </w:pPr>
      <w:r w:rsidRPr="005E11AB">
        <w:rPr>
          <w:rFonts w:cs="Arial"/>
          <w:color w:val="002F5D"/>
        </w:rPr>
        <w:t>Percentages</w:t>
      </w:r>
      <w:r w:rsidR="006B2FF3" w:rsidRPr="009A2AB3">
        <w:rPr>
          <w:rFonts w:cs="Arial"/>
          <w:color w:val="002F5D"/>
        </w:rPr>
        <w:t xml:space="preserve"> of excess weight in children are statistically lower than England in all Cambridgeshire districts for both age groups, apart from </w:t>
      </w:r>
      <w:r w:rsidR="000E613C" w:rsidRPr="009A2AB3">
        <w:rPr>
          <w:rFonts w:cs="Arial"/>
          <w:color w:val="002F5D"/>
        </w:rPr>
        <w:t xml:space="preserve">Fenland where </w:t>
      </w:r>
      <w:r w:rsidR="00DA0698" w:rsidRPr="005E11AB">
        <w:rPr>
          <w:rFonts w:cs="Arial"/>
          <w:color w:val="002F5D"/>
        </w:rPr>
        <w:t>percentages</w:t>
      </w:r>
      <w:r w:rsidR="006B2FF3" w:rsidRPr="009A2AB3">
        <w:rPr>
          <w:rFonts w:cs="Arial"/>
          <w:color w:val="002F5D"/>
        </w:rPr>
        <w:t xml:space="preserve"> of </w:t>
      </w:r>
      <w:r w:rsidR="000E613C" w:rsidRPr="009A2AB3">
        <w:rPr>
          <w:rFonts w:cs="Arial"/>
          <w:color w:val="002F5D"/>
        </w:rPr>
        <w:t xml:space="preserve">excess weight in </w:t>
      </w:r>
      <w:r w:rsidR="006B2FF3" w:rsidRPr="009A2AB3">
        <w:rPr>
          <w:rFonts w:cs="Arial"/>
          <w:color w:val="002F5D"/>
        </w:rPr>
        <w:t xml:space="preserve">children in </w:t>
      </w:r>
      <w:r w:rsidR="00D63E27" w:rsidRPr="005E11AB">
        <w:rPr>
          <w:rFonts w:cs="Arial"/>
          <w:color w:val="002F5D"/>
        </w:rPr>
        <w:t>both age groups</w:t>
      </w:r>
      <w:r w:rsidR="000E613C" w:rsidRPr="009A2AB3">
        <w:rPr>
          <w:rFonts w:cs="Arial"/>
          <w:color w:val="002F5D"/>
        </w:rPr>
        <w:t xml:space="preserve"> are statistically similar to the England average.</w:t>
      </w:r>
      <w:r w:rsidR="00C578AC" w:rsidRPr="0037351D">
        <w:br w:type="page"/>
      </w:r>
    </w:p>
    <w:p w14:paraId="0FDF5B6F" w14:textId="77777777" w:rsidR="00CD159A" w:rsidRPr="0037351D" w:rsidRDefault="000F6257" w:rsidP="00A3568F">
      <w:pPr>
        <w:pStyle w:val="JSNA3"/>
      </w:pPr>
      <w:bookmarkStart w:id="751" w:name="_Toc4407850"/>
      <w:r w:rsidRPr="0037351D">
        <w:lastRenderedPageBreak/>
        <w:t>A</w:t>
      </w:r>
      <w:r w:rsidR="00CD159A" w:rsidRPr="0037351D">
        <w:t>dults</w:t>
      </w:r>
      <w:bookmarkEnd w:id="751"/>
    </w:p>
    <w:p w14:paraId="06C361F5" w14:textId="77777777" w:rsidR="004C6728" w:rsidRPr="0037351D" w:rsidRDefault="004C6728" w:rsidP="00C578AC">
      <w:pPr>
        <w:spacing w:line="240" w:lineRule="auto"/>
        <w:rPr>
          <w:rFonts w:cs="Arial"/>
          <w:b/>
          <w:color w:val="FF0000"/>
        </w:rPr>
      </w:pPr>
    </w:p>
    <w:p w14:paraId="083C78EB" w14:textId="2E3DAA4D" w:rsidR="002E0359" w:rsidRDefault="007C40C2" w:rsidP="009A2AB3">
      <w:pPr>
        <w:pStyle w:val="Caption"/>
        <w:rPr>
          <w:rFonts w:cs="Arial"/>
          <w:b/>
          <w:color w:val="002F5D"/>
        </w:rPr>
      </w:pPr>
      <w:r w:rsidRPr="009A2AB3">
        <w:rPr>
          <w:b/>
          <w:color w:val="002F5D"/>
        </w:rPr>
        <w:t>Table</w:t>
      </w:r>
      <w:r w:rsidR="009226D1">
        <w:rPr>
          <w:b/>
          <w:color w:val="002F5D"/>
        </w:rPr>
        <w:t xml:space="preserve"> 31</w:t>
      </w:r>
      <w:r w:rsidR="00D27FFE" w:rsidRPr="009A2AB3">
        <w:rPr>
          <w:rFonts w:cs="Arial"/>
          <w:b/>
          <w:color w:val="002F5D"/>
        </w:rPr>
        <w:t xml:space="preserve">. </w:t>
      </w:r>
      <w:r w:rsidR="00D27FFE" w:rsidRPr="009A2AB3">
        <w:rPr>
          <w:rFonts w:cs="Arial"/>
          <w:color w:val="002F5D"/>
        </w:rPr>
        <w:t xml:space="preserve">Prevalence of excess weight in adults </w:t>
      </w:r>
      <w:r w:rsidR="003A1584" w:rsidRPr="009A2AB3">
        <w:rPr>
          <w:rFonts w:cs="Arial"/>
          <w:color w:val="002F5D"/>
        </w:rPr>
        <w:t>(18</w:t>
      </w:r>
      <w:r w:rsidR="000B3605" w:rsidRPr="009A2AB3">
        <w:rPr>
          <w:rFonts w:cs="Arial"/>
          <w:color w:val="002F5D"/>
        </w:rPr>
        <w:t xml:space="preserve">+) </w:t>
      </w:r>
      <w:r w:rsidR="00EE2FDA" w:rsidRPr="009A2AB3">
        <w:rPr>
          <w:rFonts w:cs="Arial"/>
          <w:color w:val="002F5D"/>
        </w:rPr>
        <w:t xml:space="preserve">(overweight or obese), </w:t>
      </w:r>
      <w:r w:rsidR="008A1DFC" w:rsidRPr="009A2AB3">
        <w:rPr>
          <w:rFonts w:cs="Arial"/>
          <w:color w:val="002F5D"/>
        </w:rPr>
        <w:t>201</w:t>
      </w:r>
      <w:r w:rsidR="002E0359" w:rsidRPr="009A2AB3">
        <w:rPr>
          <w:rFonts w:cs="Arial"/>
          <w:color w:val="002F5D"/>
        </w:rPr>
        <w:t>6</w:t>
      </w:r>
      <w:r w:rsidR="008A1DFC" w:rsidRPr="009A2AB3">
        <w:rPr>
          <w:rFonts w:cs="Arial"/>
          <w:color w:val="002F5D"/>
        </w:rPr>
        <w:t>/</w:t>
      </w:r>
      <w:r w:rsidR="003A1584" w:rsidRPr="009A2AB3">
        <w:rPr>
          <w:rFonts w:cs="Arial"/>
          <w:color w:val="002F5D"/>
        </w:rPr>
        <w:t>1</w:t>
      </w:r>
      <w:r w:rsidR="002E0359" w:rsidRPr="009A2AB3">
        <w:rPr>
          <w:rFonts w:cs="Arial"/>
          <w:color w:val="002F5D"/>
        </w:rPr>
        <w:t>7</w:t>
      </w:r>
    </w:p>
    <w:p w14:paraId="152C6540" w14:textId="77777777" w:rsidR="00307770" w:rsidRPr="00307770" w:rsidRDefault="00307770" w:rsidP="009A2AB3">
      <w:pPr>
        <w:spacing w:line="276" w:lineRule="auto"/>
      </w:pPr>
    </w:p>
    <w:p w14:paraId="4CA390AA" w14:textId="5A236508" w:rsidR="002E0359" w:rsidRPr="002E0359" w:rsidRDefault="00307770" w:rsidP="009A2AB3">
      <w:pPr>
        <w:spacing w:line="276" w:lineRule="auto"/>
      </w:pPr>
      <w:r w:rsidRPr="00307770">
        <w:rPr>
          <w:noProof/>
          <w:lang w:eastAsia="en-GB"/>
        </w:rPr>
        <w:drawing>
          <wp:inline distT="0" distB="0" distL="0" distR="0" wp14:anchorId="7043B2EE" wp14:editId="0159C06C">
            <wp:extent cx="4693920" cy="191402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11031" cy="1921003"/>
                    </a:xfrm>
                    <a:prstGeom prst="rect">
                      <a:avLst/>
                    </a:prstGeom>
                    <a:noFill/>
                    <a:ln>
                      <a:noFill/>
                    </a:ln>
                  </pic:spPr>
                </pic:pic>
              </a:graphicData>
            </a:graphic>
          </wp:inline>
        </w:drawing>
      </w:r>
    </w:p>
    <w:p w14:paraId="7FA81D09" w14:textId="77777777" w:rsidR="00E3082C" w:rsidRPr="009A2AB3" w:rsidRDefault="00E3082C" w:rsidP="0038179C">
      <w:pPr>
        <w:spacing w:line="240" w:lineRule="auto"/>
        <w:rPr>
          <w:rFonts w:cs="Arial"/>
          <w:color w:val="002F5D"/>
        </w:rPr>
      </w:pPr>
    </w:p>
    <w:p w14:paraId="6F6EE458" w14:textId="77777777" w:rsidR="00041822" w:rsidRPr="009A2AB3" w:rsidRDefault="00041822" w:rsidP="00041822">
      <w:pPr>
        <w:spacing w:line="240" w:lineRule="auto"/>
        <w:rPr>
          <w:rFonts w:cs="Arial"/>
          <w:color w:val="002F5D"/>
          <w:sz w:val="18"/>
          <w:szCs w:val="18"/>
        </w:rPr>
      </w:pPr>
      <w:r w:rsidRPr="009A2AB3">
        <w:rPr>
          <w:rFonts w:cs="Arial"/>
          <w:color w:val="002F5D"/>
          <w:sz w:val="18"/>
          <w:szCs w:val="18"/>
        </w:rPr>
        <w:t>*Value aggregated from all known lower geography values</w:t>
      </w:r>
    </w:p>
    <w:p w14:paraId="0C3AEA66" w14:textId="77777777" w:rsidR="000079CF" w:rsidRPr="009A2AB3" w:rsidRDefault="000079CF" w:rsidP="0038179C">
      <w:pPr>
        <w:spacing w:line="240" w:lineRule="auto"/>
        <w:rPr>
          <w:rFonts w:cs="Arial"/>
          <w:color w:val="002F5D"/>
        </w:rPr>
      </w:pPr>
    </w:p>
    <w:p w14:paraId="4B3F0A38" w14:textId="24E79101" w:rsidR="000B3605" w:rsidRPr="009A2AB3" w:rsidRDefault="00A8352F" w:rsidP="0038179C">
      <w:pPr>
        <w:spacing w:line="240" w:lineRule="auto"/>
        <w:rPr>
          <w:rFonts w:cs="Arial"/>
          <w:b/>
          <w:color w:val="002F5D"/>
        </w:rPr>
      </w:pPr>
      <w:r>
        <w:rPr>
          <w:rFonts w:cs="Arial"/>
          <w:b/>
          <w:noProof/>
          <w:color w:val="002F5D"/>
          <w:lang w:eastAsia="en-GB"/>
        </w:rPr>
        <w:drawing>
          <wp:inline distT="0" distB="0" distL="0" distR="0" wp14:anchorId="305D4105" wp14:editId="345B2ED1">
            <wp:extent cx="3804285" cy="615950"/>
            <wp:effectExtent l="0" t="0" r="571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4C77E4E7" w14:textId="77777777" w:rsidR="000079CF" w:rsidRPr="009A2AB3" w:rsidRDefault="000079CF" w:rsidP="0038179C">
      <w:pPr>
        <w:spacing w:line="240" w:lineRule="auto"/>
        <w:rPr>
          <w:rFonts w:cs="Arial"/>
          <w:b/>
          <w:color w:val="002F5D"/>
        </w:rPr>
      </w:pPr>
    </w:p>
    <w:p w14:paraId="2E95549A" w14:textId="18A3AA74" w:rsidR="000B3605" w:rsidRPr="009A2AB3" w:rsidRDefault="000B3605" w:rsidP="00C578AC">
      <w:pPr>
        <w:spacing w:line="240" w:lineRule="auto"/>
        <w:rPr>
          <w:rFonts w:cs="Arial"/>
          <w:b/>
          <w:color w:val="002F5D"/>
        </w:rPr>
      </w:pPr>
      <w:r w:rsidRPr="009A2AB3">
        <w:rPr>
          <w:rFonts w:cs="Arial"/>
          <w:b/>
          <w:color w:val="002F5D"/>
        </w:rPr>
        <w:t xml:space="preserve">Sources: </w:t>
      </w:r>
      <w:r w:rsidRPr="009A2AB3">
        <w:rPr>
          <w:rFonts w:cs="Arial"/>
          <w:color w:val="002F5D"/>
        </w:rPr>
        <w:t xml:space="preserve">Public Health England Public Health Outcomes Framework Indicator 2.12 (Active People Survey, Sport England), </w:t>
      </w:r>
      <w:r w:rsidR="007750E0" w:rsidRPr="009A2AB3">
        <w:rPr>
          <w:rFonts w:cs="Arial"/>
          <w:color w:val="002F5D"/>
        </w:rPr>
        <w:t>ONS</w:t>
      </w:r>
      <w:r w:rsidRPr="009A2AB3">
        <w:rPr>
          <w:rFonts w:cs="Arial"/>
          <w:color w:val="002F5D"/>
        </w:rPr>
        <w:t xml:space="preserve"> mid-2016 population estimates</w:t>
      </w:r>
    </w:p>
    <w:p w14:paraId="31DB53E4" w14:textId="77777777" w:rsidR="00D27FFE" w:rsidRPr="009A2AB3" w:rsidRDefault="00D27FFE" w:rsidP="00C578AC">
      <w:pPr>
        <w:spacing w:line="240" w:lineRule="auto"/>
        <w:rPr>
          <w:rFonts w:cs="Arial"/>
          <w:b/>
          <w:color w:val="002F5D"/>
        </w:rPr>
      </w:pPr>
    </w:p>
    <w:p w14:paraId="462E114B" w14:textId="77777777" w:rsidR="000B3605" w:rsidRPr="009A2AB3" w:rsidRDefault="000B3605" w:rsidP="00C578AC">
      <w:pPr>
        <w:spacing w:line="240" w:lineRule="auto"/>
        <w:rPr>
          <w:rFonts w:cs="Arial"/>
          <w:b/>
          <w:color w:val="002F5D"/>
        </w:rPr>
      </w:pPr>
      <w:r w:rsidRPr="009A2AB3">
        <w:rPr>
          <w:rFonts w:cs="Arial"/>
          <w:b/>
          <w:color w:val="002F5D"/>
        </w:rPr>
        <w:t>Key points:</w:t>
      </w:r>
    </w:p>
    <w:p w14:paraId="705A3E50" w14:textId="670252C6" w:rsidR="003A1584" w:rsidRPr="009A2AB3" w:rsidRDefault="007C4F61" w:rsidP="00C578AC">
      <w:pPr>
        <w:pStyle w:val="ListParagraph"/>
        <w:numPr>
          <w:ilvl w:val="0"/>
          <w:numId w:val="3"/>
        </w:numPr>
        <w:spacing w:line="240" w:lineRule="auto"/>
        <w:rPr>
          <w:rFonts w:cs="Arial"/>
          <w:color w:val="002F5D"/>
        </w:rPr>
      </w:pPr>
      <w:r w:rsidRPr="009A2AB3">
        <w:rPr>
          <w:rFonts w:cs="Arial"/>
          <w:color w:val="002F5D"/>
        </w:rPr>
        <w:t xml:space="preserve">The </w:t>
      </w:r>
      <w:r w:rsidR="00DA0698" w:rsidRPr="00804B7E">
        <w:rPr>
          <w:rFonts w:cs="Arial"/>
          <w:color w:val="002F5D"/>
        </w:rPr>
        <w:t>percentage</w:t>
      </w:r>
      <w:r w:rsidR="003A1584" w:rsidRPr="009A2AB3">
        <w:rPr>
          <w:rFonts w:cs="Arial"/>
          <w:color w:val="002F5D"/>
        </w:rPr>
        <w:t xml:space="preserve"> of </w:t>
      </w:r>
      <w:r w:rsidR="00DA0698" w:rsidRPr="00804B7E">
        <w:rPr>
          <w:rFonts w:cs="Arial"/>
          <w:color w:val="002F5D"/>
        </w:rPr>
        <w:t>adults with excess weight</w:t>
      </w:r>
      <w:r w:rsidR="0091328F" w:rsidRPr="00804B7E">
        <w:rPr>
          <w:rFonts w:cs="Arial"/>
          <w:color w:val="002F5D"/>
        </w:rPr>
        <w:t xml:space="preserve"> </w:t>
      </w:r>
      <w:r w:rsidR="003A1584" w:rsidRPr="009A2AB3">
        <w:rPr>
          <w:rFonts w:cs="Arial"/>
          <w:color w:val="002F5D"/>
        </w:rPr>
        <w:t>(18</w:t>
      </w:r>
      <w:r w:rsidR="000B3605" w:rsidRPr="009A2AB3">
        <w:rPr>
          <w:rFonts w:cs="Arial"/>
          <w:color w:val="002F5D"/>
        </w:rPr>
        <w:t xml:space="preserve">+) </w:t>
      </w:r>
      <w:r w:rsidRPr="009A2AB3">
        <w:rPr>
          <w:rFonts w:cs="Arial"/>
          <w:color w:val="002F5D"/>
        </w:rPr>
        <w:t>is</w:t>
      </w:r>
      <w:r w:rsidR="000B3605" w:rsidRPr="009A2AB3">
        <w:rPr>
          <w:rFonts w:cs="Arial"/>
          <w:color w:val="002F5D"/>
        </w:rPr>
        <w:t xml:space="preserve"> sta</w:t>
      </w:r>
      <w:r w:rsidR="003A1584" w:rsidRPr="009A2AB3">
        <w:rPr>
          <w:rFonts w:cs="Arial"/>
          <w:color w:val="002F5D"/>
        </w:rPr>
        <w:t>tistically similar to</w:t>
      </w:r>
      <w:r w:rsidR="000B3605" w:rsidRPr="009A2AB3">
        <w:rPr>
          <w:rFonts w:cs="Arial"/>
          <w:color w:val="002F5D"/>
        </w:rPr>
        <w:t xml:space="preserve"> the England average for Cambrid</w:t>
      </w:r>
      <w:r w:rsidR="006107FB" w:rsidRPr="009A2AB3">
        <w:rPr>
          <w:rFonts w:cs="Arial"/>
          <w:color w:val="002F5D"/>
        </w:rPr>
        <w:t>geshire, Peterborough and Cambridgeshire and Peterborough as a whole.  At 6</w:t>
      </w:r>
      <w:r w:rsidR="00C7031A" w:rsidRPr="009A2AB3">
        <w:rPr>
          <w:rFonts w:cs="Arial"/>
          <w:color w:val="002F5D"/>
        </w:rPr>
        <w:t>0.4</w:t>
      </w:r>
      <w:r w:rsidR="000B3605" w:rsidRPr="009A2AB3">
        <w:rPr>
          <w:rFonts w:cs="Arial"/>
          <w:color w:val="002F5D"/>
        </w:rPr>
        <w:t>% however, thi</w:t>
      </w:r>
      <w:r w:rsidR="003A1584" w:rsidRPr="009A2AB3">
        <w:rPr>
          <w:rFonts w:cs="Arial"/>
          <w:color w:val="002F5D"/>
        </w:rPr>
        <w:t xml:space="preserve">s still equates to </w:t>
      </w:r>
      <w:r w:rsidR="00C7031A" w:rsidRPr="009A2AB3">
        <w:rPr>
          <w:rFonts w:cs="Arial"/>
          <w:color w:val="002F5D"/>
        </w:rPr>
        <w:t>just over</w:t>
      </w:r>
      <w:r w:rsidR="003A1584" w:rsidRPr="009A2AB3">
        <w:rPr>
          <w:rFonts w:cs="Arial"/>
          <w:color w:val="002F5D"/>
        </w:rPr>
        <w:t xml:space="preserve"> </w:t>
      </w:r>
      <w:r w:rsidR="006107FB" w:rsidRPr="009A2AB3">
        <w:rPr>
          <w:rFonts w:cs="Arial"/>
          <w:color w:val="002F5D"/>
        </w:rPr>
        <w:t>4</w:t>
      </w:r>
      <w:r w:rsidR="00C7031A" w:rsidRPr="009A2AB3">
        <w:rPr>
          <w:rFonts w:cs="Arial"/>
          <w:color w:val="002F5D"/>
        </w:rPr>
        <w:t>02</w:t>
      </w:r>
      <w:r w:rsidR="00D8272A">
        <w:rPr>
          <w:rFonts w:cs="Arial"/>
          <w:color w:val="002F5D"/>
        </w:rPr>
        <w:t>,</w:t>
      </w:r>
      <w:r w:rsidR="006107FB" w:rsidRPr="009A2AB3">
        <w:rPr>
          <w:rFonts w:cs="Arial"/>
          <w:color w:val="002F5D"/>
        </w:rPr>
        <w:t>00</w:t>
      </w:r>
      <w:r w:rsidR="00454871" w:rsidRPr="009A2AB3">
        <w:rPr>
          <w:rFonts w:cs="Arial"/>
          <w:color w:val="002F5D"/>
        </w:rPr>
        <w:t>0</w:t>
      </w:r>
      <w:r w:rsidR="006107FB" w:rsidRPr="009A2AB3">
        <w:rPr>
          <w:rFonts w:cs="Arial"/>
          <w:color w:val="002F5D"/>
        </w:rPr>
        <w:t xml:space="preserve"> </w:t>
      </w:r>
      <w:r w:rsidR="000B3605" w:rsidRPr="009A2AB3">
        <w:rPr>
          <w:rFonts w:cs="Arial"/>
          <w:color w:val="002F5D"/>
        </w:rPr>
        <w:t xml:space="preserve">people </w:t>
      </w:r>
      <w:r w:rsidR="0061041C" w:rsidRPr="009A2AB3">
        <w:rPr>
          <w:rFonts w:cs="Arial"/>
          <w:color w:val="002F5D"/>
        </w:rPr>
        <w:t xml:space="preserve">with excess weight </w:t>
      </w:r>
      <w:r w:rsidR="000B3605" w:rsidRPr="009A2AB3">
        <w:rPr>
          <w:rFonts w:cs="Arial"/>
          <w:color w:val="002F5D"/>
        </w:rPr>
        <w:t xml:space="preserve">across </w:t>
      </w:r>
      <w:r w:rsidR="00817F4E" w:rsidRPr="009A2AB3">
        <w:rPr>
          <w:rFonts w:cs="Arial"/>
          <w:color w:val="002F5D"/>
        </w:rPr>
        <w:t>Cambridgeshire and Peterborough.</w:t>
      </w:r>
    </w:p>
    <w:p w14:paraId="51157B9F" w14:textId="7A6425D4" w:rsidR="000B3605" w:rsidRPr="009A2AB3" w:rsidRDefault="000B3605" w:rsidP="00C578AC">
      <w:pPr>
        <w:pStyle w:val="ListParagraph"/>
        <w:numPr>
          <w:ilvl w:val="0"/>
          <w:numId w:val="3"/>
        </w:numPr>
        <w:spacing w:line="240" w:lineRule="auto"/>
        <w:rPr>
          <w:rFonts w:cs="Arial"/>
          <w:color w:val="002F5D"/>
        </w:rPr>
      </w:pPr>
      <w:r w:rsidRPr="009A2AB3">
        <w:rPr>
          <w:rFonts w:cs="Arial"/>
          <w:color w:val="002F5D"/>
        </w:rPr>
        <w:t xml:space="preserve">At </w:t>
      </w:r>
      <w:r w:rsidR="00DA3E55" w:rsidRPr="009A2AB3">
        <w:rPr>
          <w:rFonts w:cs="Arial"/>
          <w:color w:val="002F5D"/>
        </w:rPr>
        <w:t xml:space="preserve">the </w:t>
      </w:r>
      <w:r w:rsidRPr="009A2AB3">
        <w:rPr>
          <w:rFonts w:cs="Arial"/>
          <w:color w:val="002F5D"/>
        </w:rPr>
        <w:t>district level, the percentages are statistically significantly worse than the national</w:t>
      </w:r>
      <w:r w:rsidR="00551AF9" w:rsidRPr="009A2AB3">
        <w:rPr>
          <w:rFonts w:cs="Arial"/>
          <w:color w:val="002F5D"/>
        </w:rPr>
        <w:t xml:space="preserve"> average in Fenland</w:t>
      </w:r>
      <w:r w:rsidR="00C7031A" w:rsidRPr="009A2AB3">
        <w:rPr>
          <w:rFonts w:cs="Arial"/>
          <w:color w:val="002F5D"/>
        </w:rPr>
        <w:t xml:space="preserve"> and Huntingdonshire</w:t>
      </w:r>
      <w:r w:rsidRPr="009A2AB3">
        <w:rPr>
          <w:rFonts w:cs="Arial"/>
          <w:color w:val="002F5D"/>
        </w:rPr>
        <w:t>.</w:t>
      </w:r>
    </w:p>
    <w:p w14:paraId="403466A4" w14:textId="77777777" w:rsidR="005A4F11" w:rsidRPr="0037351D" w:rsidRDefault="005A4F11" w:rsidP="0038179C">
      <w:pPr>
        <w:spacing w:line="240" w:lineRule="auto"/>
        <w:rPr>
          <w:rFonts w:cs="Arial"/>
          <w:b/>
          <w:color w:val="FF0000"/>
        </w:rPr>
      </w:pPr>
    </w:p>
    <w:p w14:paraId="3552804A" w14:textId="77777777" w:rsidR="002104F8" w:rsidRPr="0037351D" w:rsidRDefault="002104F8">
      <w:pPr>
        <w:rPr>
          <w:b/>
          <w:iCs/>
          <w:color w:val="FF0000"/>
          <w:szCs w:val="18"/>
        </w:rPr>
      </w:pPr>
      <w:r w:rsidRPr="0037351D">
        <w:rPr>
          <w:b/>
          <w:color w:val="FF0000"/>
        </w:rPr>
        <w:br w:type="page"/>
      </w:r>
    </w:p>
    <w:p w14:paraId="39106123" w14:textId="78273C9C" w:rsidR="008F2082" w:rsidRPr="001E2E8B" w:rsidRDefault="007C40C2" w:rsidP="007C40C2">
      <w:pPr>
        <w:pStyle w:val="Caption"/>
        <w:rPr>
          <w:rFonts w:cs="Arial"/>
          <w:color w:val="002F5D"/>
        </w:rPr>
      </w:pPr>
      <w:r w:rsidRPr="001E2E8B">
        <w:rPr>
          <w:b/>
          <w:color w:val="002F5D"/>
        </w:rPr>
        <w:lastRenderedPageBreak/>
        <w:t>Table</w:t>
      </w:r>
      <w:r w:rsidR="00E84715">
        <w:rPr>
          <w:b/>
          <w:color w:val="002F5D"/>
        </w:rPr>
        <w:t xml:space="preserve"> 32</w:t>
      </w:r>
      <w:r w:rsidR="008F2082" w:rsidRPr="001E2E8B">
        <w:rPr>
          <w:rFonts w:cs="Arial"/>
          <w:b/>
          <w:color w:val="002F5D"/>
        </w:rPr>
        <w:t xml:space="preserve">.  </w:t>
      </w:r>
      <w:r w:rsidR="008F2082" w:rsidRPr="001E2E8B">
        <w:rPr>
          <w:rFonts w:cs="Arial"/>
          <w:color w:val="002F5D"/>
        </w:rPr>
        <w:t>Prevalence of obe</w:t>
      </w:r>
      <w:r w:rsidR="00794EE8" w:rsidRPr="001E2E8B">
        <w:rPr>
          <w:rFonts w:cs="Arial"/>
          <w:color w:val="002F5D"/>
        </w:rPr>
        <w:t>sity in adults (18+) by area</w:t>
      </w:r>
      <w:r w:rsidR="008F2082" w:rsidRPr="001E2E8B">
        <w:rPr>
          <w:rFonts w:cs="Arial"/>
          <w:color w:val="002F5D"/>
        </w:rPr>
        <w:t xml:space="preserve"> of general practi</w:t>
      </w:r>
      <w:r w:rsidR="006107FB" w:rsidRPr="001E2E8B">
        <w:rPr>
          <w:rFonts w:cs="Arial"/>
          <w:color w:val="002F5D"/>
        </w:rPr>
        <w:t xml:space="preserve">ce location, </w:t>
      </w:r>
      <w:r w:rsidR="001E2E8B" w:rsidRPr="001E2E8B">
        <w:rPr>
          <w:rFonts w:cs="Arial"/>
          <w:color w:val="002F5D"/>
        </w:rPr>
        <w:t>2017/18</w:t>
      </w:r>
    </w:p>
    <w:p w14:paraId="446B55C7" w14:textId="77777777" w:rsidR="006901B2" w:rsidRDefault="006901B2" w:rsidP="006901B2">
      <w:pPr>
        <w:rPr>
          <w:color w:val="FF0000"/>
        </w:rPr>
      </w:pPr>
    </w:p>
    <w:p w14:paraId="64C699DE" w14:textId="624CBFE1" w:rsidR="00551AF9" w:rsidRPr="0037351D" w:rsidRDefault="001E2E8B" w:rsidP="00551AF9">
      <w:pPr>
        <w:rPr>
          <w:color w:val="FF0000"/>
        </w:rPr>
      </w:pPr>
      <w:r w:rsidRPr="001E2E8B">
        <w:rPr>
          <w:noProof/>
          <w:lang w:eastAsia="en-GB"/>
        </w:rPr>
        <w:drawing>
          <wp:inline distT="0" distB="0" distL="0" distR="0" wp14:anchorId="5DD77F38" wp14:editId="58720AB2">
            <wp:extent cx="4792655" cy="208597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95655" cy="2087281"/>
                    </a:xfrm>
                    <a:prstGeom prst="rect">
                      <a:avLst/>
                    </a:prstGeom>
                    <a:noFill/>
                    <a:ln>
                      <a:noFill/>
                    </a:ln>
                  </pic:spPr>
                </pic:pic>
              </a:graphicData>
            </a:graphic>
          </wp:inline>
        </w:drawing>
      </w:r>
    </w:p>
    <w:p w14:paraId="3209CD0A" w14:textId="77777777" w:rsidR="000079CF" w:rsidRPr="0037351D" w:rsidRDefault="000079CF" w:rsidP="00551AF9">
      <w:pPr>
        <w:rPr>
          <w:color w:val="FF0000"/>
        </w:rPr>
      </w:pPr>
    </w:p>
    <w:p w14:paraId="3D0BC7FB" w14:textId="6E82D774" w:rsidR="00F87293" w:rsidRPr="0037351D" w:rsidRDefault="008975BF" w:rsidP="0038179C">
      <w:pPr>
        <w:spacing w:line="240" w:lineRule="auto"/>
        <w:rPr>
          <w:rFonts w:cs="Arial"/>
          <w:color w:val="FF0000"/>
        </w:rPr>
      </w:pPr>
      <w:r w:rsidRPr="008975BF">
        <w:rPr>
          <w:noProof/>
          <w:lang w:eastAsia="en-GB"/>
        </w:rPr>
        <w:drawing>
          <wp:inline distT="0" distB="0" distL="0" distR="0" wp14:anchorId="1A4D4D28" wp14:editId="41D9446A">
            <wp:extent cx="3667125" cy="58102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67125" cy="581025"/>
                    </a:xfrm>
                    <a:prstGeom prst="rect">
                      <a:avLst/>
                    </a:prstGeom>
                    <a:noFill/>
                    <a:ln>
                      <a:noFill/>
                    </a:ln>
                  </pic:spPr>
                </pic:pic>
              </a:graphicData>
            </a:graphic>
          </wp:inline>
        </w:drawing>
      </w:r>
    </w:p>
    <w:p w14:paraId="0803CFBD" w14:textId="77777777" w:rsidR="000079CF" w:rsidRPr="0037351D" w:rsidRDefault="000079CF" w:rsidP="0038179C">
      <w:pPr>
        <w:spacing w:line="240" w:lineRule="auto"/>
        <w:rPr>
          <w:rFonts w:cs="Arial"/>
          <w:b/>
          <w:color w:val="FF0000"/>
        </w:rPr>
      </w:pPr>
    </w:p>
    <w:p w14:paraId="15453A30" w14:textId="77777777" w:rsidR="008F2082" w:rsidRPr="001E2E8B" w:rsidRDefault="00551AF9" w:rsidP="0038179C">
      <w:pPr>
        <w:spacing w:line="240" w:lineRule="auto"/>
        <w:rPr>
          <w:rFonts w:cs="Arial"/>
          <w:color w:val="002F5D"/>
        </w:rPr>
      </w:pPr>
      <w:r w:rsidRPr="001E2E8B">
        <w:rPr>
          <w:rFonts w:cs="Arial"/>
          <w:b/>
          <w:color w:val="002F5D"/>
        </w:rPr>
        <w:t>Source</w:t>
      </w:r>
      <w:r w:rsidR="008F2082" w:rsidRPr="001E2E8B">
        <w:rPr>
          <w:rFonts w:cs="Arial"/>
          <w:b/>
          <w:color w:val="002F5D"/>
        </w:rPr>
        <w:t>:</w:t>
      </w:r>
      <w:r w:rsidR="008F2082" w:rsidRPr="001E2E8B">
        <w:rPr>
          <w:rFonts w:cs="Arial"/>
          <w:color w:val="002F5D"/>
        </w:rPr>
        <w:t xml:space="preserve"> NHS Digital, Quality and Outcomes Framework, Cambridgeshire County Council Public Health Intelligence</w:t>
      </w:r>
    </w:p>
    <w:p w14:paraId="1BD60394" w14:textId="77777777" w:rsidR="008F2082" w:rsidRPr="001E2E8B" w:rsidRDefault="008F2082" w:rsidP="0038179C">
      <w:pPr>
        <w:spacing w:line="240" w:lineRule="auto"/>
        <w:rPr>
          <w:rFonts w:cs="Arial"/>
          <w:b/>
          <w:color w:val="002F5D"/>
        </w:rPr>
      </w:pPr>
    </w:p>
    <w:p w14:paraId="7C540AD2" w14:textId="77777777" w:rsidR="00F87293" w:rsidRPr="001E2E8B" w:rsidRDefault="00F87293" w:rsidP="00C578AC">
      <w:pPr>
        <w:spacing w:line="240" w:lineRule="auto"/>
        <w:rPr>
          <w:rFonts w:cs="Arial"/>
          <w:b/>
          <w:color w:val="002F5D"/>
        </w:rPr>
      </w:pPr>
      <w:r w:rsidRPr="001E2E8B">
        <w:rPr>
          <w:rFonts w:cs="Arial"/>
          <w:b/>
          <w:color w:val="002F5D"/>
        </w:rPr>
        <w:t>Key point:</w:t>
      </w:r>
    </w:p>
    <w:p w14:paraId="3F30141F" w14:textId="41B3F898" w:rsidR="00233888" w:rsidRPr="001E2E8B" w:rsidRDefault="00233888" w:rsidP="00C578AC">
      <w:pPr>
        <w:pStyle w:val="ListParagraph"/>
        <w:numPr>
          <w:ilvl w:val="0"/>
          <w:numId w:val="52"/>
        </w:numPr>
        <w:spacing w:line="240" w:lineRule="auto"/>
        <w:rPr>
          <w:rFonts w:cs="Arial"/>
          <w:color w:val="002F5D"/>
        </w:rPr>
      </w:pPr>
      <w:r w:rsidRPr="001E2E8B">
        <w:rPr>
          <w:rFonts w:cs="Arial"/>
          <w:color w:val="002F5D"/>
        </w:rPr>
        <w:t xml:space="preserve">While not statistically assessed, Cambridgeshire and Peterborough CCG has a numerically lower rate of </w:t>
      </w:r>
      <w:r w:rsidR="006F42DD" w:rsidRPr="001E2E8B">
        <w:rPr>
          <w:rFonts w:cs="Arial"/>
          <w:color w:val="002F5D"/>
        </w:rPr>
        <w:t xml:space="preserve">GP recorded </w:t>
      </w:r>
      <w:r w:rsidR="004161EF" w:rsidRPr="001E2E8B">
        <w:rPr>
          <w:rFonts w:cs="Arial"/>
          <w:color w:val="002F5D"/>
        </w:rPr>
        <w:t>adult obesity than</w:t>
      </w:r>
      <w:r w:rsidR="00A8352F">
        <w:rPr>
          <w:rFonts w:cs="Arial"/>
          <w:color w:val="002F5D"/>
        </w:rPr>
        <w:t xml:space="preserve"> </w:t>
      </w:r>
      <w:r w:rsidRPr="001E2E8B">
        <w:rPr>
          <w:rFonts w:cs="Arial"/>
          <w:color w:val="002F5D"/>
        </w:rPr>
        <w:t>England.</w:t>
      </w:r>
    </w:p>
    <w:p w14:paraId="3280D097" w14:textId="77777777" w:rsidR="008F2082" w:rsidRPr="001E2E8B" w:rsidRDefault="008F2082" w:rsidP="00C578AC">
      <w:pPr>
        <w:pStyle w:val="ListParagraph"/>
        <w:numPr>
          <w:ilvl w:val="0"/>
          <w:numId w:val="52"/>
        </w:numPr>
        <w:spacing w:line="240" w:lineRule="auto"/>
        <w:rPr>
          <w:rFonts w:cs="Arial"/>
          <w:color w:val="002F5D"/>
        </w:rPr>
      </w:pPr>
      <w:r w:rsidRPr="001E2E8B">
        <w:rPr>
          <w:rFonts w:cs="Arial"/>
          <w:color w:val="002F5D"/>
        </w:rPr>
        <w:t>The recorded prevalence of obesity among patients registered at general practices is statistically significantly higher than the England average among patients registered with</w:t>
      </w:r>
      <w:r w:rsidR="00817F4E" w:rsidRPr="001E2E8B">
        <w:rPr>
          <w:rFonts w:cs="Arial"/>
          <w:color w:val="002F5D"/>
        </w:rPr>
        <w:t xml:space="preserve"> practices in </w:t>
      </w:r>
      <w:r w:rsidR="006107FB" w:rsidRPr="001E2E8B">
        <w:rPr>
          <w:rFonts w:cs="Arial"/>
          <w:color w:val="002F5D"/>
        </w:rPr>
        <w:t xml:space="preserve">Peterborough and </w:t>
      </w:r>
      <w:r w:rsidR="00817F4E" w:rsidRPr="001E2E8B">
        <w:rPr>
          <w:rFonts w:cs="Arial"/>
          <w:color w:val="002F5D"/>
        </w:rPr>
        <w:t>Fenland.</w:t>
      </w:r>
    </w:p>
    <w:p w14:paraId="12CEF6D7" w14:textId="77777777" w:rsidR="00F87293" w:rsidRPr="001E2E8B" w:rsidRDefault="00F87293" w:rsidP="00C578AC">
      <w:pPr>
        <w:pStyle w:val="ListParagraph"/>
        <w:numPr>
          <w:ilvl w:val="0"/>
          <w:numId w:val="52"/>
        </w:numPr>
        <w:spacing w:line="240" w:lineRule="auto"/>
        <w:rPr>
          <w:rFonts w:cs="Arial"/>
          <w:color w:val="002F5D"/>
        </w:rPr>
      </w:pPr>
      <w:r w:rsidRPr="001E2E8B">
        <w:rPr>
          <w:rFonts w:cs="Arial"/>
          <w:color w:val="002F5D"/>
        </w:rPr>
        <w:t>The prevalence of obesity as recorded by general practices is likely to be an underestimate due to infrequent recording but variation by district is likely to be valid if levels and frequency of recording a</w:t>
      </w:r>
      <w:r w:rsidR="00817F4E" w:rsidRPr="001E2E8B">
        <w:rPr>
          <w:rFonts w:cs="Arial"/>
          <w:color w:val="002F5D"/>
        </w:rPr>
        <w:t>re consistent across Cambridgeshire and Peterborough</w:t>
      </w:r>
      <w:r w:rsidRPr="001E2E8B">
        <w:rPr>
          <w:rFonts w:cs="Arial"/>
          <w:color w:val="002F5D"/>
        </w:rPr>
        <w:t>.</w:t>
      </w:r>
    </w:p>
    <w:p w14:paraId="28E0629C" w14:textId="77777777" w:rsidR="00C578AC" w:rsidRPr="0037351D" w:rsidRDefault="00C578AC" w:rsidP="00C578AC">
      <w:pPr>
        <w:spacing w:line="240" w:lineRule="auto"/>
        <w:rPr>
          <w:rFonts w:cs="Arial"/>
          <w:color w:val="FF0000"/>
        </w:rPr>
      </w:pPr>
    </w:p>
    <w:p w14:paraId="4333BF9B" w14:textId="77777777" w:rsidR="002104F8" w:rsidRPr="0037351D" w:rsidRDefault="002104F8">
      <w:pPr>
        <w:rPr>
          <w:b/>
          <w:iCs/>
          <w:color w:val="FF0000"/>
          <w:szCs w:val="18"/>
        </w:rPr>
      </w:pPr>
      <w:r w:rsidRPr="0037351D">
        <w:rPr>
          <w:b/>
          <w:color w:val="FF0000"/>
        </w:rPr>
        <w:br w:type="page"/>
      </w:r>
    </w:p>
    <w:p w14:paraId="334A7B58" w14:textId="2289B206" w:rsidR="007D3FAB" w:rsidRDefault="007C40C2" w:rsidP="00C578AC">
      <w:pPr>
        <w:pStyle w:val="Caption"/>
        <w:rPr>
          <w:rFonts w:cs="Arial"/>
          <w:color w:val="002F5D"/>
        </w:rPr>
      </w:pPr>
      <w:r w:rsidRPr="001E2E8B">
        <w:rPr>
          <w:b/>
          <w:color w:val="002F5D"/>
        </w:rPr>
        <w:lastRenderedPageBreak/>
        <w:t>Table</w:t>
      </w:r>
      <w:r w:rsidR="00E84715">
        <w:rPr>
          <w:b/>
          <w:color w:val="002F5D"/>
        </w:rPr>
        <w:t xml:space="preserve"> 33</w:t>
      </w:r>
      <w:r w:rsidR="007D3FAB" w:rsidRPr="001E2E8B">
        <w:rPr>
          <w:rFonts w:cs="Arial"/>
          <w:b/>
          <w:color w:val="002F5D"/>
        </w:rPr>
        <w:t>.</w:t>
      </w:r>
      <w:r w:rsidR="007D3FAB" w:rsidRPr="001E2E8B">
        <w:rPr>
          <w:rFonts w:cs="Arial"/>
          <w:color w:val="002F5D"/>
        </w:rPr>
        <w:t xml:space="preserve">  General practices with statistically significantly higher than national aver</w:t>
      </w:r>
      <w:r w:rsidR="006107FB" w:rsidRPr="001E2E8B">
        <w:rPr>
          <w:rFonts w:cs="Arial"/>
          <w:color w:val="002F5D"/>
        </w:rPr>
        <w:t>age rates of recorded obesity,</w:t>
      </w:r>
      <w:r w:rsidR="001E2E8B" w:rsidRPr="001E2E8B">
        <w:rPr>
          <w:rFonts w:cs="Arial"/>
          <w:color w:val="002F5D"/>
        </w:rPr>
        <w:t xml:space="preserve"> 2017/18</w:t>
      </w:r>
    </w:p>
    <w:p w14:paraId="4640E3ED" w14:textId="77777777" w:rsidR="00176BCD" w:rsidRPr="00176BCD" w:rsidRDefault="00176BCD" w:rsidP="00176BCD"/>
    <w:p w14:paraId="09372E76" w14:textId="447B38DA" w:rsidR="001E2E8B" w:rsidRPr="001E2E8B" w:rsidRDefault="00176BCD" w:rsidP="001E2E8B">
      <w:r w:rsidRPr="00176BCD">
        <w:rPr>
          <w:noProof/>
          <w:lang w:eastAsia="en-GB"/>
        </w:rPr>
        <w:drawing>
          <wp:inline distT="0" distB="0" distL="0" distR="0" wp14:anchorId="301BA8AE" wp14:editId="0537B083">
            <wp:extent cx="5257800" cy="38385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57800" cy="3838575"/>
                    </a:xfrm>
                    <a:prstGeom prst="rect">
                      <a:avLst/>
                    </a:prstGeom>
                    <a:noFill/>
                    <a:ln>
                      <a:noFill/>
                    </a:ln>
                  </pic:spPr>
                </pic:pic>
              </a:graphicData>
            </a:graphic>
          </wp:inline>
        </w:drawing>
      </w:r>
    </w:p>
    <w:p w14:paraId="38BACAB3" w14:textId="2BF8676F" w:rsidR="000079CF" w:rsidRPr="00176BCD" w:rsidRDefault="000079CF" w:rsidP="0052336E">
      <w:pPr>
        <w:rPr>
          <w:color w:val="FF0000"/>
        </w:rPr>
      </w:pPr>
    </w:p>
    <w:p w14:paraId="70FEFB62" w14:textId="77777777" w:rsidR="007D3FAB" w:rsidRPr="00B3310A" w:rsidRDefault="00551AF9" w:rsidP="00C578AC">
      <w:pPr>
        <w:spacing w:line="240" w:lineRule="auto"/>
        <w:rPr>
          <w:rFonts w:cs="Arial"/>
          <w:color w:val="002F5D"/>
        </w:rPr>
      </w:pPr>
      <w:r w:rsidRPr="00B3310A">
        <w:rPr>
          <w:rFonts w:cs="Arial"/>
          <w:b/>
          <w:color w:val="002F5D"/>
        </w:rPr>
        <w:t>Source</w:t>
      </w:r>
      <w:r w:rsidR="007D3FAB" w:rsidRPr="00B3310A">
        <w:rPr>
          <w:rFonts w:cs="Arial"/>
          <w:b/>
          <w:color w:val="002F5D"/>
        </w:rPr>
        <w:t>:</w:t>
      </w:r>
      <w:r w:rsidR="007D3FAB" w:rsidRPr="00B3310A">
        <w:rPr>
          <w:rFonts w:cs="Arial"/>
          <w:color w:val="002F5D"/>
        </w:rPr>
        <w:t xml:space="preserve"> NHS Digital, Quality and Outcomes Framework, Cambridgeshire County Council Public Health Intelligence</w:t>
      </w:r>
    </w:p>
    <w:p w14:paraId="00FECDF3" w14:textId="77777777" w:rsidR="007D3FAB" w:rsidRPr="00E84715" w:rsidRDefault="007D3FAB" w:rsidP="00C578AC">
      <w:pPr>
        <w:spacing w:line="240" w:lineRule="auto"/>
        <w:rPr>
          <w:rFonts w:cs="Arial"/>
          <w:color w:val="002F5D"/>
        </w:rPr>
      </w:pPr>
    </w:p>
    <w:p w14:paraId="4A2F93C1" w14:textId="77777777" w:rsidR="007D3FAB" w:rsidRPr="00E84715" w:rsidRDefault="007D3FAB" w:rsidP="00C578AC">
      <w:pPr>
        <w:spacing w:line="240" w:lineRule="auto"/>
        <w:rPr>
          <w:rFonts w:cs="Arial"/>
          <w:color w:val="002F5D"/>
        </w:rPr>
      </w:pPr>
      <w:r w:rsidRPr="00E84715">
        <w:rPr>
          <w:rFonts w:cs="Arial"/>
          <w:b/>
          <w:color w:val="002F5D"/>
        </w:rPr>
        <w:t>Key points:</w:t>
      </w:r>
    </w:p>
    <w:p w14:paraId="3B7CE73F" w14:textId="00DEB50C" w:rsidR="00F55B25" w:rsidRPr="0091328F" w:rsidRDefault="00E14603" w:rsidP="009A2AB3">
      <w:pPr>
        <w:pStyle w:val="ListParagraph"/>
        <w:numPr>
          <w:ilvl w:val="0"/>
          <w:numId w:val="4"/>
        </w:numPr>
        <w:spacing w:line="240" w:lineRule="auto"/>
        <w:rPr>
          <w:rFonts w:cs="Arial"/>
          <w:b/>
          <w:color w:val="FF0000"/>
        </w:rPr>
      </w:pPr>
      <w:r w:rsidRPr="00E84715">
        <w:rPr>
          <w:rFonts w:cs="Arial"/>
          <w:color w:val="002F5D"/>
        </w:rPr>
        <w:t xml:space="preserve">Many practices in Cambridgeshire </w:t>
      </w:r>
      <w:r w:rsidR="00D9303F" w:rsidRPr="00E84715">
        <w:rPr>
          <w:rFonts w:cs="Arial"/>
          <w:color w:val="002F5D"/>
        </w:rPr>
        <w:t xml:space="preserve">and Peterborough </w:t>
      </w:r>
      <w:r w:rsidRPr="00E84715">
        <w:rPr>
          <w:rFonts w:cs="Arial"/>
          <w:color w:val="002F5D"/>
        </w:rPr>
        <w:t>with statistically significantly higher than national average rates of recorded ob</w:t>
      </w:r>
      <w:r w:rsidR="00B3310A" w:rsidRPr="00E84715">
        <w:rPr>
          <w:rFonts w:cs="Arial"/>
          <w:color w:val="002F5D"/>
        </w:rPr>
        <w:t>esity are located in Fenland (8</w:t>
      </w:r>
      <w:r w:rsidRPr="00E84715">
        <w:rPr>
          <w:rFonts w:cs="Arial"/>
          <w:color w:val="002F5D"/>
        </w:rPr>
        <w:t xml:space="preserve">), but other practices are located in </w:t>
      </w:r>
      <w:r w:rsidR="00D9303F" w:rsidRPr="00E84715">
        <w:rPr>
          <w:rFonts w:cs="Arial"/>
          <w:color w:val="002F5D"/>
        </w:rPr>
        <w:t xml:space="preserve">Peterborough, </w:t>
      </w:r>
      <w:r w:rsidR="00D9303F" w:rsidRPr="0091328F">
        <w:rPr>
          <w:rFonts w:cs="Arial"/>
          <w:color w:val="002F5D"/>
        </w:rPr>
        <w:t>(</w:t>
      </w:r>
      <w:r w:rsidR="00B3310A" w:rsidRPr="0091328F">
        <w:rPr>
          <w:rFonts w:cs="Arial"/>
          <w:color w:val="002F5D"/>
        </w:rPr>
        <w:t>5</w:t>
      </w:r>
      <w:r w:rsidR="00D9303F" w:rsidRPr="0091328F">
        <w:rPr>
          <w:rFonts w:cs="Arial"/>
          <w:color w:val="002F5D"/>
        </w:rPr>
        <w:t xml:space="preserve">), </w:t>
      </w:r>
      <w:r w:rsidR="00B3310A" w:rsidRPr="0091328F">
        <w:rPr>
          <w:rFonts w:cs="Arial"/>
          <w:color w:val="002F5D"/>
        </w:rPr>
        <w:t>Huntingdonshire (3), East Cambridgeshire (1)</w:t>
      </w:r>
      <w:r w:rsidR="0091328F" w:rsidRPr="0091328F">
        <w:rPr>
          <w:rFonts w:cs="Arial"/>
          <w:color w:val="002F5D"/>
        </w:rPr>
        <w:t>.</w:t>
      </w:r>
      <w:r w:rsidR="00B3310A" w:rsidRPr="0091328F">
        <w:rPr>
          <w:rFonts w:cs="Arial"/>
          <w:color w:val="002F5D"/>
        </w:rPr>
        <w:t xml:space="preserve"> </w:t>
      </w:r>
      <w:r w:rsidR="00F55B25" w:rsidRPr="0091328F">
        <w:rPr>
          <w:rFonts w:cs="Arial"/>
          <w:b/>
          <w:color w:val="FF0000"/>
        </w:rPr>
        <w:br w:type="page"/>
      </w:r>
    </w:p>
    <w:p w14:paraId="41C03979" w14:textId="77777777" w:rsidR="00CD159A" w:rsidRPr="007B2AC1" w:rsidRDefault="00CD159A" w:rsidP="000F6257">
      <w:pPr>
        <w:pStyle w:val="JSNA2"/>
      </w:pPr>
      <w:bookmarkStart w:id="752" w:name="_Toc4407851"/>
      <w:r w:rsidRPr="007B2AC1">
        <w:lastRenderedPageBreak/>
        <w:t>Physical activity</w:t>
      </w:r>
      <w:bookmarkEnd w:id="752"/>
    </w:p>
    <w:p w14:paraId="0669ABC8" w14:textId="77777777" w:rsidR="00CC1360" w:rsidRPr="0037351D" w:rsidRDefault="00CC1360" w:rsidP="0038179C">
      <w:pPr>
        <w:spacing w:line="240" w:lineRule="auto"/>
        <w:rPr>
          <w:rFonts w:cs="Arial"/>
          <w:color w:val="FF0000"/>
        </w:rPr>
      </w:pPr>
    </w:p>
    <w:p w14:paraId="1EEFBC73" w14:textId="77777777" w:rsidR="000F6257" w:rsidRPr="0037351D" w:rsidRDefault="000F6257" w:rsidP="00A3568F">
      <w:pPr>
        <w:pStyle w:val="JSNA3"/>
      </w:pPr>
      <w:bookmarkStart w:id="753" w:name="_Toc4407852"/>
      <w:r w:rsidRPr="0037351D">
        <w:t>Children</w:t>
      </w:r>
      <w:bookmarkEnd w:id="753"/>
    </w:p>
    <w:p w14:paraId="6E1D425E" w14:textId="77777777" w:rsidR="002A2849" w:rsidRPr="0037351D" w:rsidRDefault="002A2849" w:rsidP="007C40C2">
      <w:pPr>
        <w:pStyle w:val="Caption"/>
        <w:rPr>
          <w:b/>
          <w:color w:val="FF0000"/>
        </w:rPr>
      </w:pPr>
    </w:p>
    <w:p w14:paraId="738811FF" w14:textId="3892C755" w:rsidR="00CC1360" w:rsidRPr="007B2AC1" w:rsidRDefault="007C40C2" w:rsidP="00C578AC">
      <w:pPr>
        <w:pStyle w:val="Caption"/>
        <w:rPr>
          <w:rFonts w:cs="Arial"/>
          <w:color w:val="002F5D"/>
        </w:rPr>
      </w:pPr>
      <w:r w:rsidRPr="007B2AC1">
        <w:rPr>
          <w:b/>
          <w:color w:val="002F5D"/>
        </w:rPr>
        <w:t xml:space="preserve">Table </w:t>
      </w:r>
      <w:r w:rsidR="00E84715">
        <w:rPr>
          <w:b/>
          <w:color w:val="002F5D"/>
        </w:rPr>
        <w:t>34</w:t>
      </w:r>
      <w:r w:rsidR="00CC1360" w:rsidRPr="007B2AC1">
        <w:rPr>
          <w:rFonts w:cs="Arial"/>
          <w:b/>
          <w:color w:val="002F5D"/>
        </w:rPr>
        <w:t>.</w:t>
      </w:r>
      <w:r w:rsidR="00CC1360" w:rsidRPr="007B2AC1">
        <w:rPr>
          <w:rFonts w:cs="Arial"/>
          <w:color w:val="002F5D"/>
        </w:rPr>
        <w:t xml:space="preserve"> Physical activity and sedentary behaviour in 15 year olds, 2014/15</w:t>
      </w:r>
    </w:p>
    <w:p w14:paraId="46275B99" w14:textId="77777777" w:rsidR="00551AF9" w:rsidRPr="0037351D" w:rsidRDefault="00551AF9" w:rsidP="00C578AC">
      <w:pPr>
        <w:spacing w:line="240" w:lineRule="auto"/>
        <w:rPr>
          <w:color w:val="FF0000"/>
        </w:rPr>
      </w:pPr>
    </w:p>
    <w:p w14:paraId="6EF1CF13" w14:textId="77777777" w:rsidR="00097C2D" w:rsidRPr="0037351D" w:rsidRDefault="00551AF9" w:rsidP="00097C2D">
      <w:pPr>
        <w:rPr>
          <w:color w:val="FF0000"/>
        </w:rPr>
      </w:pPr>
      <w:r w:rsidRPr="0037351D">
        <w:rPr>
          <w:noProof/>
          <w:color w:val="FF0000"/>
          <w:lang w:eastAsia="en-GB"/>
        </w:rPr>
        <w:drawing>
          <wp:inline distT="0" distB="0" distL="0" distR="0" wp14:anchorId="5CAD6A78" wp14:editId="03DA5DBB">
            <wp:extent cx="3838575" cy="12096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38575" cy="1209675"/>
                    </a:xfrm>
                    <a:prstGeom prst="rect">
                      <a:avLst/>
                    </a:prstGeom>
                    <a:noFill/>
                    <a:ln>
                      <a:noFill/>
                    </a:ln>
                  </pic:spPr>
                </pic:pic>
              </a:graphicData>
            </a:graphic>
          </wp:inline>
        </w:drawing>
      </w:r>
    </w:p>
    <w:p w14:paraId="4DA20B94" w14:textId="77777777" w:rsidR="00AA4686" w:rsidRPr="0037351D" w:rsidRDefault="00AA4686" w:rsidP="00C578AC">
      <w:pPr>
        <w:spacing w:line="240" w:lineRule="auto"/>
        <w:rPr>
          <w:rFonts w:cs="Arial"/>
          <w:color w:val="FF0000"/>
        </w:rPr>
      </w:pPr>
    </w:p>
    <w:p w14:paraId="5CA31A62" w14:textId="77777777" w:rsidR="00CC1360" w:rsidRPr="007B2AC1" w:rsidRDefault="00CC1360" w:rsidP="00C578AC">
      <w:pPr>
        <w:spacing w:line="240" w:lineRule="auto"/>
        <w:rPr>
          <w:rFonts w:cs="Arial"/>
          <w:color w:val="002F5D"/>
          <w:sz w:val="18"/>
          <w:szCs w:val="18"/>
        </w:rPr>
      </w:pPr>
      <w:r w:rsidRPr="007B2AC1">
        <w:rPr>
          <w:rFonts w:cs="Arial"/>
          <w:color w:val="002F5D"/>
          <w:sz w:val="18"/>
          <w:szCs w:val="18"/>
        </w:rPr>
        <w:t>1. Percentage of 15 year olds physically active for at least one hour per day seven days a week</w:t>
      </w:r>
    </w:p>
    <w:p w14:paraId="783817D6" w14:textId="77777777" w:rsidR="00CC1360" w:rsidRPr="007B2AC1" w:rsidRDefault="00CC1360" w:rsidP="00C578AC">
      <w:pPr>
        <w:spacing w:line="240" w:lineRule="auto"/>
        <w:rPr>
          <w:rFonts w:cs="Arial"/>
          <w:color w:val="002F5D"/>
          <w:sz w:val="18"/>
          <w:szCs w:val="18"/>
        </w:rPr>
      </w:pPr>
      <w:r w:rsidRPr="007B2AC1">
        <w:rPr>
          <w:rFonts w:cs="Arial"/>
          <w:color w:val="002F5D"/>
          <w:sz w:val="18"/>
          <w:szCs w:val="18"/>
        </w:rPr>
        <w:t>2. Percentage of 15 year olds with a mean daily sedentary time in the last week over 7 hours per day</w:t>
      </w:r>
    </w:p>
    <w:p w14:paraId="1AF75EB6" w14:textId="77777777" w:rsidR="00185C1D" w:rsidRPr="007B2AC1" w:rsidRDefault="00185C1D" w:rsidP="00C578AC">
      <w:pPr>
        <w:spacing w:line="240" w:lineRule="auto"/>
        <w:rPr>
          <w:rFonts w:cs="Arial"/>
          <w:color w:val="002F5D"/>
          <w:sz w:val="18"/>
          <w:szCs w:val="18"/>
        </w:rPr>
      </w:pPr>
      <w:r w:rsidRPr="007B2AC1">
        <w:rPr>
          <w:rFonts w:cs="Arial"/>
          <w:color w:val="002F5D"/>
          <w:sz w:val="18"/>
          <w:szCs w:val="18"/>
        </w:rPr>
        <w:t>Cambridgeshire and Peterborough data not available</w:t>
      </w:r>
    </w:p>
    <w:p w14:paraId="1EF92A3C" w14:textId="77777777" w:rsidR="000079CF" w:rsidRPr="007B2AC1" w:rsidRDefault="000079CF" w:rsidP="00C578AC">
      <w:pPr>
        <w:spacing w:line="240" w:lineRule="auto"/>
        <w:rPr>
          <w:rFonts w:cs="Arial"/>
          <w:color w:val="002F5D"/>
        </w:rPr>
      </w:pPr>
    </w:p>
    <w:p w14:paraId="57D60986" w14:textId="002577A1" w:rsidR="006A70E8" w:rsidRPr="0037351D" w:rsidRDefault="00A8352F" w:rsidP="00C578AC">
      <w:pPr>
        <w:spacing w:line="240" w:lineRule="auto"/>
        <w:rPr>
          <w:rFonts w:cs="Arial"/>
          <w:color w:val="FF0000"/>
        </w:rPr>
      </w:pPr>
      <w:r>
        <w:rPr>
          <w:rFonts w:cs="Arial"/>
          <w:noProof/>
          <w:color w:val="FF0000"/>
          <w:lang w:eastAsia="en-GB"/>
        </w:rPr>
        <w:drawing>
          <wp:inline distT="0" distB="0" distL="0" distR="0" wp14:anchorId="472E09D2" wp14:editId="3FBC13A5">
            <wp:extent cx="3804285" cy="615950"/>
            <wp:effectExtent l="0" t="0" r="571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49384FB1" w14:textId="77777777" w:rsidR="00185C1D" w:rsidRPr="0037351D" w:rsidRDefault="00185C1D" w:rsidP="00C578AC">
      <w:pPr>
        <w:spacing w:line="240" w:lineRule="auto"/>
        <w:rPr>
          <w:rFonts w:cs="Arial"/>
          <w:b/>
          <w:color w:val="FF0000"/>
        </w:rPr>
      </w:pPr>
    </w:p>
    <w:p w14:paraId="1056165D" w14:textId="77777777" w:rsidR="00CC1360" w:rsidRPr="007B2AC1" w:rsidRDefault="00CC1360" w:rsidP="00C578AC">
      <w:pPr>
        <w:spacing w:line="240" w:lineRule="auto"/>
        <w:rPr>
          <w:rFonts w:cs="Arial"/>
          <w:color w:val="002F5D"/>
        </w:rPr>
      </w:pPr>
      <w:r w:rsidRPr="007B2AC1">
        <w:rPr>
          <w:rFonts w:cs="Arial"/>
          <w:b/>
          <w:color w:val="002F5D"/>
        </w:rPr>
        <w:t>Source:</w:t>
      </w:r>
      <w:r w:rsidRPr="007B2AC1">
        <w:rPr>
          <w:rFonts w:cs="Arial"/>
          <w:color w:val="002F5D"/>
        </w:rPr>
        <w:t xml:space="preserve"> Public Health England, What About YOUth (WAY) Survey</w:t>
      </w:r>
    </w:p>
    <w:p w14:paraId="51A4B830" w14:textId="77777777" w:rsidR="00CC1360" w:rsidRPr="0037351D" w:rsidRDefault="00CC1360" w:rsidP="00C578AC">
      <w:pPr>
        <w:spacing w:line="240" w:lineRule="auto"/>
        <w:rPr>
          <w:rFonts w:cs="Arial"/>
          <w:color w:val="FF0000"/>
        </w:rPr>
      </w:pPr>
    </w:p>
    <w:p w14:paraId="373AF170" w14:textId="77777777" w:rsidR="00C31192" w:rsidRPr="007B2AC1" w:rsidRDefault="00C31192" w:rsidP="008F2A14">
      <w:pPr>
        <w:spacing w:line="240" w:lineRule="auto"/>
        <w:rPr>
          <w:rFonts w:cs="Arial"/>
          <w:color w:val="002F5D"/>
        </w:rPr>
      </w:pPr>
      <w:r w:rsidRPr="007B2AC1">
        <w:rPr>
          <w:rFonts w:cs="Arial"/>
          <w:b/>
          <w:color w:val="002F5D"/>
        </w:rPr>
        <w:t>Key point:</w:t>
      </w:r>
    </w:p>
    <w:p w14:paraId="6B4D3405" w14:textId="77777777" w:rsidR="00C31192" w:rsidRPr="007B2AC1" w:rsidRDefault="00C31192" w:rsidP="008F2A14">
      <w:pPr>
        <w:pStyle w:val="ListParagraph"/>
        <w:numPr>
          <w:ilvl w:val="0"/>
          <w:numId w:val="4"/>
        </w:numPr>
        <w:spacing w:line="240" w:lineRule="auto"/>
        <w:rPr>
          <w:rFonts w:cs="Arial"/>
          <w:color w:val="002F5D"/>
        </w:rPr>
      </w:pPr>
      <w:r w:rsidRPr="007B2AC1">
        <w:rPr>
          <w:rFonts w:cs="Arial"/>
          <w:color w:val="002F5D"/>
        </w:rPr>
        <w:t>Based on data from the What About YOUth Survey, the percentages of 15 year olds physically active and sedentary are statistically similar to the England average</w:t>
      </w:r>
      <w:r w:rsidR="00355972" w:rsidRPr="007B2AC1">
        <w:rPr>
          <w:rFonts w:cs="Arial"/>
          <w:color w:val="002F5D"/>
        </w:rPr>
        <w:t xml:space="preserve"> in Cambridgeshire and Peterborough</w:t>
      </w:r>
      <w:r w:rsidRPr="007B2AC1">
        <w:rPr>
          <w:rFonts w:cs="Arial"/>
          <w:color w:val="002F5D"/>
        </w:rPr>
        <w:t>.</w:t>
      </w:r>
    </w:p>
    <w:p w14:paraId="0BD197F5" w14:textId="77777777" w:rsidR="008D342C" w:rsidRPr="0037351D" w:rsidRDefault="008D342C" w:rsidP="0038179C">
      <w:pPr>
        <w:spacing w:line="240" w:lineRule="auto"/>
        <w:rPr>
          <w:rFonts w:cs="Arial"/>
          <w:b/>
          <w:color w:val="FF0000"/>
        </w:rPr>
      </w:pPr>
      <w:r w:rsidRPr="0037351D">
        <w:rPr>
          <w:rFonts w:cs="Arial"/>
          <w:b/>
          <w:color w:val="FF0000"/>
        </w:rPr>
        <w:br w:type="page"/>
      </w:r>
    </w:p>
    <w:p w14:paraId="02BF5A77" w14:textId="77777777" w:rsidR="00F55B25" w:rsidRPr="0037351D" w:rsidRDefault="00F55B25" w:rsidP="0038179C">
      <w:pPr>
        <w:spacing w:line="240" w:lineRule="auto"/>
        <w:rPr>
          <w:rFonts w:cs="Arial"/>
          <w:b/>
          <w:color w:val="FF0000"/>
        </w:rPr>
      </w:pPr>
    </w:p>
    <w:p w14:paraId="01FE2D26" w14:textId="77777777" w:rsidR="00CD159A" w:rsidRPr="0037351D" w:rsidRDefault="000F6257" w:rsidP="00A3568F">
      <w:pPr>
        <w:pStyle w:val="JSNA3"/>
      </w:pPr>
      <w:bookmarkStart w:id="754" w:name="_Toc4407853"/>
      <w:r w:rsidRPr="0037351D">
        <w:t>Adults</w:t>
      </w:r>
      <w:bookmarkEnd w:id="754"/>
    </w:p>
    <w:p w14:paraId="0F16BAD7" w14:textId="77777777" w:rsidR="00DE094E" w:rsidRPr="00C7031A" w:rsidRDefault="00DE094E" w:rsidP="0038179C">
      <w:pPr>
        <w:spacing w:line="240" w:lineRule="auto"/>
        <w:rPr>
          <w:rFonts w:cs="Arial"/>
          <w:b/>
          <w:color w:val="FF0000"/>
        </w:rPr>
      </w:pPr>
    </w:p>
    <w:p w14:paraId="573DCFB8" w14:textId="67DBEF84" w:rsidR="00A8352F" w:rsidRPr="009A2AB3" w:rsidRDefault="003A06FA" w:rsidP="008B5747">
      <w:pPr>
        <w:pStyle w:val="Caption"/>
        <w:rPr>
          <w:rFonts w:cs="Arial"/>
          <w:color w:val="002F5D"/>
        </w:rPr>
      </w:pPr>
      <w:r w:rsidRPr="009A2AB3">
        <w:rPr>
          <w:b/>
          <w:color w:val="002F5D"/>
        </w:rPr>
        <w:t>Table</w:t>
      </w:r>
      <w:r w:rsidR="00E84715">
        <w:rPr>
          <w:b/>
          <w:color w:val="002F5D"/>
        </w:rPr>
        <w:t xml:space="preserve"> 35</w:t>
      </w:r>
      <w:r w:rsidR="0092369E" w:rsidRPr="009A2AB3">
        <w:rPr>
          <w:rFonts w:cs="Arial"/>
          <w:b/>
          <w:color w:val="002F5D"/>
        </w:rPr>
        <w:t xml:space="preserve">. </w:t>
      </w:r>
      <w:r w:rsidR="0092369E" w:rsidRPr="009A2AB3">
        <w:rPr>
          <w:rFonts w:cs="Arial"/>
          <w:color w:val="002F5D"/>
        </w:rPr>
        <w:t xml:space="preserve">Percentage </w:t>
      </w:r>
      <w:r w:rsidR="00551AF9" w:rsidRPr="009A2AB3">
        <w:rPr>
          <w:rFonts w:cs="Arial"/>
          <w:color w:val="002F5D"/>
        </w:rPr>
        <w:t>of adults physically active</w:t>
      </w:r>
      <w:r w:rsidR="00551AF9" w:rsidRPr="009A2AB3">
        <w:rPr>
          <w:rFonts w:cs="Arial"/>
          <w:color w:val="002F5D"/>
          <w:vertAlign w:val="superscript"/>
        </w:rPr>
        <w:t>1</w:t>
      </w:r>
      <w:r w:rsidR="00355972" w:rsidRPr="009A2AB3">
        <w:rPr>
          <w:rFonts w:cs="Arial"/>
          <w:color w:val="002F5D"/>
        </w:rPr>
        <w:t xml:space="preserve">, </w:t>
      </w:r>
      <w:r w:rsidR="0092369E" w:rsidRPr="009A2AB3">
        <w:rPr>
          <w:rFonts w:cs="Arial"/>
          <w:color w:val="002F5D"/>
        </w:rPr>
        <w:t>201</w:t>
      </w:r>
      <w:r w:rsidR="00C7031A" w:rsidRPr="009A2AB3">
        <w:rPr>
          <w:rFonts w:cs="Arial"/>
          <w:color w:val="002F5D"/>
        </w:rPr>
        <w:t>6</w:t>
      </w:r>
      <w:r w:rsidR="00AC1C59" w:rsidRPr="009A2AB3">
        <w:rPr>
          <w:rFonts w:cs="Arial"/>
          <w:color w:val="002F5D"/>
        </w:rPr>
        <w:t>/1</w:t>
      </w:r>
      <w:r w:rsidR="00C7031A" w:rsidRPr="009A2AB3">
        <w:rPr>
          <w:rFonts w:cs="Arial"/>
          <w:color w:val="002F5D"/>
        </w:rPr>
        <w:t>7</w:t>
      </w:r>
    </w:p>
    <w:p w14:paraId="687AF89F" w14:textId="77777777" w:rsidR="00A8352F" w:rsidRPr="009A2AB3" w:rsidRDefault="00A8352F" w:rsidP="00E61D24"/>
    <w:p w14:paraId="390DBD5D" w14:textId="3F2701A0" w:rsidR="00A8352F" w:rsidRDefault="00A8352F" w:rsidP="008B5747">
      <w:pPr>
        <w:pStyle w:val="Caption"/>
        <w:rPr>
          <w:rFonts w:cs="Arial"/>
          <w:b/>
          <w:color w:val="002F5D"/>
        </w:rPr>
      </w:pPr>
      <w:r w:rsidRPr="00A8352F">
        <w:rPr>
          <w:noProof/>
          <w:lang w:eastAsia="en-GB"/>
        </w:rPr>
        <w:drawing>
          <wp:inline distT="0" distB="0" distL="0" distR="0" wp14:anchorId="1E228786" wp14:editId="0CED158E">
            <wp:extent cx="4549140" cy="2011199"/>
            <wp:effectExtent l="0" t="0" r="3810" b="825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60713" cy="2016315"/>
                    </a:xfrm>
                    <a:prstGeom prst="rect">
                      <a:avLst/>
                    </a:prstGeom>
                    <a:noFill/>
                    <a:ln>
                      <a:noFill/>
                    </a:ln>
                  </pic:spPr>
                </pic:pic>
              </a:graphicData>
            </a:graphic>
          </wp:inline>
        </w:drawing>
      </w:r>
    </w:p>
    <w:p w14:paraId="56763A7B" w14:textId="77777777" w:rsidR="00A8352F" w:rsidRPr="009A2AB3" w:rsidRDefault="00A8352F" w:rsidP="00E61D24"/>
    <w:p w14:paraId="2118C538" w14:textId="4E58CB4C" w:rsidR="00061AC2" w:rsidRPr="009A2AB3" w:rsidRDefault="00551AF9" w:rsidP="00C578AC">
      <w:pPr>
        <w:spacing w:line="240" w:lineRule="auto"/>
        <w:rPr>
          <w:rFonts w:cs="Arial"/>
          <w:color w:val="002F5D"/>
          <w:sz w:val="18"/>
          <w:szCs w:val="18"/>
        </w:rPr>
      </w:pPr>
      <w:r w:rsidRPr="009A2AB3">
        <w:rPr>
          <w:rFonts w:cs="Arial"/>
          <w:color w:val="002F5D"/>
          <w:sz w:val="18"/>
          <w:szCs w:val="18"/>
          <w:vertAlign w:val="superscript"/>
        </w:rPr>
        <w:t>1</w:t>
      </w:r>
      <w:r w:rsidR="00061AC2" w:rsidRPr="009A2AB3">
        <w:rPr>
          <w:color w:val="002F5D"/>
        </w:rPr>
        <w:t xml:space="preserve"> </w:t>
      </w:r>
      <w:r w:rsidR="00061AC2" w:rsidRPr="009A2AB3">
        <w:rPr>
          <w:rFonts w:cs="Arial"/>
          <w:color w:val="002F5D"/>
          <w:sz w:val="18"/>
          <w:szCs w:val="18"/>
        </w:rPr>
        <w:t>Percentage of adults (aged 19+) that meet CMO recommendations for physical activity (150+ moderate intensity equivalent minutes per week).</w:t>
      </w:r>
    </w:p>
    <w:p w14:paraId="4E52B7E1" w14:textId="77777777" w:rsidR="00CE2578" w:rsidRPr="009A2AB3" w:rsidRDefault="00CE2578" w:rsidP="00C578AC">
      <w:pPr>
        <w:spacing w:line="240" w:lineRule="auto"/>
        <w:rPr>
          <w:rFonts w:cs="Arial"/>
          <w:color w:val="002F5D"/>
          <w:sz w:val="18"/>
          <w:szCs w:val="18"/>
        </w:rPr>
      </w:pPr>
      <w:r w:rsidRPr="009A2AB3">
        <w:rPr>
          <w:rFonts w:cs="Arial"/>
          <w:color w:val="002F5D"/>
          <w:sz w:val="18"/>
          <w:szCs w:val="18"/>
        </w:rPr>
        <w:t>*Value aggregated from all known lower geography values</w:t>
      </w:r>
    </w:p>
    <w:p w14:paraId="566517F7" w14:textId="77777777" w:rsidR="00AB711B" w:rsidRPr="0037351D" w:rsidRDefault="00AB711B" w:rsidP="00C578AC">
      <w:pPr>
        <w:spacing w:line="240" w:lineRule="auto"/>
        <w:rPr>
          <w:rFonts w:cs="Arial"/>
          <w:color w:val="FF0000"/>
        </w:rPr>
      </w:pPr>
    </w:p>
    <w:p w14:paraId="7F5547C7" w14:textId="141A73B9" w:rsidR="0092369E" w:rsidRPr="0037351D" w:rsidRDefault="00A8352F" w:rsidP="00C578AC">
      <w:pPr>
        <w:spacing w:line="240" w:lineRule="auto"/>
        <w:rPr>
          <w:rFonts w:cs="Arial"/>
          <w:color w:val="FF0000"/>
        </w:rPr>
      </w:pPr>
      <w:r>
        <w:rPr>
          <w:rFonts w:cs="Arial"/>
          <w:noProof/>
          <w:color w:val="FF0000"/>
          <w:lang w:eastAsia="en-GB"/>
        </w:rPr>
        <w:drawing>
          <wp:inline distT="0" distB="0" distL="0" distR="0" wp14:anchorId="0755813F" wp14:editId="60A41DB5">
            <wp:extent cx="3804285" cy="615950"/>
            <wp:effectExtent l="0" t="0" r="571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05AF9076" w14:textId="77777777" w:rsidR="00AB711B" w:rsidRPr="0037351D" w:rsidRDefault="00AB711B" w:rsidP="00C578AC">
      <w:pPr>
        <w:spacing w:line="240" w:lineRule="auto"/>
        <w:rPr>
          <w:rFonts w:cs="Arial"/>
          <w:b/>
          <w:color w:val="FF0000"/>
        </w:rPr>
      </w:pPr>
    </w:p>
    <w:p w14:paraId="3B45B963" w14:textId="24897891" w:rsidR="0092369E" w:rsidRPr="009A2AB3" w:rsidRDefault="0092369E" w:rsidP="00C578AC">
      <w:pPr>
        <w:spacing w:line="240" w:lineRule="auto"/>
        <w:rPr>
          <w:rFonts w:cs="Arial"/>
          <w:color w:val="002F5D"/>
        </w:rPr>
      </w:pPr>
      <w:r w:rsidRPr="009A2AB3">
        <w:rPr>
          <w:rFonts w:cs="Arial"/>
          <w:b/>
          <w:color w:val="002F5D"/>
        </w:rPr>
        <w:t>Sources:</w:t>
      </w:r>
      <w:r w:rsidRPr="009A2AB3">
        <w:rPr>
          <w:rFonts w:cs="Arial"/>
          <w:color w:val="002F5D"/>
        </w:rPr>
        <w:t xml:space="preserve"> Public Health England Public Health Outcomes Framework Indicator 2.13 (Active People Survey, Sport England), O</w:t>
      </w:r>
      <w:r w:rsidR="007750E0" w:rsidRPr="009A2AB3">
        <w:rPr>
          <w:rFonts w:cs="Arial"/>
          <w:color w:val="002F5D"/>
        </w:rPr>
        <w:t>NS</w:t>
      </w:r>
      <w:r w:rsidRPr="009A2AB3">
        <w:rPr>
          <w:rFonts w:cs="Arial"/>
          <w:color w:val="002F5D"/>
        </w:rPr>
        <w:t xml:space="preserve"> mid-2016 population estimates</w:t>
      </w:r>
    </w:p>
    <w:p w14:paraId="7CE5DF7B" w14:textId="77777777" w:rsidR="00C578AC" w:rsidRPr="0037351D" w:rsidRDefault="00C578AC" w:rsidP="00C578AC">
      <w:pPr>
        <w:spacing w:line="240" w:lineRule="auto"/>
        <w:rPr>
          <w:rFonts w:cs="Arial"/>
          <w:b/>
          <w:color w:val="FF0000"/>
        </w:rPr>
      </w:pPr>
    </w:p>
    <w:p w14:paraId="19BB6DB1" w14:textId="77777777" w:rsidR="0092369E" w:rsidRPr="009A2AB3" w:rsidRDefault="0092369E" w:rsidP="00C578AC">
      <w:pPr>
        <w:spacing w:line="240" w:lineRule="auto"/>
        <w:rPr>
          <w:rFonts w:cs="Arial"/>
          <w:b/>
          <w:color w:val="002F5D"/>
        </w:rPr>
      </w:pPr>
      <w:r w:rsidRPr="009A2AB3">
        <w:rPr>
          <w:rFonts w:cs="Arial"/>
          <w:b/>
          <w:color w:val="002F5D"/>
        </w:rPr>
        <w:t>Key points:</w:t>
      </w:r>
    </w:p>
    <w:p w14:paraId="466BEA74" w14:textId="17B35728" w:rsidR="004B0A22" w:rsidRPr="009A2AB3" w:rsidRDefault="007C4F61" w:rsidP="00C578AC">
      <w:pPr>
        <w:pStyle w:val="ListParagraph"/>
        <w:numPr>
          <w:ilvl w:val="0"/>
          <w:numId w:val="3"/>
        </w:numPr>
        <w:spacing w:line="240" w:lineRule="auto"/>
        <w:rPr>
          <w:rFonts w:cs="Arial"/>
          <w:color w:val="002F5D"/>
        </w:rPr>
      </w:pPr>
      <w:r w:rsidRPr="009A2AB3">
        <w:rPr>
          <w:rFonts w:cs="Arial"/>
          <w:color w:val="002F5D"/>
        </w:rPr>
        <w:t xml:space="preserve">The </w:t>
      </w:r>
      <w:r w:rsidR="00866107">
        <w:rPr>
          <w:rFonts w:cs="Arial"/>
          <w:color w:val="002F5D"/>
        </w:rPr>
        <w:t>percentage</w:t>
      </w:r>
      <w:r w:rsidR="0092369E" w:rsidRPr="009A2AB3">
        <w:rPr>
          <w:rFonts w:cs="Arial"/>
          <w:color w:val="002F5D"/>
        </w:rPr>
        <w:t xml:space="preserve"> of physical</w:t>
      </w:r>
      <w:r w:rsidR="00866107">
        <w:rPr>
          <w:rFonts w:cs="Arial"/>
          <w:color w:val="002F5D"/>
        </w:rPr>
        <w:t>ly</w:t>
      </w:r>
      <w:r w:rsidR="0092369E" w:rsidRPr="009A2AB3">
        <w:rPr>
          <w:rFonts w:cs="Arial"/>
          <w:color w:val="002F5D"/>
        </w:rPr>
        <w:t xml:space="preserve"> ac</w:t>
      </w:r>
      <w:r w:rsidR="00355972" w:rsidRPr="009A2AB3">
        <w:rPr>
          <w:rFonts w:cs="Arial"/>
          <w:color w:val="002F5D"/>
        </w:rPr>
        <w:t>tiv</w:t>
      </w:r>
      <w:r w:rsidR="00866107">
        <w:rPr>
          <w:rFonts w:cs="Arial"/>
          <w:color w:val="002F5D"/>
        </w:rPr>
        <w:t>e</w:t>
      </w:r>
      <w:r w:rsidR="00355972" w:rsidRPr="009A2AB3">
        <w:rPr>
          <w:rFonts w:cs="Arial"/>
          <w:color w:val="002F5D"/>
        </w:rPr>
        <w:t xml:space="preserve"> adults (19</w:t>
      </w:r>
      <w:r w:rsidR="0092369E" w:rsidRPr="009A2AB3">
        <w:rPr>
          <w:rFonts w:cs="Arial"/>
          <w:color w:val="002F5D"/>
        </w:rPr>
        <w:t xml:space="preserve">+) </w:t>
      </w:r>
      <w:r w:rsidRPr="009A2AB3">
        <w:rPr>
          <w:rFonts w:cs="Arial"/>
          <w:color w:val="002F5D"/>
        </w:rPr>
        <w:t>is</w:t>
      </w:r>
      <w:r w:rsidR="0092369E" w:rsidRPr="009A2AB3">
        <w:rPr>
          <w:rFonts w:cs="Arial"/>
          <w:color w:val="002F5D"/>
        </w:rPr>
        <w:t xml:space="preserve"> statistically </w:t>
      </w:r>
      <w:r w:rsidR="00C7031A" w:rsidRPr="009A2AB3">
        <w:rPr>
          <w:rFonts w:cs="Arial"/>
          <w:color w:val="002F5D"/>
        </w:rPr>
        <w:t>significantly better</w:t>
      </w:r>
      <w:r w:rsidR="0092369E" w:rsidRPr="009A2AB3">
        <w:rPr>
          <w:rFonts w:cs="Arial"/>
          <w:color w:val="002F5D"/>
        </w:rPr>
        <w:t xml:space="preserve"> </w:t>
      </w:r>
      <w:r w:rsidR="00C7031A" w:rsidRPr="009A2AB3">
        <w:rPr>
          <w:rFonts w:cs="Arial"/>
          <w:color w:val="002F5D"/>
        </w:rPr>
        <w:t>than</w:t>
      </w:r>
      <w:r w:rsidR="0092369E" w:rsidRPr="009A2AB3">
        <w:rPr>
          <w:rFonts w:cs="Arial"/>
          <w:color w:val="002F5D"/>
        </w:rPr>
        <w:t xml:space="preserve"> the England average for </w:t>
      </w:r>
      <w:r w:rsidR="00C7031A" w:rsidRPr="009A2AB3">
        <w:rPr>
          <w:rFonts w:cs="Arial"/>
          <w:color w:val="002F5D"/>
        </w:rPr>
        <w:t xml:space="preserve">Cambridgeshire and </w:t>
      </w:r>
      <w:r w:rsidR="00355972" w:rsidRPr="009A2AB3">
        <w:rPr>
          <w:rFonts w:cs="Arial"/>
          <w:color w:val="002F5D"/>
        </w:rPr>
        <w:t>Cambridgeshire and Peterborough</w:t>
      </w:r>
      <w:r w:rsidR="0092369E" w:rsidRPr="009A2AB3">
        <w:rPr>
          <w:rFonts w:cs="Arial"/>
          <w:color w:val="002F5D"/>
        </w:rPr>
        <w:t xml:space="preserve"> as a whole.</w:t>
      </w:r>
    </w:p>
    <w:p w14:paraId="7F7DAB91" w14:textId="76FD463E" w:rsidR="00355972" w:rsidRPr="009A2AB3" w:rsidRDefault="00355972" w:rsidP="00C578AC">
      <w:pPr>
        <w:pStyle w:val="ListParagraph"/>
        <w:numPr>
          <w:ilvl w:val="0"/>
          <w:numId w:val="3"/>
        </w:numPr>
        <w:spacing w:line="240" w:lineRule="auto"/>
        <w:rPr>
          <w:rFonts w:cs="Arial"/>
          <w:color w:val="002F5D"/>
        </w:rPr>
      </w:pPr>
      <w:r w:rsidRPr="009A2AB3">
        <w:rPr>
          <w:rFonts w:cs="Arial"/>
          <w:color w:val="002F5D"/>
        </w:rPr>
        <w:t xml:space="preserve">For Peterborough the rate of physical activity in adults (19+) is statistically </w:t>
      </w:r>
      <w:r w:rsidR="00C7031A" w:rsidRPr="009A2AB3">
        <w:rPr>
          <w:rFonts w:cs="Arial"/>
          <w:color w:val="002F5D"/>
        </w:rPr>
        <w:t xml:space="preserve">significantly </w:t>
      </w:r>
      <w:r w:rsidRPr="009A2AB3">
        <w:rPr>
          <w:rFonts w:cs="Arial"/>
          <w:color w:val="002F5D"/>
        </w:rPr>
        <w:t>worse than the England average.</w:t>
      </w:r>
    </w:p>
    <w:p w14:paraId="132BD190" w14:textId="77777777" w:rsidR="007C4F61" w:rsidRPr="0037351D" w:rsidRDefault="007C4F61" w:rsidP="0038179C">
      <w:pPr>
        <w:spacing w:line="240" w:lineRule="auto"/>
        <w:rPr>
          <w:rFonts w:cs="Arial"/>
          <w:color w:val="FF0000"/>
        </w:rPr>
      </w:pPr>
    </w:p>
    <w:p w14:paraId="13134CC5" w14:textId="77777777" w:rsidR="00C578AC" w:rsidRPr="0037351D" w:rsidRDefault="00C578AC">
      <w:pPr>
        <w:rPr>
          <w:b/>
          <w:iCs/>
          <w:color w:val="FF0000"/>
          <w:szCs w:val="18"/>
        </w:rPr>
      </w:pPr>
      <w:r w:rsidRPr="0037351D">
        <w:rPr>
          <w:b/>
          <w:color w:val="FF0000"/>
        </w:rPr>
        <w:br w:type="page"/>
      </w:r>
    </w:p>
    <w:p w14:paraId="3C681C9C" w14:textId="26E1CB39" w:rsidR="00C7031A" w:rsidRDefault="003A06FA" w:rsidP="000A498D">
      <w:pPr>
        <w:pStyle w:val="Caption"/>
        <w:rPr>
          <w:rFonts w:cs="Arial"/>
          <w:color w:val="002F5D"/>
        </w:rPr>
      </w:pPr>
      <w:r w:rsidRPr="009A2AB3">
        <w:rPr>
          <w:b/>
          <w:color w:val="002F5D"/>
        </w:rPr>
        <w:lastRenderedPageBreak/>
        <w:t xml:space="preserve">Table </w:t>
      </w:r>
      <w:r w:rsidR="00E84715">
        <w:rPr>
          <w:b/>
          <w:color w:val="002F5D"/>
        </w:rPr>
        <w:t>36</w:t>
      </w:r>
      <w:r w:rsidR="007C4F61" w:rsidRPr="009A2AB3">
        <w:rPr>
          <w:rFonts w:cs="Arial"/>
          <w:b/>
          <w:color w:val="002F5D"/>
        </w:rPr>
        <w:t>.</w:t>
      </w:r>
      <w:r w:rsidR="007C4F61" w:rsidRPr="009A2AB3">
        <w:rPr>
          <w:rFonts w:cs="Arial"/>
          <w:color w:val="002F5D"/>
        </w:rPr>
        <w:t xml:space="preserve"> Percentag</w:t>
      </w:r>
      <w:r w:rsidR="00551AF9" w:rsidRPr="009A2AB3">
        <w:rPr>
          <w:rFonts w:cs="Arial"/>
          <w:color w:val="002F5D"/>
        </w:rPr>
        <w:t>e of adults physically inactive</w:t>
      </w:r>
      <w:r w:rsidR="00551AF9" w:rsidRPr="009A2AB3">
        <w:rPr>
          <w:rFonts w:cs="Arial"/>
          <w:color w:val="002F5D"/>
          <w:vertAlign w:val="superscript"/>
        </w:rPr>
        <w:t>1</w:t>
      </w:r>
      <w:r w:rsidR="007C4F61" w:rsidRPr="009A2AB3">
        <w:rPr>
          <w:rFonts w:cs="Arial"/>
          <w:color w:val="002F5D"/>
        </w:rPr>
        <w:t>, 201</w:t>
      </w:r>
      <w:r w:rsidR="00C7031A" w:rsidRPr="009A2AB3">
        <w:rPr>
          <w:rFonts w:cs="Arial"/>
          <w:color w:val="002F5D"/>
        </w:rPr>
        <w:t>6</w:t>
      </w:r>
      <w:r w:rsidR="008B5747" w:rsidRPr="009A2AB3">
        <w:rPr>
          <w:rFonts w:cs="Arial"/>
          <w:color w:val="002F5D"/>
        </w:rPr>
        <w:t>/1</w:t>
      </w:r>
      <w:r w:rsidR="00C7031A" w:rsidRPr="009A2AB3">
        <w:rPr>
          <w:rFonts w:cs="Arial"/>
          <w:color w:val="002F5D"/>
        </w:rPr>
        <w:t>7</w:t>
      </w:r>
    </w:p>
    <w:p w14:paraId="01F39B1F" w14:textId="77777777" w:rsidR="00044656" w:rsidRPr="009A2AB3" w:rsidRDefault="00044656" w:rsidP="009A2AB3"/>
    <w:p w14:paraId="12101742" w14:textId="25447716" w:rsidR="00C7031A" w:rsidRPr="0037351D" w:rsidRDefault="00044656" w:rsidP="009A2AB3">
      <w:pPr>
        <w:pStyle w:val="Caption"/>
      </w:pPr>
      <w:r w:rsidRPr="00044656">
        <w:rPr>
          <w:noProof/>
          <w:lang w:eastAsia="en-GB"/>
        </w:rPr>
        <w:drawing>
          <wp:inline distT="0" distB="0" distL="0" distR="0" wp14:anchorId="464AFE99" wp14:editId="11B29FB1">
            <wp:extent cx="4413710" cy="2095500"/>
            <wp:effectExtent l="0" t="0" r="635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20059" cy="2098514"/>
                    </a:xfrm>
                    <a:prstGeom prst="rect">
                      <a:avLst/>
                    </a:prstGeom>
                    <a:noFill/>
                    <a:ln>
                      <a:noFill/>
                    </a:ln>
                  </pic:spPr>
                </pic:pic>
              </a:graphicData>
            </a:graphic>
          </wp:inline>
        </w:drawing>
      </w:r>
    </w:p>
    <w:p w14:paraId="4C07CE13" w14:textId="77777777" w:rsidR="00C578AC" w:rsidRPr="009A2AB3" w:rsidRDefault="00C578AC" w:rsidP="0038179C">
      <w:pPr>
        <w:spacing w:line="240" w:lineRule="auto"/>
        <w:rPr>
          <w:rFonts w:cs="Arial"/>
          <w:color w:val="002F5D"/>
          <w:sz w:val="18"/>
          <w:szCs w:val="18"/>
          <w:vertAlign w:val="superscript"/>
        </w:rPr>
      </w:pPr>
    </w:p>
    <w:p w14:paraId="62798166" w14:textId="77777777" w:rsidR="00962FD9" w:rsidRPr="009A2AB3" w:rsidRDefault="00551AF9" w:rsidP="0038179C">
      <w:pPr>
        <w:spacing w:line="240" w:lineRule="auto"/>
        <w:rPr>
          <w:rFonts w:cs="Arial"/>
          <w:color w:val="002F5D"/>
          <w:sz w:val="18"/>
          <w:szCs w:val="18"/>
        </w:rPr>
      </w:pPr>
      <w:r w:rsidRPr="009A2AB3">
        <w:rPr>
          <w:rFonts w:cs="Arial"/>
          <w:color w:val="002F5D"/>
          <w:sz w:val="18"/>
          <w:szCs w:val="18"/>
          <w:vertAlign w:val="superscript"/>
        </w:rPr>
        <w:t>1</w:t>
      </w:r>
      <w:r w:rsidR="00355972" w:rsidRPr="009A2AB3">
        <w:rPr>
          <w:rFonts w:cs="Arial"/>
          <w:color w:val="002F5D"/>
          <w:sz w:val="18"/>
          <w:szCs w:val="18"/>
        </w:rPr>
        <w:t xml:space="preserve"> </w:t>
      </w:r>
      <w:r w:rsidR="00061AC2" w:rsidRPr="009A2AB3">
        <w:rPr>
          <w:rFonts w:cs="Arial"/>
          <w:color w:val="002F5D"/>
          <w:sz w:val="18"/>
          <w:szCs w:val="18"/>
        </w:rPr>
        <w:t>Percentage of adults (aged 19+) that are physically inactive (&lt;30 moderate intensity equivalent minutes per week).</w:t>
      </w:r>
    </w:p>
    <w:p w14:paraId="6A65FF5E" w14:textId="13B234E2" w:rsidR="00CE2578" w:rsidRPr="00044656" w:rsidRDefault="00CE2578" w:rsidP="00CE2578">
      <w:pPr>
        <w:spacing w:line="240" w:lineRule="auto"/>
        <w:rPr>
          <w:rFonts w:cs="Arial"/>
          <w:color w:val="002F5D"/>
          <w:sz w:val="18"/>
          <w:szCs w:val="18"/>
        </w:rPr>
      </w:pPr>
      <w:r w:rsidRPr="009A2AB3">
        <w:rPr>
          <w:rFonts w:cs="Arial"/>
          <w:color w:val="002F5D"/>
          <w:sz w:val="18"/>
          <w:szCs w:val="18"/>
        </w:rPr>
        <w:t>*Value aggregated from all known lower geography values</w:t>
      </w:r>
    </w:p>
    <w:p w14:paraId="36A36C83" w14:textId="3F3DC301" w:rsidR="00A8352F" w:rsidRDefault="00A8352F" w:rsidP="00CE2578">
      <w:pPr>
        <w:spacing w:line="240" w:lineRule="auto"/>
        <w:rPr>
          <w:rFonts w:cs="Arial"/>
          <w:color w:val="002F5D"/>
          <w:sz w:val="18"/>
          <w:szCs w:val="18"/>
        </w:rPr>
      </w:pPr>
    </w:p>
    <w:p w14:paraId="3F6EC4FF" w14:textId="6626FC40" w:rsidR="00A8352F" w:rsidRPr="009A2AB3" w:rsidRDefault="00A8352F" w:rsidP="00CE2578">
      <w:pPr>
        <w:spacing w:line="240" w:lineRule="auto"/>
        <w:rPr>
          <w:rFonts w:cs="Arial"/>
          <w:color w:val="002F5D"/>
          <w:sz w:val="18"/>
          <w:szCs w:val="18"/>
        </w:rPr>
      </w:pPr>
      <w:r>
        <w:rPr>
          <w:rFonts w:cs="Arial"/>
          <w:noProof/>
          <w:color w:val="002F5D"/>
          <w:sz w:val="18"/>
          <w:szCs w:val="18"/>
          <w:lang w:eastAsia="en-GB"/>
        </w:rPr>
        <w:drawing>
          <wp:inline distT="0" distB="0" distL="0" distR="0" wp14:anchorId="2C0399FD" wp14:editId="1AE534CA">
            <wp:extent cx="3804285" cy="615950"/>
            <wp:effectExtent l="0" t="0" r="571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28BEF1A8" w14:textId="77777777" w:rsidR="00AB711B" w:rsidRPr="009A2AB3" w:rsidRDefault="00AB711B" w:rsidP="0038179C">
      <w:pPr>
        <w:spacing w:line="240" w:lineRule="auto"/>
        <w:rPr>
          <w:rFonts w:cs="Arial"/>
          <w:b/>
          <w:color w:val="002F5D"/>
        </w:rPr>
      </w:pPr>
    </w:p>
    <w:p w14:paraId="40497812" w14:textId="2E44735F" w:rsidR="007C4F61" w:rsidRPr="009A2AB3" w:rsidRDefault="007C4F61" w:rsidP="0038179C">
      <w:pPr>
        <w:spacing w:line="240" w:lineRule="auto"/>
        <w:rPr>
          <w:rFonts w:cs="Arial"/>
          <w:color w:val="002F5D"/>
        </w:rPr>
      </w:pPr>
      <w:r w:rsidRPr="009A2AB3">
        <w:rPr>
          <w:rFonts w:cs="Arial"/>
          <w:b/>
          <w:color w:val="002F5D"/>
        </w:rPr>
        <w:t>Sources:</w:t>
      </w:r>
      <w:r w:rsidRPr="009A2AB3">
        <w:rPr>
          <w:rFonts w:cs="Arial"/>
          <w:color w:val="002F5D"/>
        </w:rPr>
        <w:t xml:space="preserve"> Public Health England Public Health Outcomes Framework Indicator 2.13 (Active People Survey, Sport England), </w:t>
      </w:r>
      <w:r w:rsidR="007750E0" w:rsidRPr="009A2AB3">
        <w:rPr>
          <w:rFonts w:cs="Arial"/>
          <w:color w:val="002F5D"/>
        </w:rPr>
        <w:t>ONS</w:t>
      </w:r>
      <w:r w:rsidRPr="009A2AB3">
        <w:rPr>
          <w:rFonts w:cs="Arial"/>
          <w:color w:val="002F5D"/>
        </w:rPr>
        <w:t xml:space="preserve"> mid-2016 population estimates</w:t>
      </w:r>
    </w:p>
    <w:p w14:paraId="5D9033A9" w14:textId="77777777" w:rsidR="007C4F61" w:rsidRPr="0037351D" w:rsidRDefault="007C4F61" w:rsidP="0038179C">
      <w:pPr>
        <w:spacing w:line="240" w:lineRule="auto"/>
        <w:rPr>
          <w:rFonts w:cs="Arial"/>
          <w:color w:val="FF0000"/>
        </w:rPr>
      </w:pPr>
    </w:p>
    <w:p w14:paraId="001AD488" w14:textId="77777777" w:rsidR="007C4F61" w:rsidRPr="009A2AB3" w:rsidRDefault="007C4F61" w:rsidP="0038179C">
      <w:pPr>
        <w:spacing w:line="240" w:lineRule="auto"/>
        <w:rPr>
          <w:rFonts w:cs="Arial"/>
          <w:b/>
          <w:color w:val="002F5D"/>
        </w:rPr>
      </w:pPr>
      <w:r w:rsidRPr="009A2AB3">
        <w:rPr>
          <w:rFonts w:cs="Arial"/>
          <w:b/>
          <w:color w:val="002F5D"/>
        </w:rPr>
        <w:t>Key points:</w:t>
      </w:r>
    </w:p>
    <w:p w14:paraId="20581BBB" w14:textId="050A62A6" w:rsidR="007C4F61" w:rsidRPr="009A2AB3" w:rsidRDefault="007C4F61" w:rsidP="00A938F7">
      <w:pPr>
        <w:pStyle w:val="ListParagraph"/>
        <w:numPr>
          <w:ilvl w:val="0"/>
          <w:numId w:val="3"/>
        </w:numPr>
        <w:spacing w:line="240" w:lineRule="auto"/>
        <w:rPr>
          <w:rFonts w:cs="Arial"/>
          <w:color w:val="002F5D"/>
        </w:rPr>
      </w:pPr>
      <w:r w:rsidRPr="009A2AB3">
        <w:rPr>
          <w:rFonts w:cs="Arial"/>
          <w:color w:val="002F5D"/>
        </w:rPr>
        <w:t xml:space="preserve">The </w:t>
      </w:r>
      <w:r w:rsidR="00866107">
        <w:rPr>
          <w:rFonts w:cs="Arial"/>
          <w:color w:val="002F5D"/>
        </w:rPr>
        <w:t>percentage</w:t>
      </w:r>
      <w:r w:rsidRPr="009A2AB3">
        <w:rPr>
          <w:rFonts w:cs="Arial"/>
          <w:color w:val="002F5D"/>
        </w:rPr>
        <w:t xml:space="preserve"> of p</w:t>
      </w:r>
      <w:r w:rsidR="00355972" w:rsidRPr="009A2AB3">
        <w:rPr>
          <w:rFonts w:cs="Arial"/>
          <w:color w:val="002F5D"/>
        </w:rPr>
        <w:t>hysica</w:t>
      </w:r>
      <w:r w:rsidR="00866107">
        <w:rPr>
          <w:rFonts w:cs="Arial"/>
          <w:color w:val="002F5D"/>
        </w:rPr>
        <w:t>l</w:t>
      </w:r>
      <w:r w:rsidR="00355972" w:rsidRPr="009A2AB3">
        <w:rPr>
          <w:rFonts w:cs="Arial"/>
          <w:color w:val="002F5D"/>
        </w:rPr>
        <w:t>l</w:t>
      </w:r>
      <w:r w:rsidR="00866107">
        <w:rPr>
          <w:rFonts w:cs="Arial"/>
          <w:color w:val="002F5D"/>
        </w:rPr>
        <w:t>y</w:t>
      </w:r>
      <w:r w:rsidR="00355972" w:rsidRPr="009A2AB3">
        <w:rPr>
          <w:rFonts w:cs="Arial"/>
          <w:color w:val="002F5D"/>
        </w:rPr>
        <w:t xml:space="preserve"> inactiv</w:t>
      </w:r>
      <w:r w:rsidR="00866107">
        <w:rPr>
          <w:rFonts w:cs="Arial"/>
          <w:color w:val="002F5D"/>
        </w:rPr>
        <w:t>e</w:t>
      </w:r>
      <w:r w:rsidR="00355972" w:rsidRPr="009A2AB3">
        <w:rPr>
          <w:rFonts w:cs="Arial"/>
          <w:color w:val="002F5D"/>
        </w:rPr>
        <w:t xml:space="preserve"> adults (19</w:t>
      </w:r>
      <w:r w:rsidRPr="009A2AB3">
        <w:rPr>
          <w:rFonts w:cs="Arial"/>
          <w:color w:val="002F5D"/>
        </w:rPr>
        <w:t>+) is statistically significantly better than the Eng</w:t>
      </w:r>
      <w:r w:rsidR="00355972" w:rsidRPr="009A2AB3">
        <w:rPr>
          <w:rFonts w:cs="Arial"/>
          <w:color w:val="002F5D"/>
        </w:rPr>
        <w:t xml:space="preserve">land average for Cambridgeshire and Cambridgeshire and Peterborough as a whole.  At </w:t>
      </w:r>
      <w:r w:rsidR="00C7031A" w:rsidRPr="009A2AB3">
        <w:rPr>
          <w:rFonts w:cs="Arial"/>
          <w:color w:val="002F5D"/>
        </w:rPr>
        <w:t>19</w:t>
      </w:r>
      <w:r w:rsidR="00355972" w:rsidRPr="009A2AB3">
        <w:rPr>
          <w:rFonts w:cs="Arial"/>
          <w:color w:val="002F5D"/>
        </w:rPr>
        <w:t>.7</w:t>
      </w:r>
      <w:r w:rsidRPr="009A2AB3">
        <w:rPr>
          <w:rFonts w:cs="Arial"/>
          <w:color w:val="002F5D"/>
        </w:rPr>
        <w:t xml:space="preserve">% however, </w:t>
      </w:r>
      <w:r w:rsidR="00355972" w:rsidRPr="009A2AB3">
        <w:rPr>
          <w:rFonts w:cs="Arial"/>
          <w:color w:val="002F5D"/>
        </w:rPr>
        <w:t>this still equates to a</w:t>
      </w:r>
      <w:r w:rsidR="00C7031A" w:rsidRPr="009A2AB3">
        <w:rPr>
          <w:rFonts w:cs="Arial"/>
          <w:color w:val="002F5D"/>
        </w:rPr>
        <w:t>lmost</w:t>
      </w:r>
      <w:r w:rsidR="00355972" w:rsidRPr="009A2AB3">
        <w:rPr>
          <w:rFonts w:cs="Arial"/>
          <w:color w:val="002F5D"/>
        </w:rPr>
        <w:t xml:space="preserve"> </w:t>
      </w:r>
      <w:r w:rsidR="00C7031A" w:rsidRPr="009A2AB3">
        <w:rPr>
          <w:rFonts w:cs="Arial"/>
          <w:color w:val="002F5D"/>
        </w:rPr>
        <w:t>130</w:t>
      </w:r>
      <w:r w:rsidRPr="009A2AB3">
        <w:rPr>
          <w:rFonts w:cs="Arial"/>
          <w:color w:val="002F5D"/>
        </w:rPr>
        <w:t xml:space="preserve">,000 people across the </w:t>
      </w:r>
      <w:r w:rsidR="00355972" w:rsidRPr="009A2AB3">
        <w:rPr>
          <w:rFonts w:cs="Arial"/>
          <w:color w:val="002F5D"/>
        </w:rPr>
        <w:t>combined authority</w:t>
      </w:r>
      <w:r w:rsidRPr="009A2AB3">
        <w:rPr>
          <w:rFonts w:cs="Arial"/>
          <w:color w:val="002F5D"/>
        </w:rPr>
        <w:t>.</w:t>
      </w:r>
    </w:p>
    <w:p w14:paraId="6F2CA2DC" w14:textId="0457A0DE" w:rsidR="008B58A7" w:rsidRPr="009A2AB3" w:rsidRDefault="008B58A7" w:rsidP="00A938F7">
      <w:pPr>
        <w:pStyle w:val="ListParagraph"/>
        <w:numPr>
          <w:ilvl w:val="0"/>
          <w:numId w:val="3"/>
        </w:numPr>
        <w:spacing w:line="240" w:lineRule="auto"/>
        <w:rPr>
          <w:rFonts w:cs="Arial"/>
          <w:color w:val="002F5D"/>
        </w:rPr>
      </w:pPr>
      <w:r w:rsidRPr="009A2AB3">
        <w:rPr>
          <w:rFonts w:cs="Arial"/>
          <w:color w:val="002F5D"/>
        </w:rPr>
        <w:t xml:space="preserve">Peterborough’s </w:t>
      </w:r>
      <w:r w:rsidR="00C41741">
        <w:rPr>
          <w:rFonts w:cs="Arial"/>
          <w:color w:val="002F5D"/>
        </w:rPr>
        <w:t>percentage</w:t>
      </w:r>
      <w:r w:rsidRPr="009A2AB3">
        <w:rPr>
          <w:rFonts w:cs="Arial"/>
          <w:color w:val="002F5D"/>
        </w:rPr>
        <w:t xml:space="preserve"> is statistically </w:t>
      </w:r>
      <w:r w:rsidR="00C7031A" w:rsidRPr="009A2AB3">
        <w:rPr>
          <w:rFonts w:cs="Arial"/>
          <w:color w:val="002F5D"/>
        </w:rPr>
        <w:t>significantly worse than</w:t>
      </w:r>
      <w:r w:rsidRPr="009A2AB3">
        <w:rPr>
          <w:rFonts w:cs="Arial"/>
          <w:color w:val="002F5D"/>
        </w:rPr>
        <w:t xml:space="preserve"> the national </w:t>
      </w:r>
      <w:r w:rsidR="00C41741">
        <w:rPr>
          <w:rFonts w:cs="Arial"/>
          <w:color w:val="002F5D"/>
        </w:rPr>
        <w:t>percentage</w:t>
      </w:r>
      <w:r w:rsidRPr="009A2AB3">
        <w:rPr>
          <w:rFonts w:cs="Arial"/>
          <w:color w:val="002F5D"/>
        </w:rPr>
        <w:t>.</w:t>
      </w:r>
    </w:p>
    <w:p w14:paraId="1E70B68E" w14:textId="77777777" w:rsidR="00551AF9" w:rsidRPr="0037351D" w:rsidRDefault="00551AF9" w:rsidP="00551AF9">
      <w:pPr>
        <w:spacing w:line="240" w:lineRule="auto"/>
        <w:rPr>
          <w:rFonts w:cs="Arial"/>
          <w:color w:val="FF0000"/>
        </w:rPr>
      </w:pPr>
    </w:p>
    <w:p w14:paraId="651816F6" w14:textId="77777777" w:rsidR="00551AF9" w:rsidRPr="0037351D" w:rsidRDefault="00551AF9" w:rsidP="00551AF9">
      <w:pPr>
        <w:spacing w:line="240" w:lineRule="auto"/>
        <w:rPr>
          <w:rFonts w:cs="Arial"/>
          <w:color w:val="FF0000"/>
        </w:rPr>
      </w:pPr>
    </w:p>
    <w:p w14:paraId="6835D01A" w14:textId="77777777" w:rsidR="00551AF9" w:rsidRPr="0037351D" w:rsidRDefault="00551AF9" w:rsidP="00551AF9">
      <w:pPr>
        <w:spacing w:line="240" w:lineRule="auto"/>
        <w:rPr>
          <w:rFonts w:cs="Arial"/>
          <w:color w:val="FF0000"/>
        </w:rPr>
      </w:pPr>
    </w:p>
    <w:p w14:paraId="737D757F" w14:textId="77777777" w:rsidR="00551AF9" w:rsidRPr="0037351D" w:rsidRDefault="00551AF9" w:rsidP="00551AF9">
      <w:pPr>
        <w:spacing w:line="240" w:lineRule="auto"/>
        <w:rPr>
          <w:rFonts w:cs="Arial"/>
          <w:color w:val="FF0000"/>
        </w:rPr>
      </w:pPr>
    </w:p>
    <w:p w14:paraId="2F11733D" w14:textId="77777777" w:rsidR="00551AF9" w:rsidRPr="0037351D" w:rsidRDefault="00551AF9" w:rsidP="00551AF9">
      <w:pPr>
        <w:spacing w:line="240" w:lineRule="auto"/>
        <w:rPr>
          <w:rFonts w:cs="Arial"/>
          <w:color w:val="FF0000"/>
        </w:rPr>
      </w:pPr>
    </w:p>
    <w:p w14:paraId="4B7EA66E" w14:textId="77777777" w:rsidR="00551AF9" w:rsidRPr="0037351D" w:rsidRDefault="00551AF9" w:rsidP="00551AF9">
      <w:pPr>
        <w:spacing w:line="240" w:lineRule="auto"/>
        <w:rPr>
          <w:rFonts w:cs="Arial"/>
          <w:color w:val="FF0000"/>
        </w:rPr>
      </w:pPr>
    </w:p>
    <w:p w14:paraId="54C39770" w14:textId="44DCB9C0" w:rsidR="00551AF9" w:rsidRDefault="00551AF9" w:rsidP="00551AF9">
      <w:pPr>
        <w:spacing w:line="240" w:lineRule="auto"/>
        <w:rPr>
          <w:rFonts w:cs="Arial"/>
          <w:color w:val="FF0000"/>
        </w:rPr>
      </w:pPr>
    </w:p>
    <w:p w14:paraId="62CECDFE" w14:textId="64A30ED3" w:rsidR="00A8352F" w:rsidRDefault="00A8352F" w:rsidP="00551AF9">
      <w:pPr>
        <w:spacing w:line="240" w:lineRule="auto"/>
        <w:rPr>
          <w:rFonts w:cs="Arial"/>
          <w:color w:val="FF0000"/>
        </w:rPr>
      </w:pPr>
    </w:p>
    <w:p w14:paraId="5E7C90F6" w14:textId="6D6D6EC6" w:rsidR="00A8352F" w:rsidRDefault="00A8352F" w:rsidP="00551AF9">
      <w:pPr>
        <w:spacing w:line="240" w:lineRule="auto"/>
        <w:rPr>
          <w:rFonts w:cs="Arial"/>
          <w:color w:val="FF0000"/>
        </w:rPr>
      </w:pPr>
    </w:p>
    <w:p w14:paraId="1A3F82F7" w14:textId="55958FA7" w:rsidR="00A8352F" w:rsidRDefault="00A8352F" w:rsidP="00551AF9">
      <w:pPr>
        <w:spacing w:line="240" w:lineRule="auto"/>
        <w:rPr>
          <w:rFonts w:cs="Arial"/>
          <w:color w:val="FF0000"/>
        </w:rPr>
      </w:pPr>
    </w:p>
    <w:p w14:paraId="65B4DBE6" w14:textId="1BA55B53" w:rsidR="00A8352F" w:rsidRDefault="00A8352F" w:rsidP="00551AF9">
      <w:pPr>
        <w:spacing w:line="240" w:lineRule="auto"/>
        <w:rPr>
          <w:rFonts w:cs="Arial"/>
          <w:color w:val="FF0000"/>
        </w:rPr>
      </w:pPr>
    </w:p>
    <w:p w14:paraId="31AD424A" w14:textId="42696B86" w:rsidR="00A8352F" w:rsidRDefault="00A8352F" w:rsidP="00551AF9">
      <w:pPr>
        <w:spacing w:line="240" w:lineRule="auto"/>
        <w:rPr>
          <w:rFonts w:cs="Arial"/>
          <w:color w:val="FF0000"/>
        </w:rPr>
      </w:pPr>
    </w:p>
    <w:p w14:paraId="614ED203" w14:textId="77777777" w:rsidR="00A8352F" w:rsidRPr="0037351D" w:rsidRDefault="00A8352F" w:rsidP="00551AF9">
      <w:pPr>
        <w:spacing w:line="240" w:lineRule="auto"/>
        <w:rPr>
          <w:rFonts w:cs="Arial"/>
          <w:color w:val="FF0000"/>
        </w:rPr>
      </w:pPr>
    </w:p>
    <w:p w14:paraId="6E95767B" w14:textId="77777777" w:rsidR="00551AF9" w:rsidRPr="0037351D" w:rsidRDefault="00551AF9" w:rsidP="00551AF9">
      <w:pPr>
        <w:spacing w:line="240" w:lineRule="auto"/>
        <w:rPr>
          <w:rFonts w:cs="Arial"/>
          <w:color w:val="FF0000"/>
        </w:rPr>
      </w:pPr>
    </w:p>
    <w:p w14:paraId="76EF41DE" w14:textId="77777777" w:rsidR="00551AF9" w:rsidRPr="0037351D" w:rsidRDefault="00551AF9" w:rsidP="00551AF9">
      <w:pPr>
        <w:spacing w:line="240" w:lineRule="auto"/>
        <w:rPr>
          <w:rFonts w:cs="Arial"/>
          <w:color w:val="FF0000"/>
        </w:rPr>
      </w:pPr>
    </w:p>
    <w:p w14:paraId="53BEE526" w14:textId="50E07EDC" w:rsidR="00551AF9" w:rsidRDefault="00551AF9" w:rsidP="00551AF9">
      <w:pPr>
        <w:spacing w:line="240" w:lineRule="auto"/>
        <w:rPr>
          <w:rFonts w:cs="Arial"/>
          <w:color w:val="FF0000"/>
        </w:rPr>
      </w:pPr>
    </w:p>
    <w:p w14:paraId="4F6F979C" w14:textId="54B550A9" w:rsidR="00044656" w:rsidRDefault="00044656" w:rsidP="00551AF9">
      <w:pPr>
        <w:spacing w:line="240" w:lineRule="auto"/>
        <w:rPr>
          <w:rFonts w:cs="Arial"/>
          <w:color w:val="FF0000"/>
        </w:rPr>
      </w:pPr>
    </w:p>
    <w:p w14:paraId="4AE4336B" w14:textId="77777777" w:rsidR="00044656" w:rsidRPr="0037351D" w:rsidRDefault="00044656" w:rsidP="00551AF9">
      <w:pPr>
        <w:spacing w:line="240" w:lineRule="auto"/>
        <w:rPr>
          <w:rFonts w:cs="Arial"/>
          <w:color w:val="FF0000"/>
        </w:rPr>
      </w:pPr>
    </w:p>
    <w:p w14:paraId="24B55DE4" w14:textId="77777777" w:rsidR="00551AF9" w:rsidRPr="0037351D" w:rsidRDefault="00551AF9" w:rsidP="00551AF9">
      <w:pPr>
        <w:spacing w:line="240" w:lineRule="auto"/>
        <w:rPr>
          <w:rFonts w:cs="Arial"/>
          <w:color w:val="FF0000"/>
        </w:rPr>
      </w:pPr>
    </w:p>
    <w:p w14:paraId="5CDFA907" w14:textId="77777777" w:rsidR="00551AF9" w:rsidRPr="0037351D" w:rsidRDefault="00551AF9" w:rsidP="00551AF9">
      <w:pPr>
        <w:spacing w:line="240" w:lineRule="auto"/>
        <w:rPr>
          <w:rFonts w:cs="Arial"/>
          <w:color w:val="FF0000"/>
        </w:rPr>
      </w:pPr>
    </w:p>
    <w:p w14:paraId="0B644A09" w14:textId="77777777" w:rsidR="005230D1" w:rsidRPr="0037351D" w:rsidRDefault="005230D1" w:rsidP="005230D1">
      <w:pPr>
        <w:pStyle w:val="ListParagraph"/>
        <w:spacing w:line="240" w:lineRule="auto"/>
        <w:rPr>
          <w:rFonts w:cs="Arial"/>
          <w:color w:val="FF0000"/>
        </w:rPr>
      </w:pPr>
    </w:p>
    <w:p w14:paraId="2179029A" w14:textId="77777777" w:rsidR="00CD159A" w:rsidRPr="007B2AC1" w:rsidRDefault="00CD159A" w:rsidP="000F6257">
      <w:pPr>
        <w:pStyle w:val="JSNA2"/>
      </w:pPr>
      <w:bookmarkStart w:id="755" w:name="_Toc500414584"/>
      <w:bookmarkStart w:id="756" w:name="_Toc4407854"/>
      <w:bookmarkEnd w:id="755"/>
      <w:r w:rsidRPr="007B2AC1">
        <w:lastRenderedPageBreak/>
        <w:t>Smoking</w:t>
      </w:r>
      <w:bookmarkEnd w:id="756"/>
    </w:p>
    <w:p w14:paraId="3A65A4CA" w14:textId="77777777" w:rsidR="00DE094E" w:rsidRPr="0037351D" w:rsidRDefault="00DE094E" w:rsidP="0038179C">
      <w:pPr>
        <w:spacing w:line="240" w:lineRule="auto"/>
        <w:rPr>
          <w:rFonts w:cs="Arial"/>
          <w:color w:val="FF0000"/>
        </w:rPr>
      </w:pPr>
    </w:p>
    <w:p w14:paraId="686FA0DD" w14:textId="77777777" w:rsidR="00FE110E" w:rsidRPr="0037351D" w:rsidRDefault="00FE110E" w:rsidP="00A3568F">
      <w:pPr>
        <w:pStyle w:val="JSNA3"/>
      </w:pPr>
      <w:bookmarkStart w:id="757" w:name="_Toc4407855"/>
      <w:r w:rsidRPr="0037351D">
        <w:t>Smoking prevalence in children</w:t>
      </w:r>
      <w:bookmarkEnd w:id="757"/>
    </w:p>
    <w:p w14:paraId="1D7B2311" w14:textId="77777777" w:rsidR="00FE110E" w:rsidRPr="0037351D" w:rsidRDefault="00FE110E" w:rsidP="00FE110E">
      <w:pPr>
        <w:pStyle w:val="Caption"/>
        <w:rPr>
          <w:b/>
          <w:color w:val="FF0000"/>
        </w:rPr>
      </w:pPr>
    </w:p>
    <w:p w14:paraId="17FD026B" w14:textId="1387DC55" w:rsidR="00FE110E" w:rsidRPr="00D3587B" w:rsidRDefault="00FE110E" w:rsidP="00FE110E">
      <w:pPr>
        <w:pStyle w:val="Caption"/>
        <w:rPr>
          <w:rFonts w:cs="Arial"/>
          <w:color w:val="002F5D"/>
        </w:rPr>
      </w:pPr>
      <w:r w:rsidRPr="00D3587B">
        <w:rPr>
          <w:b/>
          <w:color w:val="002F5D"/>
        </w:rPr>
        <w:t xml:space="preserve">Table </w:t>
      </w:r>
      <w:r w:rsidR="005B71A3">
        <w:rPr>
          <w:b/>
          <w:color w:val="002F5D"/>
        </w:rPr>
        <w:t>37</w:t>
      </w:r>
      <w:r w:rsidRPr="00D3587B">
        <w:rPr>
          <w:rFonts w:cs="Arial"/>
          <w:b/>
          <w:color w:val="002F5D"/>
        </w:rPr>
        <w:t xml:space="preserve">. </w:t>
      </w:r>
      <w:r w:rsidRPr="00D3587B">
        <w:rPr>
          <w:rFonts w:cs="Arial"/>
          <w:color w:val="002F5D"/>
        </w:rPr>
        <w:t>Smoking prevalence in 15 year olds, 2014/15</w:t>
      </w:r>
    </w:p>
    <w:p w14:paraId="60528209" w14:textId="77777777" w:rsidR="00FE110E" w:rsidRPr="00D3587B" w:rsidRDefault="00FE110E" w:rsidP="00FE110E">
      <w:pPr>
        <w:spacing w:line="240" w:lineRule="auto"/>
        <w:rPr>
          <w:color w:val="002F5D"/>
        </w:rPr>
      </w:pPr>
    </w:p>
    <w:p w14:paraId="585371D4" w14:textId="77777777" w:rsidR="00FE110E" w:rsidRPr="00D3587B" w:rsidRDefault="00FE110E" w:rsidP="00FE110E">
      <w:pPr>
        <w:rPr>
          <w:color w:val="002F5D"/>
        </w:rPr>
      </w:pPr>
      <w:r w:rsidRPr="00D3587B">
        <w:rPr>
          <w:noProof/>
          <w:color w:val="002F5D"/>
          <w:lang w:eastAsia="en-GB"/>
        </w:rPr>
        <w:drawing>
          <wp:inline distT="0" distB="0" distL="0" distR="0" wp14:anchorId="334E57FE" wp14:editId="5F92820A">
            <wp:extent cx="3648075" cy="10191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48075" cy="1019175"/>
                    </a:xfrm>
                    <a:prstGeom prst="rect">
                      <a:avLst/>
                    </a:prstGeom>
                    <a:noFill/>
                    <a:ln>
                      <a:noFill/>
                    </a:ln>
                  </pic:spPr>
                </pic:pic>
              </a:graphicData>
            </a:graphic>
          </wp:inline>
        </w:drawing>
      </w:r>
    </w:p>
    <w:p w14:paraId="1442B4B3" w14:textId="77777777" w:rsidR="00FE110E" w:rsidRPr="00BC4393" w:rsidRDefault="00FE110E" w:rsidP="00FE110E">
      <w:pPr>
        <w:spacing w:line="240" w:lineRule="auto"/>
        <w:rPr>
          <w:rFonts w:cs="Arial"/>
          <w:color w:val="002F5D"/>
          <w:sz w:val="18"/>
          <w:szCs w:val="18"/>
        </w:rPr>
      </w:pPr>
    </w:p>
    <w:p w14:paraId="5E1AF2F8" w14:textId="77777777" w:rsidR="00FE110E" w:rsidRPr="00BC4393" w:rsidRDefault="00FE110E" w:rsidP="00FE110E">
      <w:pPr>
        <w:spacing w:line="240" w:lineRule="auto"/>
        <w:rPr>
          <w:rFonts w:cs="Arial"/>
          <w:color w:val="002F5D"/>
          <w:sz w:val="18"/>
          <w:szCs w:val="18"/>
        </w:rPr>
      </w:pPr>
      <w:r w:rsidRPr="00BC4393">
        <w:rPr>
          <w:rFonts w:cs="Arial"/>
          <w:color w:val="002F5D"/>
          <w:sz w:val="18"/>
          <w:szCs w:val="18"/>
        </w:rPr>
        <w:t>1. Regular smokers (&gt;1 cigarette per week) and occasional smokers (smoke cigarettes sometimes)</w:t>
      </w:r>
    </w:p>
    <w:p w14:paraId="4AE7F9EC" w14:textId="77777777" w:rsidR="00FE110E" w:rsidRPr="00BC4393" w:rsidRDefault="00FE110E" w:rsidP="00FE110E">
      <w:pPr>
        <w:spacing w:line="240" w:lineRule="auto"/>
        <w:rPr>
          <w:rFonts w:cs="Arial"/>
          <w:color w:val="002F5D"/>
          <w:sz w:val="18"/>
          <w:szCs w:val="18"/>
        </w:rPr>
      </w:pPr>
      <w:r w:rsidRPr="00BC4393">
        <w:rPr>
          <w:rFonts w:cs="Arial"/>
          <w:color w:val="002F5D"/>
          <w:sz w:val="18"/>
          <w:szCs w:val="18"/>
        </w:rPr>
        <w:t>2. Regular smokers (&gt;1 cigarette per week)</w:t>
      </w:r>
    </w:p>
    <w:p w14:paraId="406BA6CE" w14:textId="77777777" w:rsidR="00FE110E" w:rsidRPr="00BC4393" w:rsidRDefault="00FE110E" w:rsidP="00FE110E">
      <w:pPr>
        <w:spacing w:line="240" w:lineRule="auto"/>
        <w:rPr>
          <w:rFonts w:cs="Arial"/>
          <w:color w:val="002F5D"/>
          <w:sz w:val="18"/>
          <w:szCs w:val="18"/>
        </w:rPr>
      </w:pPr>
      <w:r w:rsidRPr="00BC4393">
        <w:rPr>
          <w:rFonts w:cs="Arial"/>
          <w:color w:val="002F5D"/>
          <w:sz w:val="18"/>
          <w:szCs w:val="18"/>
        </w:rPr>
        <w:t>Cambridgeshire and Peterborough data not available</w:t>
      </w:r>
    </w:p>
    <w:p w14:paraId="7CEAFF07" w14:textId="77777777" w:rsidR="00FE110E" w:rsidRPr="00BC4393" w:rsidRDefault="00FE110E" w:rsidP="00FE110E">
      <w:pPr>
        <w:spacing w:line="240" w:lineRule="auto"/>
        <w:rPr>
          <w:rFonts w:cs="Arial"/>
          <w:color w:val="002F5D"/>
          <w:sz w:val="18"/>
          <w:szCs w:val="18"/>
        </w:rPr>
      </w:pPr>
    </w:p>
    <w:p w14:paraId="5E46B9B6" w14:textId="141D3F87" w:rsidR="00FE110E" w:rsidRPr="00BC4393" w:rsidRDefault="00A8352F" w:rsidP="00FE110E">
      <w:pPr>
        <w:spacing w:line="240" w:lineRule="auto"/>
        <w:rPr>
          <w:rFonts w:cs="Arial"/>
          <w:color w:val="002F5D"/>
        </w:rPr>
      </w:pPr>
      <w:r w:rsidRPr="009847CA">
        <w:rPr>
          <w:rFonts w:cs="Arial"/>
          <w:noProof/>
          <w:color w:val="002F5D"/>
          <w:lang w:eastAsia="en-GB"/>
        </w:rPr>
        <w:drawing>
          <wp:inline distT="0" distB="0" distL="0" distR="0" wp14:anchorId="2237BC36" wp14:editId="5C9E96DC">
            <wp:extent cx="3804285" cy="615950"/>
            <wp:effectExtent l="0" t="0" r="571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5A4F52DB" w14:textId="25B657BC" w:rsidR="00FE110E" w:rsidRPr="00BC4393" w:rsidRDefault="00CF7D9B" w:rsidP="00FE110E">
      <w:pPr>
        <w:spacing w:line="240" w:lineRule="auto"/>
        <w:rPr>
          <w:rFonts w:cs="Arial"/>
          <w:b/>
          <w:color w:val="002F5D"/>
        </w:rPr>
      </w:pPr>
      <w:r>
        <w:rPr>
          <w:rFonts w:cs="Arial"/>
          <w:b/>
          <w:color w:val="002F5D"/>
        </w:rPr>
        <w:t xml:space="preserve">Table </w:t>
      </w:r>
    </w:p>
    <w:p w14:paraId="302A904C" w14:textId="77777777" w:rsidR="00FE110E" w:rsidRPr="00BC4393" w:rsidRDefault="00FE110E" w:rsidP="00FE110E">
      <w:pPr>
        <w:spacing w:line="240" w:lineRule="auto"/>
        <w:rPr>
          <w:rFonts w:cs="Arial"/>
          <w:color w:val="002F5D"/>
        </w:rPr>
      </w:pPr>
      <w:r w:rsidRPr="00BC4393">
        <w:rPr>
          <w:rFonts w:cs="Arial"/>
          <w:b/>
          <w:color w:val="002F5D"/>
        </w:rPr>
        <w:t>Source:</w:t>
      </w:r>
      <w:r w:rsidRPr="00BC4393">
        <w:rPr>
          <w:rFonts w:cs="Arial"/>
          <w:color w:val="002F5D"/>
        </w:rPr>
        <w:t xml:space="preserve"> Public Health England, What About YOUth (WAY) Survey</w:t>
      </w:r>
    </w:p>
    <w:p w14:paraId="6BEE8D4C" w14:textId="77777777" w:rsidR="00FE110E" w:rsidRPr="00BC4393" w:rsidRDefault="00FE110E" w:rsidP="00FE110E">
      <w:pPr>
        <w:spacing w:line="240" w:lineRule="auto"/>
        <w:rPr>
          <w:rFonts w:cs="Arial"/>
          <w:color w:val="002F5D"/>
        </w:rPr>
      </w:pPr>
    </w:p>
    <w:p w14:paraId="39AF86B5" w14:textId="77777777" w:rsidR="00FE110E" w:rsidRPr="00BC4393" w:rsidRDefault="00FE110E" w:rsidP="00FE110E">
      <w:pPr>
        <w:spacing w:line="240" w:lineRule="auto"/>
        <w:rPr>
          <w:rFonts w:cs="Arial"/>
          <w:color w:val="002F5D"/>
        </w:rPr>
      </w:pPr>
      <w:r w:rsidRPr="00BC4393">
        <w:rPr>
          <w:rFonts w:cs="Arial"/>
          <w:b/>
          <w:color w:val="002F5D"/>
        </w:rPr>
        <w:t>Key point:</w:t>
      </w:r>
    </w:p>
    <w:p w14:paraId="1DCFAF63" w14:textId="25FBFE1E" w:rsidR="00FE110E" w:rsidRPr="00BC4393" w:rsidRDefault="00FE110E" w:rsidP="00FE110E">
      <w:pPr>
        <w:pStyle w:val="ListParagraph"/>
        <w:numPr>
          <w:ilvl w:val="0"/>
          <w:numId w:val="4"/>
        </w:numPr>
        <w:spacing w:line="240" w:lineRule="auto"/>
        <w:rPr>
          <w:rFonts w:cs="Arial"/>
          <w:color w:val="002F5D"/>
        </w:rPr>
      </w:pPr>
      <w:r w:rsidRPr="00BC4393">
        <w:rPr>
          <w:rFonts w:cs="Arial"/>
          <w:color w:val="002F5D"/>
        </w:rPr>
        <w:t>Based on data from the What About YOUth Survey, the percentages of 15 year olds that are current smokers and regular smokers are statistically similar to the England average</w:t>
      </w:r>
      <w:r w:rsidR="00C41741" w:rsidRPr="00BC4393">
        <w:rPr>
          <w:rFonts w:cs="Arial"/>
          <w:color w:val="002F5D"/>
        </w:rPr>
        <w:t>s</w:t>
      </w:r>
      <w:r w:rsidRPr="00BC4393">
        <w:rPr>
          <w:rFonts w:cs="Arial"/>
          <w:color w:val="002F5D"/>
        </w:rPr>
        <w:t>.</w:t>
      </w:r>
    </w:p>
    <w:p w14:paraId="43883671" w14:textId="77777777" w:rsidR="00FE110E" w:rsidRPr="00BC4393" w:rsidRDefault="00FE110E" w:rsidP="0038179C">
      <w:pPr>
        <w:spacing w:line="240" w:lineRule="auto"/>
        <w:rPr>
          <w:rFonts w:cs="Arial"/>
          <w:color w:val="002F5D"/>
        </w:rPr>
      </w:pPr>
    </w:p>
    <w:p w14:paraId="5B9D5FD8" w14:textId="77777777" w:rsidR="00FE110E" w:rsidRPr="009A2AB3" w:rsidRDefault="00FE110E">
      <w:pPr>
        <w:rPr>
          <w:rFonts w:eastAsiaTheme="majorEastAsia" w:cstheme="majorBidi"/>
          <w:b/>
          <w:color w:val="002F5D"/>
        </w:rPr>
      </w:pPr>
      <w:r w:rsidRPr="009A2AB3">
        <w:rPr>
          <w:color w:val="002F5D"/>
        </w:rPr>
        <w:br w:type="page"/>
      </w:r>
    </w:p>
    <w:p w14:paraId="3F72D6A8" w14:textId="77777777" w:rsidR="00800BC8" w:rsidRPr="0037351D" w:rsidRDefault="0043274F" w:rsidP="00A3568F">
      <w:pPr>
        <w:pStyle w:val="JSNA3"/>
      </w:pPr>
      <w:bookmarkStart w:id="758" w:name="_Toc4407856"/>
      <w:r w:rsidRPr="0037351D">
        <w:lastRenderedPageBreak/>
        <w:t>Smoking p</w:t>
      </w:r>
      <w:r w:rsidR="000F6257" w:rsidRPr="0037351D">
        <w:t>revalence in adults</w:t>
      </w:r>
      <w:bookmarkEnd w:id="758"/>
    </w:p>
    <w:p w14:paraId="33A1C82B" w14:textId="77777777" w:rsidR="000F6257" w:rsidRPr="009A2AB3" w:rsidRDefault="000F6257" w:rsidP="0038179C">
      <w:pPr>
        <w:spacing w:line="240" w:lineRule="auto"/>
        <w:rPr>
          <w:rFonts w:cs="Arial"/>
          <w:color w:val="002F5D"/>
        </w:rPr>
      </w:pPr>
    </w:p>
    <w:p w14:paraId="300BF953" w14:textId="639E6D90" w:rsidR="00C7031A" w:rsidRDefault="003A06FA" w:rsidP="00C578AC">
      <w:pPr>
        <w:pStyle w:val="Caption"/>
        <w:rPr>
          <w:rFonts w:cs="Arial"/>
          <w:color w:val="002F5D"/>
        </w:rPr>
      </w:pPr>
      <w:r w:rsidRPr="009A2AB3">
        <w:rPr>
          <w:b/>
          <w:color w:val="002F5D"/>
        </w:rPr>
        <w:t xml:space="preserve">Table </w:t>
      </w:r>
      <w:r w:rsidR="005B71A3">
        <w:rPr>
          <w:b/>
          <w:color w:val="002F5D"/>
        </w:rPr>
        <w:t>38</w:t>
      </w:r>
      <w:r w:rsidR="00800BC8" w:rsidRPr="009A2AB3">
        <w:rPr>
          <w:rFonts w:cs="Arial"/>
          <w:b/>
          <w:color w:val="002F5D"/>
        </w:rPr>
        <w:t>.</w:t>
      </w:r>
      <w:r w:rsidR="00800BC8" w:rsidRPr="009A2AB3">
        <w:rPr>
          <w:rFonts w:cs="Arial"/>
          <w:color w:val="002F5D"/>
        </w:rPr>
        <w:t xml:space="preserve"> Smoking prevalence in adults, 201</w:t>
      </w:r>
      <w:r w:rsidR="00C7031A" w:rsidRPr="009A2AB3">
        <w:rPr>
          <w:rFonts w:cs="Arial"/>
          <w:color w:val="002F5D"/>
        </w:rPr>
        <w:t>7</w:t>
      </w:r>
    </w:p>
    <w:p w14:paraId="3B061B01" w14:textId="5F1CAA0E" w:rsidR="00C7031A" w:rsidRDefault="00C7031A" w:rsidP="00C578AC">
      <w:pPr>
        <w:pStyle w:val="Caption"/>
        <w:rPr>
          <w:rFonts w:cs="Arial"/>
          <w:color w:val="002F5D"/>
        </w:rPr>
      </w:pPr>
    </w:p>
    <w:p w14:paraId="69B4CA94" w14:textId="43A05C29" w:rsidR="00A8352F" w:rsidRDefault="00A8352F" w:rsidP="009A2AB3">
      <w:r w:rsidRPr="00A8352F">
        <w:rPr>
          <w:noProof/>
          <w:lang w:eastAsia="en-GB"/>
        </w:rPr>
        <w:drawing>
          <wp:inline distT="0" distB="0" distL="0" distR="0" wp14:anchorId="11BF68E9" wp14:editId="3805760B">
            <wp:extent cx="4684259" cy="1943100"/>
            <wp:effectExtent l="0" t="0" r="254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88620" cy="1944909"/>
                    </a:xfrm>
                    <a:prstGeom prst="rect">
                      <a:avLst/>
                    </a:prstGeom>
                    <a:noFill/>
                    <a:ln>
                      <a:noFill/>
                    </a:ln>
                  </pic:spPr>
                </pic:pic>
              </a:graphicData>
            </a:graphic>
          </wp:inline>
        </w:drawing>
      </w:r>
    </w:p>
    <w:p w14:paraId="74A0C5FD" w14:textId="77777777" w:rsidR="00C578AC" w:rsidRPr="0037351D" w:rsidRDefault="00C578AC" w:rsidP="00CE2578">
      <w:pPr>
        <w:spacing w:line="240" w:lineRule="auto"/>
        <w:rPr>
          <w:rFonts w:cs="Arial"/>
          <w:color w:val="FF0000"/>
          <w:sz w:val="18"/>
          <w:szCs w:val="18"/>
        </w:rPr>
      </w:pPr>
    </w:p>
    <w:p w14:paraId="56D87B57" w14:textId="77777777" w:rsidR="00CE2578" w:rsidRPr="009A2AB3" w:rsidRDefault="00CE2578" w:rsidP="00CE2578">
      <w:pPr>
        <w:spacing w:line="240" w:lineRule="auto"/>
        <w:rPr>
          <w:rFonts w:cs="Arial"/>
          <w:color w:val="002F5D"/>
          <w:sz w:val="18"/>
          <w:szCs w:val="18"/>
        </w:rPr>
      </w:pPr>
      <w:r w:rsidRPr="009A2AB3">
        <w:rPr>
          <w:rFonts w:cs="Arial"/>
          <w:color w:val="002F5D"/>
          <w:sz w:val="18"/>
          <w:szCs w:val="18"/>
        </w:rPr>
        <w:t>*Value aggregated from all known lower geography values</w:t>
      </w:r>
    </w:p>
    <w:p w14:paraId="4A008FE6" w14:textId="77777777" w:rsidR="00B86765" w:rsidRPr="009A2AB3" w:rsidRDefault="00B86765" w:rsidP="0038179C">
      <w:pPr>
        <w:spacing w:line="240" w:lineRule="auto"/>
        <w:rPr>
          <w:rFonts w:cs="Arial"/>
          <w:color w:val="002F5D"/>
        </w:rPr>
      </w:pPr>
    </w:p>
    <w:p w14:paraId="129D357C" w14:textId="6DC7E1A2" w:rsidR="00800BC8" w:rsidRPr="009A2AB3" w:rsidRDefault="009442F1" w:rsidP="0038179C">
      <w:pPr>
        <w:spacing w:line="240" w:lineRule="auto"/>
        <w:rPr>
          <w:rFonts w:cs="Arial"/>
          <w:b/>
          <w:color w:val="002F5D"/>
        </w:rPr>
      </w:pPr>
      <w:r>
        <w:rPr>
          <w:rFonts w:cs="Arial"/>
          <w:b/>
          <w:noProof/>
          <w:color w:val="002F5D"/>
          <w:lang w:eastAsia="en-GB"/>
        </w:rPr>
        <w:drawing>
          <wp:inline distT="0" distB="0" distL="0" distR="0" wp14:anchorId="5768ED78" wp14:editId="163049CB">
            <wp:extent cx="3804285" cy="615950"/>
            <wp:effectExtent l="0" t="0" r="571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3419A21A" w14:textId="77777777" w:rsidR="00AB711B" w:rsidRPr="009A2AB3" w:rsidRDefault="00AB711B" w:rsidP="0038179C">
      <w:pPr>
        <w:spacing w:line="240" w:lineRule="auto"/>
        <w:rPr>
          <w:rFonts w:cs="Arial"/>
          <w:b/>
          <w:color w:val="002F5D"/>
        </w:rPr>
      </w:pPr>
    </w:p>
    <w:p w14:paraId="566C80EE" w14:textId="7B853715" w:rsidR="00DE094E" w:rsidRPr="009A2AB3" w:rsidRDefault="00800BC8" w:rsidP="0038179C">
      <w:pPr>
        <w:spacing w:line="240" w:lineRule="auto"/>
        <w:rPr>
          <w:rFonts w:cs="Arial"/>
          <w:color w:val="002F5D"/>
        </w:rPr>
      </w:pPr>
      <w:r w:rsidRPr="009A2AB3">
        <w:rPr>
          <w:rFonts w:cs="Arial"/>
          <w:b/>
          <w:color w:val="002F5D"/>
        </w:rPr>
        <w:t>Sources:</w:t>
      </w:r>
      <w:r w:rsidRPr="009A2AB3">
        <w:rPr>
          <w:rFonts w:cs="Arial"/>
          <w:color w:val="002F5D"/>
        </w:rPr>
        <w:t xml:space="preserve"> Public Health England Public Health Outcomes Framework Indicator 2.14 (Annual Population Survey)</w:t>
      </w:r>
    </w:p>
    <w:p w14:paraId="1B9B213A" w14:textId="77777777" w:rsidR="00276E5A" w:rsidRPr="009A2AB3" w:rsidRDefault="00276E5A" w:rsidP="0038179C">
      <w:pPr>
        <w:spacing w:line="240" w:lineRule="auto"/>
        <w:rPr>
          <w:rFonts w:cs="Arial"/>
          <w:color w:val="002F5D"/>
        </w:rPr>
      </w:pPr>
    </w:p>
    <w:p w14:paraId="29565DBA" w14:textId="77777777" w:rsidR="00276E5A" w:rsidRPr="009A2AB3" w:rsidRDefault="00276E5A" w:rsidP="0038179C">
      <w:pPr>
        <w:spacing w:line="240" w:lineRule="auto"/>
        <w:rPr>
          <w:rFonts w:cs="Arial"/>
          <w:b/>
          <w:color w:val="002F5D"/>
        </w:rPr>
      </w:pPr>
      <w:r w:rsidRPr="009A2AB3">
        <w:rPr>
          <w:rFonts w:cs="Arial"/>
          <w:b/>
          <w:color w:val="002F5D"/>
        </w:rPr>
        <w:t>Key points:</w:t>
      </w:r>
    </w:p>
    <w:p w14:paraId="71567020" w14:textId="336AE0BF" w:rsidR="00276E5A" w:rsidRPr="009A2AB3" w:rsidRDefault="00276E5A" w:rsidP="00A938F7">
      <w:pPr>
        <w:pStyle w:val="ListParagraph"/>
        <w:numPr>
          <w:ilvl w:val="0"/>
          <w:numId w:val="3"/>
        </w:numPr>
        <w:spacing w:line="240" w:lineRule="auto"/>
        <w:ind w:left="714" w:hanging="357"/>
        <w:rPr>
          <w:rFonts w:cs="Arial"/>
          <w:color w:val="002F5D"/>
        </w:rPr>
      </w:pPr>
      <w:r w:rsidRPr="009A2AB3">
        <w:rPr>
          <w:rFonts w:cs="Arial"/>
          <w:color w:val="002F5D"/>
        </w:rPr>
        <w:t>Smoking prevalence in adults 18+ is statistically similar to the England average for Cambridgeshire</w:t>
      </w:r>
      <w:r w:rsidR="00185C1D" w:rsidRPr="009A2AB3">
        <w:rPr>
          <w:rFonts w:cs="Arial"/>
          <w:color w:val="002F5D"/>
        </w:rPr>
        <w:t>, Peterborough and Cambridgeshire and Peterborough as a whole.  At 15.</w:t>
      </w:r>
      <w:r w:rsidR="00C7031A" w:rsidRPr="009A2AB3">
        <w:rPr>
          <w:rFonts w:cs="Arial"/>
          <w:color w:val="002F5D"/>
        </w:rPr>
        <w:t>3</w:t>
      </w:r>
      <w:r w:rsidRPr="009A2AB3">
        <w:rPr>
          <w:rFonts w:cs="Arial"/>
          <w:color w:val="002F5D"/>
        </w:rPr>
        <w:t>% however, t</w:t>
      </w:r>
      <w:r w:rsidR="00185C1D" w:rsidRPr="009A2AB3">
        <w:rPr>
          <w:rFonts w:cs="Arial"/>
          <w:color w:val="002F5D"/>
        </w:rPr>
        <w:t>his still equates to just over 10</w:t>
      </w:r>
      <w:r w:rsidR="00C7031A" w:rsidRPr="009A2AB3">
        <w:rPr>
          <w:rFonts w:cs="Arial"/>
          <w:color w:val="002F5D"/>
        </w:rPr>
        <w:t>0</w:t>
      </w:r>
      <w:r w:rsidR="00F23429" w:rsidRPr="009A2AB3">
        <w:rPr>
          <w:rFonts w:cs="Arial"/>
          <w:color w:val="002F5D"/>
        </w:rPr>
        <w:t>,000 adult smokers across the Combined A</w:t>
      </w:r>
      <w:r w:rsidR="00185C1D" w:rsidRPr="009A2AB3">
        <w:rPr>
          <w:rFonts w:cs="Arial"/>
          <w:color w:val="002F5D"/>
        </w:rPr>
        <w:t>uthority</w:t>
      </w:r>
      <w:r w:rsidRPr="009A2AB3">
        <w:rPr>
          <w:rFonts w:cs="Arial"/>
          <w:color w:val="002F5D"/>
        </w:rPr>
        <w:t>.</w:t>
      </w:r>
    </w:p>
    <w:p w14:paraId="173889F2" w14:textId="3946E336" w:rsidR="00C7031A" w:rsidRDefault="00C7031A" w:rsidP="009A2AB3">
      <w:pPr>
        <w:spacing w:line="240" w:lineRule="auto"/>
        <w:rPr>
          <w:rFonts w:cs="Arial"/>
          <w:color w:val="FF0000"/>
        </w:rPr>
      </w:pPr>
    </w:p>
    <w:p w14:paraId="348174A9" w14:textId="77777777" w:rsidR="00C7031A" w:rsidRPr="009A2AB3" w:rsidRDefault="00C7031A" w:rsidP="009A2AB3">
      <w:pPr>
        <w:spacing w:line="240" w:lineRule="auto"/>
        <w:rPr>
          <w:rFonts w:cs="Arial"/>
          <w:color w:val="FF0000"/>
        </w:rPr>
      </w:pPr>
    </w:p>
    <w:p w14:paraId="5B4C9351" w14:textId="77777777" w:rsidR="002F16AF" w:rsidRPr="0037351D" w:rsidRDefault="002F16AF" w:rsidP="002F16AF">
      <w:pPr>
        <w:rPr>
          <w:color w:val="FF0000"/>
        </w:rPr>
      </w:pPr>
    </w:p>
    <w:p w14:paraId="60B8BAFC" w14:textId="77777777" w:rsidR="005108FF" w:rsidRPr="0037351D" w:rsidRDefault="005108FF" w:rsidP="0038179C">
      <w:pPr>
        <w:spacing w:line="240" w:lineRule="auto"/>
        <w:rPr>
          <w:rFonts w:cs="Arial"/>
          <w:b/>
          <w:color w:val="FF0000"/>
        </w:rPr>
      </w:pPr>
    </w:p>
    <w:p w14:paraId="29EA354F" w14:textId="77777777" w:rsidR="005108FF" w:rsidRPr="0037351D" w:rsidRDefault="005108FF">
      <w:pPr>
        <w:rPr>
          <w:rFonts w:eastAsiaTheme="majorEastAsia" w:cstheme="majorBidi"/>
          <w:b/>
          <w:color w:val="FF0000"/>
        </w:rPr>
      </w:pPr>
      <w:r w:rsidRPr="0037351D">
        <w:rPr>
          <w:color w:val="FF0000"/>
        </w:rPr>
        <w:br w:type="page"/>
      </w:r>
    </w:p>
    <w:p w14:paraId="190BD06C" w14:textId="77777777" w:rsidR="00E15C80" w:rsidRPr="0037351D" w:rsidRDefault="005108FF" w:rsidP="00A3568F">
      <w:pPr>
        <w:pStyle w:val="JSNA3"/>
      </w:pPr>
      <w:bookmarkStart w:id="759" w:name="_Toc4407857"/>
      <w:r w:rsidRPr="0037351D">
        <w:lastRenderedPageBreak/>
        <w:t>Smoking cessation</w:t>
      </w:r>
      <w:bookmarkEnd w:id="759"/>
    </w:p>
    <w:p w14:paraId="754785F7" w14:textId="77777777" w:rsidR="00E677D4" w:rsidRPr="009A2AB3" w:rsidRDefault="00E677D4" w:rsidP="003A06FA">
      <w:pPr>
        <w:pStyle w:val="Caption"/>
        <w:rPr>
          <w:b/>
          <w:color w:val="002F5D"/>
        </w:rPr>
      </w:pPr>
    </w:p>
    <w:p w14:paraId="5BF85E12" w14:textId="4230FF63" w:rsidR="008F0A85" w:rsidRDefault="003A06FA" w:rsidP="003A06FA">
      <w:pPr>
        <w:pStyle w:val="Caption"/>
        <w:rPr>
          <w:rFonts w:cs="Arial"/>
          <w:color w:val="002F5D"/>
        </w:rPr>
      </w:pPr>
      <w:r w:rsidRPr="009A2AB3">
        <w:rPr>
          <w:b/>
          <w:color w:val="002F5D"/>
        </w:rPr>
        <w:t xml:space="preserve">Table </w:t>
      </w:r>
      <w:r w:rsidR="005B71A3">
        <w:rPr>
          <w:b/>
          <w:color w:val="002F5D"/>
        </w:rPr>
        <w:t>39</w:t>
      </w:r>
      <w:r w:rsidR="00E15C80" w:rsidRPr="009A2AB3">
        <w:rPr>
          <w:rFonts w:cs="Arial"/>
          <w:b/>
          <w:color w:val="002F5D"/>
        </w:rPr>
        <w:t>.</w:t>
      </w:r>
      <w:r w:rsidR="00E15C80" w:rsidRPr="009A2AB3">
        <w:rPr>
          <w:rFonts w:cs="Arial"/>
          <w:color w:val="002F5D"/>
        </w:rPr>
        <w:t xml:space="preserve"> Smoking cessation</w:t>
      </w:r>
      <w:r w:rsidR="00E677D4" w:rsidRPr="009A2AB3">
        <w:rPr>
          <w:rFonts w:cs="Arial"/>
          <w:color w:val="002F5D"/>
        </w:rPr>
        <w:t xml:space="preserve"> in Cambridgeshire and Peterborough</w:t>
      </w:r>
      <w:r w:rsidR="004C3150" w:rsidRPr="009A2AB3">
        <w:rPr>
          <w:rFonts w:cs="Arial"/>
          <w:color w:val="002F5D"/>
        </w:rPr>
        <w:t>, 20</w:t>
      </w:r>
      <w:r w:rsidR="00E15C80" w:rsidRPr="009A2AB3">
        <w:rPr>
          <w:rFonts w:cs="Arial"/>
          <w:color w:val="002F5D"/>
        </w:rPr>
        <w:t>16</w:t>
      </w:r>
      <w:r w:rsidR="004C3150" w:rsidRPr="009A2AB3">
        <w:rPr>
          <w:rFonts w:cs="Arial"/>
          <w:color w:val="002F5D"/>
        </w:rPr>
        <w:t>/17</w:t>
      </w:r>
    </w:p>
    <w:p w14:paraId="53EB408D" w14:textId="5245D48F" w:rsidR="00E15C80" w:rsidRPr="009A2AB3" w:rsidRDefault="00E15C80" w:rsidP="003A06FA">
      <w:pPr>
        <w:pStyle w:val="Caption"/>
        <w:rPr>
          <w:rFonts w:cs="Arial"/>
          <w:color w:val="002F5D"/>
        </w:rPr>
      </w:pPr>
    </w:p>
    <w:p w14:paraId="61F9FB61" w14:textId="18188655" w:rsidR="0091328F" w:rsidRPr="009A2AB3" w:rsidRDefault="00410C2C" w:rsidP="009A2AB3">
      <w:r w:rsidRPr="00410C2C">
        <w:rPr>
          <w:noProof/>
          <w:lang w:eastAsia="en-GB"/>
        </w:rPr>
        <w:drawing>
          <wp:inline distT="0" distB="0" distL="0" distR="0" wp14:anchorId="1B89E445" wp14:editId="71E72C01">
            <wp:extent cx="6584760" cy="787400"/>
            <wp:effectExtent l="0" t="0" r="698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04782" cy="789794"/>
                    </a:xfrm>
                    <a:prstGeom prst="rect">
                      <a:avLst/>
                    </a:prstGeom>
                    <a:noFill/>
                    <a:ln>
                      <a:noFill/>
                    </a:ln>
                  </pic:spPr>
                </pic:pic>
              </a:graphicData>
            </a:graphic>
          </wp:inline>
        </w:drawing>
      </w:r>
    </w:p>
    <w:p w14:paraId="618D43C0" w14:textId="603E3575" w:rsidR="00AA71FA" w:rsidRDefault="00AA71FA" w:rsidP="0043283A">
      <w:pPr>
        <w:spacing w:line="240" w:lineRule="auto"/>
        <w:rPr>
          <w:color w:val="FF0000"/>
        </w:rPr>
      </w:pPr>
    </w:p>
    <w:p w14:paraId="3A65A763" w14:textId="37EE3D02" w:rsidR="00AA71FA" w:rsidRPr="009A2AB3" w:rsidRDefault="00AA71FA" w:rsidP="0043283A">
      <w:pPr>
        <w:spacing w:line="240" w:lineRule="auto"/>
        <w:rPr>
          <w:color w:val="FF0000"/>
          <w:sz w:val="18"/>
          <w:szCs w:val="18"/>
        </w:rPr>
      </w:pPr>
      <w:r w:rsidRPr="009A2AB3">
        <w:rPr>
          <w:color w:val="002F5D"/>
          <w:sz w:val="18"/>
          <w:szCs w:val="18"/>
        </w:rPr>
        <w:t xml:space="preserve">Note: </w:t>
      </w:r>
      <w:r w:rsidR="007B0275" w:rsidRPr="009A2AB3">
        <w:rPr>
          <w:rFonts w:ascii="Calibri" w:hAnsi="Calibri" w:cs="Calibri"/>
          <w:color w:val="1F497D"/>
          <w:sz w:val="18"/>
          <w:szCs w:val="18"/>
          <w:shd w:val="clear" w:color="auto" w:fill="FFFFFF"/>
        </w:rPr>
        <w:t xml:space="preserve">There could be a source error for the Cambridgeshire and </w:t>
      </w:r>
      <w:r w:rsidR="00E73657" w:rsidRPr="009A2AB3">
        <w:rPr>
          <w:rFonts w:ascii="Calibri" w:hAnsi="Calibri" w:cs="Calibri"/>
          <w:color w:val="1F497D"/>
          <w:sz w:val="18"/>
          <w:szCs w:val="18"/>
          <w:shd w:val="clear" w:color="auto" w:fill="FFFFFF"/>
        </w:rPr>
        <w:t>Peterborough combined rate</w:t>
      </w:r>
      <w:r w:rsidR="00686E05">
        <w:rPr>
          <w:rFonts w:ascii="Calibri" w:hAnsi="Calibri" w:cs="Calibri"/>
          <w:color w:val="1F497D"/>
          <w:sz w:val="18"/>
          <w:szCs w:val="18"/>
          <w:shd w:val="clear" w:color="auto" w:fill="FFFFFF"/>
        </w:rPr>
        <w:t xml:space="preserve"> that we are </w:t>
      </w:r>
      <w:r w:rsidR="007B0275" w:rsidRPr="009A2AB3">
        <w:rPr>
          <w:rFonts w:ascii="Calibri" w:hAnsi="Calibri" w:cs="Calibri"/>
          <w:color w:val="1F497D"/>
          <w:sz w:val="18"/>
          <w:szCs w:val="18"/>
          <w:shd w:val="clear" w:color="auto" w:fill="FFFFFF"/>
        </w:rPr>
        <w:t>investigating and will amend when clarified, making any necessary corrections subsequently on the web version.</w:t>
      </w:r>
    </w:p>
    <w:p w14:paraId="7A11A1DF" w14:textId="77777777" w:rsidR="00AA71FA" w:rsidRPr="0037351D" w:rsidRDefault="00AA71FA" w:rsidP="0043283A">
      <w:pPr>
        <w:spacing w:line="240" w:lineRule="auto"/>
        <w:rPr>
          <w:color w:val="FF0000"/>
        </w:rPr>
      </w:pPr>
    </w:p>
    <w:p w14:paraId="4B74FC6B" w14:textId="77777777" w:rsidR="0086009A" w:rsidRDefault="00891633" w:rsidP="00B86765">
      <w:pPr>
        <w:rPr>
          <w:color w:val="FF0000"/>
        </w:rPr>
      </w:pPr>
      <w:r w:rsidRPr="00891633">
        <w:rPr>
          <w:noProof/>
          <w:lang w:eastAsia="en-GB"/>
        </w:rPr>
        <w:drawing>
          <wp:inline distT="0" distB="0" distL="0" distR="0" wp14:anchorId="166CD336" wp14:editId="2B7ACDB7">
            <wp:extent cx="3467100" cy="453848"/>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90936" cy="456968"/>
                    </a:xfrm>
                    <a:prstGeom prst="rect">
                      <a:avLst/>
                    </a:prstGeom>
                    <a:noFill/>
                    <a:ln>
                      <a:noFill/>
                    </a:ln>
                  </pic:spPr>
                </pic:pic>
              </a:graphicData>
            </a:graphic>
          </wp:inline>
        </w:drawing>
      </w:r>
    </w:p>
    <w:p w14:paraId="764ECF01" w14:textId="0F23698F" w:rsidR="0043274F" w:rsidRPr="0037351D" w:rsidRDefault="0043274F" w:rsidP="009A2AB3">
      <w:pPr>
        <w:spacing w:line="276" w:lineRule="auto"/>
        <w:rPr>
          <w:color w:val="FF0000"/>
          <w:sz w:val="20"/>
          <w:szCs w:val="20"/>
        </w:rPr>
      </w:pPr>
    </w:p>
    <w:p w14:paraId="486861A8" w14:textId="77777777" w:rsidR="00E15C80" w:rsidRPr="009A2AB3" w:rsidRDefault="00E677D4" w:rsidP="0043274F">
      <w:pPr>
        <w:spacing w:line="240" w:lineRule="auto"/>
        <w:rPr>
          <w:color w:val="002F5D"/>
          <w:sz w:val="20"/>
          <w:szCs w:val="20"/>
        </w:rPr>
      </w:pPr>
      <w:r w:rsidRPr="009A2AB3">
        <w:rPr>
          <w:color w:val="002F5D"/>
          <w:sz w:val="20"/>
          <w:szCs w:val="20"/>
        </w:rPr>
        <w:t>* - Not assessed statistically</w:t>
      </w:r>
    </w:p>
    <w:p w14:paraId="67775374" w14:textId="77777777" w:rsidR="00C677DB" w:rsidRPr="009A2AB3" w:rsidRDefault="00C677DB" w:rsidP="0043274F">
      <w:pPr>
        <w:spacing w:line="240" w:lineRule="auto"/>
        <w:rPr>
          <w:rFonts w:ascii="Calibri" w:eastAsia="Times New Roman" w:hAnsi="Calibri" w:cs="Times New Roman"/>
          <w:b/>
          <w:bCs/>
          <w:color w:val="002F5D"/>
          <w:lang w:eastAsia="en-GB"/>
        </w:rPr>
      </w:pPr>
    </w:p>
    <w:p w14:paraId="67C978C8" w14:textId="77777777" w:rsidR="00E15C80" w:rsidRPr="009A2AB3" w:rsidRDefault="00E15C80" w:rsidP="0043274F">
      <w:pPr>
        <w:spacing w:line="240" w:lineRule="auto"/>
        <w:rPr>
          <w:rFonts w:ascii="Calibri" w:eastAsia="Times New Roman" w:hAnsi="Calibri" w:cs="Times New Roman"/>
          <w:color w:val="002F5D"/>
          <w:lang w:eastAsia="en-GB"/>
        </w:rPr>
      </w:pPr>
      <w:r w:rsidRPr="009A2AB3">
        <w:rPr>
          <w:rFonts w:ascii="Calibri" w:eastAsia="Times New Roman" w:hAnsi="Calibri" w:cs="Times New Roman"/>
          <w:b/>
          <w:bCs/>
          <w:color w:val="002F5D"/>
          <w:lang w:eastAsia="en-GB"/>
        </w:rPr>
        <w:t>Source</w:t>
      </w:r>
      <w:r w:rsidRPr="009A2AB3">
        <w:rPr>
          <w:rFonts w:ascii="Calibri" w:eastAsia="Times New Roman" w:hAnsi="Calibri" w:cs="Times New Roman"/>
          <w:color w:val="002F5D"/>
          <w:lang w:eastAsia="en-GB"/>
        </w:rPr>
        <w:t xml:space="preserve">: Public Health England Local Tobacco Control profiles - </w:t>
      </w:r>
      <w:hyperlink r:id="rId151" w:history="1">
        <w:r w:rsidR="00797231" w:rsidRPr="009A2AB3">
          <w:rPr>
            <w:rStyle w:val="Hyperlink"/>
            <w:rFonts w:ascii="Calibri" w:eastAsia="Times New Roman" w:hAnsi="Calibri" w:cs="Times New Roman"/>
            <w:color w:val="002F5D"/>
            <w:lang w:eastAsia="en-GB"/>
          </w:rPr>
          <w:t>https://fingertips.phe.org.uk/profile/tobacco-control</w:t>
        </w:r>
      </w:hyperlink>
      <w:r w:rsidR="00797231" w:rsidRPr="009A2AB3">
        <w:rPr>
          <w:rFonts w:ascii="Calibri" w:eastAsia="Times New Roman" w:hAnsi="Calibri" w:cs="Times New Roman"/>
          <w:color w:val="002F5D"/>
          <w:lang w:eastAsia="en-GB"/>
        </w:rPr>
        <w:t xml:space="preserve"> </w:t>
      </w:r>
    </w:p>
    <w:p w14:paraId="372B8339" w14:textId="77777777" w:rsidR="00E15C80" w:rsidRPr="009A2AB3" w:rsidRDefault="00E15C80" w:rsidP="0043274F">
      <w:pPr>
        <w:spacing w:line="240" w:lineRule="auto"/>
        <w:rPr>
          <w:color w:val="002F5D"/>
          <w:sz w:val="20"/>
          <w:szCs w:val="20"/>
        </w:rPr>
      </w:pPr>
    </w:p>
    <w:p w14:paraId="1B55F122" w14:textId="77777777" w:rsidR="00E15C80" w:rsidRPr="009A2AB3" w:rsidRDefault="00E15C80" w:rsidP="0043274F">
      <w:pPr>
        <w:spacing w:line="240" w:lineRule="auto"/>
        <w:rPr>
          <w:b/>
          <w:color w:val="002F5D"/>
        </w:rPr>
      </w:pPr>
      <w:r w:rsidRPr="009A2AB3">
        <w:rPr>
          <w:b/>
          <w:color w:val="002F5D"/>
        </w:rPr>
        <w:t>Key points:</w:t>
      </w:r>
    </w:p>
    <w:p w14:paraId="5045EAFE" w14:textId="40E5D268" w:rsidR="00E15C80" w:rsidRPr="009A2AB3" w:rsidRDefault="00E677D4" w:rsidP="0043274F">
      <w:pPr>
        <w:pStyle w:val="ListParagraph"/>
        <w:numPr>
          <w:ilvl w:val="0"/>
          <w:numId w:val="4"/>
        </w:numPr>
        <w:spacing w:line="240" w:lineRule="auto"/>
        <w:ind w:left="714" w:hanging="357"/>
        <w:rPr>
          <w:color w:val="002F5D"/>
        </w:rPr>
      </w:pPr>
      <w:r w:rsidRPr="009A2AB3">
        <w:rPr>
          <w:color w:val="002F5D"/>
        </w:rPr>
        <w:t xml:space="preserve">Cambridgeshire and Peterborough have </w:t>
      </w:r>
      <w:r w:rsidR="00337D94" w:rsidRPr="009A2AB3">
        <w:rPr>
          <w:color w:val="002F5D"/>
        </w:rPr>
        <w:t xml:space="preserve">statistically significantly </w:t>
      </w:r>
      <w:r w:rsidRPr="009A2AB3">
        <w:rPr>
          <w:color w:val="002F5D"/>
        </w:rPr>
        <w:t>higher</w:t>
      </w:r>
      <w:r w:rsidR="00E15C80" w:rsidRPr="009A2AB3">
        <w:rPr>
          <w:color w:val="002F5D"/>
        </w:rPr>
        <w:t xml:space="preserve"> rates of </w:t>
      </w:r>
      <w:r w:rsidR="00337D94" w:rsidRPr="00E73657">
        <w:rPr>
          <w:color w:val="002F5D"/>
        </w:rPr>
        <w:t xml:space="preserve">smokers setting a quit date and </w:t>
      </w:r>
      <w:r w:rsidR="00E15C80" w:rsidRPr="009A2AB3">
        <w:rPr>
          <w:color w:val="002F5D"/>
        </w:rPr>
        <w:t>validated smoking quitters compared with England</w:t>
      </w:r>
    </w:p>
    <w:p w14:paraId="47E70FB4" w14:textId="32C3D608" w:rsidR="00E15C80" w:rsidRPr="009A2AB3" w:rsidRDefault="00E15C80" w:rsidP="0043274F">
      <w:pPr>
        <w:pStyle w:val="ListParagraph"/>
        <w:numPr>
          <w:ilvl w:val="0"/>
          <w:numId w:val="4"/>
        </w:numPr>
        <w:spacing w:line="240" w:lineRule="auto"/>
        <w:ind w:left="714" w:hanging="357"/>
        <w:rPr>
          <w:color w:val="002F5D"/>
        </w:rPr>
      </w:pPr>
      <w:r w:rsidRPr="009A2AB3">
        <w:rPr>
          <w:color w:val="002F5D"/>
        </w:rPr>
        <w:t>Cambridgeshire ha</w:t>
      </w:r>
      <w:r w:rsidR="00E677D4" w:rsidRPr="009A2AB3">
        <w:rPr>
          <w:color w:val="002F5D"/>
        </w:rPr>
        <w:t>s a similar</w:t>
      </w:r>
      <w:r w:rsidRPr="009A2AB3">
        <w:rPr>
          <w:color w:val="002F5D"/>
        </w:rPr>
        <w:t xml:space="preserve"> completeness rate </w:t>
      </w:r>
      <w:r w:rsidR="00E677D4" w:rsidRPr="009A2AB3">
        <w:rPr>
          <w:color w:val="002F5D"/>
        </w:rPr>
        <w:t>of 91.</w:t>
      </w:r>
      <w:r w:rsidR="00337D94" w:rsidRPr="009A2AB3">
        <w:rPr>
          <w:color w:val="002F5D"/>
        </w:rPr>
        <w:t>0</w:t>
      </w:r>
      <w:r w:rsidR="00E677D4" w:rsidRPr="009A2AB3">
        <w:rPr>
          <w:color w:val="002F5D"/>
        </w:rPr>
        <w:t xml:space="preserve">% </w:t>
      </w:r>
      <w:r w:rsidRPr="009A2AB3">
        <w:rPr>
          <w:color w:val="002F5D"/>
        </w:rPr>
        <w:t>for NS-SEC (social class) recording compared to England. Note, however, that Cambridgeshire Stop Smoking Services record data about routine and manual workers who stop smoking and geographic and GP based data to address inequalities.</w:t>
      </w:r>
      <w:r w:rsidR="00E677D4" w:rsidRPr="009A2AB3">
        <w:rPr>
          <w:color w:val="002F5D"/>
        </w:rPr>
        <w:t xml:space="preserve">  Peterborough has 100% completeness for NS-SEC (social class) recording.</w:t>
      </w:r>
    </w:p>
    <w:p w14:paraId="0652519F" w14:textId="1870C124" w:rsidR="00916539" w:rsidRPr="009A2AB3" w:rsidRDefault="00916539" w:rsidP="0043274F">
      <w:pPr>
        <w:pStyle w:val="ListParagraph"/>
        <w:numPr>
          <w:ilvl w:val="0"/>
          <w:numId w:val="4"/>
        </w:numPr>
        <w:spacing w:line="240" w:lineRule="auto"/>
        <w:rPr>
          <w:color w:val="002F5D"/>
        </w:rPr>
      </w:pPr>
      <w:r w:rsidRPr="009A2AB3">
        <w:rPr>
          <w:color w:val="002F5D"/>
        </w:rPr>
        <w:t>In 201</w:t>
      </w:r>
      <w:r w:rsidR="00337D94" w:rsidRPr="009A2AB3">
        <w:rPr>
          <w:color w:val="002F5D"/>
        </w:rPr>
        <w:t>7</w:t>
      </w:r>
      <w:r w:rsidRPr="009A2AB3">
        <w:rPr>
          <w:color w:val="002F5D"/>
        </w:rPr>
        <w:t>/1</w:t>
      </w:r>
      <w:r w:rsidR="00337D94" w:rsidRPr="009A2AB3">
        <w:rPr>
          <w:color w:val="002F5D"/>
        </w:rPr>
        <w:t xml:space="preserve">8 </w:t>
      </w:r>
      <w:r w:rsidR="008A2EC4" w:rsidRPr="009A2AB3">
        <w:rPr>
          <w:color w:val="002F5D"/>
        </w:rPr>
        <w:t xml:space="preserve">quit </w:t>
      </w:r>
      <w:r w:rsidRPr="009A2AB3">
        <w:rPr>
          <w:color w:val="002F5D"/>
        </w:rPr>
        <w:t xml:space="preserve">rates per 100,000 smokers </w:t>
      </w:r>
      <w:r w:rsidR="00337D94" w:rsidRPr="009A2AB3">
        <w:rPr>
          <w:color w:val="002F5D"/>
        </w:rPr>
        <w:t>de</w:t>
      </w:r>
      <w:r w:rsidRPr="009A2AB3">
        <w:rPr>
          <w:color w:val="002F5D"/>
        </w:rPr>
        <w:t xml:space="preserve">creased </w:t>
      </w:r>
      <w:r w:rsidR="00337D94" w:rsidRPr="009A2AB3">
        <w:rPr>
          <w:color w:val="002F5D"/>
        </w:rPr>
        <w:t xml:space="preserve">slightly </w:t>
      </w:r>
      <w:r w:rsidRPr="009A2AB3">
        <w:rPr>
          <w:color w:val="002F5D"/>
        </w:rPr>
        <w:t>in Cambridgeshire compared with 201</w:t>
      </w:r>
      <w:r w:rsidR="00337D94" w:rsidRPr="009A2AB3">
        <w:rPr>
          <w:color w:val="002F5D"/>
        </w:rPr>
        <w:t>6</w:t>
      </w:r>
      <w:r w:rsidRPr="009A2AB3">
        <w:rPr>
          <w:color w:val="002F5D"/>
        </w:rPr>
        <w:t>/1</w:t>
      </w:r>
      <w:r w:rsidR="00337D94" w:rsidRPr="009A2AB3">
        <w:rPr>
          <w:color w:val="002F5D"/>
        </w:rPr>
        <w:t>7</w:t>
      </w:r>
      <w:r w:rsidR="00E677D4" w:rsidRPr="009A2AB3">
        <w:rPr>
          <w:color w:val="002F5D"/>
        </w:rPr>
        <w:t>.</w:t>
      </w:r>
      <w:r w:rsidRPr="009A2AB3">
        <w:rPr>
          <w:color w:val="002F5D"/>
        </w:rPr>
        <w:t xml:space="preserve"> Cambridgeshire’s rate of succe</w:t>
      </w:r>
      <w:r w:rsidR="0044078F" w:rsidRPr="009A2AB3">
        <w:rPr>
          <w:color w:val="002F5D"/>
        </w:rPr>
        <w:t>ssful 4 week quitters was 2,7</w:t>
      </w:r>
      <w:r w:rsidR="00337D94" w:rsidRPr="009A2AB3">
        <w:rPr>
          <w:color w:val="002F5D"/>
        </w:rPr>
        <w:t>23</w:t>
      </w:r>
      <w:r w:rsidR="0044078F" w:rsidRPr="009A2AB3">
        <w:rPr>
          <w:color w:val="002F5D"/>
        </w:rPr>
        <w:t xml:space="preserve"> compared to the England rate of 2,</w:t>
      </w:r>
      <w:r w:rsidR="00337D94" w:rsidRPr="009A2AB3">
        <w:rPr>
          <w:color w:val="002F5D"/>
        </w:rPr>
        <w:t>020</w:t>
      </w:r>
      <w:r w:rsidR="0044078F" w:rsidRPr="009A2AB3">
        <w:rPr>
          <w:color w:val="002F5D"/>
        </w:rPr>
        <w:t>.  In Peterborough the 201</w:t>
      </w:r>
      <w:r w:rsidR="00337D94" w:rsidRPr="009A2AB3">
        <w:rPr>
          <w:color w:val="002F5D"/>
        </w:rPr>
        <w:t>7</w:t>
      </w:r>
      <w:r w:rsidR="0044078F" w:rsidRPr="009A2AB3">
        <w:rPr>
          <w:color w:val="002F5D"/>
        </w:rPr>
        <w:t>/1</w:t>
      </w:r>
      <w:r w:rsidR="00337D94" w:rsidRPr="009A2AB3">
        <w:rPr>
          <w:color w:val="002F5D"/>
        </w:rPr>
        <w:t>8</w:t>
      </w:r>
      <w:r w:rsidR="0044078F" w:rsidRPr="009A2AB3">
        <w:rPr>
          <w:color w:val="002F5D"/>
        </w:rPr>
        <w:t xml:space="preserve"> rate</w:t>
      </w:r>
      <w:r w:rsidR="00337D94" w:rsidRPr="009A2AB3">
        <w:rPr>
          <w:color w:val="002F5D"/>
        </w:rPr>
        <w:t xml:space="preserve"> increased compared with 2016/17. Peterborough’s rate of successful 4 week quitters</w:t>
      </w:r>
      <w:r w:rsidR="0044078F" w:rsidRPr="009A2AB3">
        <w:rPr>
          <w:color w:val="002F5D"/>
        </w:rPr>
        <w:t xml:space="preserve"> </w:t>
      </w:r>
      <w:r w:rsidR="00337D94" w:rsidRPr="009A2AB3">
        <w:rPr>
          <w:color w:val="002F5D"/>
        </w:rPr>
        <w:t>3,741</w:t>
      </w:r>
      <w:r w:rsidR="0044078F" w:rsidRPr="009A2AB3">
        <w:rPr>
          <w:color w:val="002F5D"/>
        </w:rPr>
        <w:t xml:space="preserve"> was higher than the England rate</w:t>
      </w:r>
      <w:r w:rsidR="00337D94" w:rsidRPr="009A2AB3">
        <w:rPr>
          <w:color w:val="002F5D"/>
        </w:rPr>
        <w:t xml:space="preserve"> of 2,070</w:t>
      </w:r>
      <w:r w:rsidR="0044078F" w:rsidRPr="009A2AB3">
        <w:rPr>
          <w:color w:val="002F5D"/>
        </w:rPr>
        <w:t xml:space="preserve">.  </w:t>
      </w:r>
      <w:r w:rsidRPr="009A2AB3">
        <w:rPr>
          <w:color w:val="002F5D"/>
        </w:rPr>
        <w:t>The rate of CO validated quitters had also r</w:t>
      </w:r>
      <w:r w:rsidR="0044078F" w:rsidRPr="009A2AB3">
        <w:rPr>
          <w:color w:val="002F5D"/>
        </w:rPr>
        <w:t xml:space="preserve">isen </w:t>
      </w:r>
      <w:r w:rsidR="00337D94" w:rsidRPr="009A2AB3">
        <w:rPr>
          <w:color w:val="002F5D"/>
        </w:rPr>
        <w:t xml:space="preserve">in </w:t>
      </w:r>
      <w:r w:rsidR="0044078F" w:rsidRPr="009A2AB3">
        <w:rPr>
          <w:color w:val="002F5D"/>
        </w:rPr>
        <w:t>Peterborough to 2,</w:t>
      </w:r>
      <w:r w:rsidR="00337D94" w:rsidRPr="009A2AB3">
        <w:rPr>
          <w:color w:val="002F5D"/>
        </w:rPr>
        <w:t>786</w:t>
      </w:r>
      <w:r w:rsidR="0044078F" w:rsidRPr="009A2AB3">
        <w:rPr>
          <w:color w:val="002F5D"/>
        </w:rPr>
        <w:t>,</w:t>
      </w:r>
      <w:r w:rsidRPr="009A2AB3">
        <w:rPr>
          <w:color w:val="002F5D"/>
        </w:rPr>
        <w:t xml:space="preserve"> but had fallen </w:t>
      </w:r>
      <w:r w:rsidR="00337D94" w:rsidRPr="009A2AB3">
        <w:rPr>
          <w:color w:val="002F5D"/>
        </w:rPr>
        <w:t xml:space="preserve">in Cambridgeshire to 1,545 and </w:t>
      </w:r>
      <w:r w:rsidRPr="009A2AB3">
        <w:rPr>
          <w:color w:val="002F5D"/>
        </w:rPr>
        <w:t>in England to 1,</w:t>
      </w:r>
      <w:r w:rsidR="00337D94" w:rsidRPr="009A2AB3">
        <w:rPr>
          <w:color w:val="002F5D"/>
        </w:rPr>
        <w:t xml:space="preserve">477 </w:t>
      </w:r>
      <w:r w:rsidRPr="009A2AB3">
        <w:rPr>
          <w:color w:val="002F5D"/>
        </w:rPr>
        <w:t>per 100,000 smokers.</w:t>
      </w:r>
    </w:p>
    <w:p w14:paraId="1F120373" w14:textId="77777777" w:rsidR="0029512D" w:rsidRPr="0037351D" w:rsidRDefault="0029512D">
      <w:pPr>
        <w:rPr>
          <w:rFonts w:cs="Arial"/>
          <w:b/>
          <w:color w:val="FF0000"/>
        </w:rPr>
      </w:pPr>
    </w:p>
    <w:p w14:paraId="1375C8B2" w14:textId="77777777" w:rsidR="008975BF" w:rsidRDefault="008975BF">
      <w:pPr>
        <w:rPr>
          <w:color w:val="FF0000"/>
        </w:rPr>
      </w:pPr>
    </w:p>
    <w:p w14:paraId="31508D8A" w14:textId="77777777" w:rsidR="008975BF" w:rsidRDefault="008975BF">
      <w:pPr>
        <w:rPr>
          <w:color w:val="FF0000"/>
        </w:rPr>
      </w:pPr>
    </w:p>
    <w:p w14:paraId="55D26F67" w14:textId="77777777" w:rsidR="008975BF" w:rsidRDefault="008975BF">
      <w:pPr>
        <w:rPr>
          <w:color w:val="FF0000"/>
        </w:rPr>
      </w:pPr>
    </w:p>
    <w:p w14:paraId="3CBFB6B7" w14:textId="77777777" w:rsidR="008975BF" w:rsidRDefault="008975BF">
      <w:pPr>
        <w:rPr>
          <w:color w:val="FF0000"/>
        </w:rPr>
      </w:pPr>
    </w:p>
    <w:p w14:paraId="51584960" w14:textId="77777777" w:rsidR="008975BF" w:rsidRDefault="008975BF">
      <w:pPr>
        <w:rPr>
          <w:color w:val="FF0000"/>
        </w:rPr>
      </w:pPr>
    </w:p>
    <w:p w14:paraId="2FD943E0" w14:textId="77777777" w:rsidR="008975BF" w:rsidRDefault="008975BF">
      <w:pPr>
        <w:rPr>
          <w:color w:val="FF0000"/>
        </w:rPr>
      </w:pPr>
    </w:p>
    <w:p w14:paraId="505A22E6" w14:textId="77777777" w:rsidR="008975BF" w:rsidRDefault="008975BF">
      <w:pPr>
        <w:rPr>
          <w:color w:val="FF0000"/>
        </w:rPr>
      </w:pPr>
    </w:p>
    <w:p w14:paraId="105B954F" w14:textId="77777777" w:rsidR="008975BF" w:rsidRDefault="008975BF">
      <w:pPr>
        <w:rPr>
          <w:color w:val="FF0000"/>
        </w:rPr>
      </w:pPr>
    </w:p>
    <w:p w14:paraId="68D15340" w14:textId="77777777" w:rsidR="008975BF" w:rsidRDefault="008975BF">
      <w:pPr>
        <w:rPr>
          <w:color w:val="FF0000"/>
        </w:rPr>
      </w:pPr>
    </w:p>
    <w:p w14:paraId="7E04AE5B" w14:textId="77777777" w:rsidR="008975BF" w:rsidRDefault="008975BF">
      <w:pPr>
        <w:rPr>
          <w:color w:val="FF0000"/>
        </w:rPr>
      </w:pPr>
    </w:p>
    <w:p w14:paraId="0E5A5B29" w14:textId="77777777" w:rsidR="008975BF" w:rsidRDefault="008975BF">
      <w:pPr>
        <w:rPr>
          <w:color w:val="FF0000"/>
        </w:rPr>
      </w:pPr>
    </w:p>
    <w:p w14:paraId="32D5BC81" w14:textId="77777777" w:rsidR="008975BF" w:rsidRDefault="008975BF">
      <w:pPr>
        <w:rPr>
          <w:color w:val="FF0000"/>
        </w:rPr>
      </w:pPr>
    </w:p>
    <w:p w14:paraId="4EAFC631" w14:textId="77777777" w:rsidR="008975BF" w:rsidRDefault="008975BF">
      <w:pPr>
        <w:rPr>
          <w:color w:val="FF0000"/>
        </w:rPr>
      </w:pPr>
    </w:p>
    <w:p w14:paraId="367CDC60" w14:textId="77777777" w:rsidR="008975BF" w:rsidRDefault="008975BF">
      <w:pPr>
        <w:rPr>
          <w:color w:val="FF0000"/>
        </w:rPr>
      </w:pPr>
    </w:p>
    <w:p w14:paraId="605DA6E9" w14:textId="77777777" w:rsidR="008975BF" w:rsidRDefault="008975BF">
      <w:pPr>
        <w:rPr>
          <w:color w:val="FF0000"/>
        </w:rPr>
      </w:pPr>
    </w:p>
    <w:p w14:paraId="111B1F95" w14:textId="73E985D6" w:rsidR="00DE4681" w:rsidRPr="0037351D" w:rsidRDefault="00DE4681">
      <w:pPr>
        <w:rPr>
          <w:rFonts w:eastAsiaTheme="majorEastAsia" w:cs="Arial"/>
          <w:b/>
          <w:color w:val="FF0000"/>
          <w:sz w:val="24"/>
          <w:szCs w:val="26"/>
        </w:rPr>
      </w:pPr>
    </w:p>
    <w:p w14:paraId="58975192" w14:textId="77777777" w:rsidR="005108FF" w:rsidRPr="007B2AC1" w:rsidRDefault="005108FF" w:rsidP="000F6257">
      <w:pPr>
        <w:pStyle w:val="JSNA2"/>
      </w:pPr>
      <w:bookmarkStart w:id="760" w:name="_Toc4407858"/>
      <w:r w:rsidRPr="007B2AC1">
        <w:lastRenderedPageBreak/>
        <w:t>Alcohol use</w:t>
      </w:r>
      <w:bookmarkEnd w:id="760"/>
    </w:p>
    <w:p w14:paraId="402141F4" w14:textId="77777777" w:rsidR="005108FF" w:rsidRPr="0037351D" w:rsidRDefault="005108FF" w:rsidP="005108FF">
      <w:pPr>
        <w:spacing w:line="240" w:lineRule="auto"/>
        <w:rPr>
          <w:rFonts w:cs="Arial"/>
          <w:color w:val="FF0000"/>
          <w:u w:val="single"/>
        </w:rPr>
      </w:pPr>
    </w:p>
    <w:p w14:paraId="56EC0767" w14:textId="77777777" w:rsidR="000F6257" w:rsidRPr="0037351D" w:rsidRDefault="000F6257" w:rsidP="00A3568F">
      <w:pPr>
        <w:pStyle w:val="JSNA3"/>
      </w:pPr>
      <w:bookmarkStart w:id="761" w:name="_Toc4407859"/>
      <w:r w:rsidRPr="0037351D">
        <w:t>Children</w:t>
      </w:r>
      <w:bookmarkEnd w:id="761"/>
    </w:p>
    <w:p w14:paraId="37E4EB7C" w14:textId="77777777" w:rsidR="000F6257" w:rsidRPr="0037351D" w:rsidRDefault="000F6257" w:rsidP="0043274F">
      <w:pPr>
        <w:spacing w:line="240" w:lineRule="auto"/>
        <w:rPr>
          <w:rFonts w:cs="Arial"/>
          <w:color w:val="FF0000"/>
          <w:sz w:val="16"/>
          <w:szCs w:val="16"/>
          <w:u w:val="single"/>
        </w:rPr>
      </w:pPr>
    </w:p>
    <w:p w14:paraId="642AD18E" w14:textId="36101796" w:rsidR="005108FF" w:rsidRPr="00D3587B" w:rsidRDefault="003A06FA" w:rsidP="0043274F">
      <w:pPr>
        <w:pStyle w:val="Caption"/>
        <w:rPr>
          <w:rFonts w:cs="Arial"/>
          <w:color w:val="002F5D"/>
        </w:rPr>
      </w:pPr>
      <w:r w:rsidRPr="00D3587B">
        <w:rPr>
          <w:b/>
          <w:color w:val="002F5D"/>
        </w:rPr>
        <w:t xml:space="preserve">Table </w:t>
      </w:r>
      <w:r w:rsidR="005B71A3">
        <w:rPr>
          <w:b/>
          <w:color w:val="002F5D"/>
        </w:rPr>
        <w:t>40</w:t>
      </w:r>
      <w:r w:rsidR="005108FF" w:rsidRPr="00D3587B">
        <w:rPr>
          <w:rFonts w:cs="Arial"/>
          <w:b/>
          <w:color w:val="002F5D"/>
        </w:rPr>
        <w:t>.</w:t>
      </w:r>
      <w:r w:rsidR="005108FF" w:rsidRPr="00D3587B">
        <w:rPr>
          <w:rFonts w:cs="Arial"/>
          <w:color w:val="002F5D"/>
        </w:rPr>
        <w:t xml:space="preserve"> Drinki</w:t>
      </w:r>
      <w:r w:rsidR="0044078F" w:rsidRPr="00D3587B">
        <w:rPr>
          <w:rFonts w:cs="Arial"/>
          <w:color w:val="002F5D"/>
        </w:rPr>
        <w:t>ng behaviours in 15 year olds</w:t>
      </w:r>
      <w:r w:rsidR="005108FF" w:rsidRPr="00D3587B">
        <w:rPr>
          <w:rFonts w:cs="Arial"/>
          <w:color w:val="002F5D"/>
        </w:rPr>
        <w:t>, 2014/15</w:t>
      </w:r>
    </w:p>
    <w:p w14:paraId="59B628CC" w14:textId="77777777" w:rsidR="0044078F" w:rsidRPr="00D3587B" w:rsidRDefault="0044078F" w:rsidP="0043274F">
      <w:pPr>
        <w:spacing w:line="240" w:lineRule="auto"/>
        <w:rPr>
          <w:color w:val="002F5D"/>
          <w:sz w:val="16"/>
          <w:szCs w:val="16"/>
        </w:rPr>
      </w:pPr>
    </w:p>
    <w:p w14:paraId="3C480FBF" w14:textId="77777777" w:rsidR="005108FF" w:rsidRPr="00D3587B" w:rsidRDefault="0044078F" w:rsidP="005108FF">
      <w:pPr>
        <w:spacing w:line="240" w:lineRule="auto"/>
        <w:rPr>
          <w:rFonts w:cs="Arial"/>
          <w:color w:val="002F5D"/>
        </w:rPr>
      </w:pPr>
      <w:r w:rsidRPr="00D3587B">
        <w:rPr>
          <w:noProof/>
          <w:color w:val="002F5D"/>
          <w:lang w:eastAsia="en-GB"/>
        </w:rPr>
        <w:drawing>
          <wp:inline distT="0" distB="0" distL="0" distR="0" wp14:anchorId="0C51242F" wp14:editId="1FE5E7FB">
            <wp:extent cx="4848046" cy="129761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63499" cy="1301754"/>
                    </a:xfrm>
                    <a:prstGeom prst="rect">
                      <a:avLst/>
                    </a:prstGeom>
                    <a:noFill/>
                    <a:ln>
                      <a:noFill/>
                    </a:ln>
                  </pic:spPr>
                </pic:pic>
              </a:graphicData>
            </a:graphic>
          </wp:inline>
        </w:drawing>
      </w:r>
    </w:p>
    <w:p w14:paraId="3390F2F8" w14:textId="77777777" w:rsidR="00B86765" w:rsidRPr="00D3587B" w:rsidRDefault="00B86765" w:rsidP="0043274F">
      <w:pPr>
        <w:spacing w:line="240" w:lineRule="auto"/>
        <w:rPr>
          <w:rFonts w:cs="Arial"/>
          <w:color w:val="002F5D"/>
          <w:sz w:val="18"/>
          <w:szCs w:val="18"/>
        </w:rPr>
      </w:pPr>
      <w:r w:rsidRPr="00D3587B">
        <w:rPr>
          <w:rFonts w:cs="Arial"/>
          <w:color w:val="002F5D"/>
          <w:sz w:val="18"/>
          <w:szCs w:val="18"/>
        </w:rPr>
        <w:t>Cambridgeshire and Peterborough data not available</w:t>
      </w:r>
    </w:p>
    <w:p w14:paraId="5AC5F31A" w14:textId="36EC7FB2" w:rsidR="005108FF" w:rsidRDefault="005108FF" w:rsidP="0043274F">
      <w:pPr>
        <w:spacing w:line="240" w:lineRule="auto"/>
        <w:rPr>
          <w:rFonts w:cs="Arial"/>
          <w:color w:val="002F5D"/>
          <w:sz w:val="16"/>
          <w:szCs w:val="16"/>
        </w:rPr>
      </w:pPr>
    </w:p>
    <w:p w14:paraId="29EB9A5F" w14:textId="61D42FE1" w:rsidR="009442F1" w:rsidRDefault="009442F1" w:rsidP="0043274F">
      <w:pPr>
        <w:spacing w:line="240" w:lineRule="auto"/>
        <w:rPr>
          <w:rFonts w:cs="Arial"/>
          <w:color w:val="002F5D"/>
          <w:sz w:val="16"/>
          <w:szCs w:val="16"/>
        </w:rPr>
      </w:pPr>
      <w:r>
        <w:rPr>
          <w:rFonts w:cs="Arial"/>
          <w:noProof/>
          <w:color w:val="002F5D"/>
          <w:sz w:val="16"/>
          <w:szCs w:val="16"/>
          <w:lang w:eastAsia="en-GB"/>
        </w:rPr>
        <w:drawing>
          <wp:inline distT="0" distB="0" distL="0" distR="0" wp14:anchorId="07D1D080" wp14:editId="61179C4D">
            <wp:extent cx="3804285" cy="615950"/>
            <wp:effectExtent l="0" t="0" r="571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04285" cy="615950"/>
                    </a:xfrm>
                    <a:prstGeom prst="rect">
                      <a:avLst/>
                    </a:prstGeom>
                    <a:noFill/>
                  </pic:spPr>
                </pic:pic>
              </a:graphicData>
            </a:graphic>
          </wp:inline>
        </w:drawing>
      </w:r>
    </w:p>
    <w:p w14:paraId="25315AFC" w14:textId="77777777" w:rsidR="005108FF" w:rsidRPr="00D3587B" w:rsidRDefault="005108FF" w:rsidP="0043274F">
      <w:pPr>
        <w:spacing w:line="240" w:lineRule="auto"/>
        <w:rPr>
          <w:rFonts w:cs="Arial"/>
          <w:b/>
          <w:color w:val="002F5D"/>
          <w:sz w:val="16"/>
          <w:szCs w:val="16"/>
        </w:rPr>
      </w:pPr>
    </w:p>
    <w:p w14:paraId="717C3768" w14:textId="77777777" w:rsidR="005108FF" w:rsidRPr="00515F04" w:rsidRDefault="005108FF" w:rsidP="0043274F">
      <w:pPr>
        <w:spacing w:line="240" w:lineRule="auto"/>
        <w:rPr>
          <w:rFonts w:cs="Arial"/>
          <w:color w:val="002F5D"/>
        </w:rPr>
      </w:pPr>
      <w:r w:rsidRPr="00515F04">
        <w:rPr>
          <w:rFonts w:cs="Arial"/>
          <w:b/>
          <w:color w:val="002F5D"/>
        </w:rPr>
        <w:t>Source:</w:t>
      </w:r>
      <w:r w:rsidRPr="00515F04">
        <w:rPr>
          <w:rFonts w:cs="Arial"/>
          <w:color w:val="002F5D"/>
        </w:rPr>
        <w:t xml:space="preserve"> Public Health England, What About YOUth (WAY) Survey</w:t>
      </w:r>
    </w:p>
    <w:p w14:paraId="45668405" w14:textId="77777777" w:rsidR="005108FF" w:rsidRPr="00515F04" w:rsidRDefault="005108FF" w:rsidP="0043274F">
      <w:pPr>
        <w:spacing w:line="240" w:lineRule="auto"/>
        <w:rPr>
          <w:rFonts w:cs="Arial"/>
          <w:color w:val="002F5D"/>
          <w:sz w:val="16"/>
          <w:szCs w:val="16"/>
        </w:rPr>
      </w:pPr>
    </w:p>
    <w:p w14:paraId="08E39BBF" w14:textId="77777777" w:rsidR="005108FF" w:rsidRPr="00515F04" w:rsidRDefault="005108FF" w:rsidP="0043274F">
      <w:pPr>
        <w:spacing w:line="240" w:lineRule="auto"/>
        <w:rPr>
          <w:rFonts w:cs="Arial"/>
          <w:b/>
          <w:color w:val="002F5D"/>
        </w:rPr>
      </w:pPr>
      <w:r w:rsidRPr="00515F04">
        <w:rPr>
          <w:rFonts w:cs="Arial"/>
          <w:b/>
          <w:color w:val="002F5D"/>
        </w:rPr>
        <w:t>Key point</w:t>
      </w:r>
      <w:r w:rsidR="0044078F" w:rsidRPr="00515F04">
        <w:rPr>
          <w:rFonts w:cs="Arial"/>
          <w:b/>
          <w:color w:val="002F5D"/>
        </w:rPr>
        <w:t>s</w:t>
      </w:r>
      <w:r w:rsidRPr="00515F04">
        <w:rPr>
          <w:rFonts w:cs="Arial"/>
          <w:b/>
          <w:color w:val="002F5D"/>
        </w:rPr>
        <w:t>:</w:t>
      </w:r>
    </w:p>
    <w:p w14:paraId="1EDA9F64" w14:textId="77777777" w:rsidR="005108FF" w:rsidRPr="00515F04" w:rsidRDefault="005108FF" w:rsidP="0043274F">
      <w:pPr>
        <w:pStyle w:val="ListParagraph"/>
        <w:numPr>
          <w:ilvl w:val="0"/>
          <w:numId w:val="4"/>
        </w:numPr>
        <w:spacing w:line="240" w:lineRule="auto"/>
        <w:rPr>
          <w:rFonts w:cs="Arial"/>
          <w:color w:val="002F5D"/>
        </w:rPr>
      </w:pPr>
      <w:r w:rsidRPr="00515F04">
        <w:rPr>
          <w:rFonts w:cs="Arial"/>
          <w:color w:val="002F5D"/>
        </w:rPr>
        <w:t xml:space="preserve">Based on the What About YOUth Survey, the percentage of 15 year olds in Cambridgeshire that have ever had an alcoholic drink is statistically significantly higher than the England average. </w:t>
      </w:r>
    </w:p>
    <w:p w14:paraId="4421913A" w14:textId="6C4A7E84" w:rsidR="0044078F" w:rsidRPr="00515F04" w:rsidRDefault="0044078F" w:rsidP="0043274F">
      <w:pPr>
        <w:pStyle w:val="ListParagraph"/>
        <w:numPr>
          <w:ilvl w:val="0"/>
          <w:numId w:val="4"/>
        </w:numPr>
        <w:spacing w:line="240" w:lineRule="auto"/>
        <w:rPr>
          <w:rFonts w:cs="Arial"/>
          <w:color w:val="002F5D"/>
        </w:rPr>
      </w:pPr>
      <w:r w:rsidRPr="00515F04">
        <w:rPr>
          <w:rFonts w:cs="Arial"/>
          <w:color w:val="002F5D"/>
        </w:rPr>
        <w:t xml:space="preserve">Peterborough has statistically significantly better percentages of </w:t>
      </w:r>
      <w:r w:rsidR="00DC46DB" w:rsidRPr="00515F04">
        <w:rPr>
          <w:rFonts w:cs="Arial"/>
          <w:color w:val="002F5D"/>
        </w:rPr>
        <w:t xml:space="preserve">self-reported </w:t>
      </w:r>
      <w:r w:rsidRPr="00515F04">
        <w:rPr>
          <w:rFonts w:cs="Arial"/>
          <w:color w:val="002F5D"/>
        </w:rPr>
        <w:t>drinking behaviours in 15</w:t>
      </w:r>
      <w:r w:rsidR="002A2849" w:rsidRPr="00515F04">
        <w:rPr>
          <w:rFonts w:cs="Arial"/>
          <w:color w:val="002F5D"/>
        </w:rPr>
        <w:t xml:space="preserve"> year olds than England for all</w:t>
      </w:r>
      <w:r w:rsidRPr="00515F04">
        <w:rPr>
          <w:rFonts w:cs="Arial"/>
          <w:color w:val="002F5D"/>
        </w:rPr>
        <w:t xml:space="preserve"> behaviours shown above.</w:t>
      </w:r>
    </w:p>
    <w:p w14:paraId="56CD2600" w14:textId="77777777" w:rsidR="005108FF" w:rsidRPr="0037351D" w:rsidRDefault="005108FF" w:rsidP="005108FF">
      <w:pPr>
        <w:spacing w:line="240" w:lineRule="auto"/>
        <w:rPr>
          <w:rFonts w:cs="Arial"/>
          <w:b/>
          <w:color w:val="FF0000"/>
          <w:sz w:val="16"/>
          <w:szCs w:val="16"/>
        </w:rPr>
      </w:pPr>
    </w:p>
    <w:p w14:paraId="1737B63A" w14:textId="77777777" w:rsidR="005108FF" w:rsidRPr="0037351D" w:rsidRDefault="000F6257" w:rsidP="00A3568F">
      <w:pPr>
        <w:pStyle w:val="JSNA3"/>
        <w:rPr>
          <w:rFonts w:cs="Arial"/>
        </w:rPr>
      </w:pPr>
      <w:bookmarkStart w:id="762" w:name="_Toc4407860"/>
      <w:r w:rsidRPr="0037351D">
        <w:t>Adults</w:t>
      </w:r>
      <w:bookmarkEnd w:id="762"/>
    </w:p>
    <w:p w14:paraId="4F569BF2" w14:textId="77777777" w:rsidR="007A529B" w:rsidRPr="009A2AB3" w:rsidRDefault="007A529B" w:rsidP="00475AC7">
      <w:pPr>
        <w:spacing w:line="240" w:lineRule="auto"/>
        <w:rPr>
          <w:color w:val="002F5D"/>
          <w:sz w:val="16"/>
          <w:szCs w:val="16"/>
        </w:rPr>
      </w:pPr>
    </w:p>
    <w:p w14:paraId="4A077DAF" w14:textId="69525F08" w:rsidR="00B40736" w:rsidRPr="009A2AB3" w:rsidRDefault="003A06FA" w:rsidP="004B3DF4">
      <w:pPr>
        <w:pStyle w:val="Caption"/>
        <w:rPr>
          <w:rFonts w:cs="Arial"/>
          <w:color w:val="002F5D"/>
        </w:rPr>
      </w:pPr>
      <w:r w:rsidRPr="009A2AB3">
        <w:rPr>
          <w:b/>
          <w:color w:val="002F5D"/>
        </w:rPr>
        <w:t>Table</w:t>
      </w:r>
      <w:r w:rsidR="005B71A3">
        <w:rPr>
          <w:b/>
          <w:color w:val="002F5D"/>
        </w:rPr>
        <w:t xml:space="preserve"> 41</w:t>
      </w:r>
      <w:r w:rsidR="005108FF" w:rsidRPr="009A2AB3">
        <w:rPr>
          <w:rFonts w:cs="Arial"/>
          <w:b/>
          <w:color w:val="002F5D"/>
        </w:rPr>
        <w:t>.</w:t>
      </w:r>
      <w:r w:rsidR="005108FF" w:rsidRPr="009A2AB3">
        <w:rPr>
          <w:rFonts w:cs="Arial"/>
          <w:color w:val="002F5D"/>
        </w:rPr>
        <w:t xml:space="preserve"> Drinking behaviours among adults 18+, 2011-14</w:t>
      </w:r>
    </w:p>
    <w:p w14:paraId="521FBDE3" w14:textId="77777777" w:rsidR="00B40736" w:rsidRDefault="00B40736" w:rsidP="009A2AB3"/>
    <w:p w14:paraId="28D4A1BB" w14:textId="10F0478C" w:rsidR="00B86765" w:rsidRPr="0037351D" w:rsidRDefault="009442F1" w:rsidP="00475AC7">
      <w:pPr>
        <w:spacing w:line="240" w:lineRule="auto"/>
        <w:rPr>
          <w:color w:val="FF0000"/>
          <w:sz w:val="16"/>
          <w:szCs w:val="16"/>
        </w:rPr>
      </w:pPr>
      <w:r w:rsidRPr="009442F1">
        <w:rPr>
          <w:noProof/>
          <w:lang w:eastAsia="en-GB"/>
        </w:rPr>
        <w:drawing>
          <wp:inline distT="0" distB="0" distL="0" distR="0" wp14:anchorId="31CE8F27" wp14:editId="41A840F0">
            <wp:extent cx="5941863" cy="1318260"/>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7845" cy="1319587"/>
                    </a:xfrm>
                    <a:prstGeom prst="rect">
                      <a:avLst/>
                    </a:prstGeom>
                    <a:noFill/>
                    <a:ln>
                      <a:noFill/>
                    </a:ln>
                  </pic:spPr>
                </pic:pic>
              </a:graphicData>
            </a:graphic>
          </wp:inline>
        </w:drawing>
      </w:r>
    </w:p>
    <w:p w14:paraId="004D5D14" w14:textId="62808771" w:rsidR="005108FF" w:rsidRPr="0037351D" w:rsidRDefault="005108FF" w:rsidP="005108FF">
      <w:pPr>
        <w:tabs>
          <w:tab w:val="left" w:pos="2535"/>
        </w:tabs>
        <w:spacing w:line="240" w:lineRule="auto"/>
        <w:rPr>
          <w:rFonts w:cs="Arial"/>
          <w:color w:val="FF0000"/>
        </w:rPr>
      </w:pPr>
    </w:p>
    <w:p w14:paraId="32F86916" w14:textId="77777777" w:rsidR="00CE2578" w:rsidRPr="009A2AB3" w:rsidRDefault="00CE2578" w:rsidP="00CE2578">
      <w:pPr>
        <w:spacing w:line="240" w:lineRule="auto"/>
        <w:rPr>
          <w:rFonts w:cs="Arial"/>
          <w:color w:val="002F5D"/>
          <w:sz w:val="18"/>
          <w:szCs w:val="18"/>
        </w:rPr>
      </w:pPr>
      <w:r w:rsidRPr="009A2AB3">
        <w:rPr>
          <w:rFonts w:cs="Arial"/>
          <w:color w:val="002F5D"/>
          <w:sz w:val="18"/>
          <w:szCs w:val="18"/>
        </w:rPr>
        <w:t>*Value aggregated from all known lower geography values</w:t>
      </w:r>
    </w:p>
    <w:p w14:paraId="7EE439E5" w14:textId="21882EA8" w:rsidR="00B86765" w:rsidRDefault="00B86765" w:rsidP="005108FF">
      <w:pPr>
        <w:tabs>
          <w:tab w:val="left" w:pos="2535"/>
        </w:tabs>
        <w:spacing w:line="240" w:lineRule="auto"/>
        <w:rPr>
          <w:rFonts w:cs="Arial"/>
          <w:color w:val="FF0000"/>
          <w:sz w:val="16"/>
          <w:szCs w:val="16"/>
        </w:rPr>
      </w:pPr>
    </w:p>
    <w:p w14:paraId="00729CA8" w14:textId="569A1C3F" w:rsidR="004B3DF4" w:rsidRDefault="004B3DF4" w:rsidP="005108FF">
      <w:pPr>
        <w:tabs>
          <w:tab w:val="left" w:pos="2535"/>
        </w:tabs>
        <w:spacing w:line="240" w:lineRule="auto"/>
        <w:rPr>
          <w:rFonts w:cs="Arial"/>
          <w:color w:val="FF0000"/>
          <w:sz w:val="16"/>
          <w:szCs w:val="16"/>
        </w:rPr>
      </w:pPr>
      <w:r>
        <w:rPr>
          <w:rFonts w:cs="Arial"/>
          <w:noProof/>
          <w:color w:val="FF0000"/>
          <w:sz w:val="16"/>
          <w:szCs w:val="16"/>
          <w:lang w:eastAsia="en-GB"/>
        </w:rPr>
        <w:drawing>
          <wp:inline distT="0" distB="0" distL="0" distR="0" wp14:anchorId="69FF46A1" wp14:editId="0A02E7B2">
            <wp:extent cx="3604260" cy="583564"/>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36331" cy="588757"/>
                    </a:xfrm>
                    <a:prstGeom prst="rect">
                      <a:avLst/>
                    </a:prstGeom>
                    <a:noFill/>
                  </pic:spPr>
                </pic:pic>
              </a:graphicData>
            </a:graphic>
          </wp:inline>
        </w:drawing>
      </w:r>
    </w:p>
    <w:p w14:paraId="283BFAFE" w14:textId="77777777" w:rsidR="005108FF" w:rsidRPr="0037351D" w:rsidRDefault="005108FF" w:rsidP="005108FF">
      <w:pPr>
        <w:spacing w:line="240" w:lineRule="auto"/>
        <w:rPr>
          <w:rFonts w:cs="Arial"/>
          <w:b/>
          <w:color w:val="FF0000"/>
          <w:sz w:val="16"/>
          <w:szCs w:val="16"/>
        </w:rPr>
      </w:pPr>
    </w:p>
    <w:p w14:paraId="2018B6F2" w14:textId="32F86DD1" w:rsidR="005108FF" w:rsidRPr="009A2AB3" w:rsidRDefault="005108FF" w:rsidP="005108FF">
      <w:pPr>
        <w:spacing w:line="240" w:lineRule="auto"/>
        <w:rPr>
          <w:rFonts w:cs="Arial"/>
          <w:color w:val="002F5D"/>
        </w:rPr>
      </w:pPr>
      <w:r w:rsidRPr="009A2AB3">
        <w:rPr>
          <w:rFonts w:cs="Arial"/>
          <w:b/>
          <w:color w:val="002F5D"/>
        </w:rPr>
        <w:t>Source:</w:t>
      </w:r>
      <w:r w:rsidRPr="009A2AB3">
        <w:rPr>
          <w:rFonts w:cs="Arial"/>
          <w:color w:val="002F5D"/>
        </w:rPr>
        <w:t xml:space="preserve"> Public Health England Local Alcohol Profiles for England (Health Survey for England), </w:t>
      </w:r>
      <w:r w:rsidR="007750E0" w:rsidRPr="009A2AB3">
        <w:rPr>
          <w:rFonts w:cs="Arial"/>
          <w:color w:val="002F5D"/>
        </w:rPr>
        <w:t xml:space="preserve">ONS </w:t>
      </w:r>
      <w:r w:rsidRPr="009A2AB3">
        <w:rPr>
          <w:rFonts w:cs="Arial"/>
          <w:color w:val="002F5D"/>
        </w:rPr>
        <w:t>mid-year population estimates.</w:t>
      </w:r>
    </w:p>
    <w:p w14:paraId="6F2F1F21" w14:textId="77777777" w:rsidR="005108FF" w:rsidRPr="009A2AB3" w:rsidRDefault="005108FF" w:rsidP="005108FF">
      <w:pPr>
        <w:spacing w:line="240" w:lineRule="auto"/>
        <w:rPr>
          <w:rFonts w:cs="Arial"/>
          <w:b/>
          <w:color w:val="002F5D"/>
          <w:sz w:val="16"/>
          <w:szCs w:val="16"/>
        </w:rPr>
      </w:pPr>
    </w:p>
    <w:p w14:paraId="7DCA1E2F" w14:textId="77777777" w:rsidR="005108FF" w:rsidRPr="009A2AB3" w:rsidRDefault="005108FF" w:rsidP="0043274F">
      <w:pPr>
        <w:spacing w:line="240" w:lineRule="auto"/>
        <w:rPr>
          <w:rFonts w:cs="Arial"/>
          <w:b/>
          <w:color w:val="002F5D"/>
        </w:rPr>
      </w:pPr>
      <w:r w:rsidRPr="009A2AB3">
        <w:rPr>
          <w:rFonts w:cs="Arial"/>
          <w:b/>
          <w:color w:val="002F5D"/>
        </w:rPr>
        <w:t>Key point</w:t>
      </w:r>
      <w:r w:rsidR="0074740D" w:rsidRPr="009A2AB3">
        <w:rPr>
          <w:rFonts w:cs="Arial"/>
          <w:b/>
          <w:color w:val="002F5D"/>
        </w:rPr>
        <w:t>s</w:t>
      </w:r>
      <w:r w:rsidRPr="009A2AB3">
        <w:rPr>
          <w:rFonts w:cs="Arial"/>
          <w:b/>
          <w:color w:val="002F5D"/>
        </w:rPr>
        <w:t>:</w:t>
      </w:r>
    </w:p>
    <w:p w14:paraId="4DF4F22D" w14:textId="4D1032CD" w:rsidR="000913A1" w:rsidRPr="009A2AB3" w:rsidRDefault="004161EF" w:rsidP="000913A1">
      <w:pPr>
        <w:pStyle w:val="ListParagraph"/>
        <w:numPr>
          <w:ilvl w:val="0"/>
          <w:numId w:val="4"/>
        </w:numPr>
        <w:spacing w:line="240" w:lineRule="auto"/>
        <w:rPr>
          <w:rFonts w:cs="Arial"/>
          <w:color w:val="002F5D"/>
        </w:rPr>
      </w:pPr>
      <w:r w:rsidRPr="009A2AB3">
        <w:rPr>
          <w:color w:val="002F5D"/>
        </w:rPr>
        <w:t>Overall, though not formally statistically assessed,</w:t>
      </w:r>
      <w:r w:rsidRPr="009A2AB3">
        <w:rPr>
          <w:rFonts w:cs="Arial"/>
          <w:color w:val="002F5D"/>
        </w:rPr>
        <w:t xml:space="preserve"> the percentage of Cambridgeshire </w:t>
      </w:r>
      <w:r w:rsidR="000913A1" w:rsidRPr="009A2AB3">
        <w:rPr>
          <w:rFonts w:cs="Arial"/>
          <w:color w:val="002F5D"/>
        </w:rPr>
        <w:t xml:space="preserve">and Peterborough </w:t>
      </w:r>
      <w:r w:rsidRPr="009A2AB3">
        <w:rPr>
          <w:rFonts w:cs="Arial"/>
          <w:color w:val="002F5D"/>
        </w:rPr>
        <w:t>adults who abstain from drinking alcohol is lower (worse) than the England average</w:t>
      </w:r>
      <w:r w:rsidR="000913A1" w:rsidRPr="009A2AB3">
        <w:rPr>
          <w:rFonts w:cs="Arial"/>
          <w:color w:val="002F5D"/>
        </w:rPr>
        <w:t xml:space="preserve">, </w:t>
      </w:r>
      <w:r w:rsidR="00AA7C44">
        <w:rPr>
          <w:rFonts w:cs="Arial"/>
          <w:color w:val="002F5D"/>
        </w:rPr>
        <w:t>with regard to</w:t>
      </w:r>
      <w:r w:rsidR="000913A1" w:rsidRPr="009A2AB3">
        <w:rPr>
          <w:rFonts w:cs="Arial"/>
          <w:color w:val="002F5D"/>
        </w:rPr>
        <w:t xml:space="preserve"> binge drinking and excess drinking levels</w:t>
      </w:r>
      <w:r w:rsidR="00AA7C44">
        <w:rPr>
          <w:rFonts w:cs="Arial"/>
          <w:color w:val="002F5D"/>
        </w:rPr>
        <w:t>, percentages within the area</w:t>
      </w:r>
      <w:r w:rsidR="000913A1" w:rsidRPr="009A2AB3">
        <w:rPr>
          <w:rFonts w:cs="Arial"/>
          <w:color w:val="002F5D"/>
        </w:rPr>
        <w:t xml:space="preserve"> are similar to national averages.</w:t>
      </w:r>
    </w:p>
    <w:p w14:paraId="48FB80FD" w14:textId="77777777" w:rsidR="005108FF" w:rsidRPr="009A2AB3" w:rsidRDefault="005108FF" w:rsidP="0043274F">
      <w:pPr>
        <w:pStyle w:val="ListParagraph"/>
        <w:numPr>
          <w:ilvl w:val="0"/>
          <w:numId w:val="4"/>
        </w:numPr>
        <w:spacing w:line="240" w:lineRule="auto"/>
        <w:rPr>
          <w:rFonts w:cs="Arial"/>
          <w:color w:val="002F5D"/>
        </w:rPr>
      </w:pPr>
      <w:r w:rsidRPr="009A2AB3">
        <w:rPr>
          <w:rFonts w:cs="Arial"/>
          <w:color w:val="002F5D"/>
        </w:rPr>
        <w:lastRenderedPageBreak/>
        <w:t xml:space="preserve">According to the Health Survey for England the percentage of Cambridgeshire adults who abstain from drinking alcohol is statistically significantly lower </w:t>
      </w:r>
      <w:r w:rsidR="008F4534" w:rsidRPr="009A2AB3">
        <w:rPr>
          <w:rFonts w:cs="Arial"/>
          <w:color w:val="002F5D"/>
        </w:rPr>
        <w:t xml:space="preserve">(worse) </w:t>
      </w:r>
      <w:r w:rsidRPr="009A2AB3">
        <w:rPr>
          <w:rFonts w:cs="Arial"/>
          <w:color w:val="002F5D"/>
        </w:rPr>
        <w:t>than the England average.</w:t>
      </w:r>
    </w:p>
    <w:p w14:paraId="73903F2D" w14:textId="0A2C987D" w:rsidR="00FA197A" w:rsidRPr="009A2AB3" w:rsidRDefault="008F4534" w:rsidP="0043274F">
      <w:pPr>
        <w:pStyle w:val="ListParagraph"/>
        <w:numPr>
          <w:ilvl w:val="0"/>
          <w:numId w:val="4"/>
        </w:numPr>
        <w:spacing w:line="240" w:lineRule="auto"/>
        <w:rPr>
          <w:rFonts w:cs="Arial"/>
          <w:color w:val="002F5D"/>
        </w:rPr>
      </w:pPr>
      <w:r w:rsidRPr="009A2AB3">
        <w:rPr>
          <w:rFonts w:cs="Arial"/>
          <w:color w:val="002F5D"/>
        </w:rPr>
        <w:t xml:space="preserve">In Peterborough for all indicators, </w:t>
      </w:r>
      <w:r w:rsidR="00FA197A" w:rsidRPr="009A2AB3">
        <w:rPr>
          <w:rFonts w:cs="Arial"/>
          <w:color w:val="002F5D"/>
        </w:rPr>
        <w:t xml:space="preserve">drinking </w:t>
      </w:r>
      <w:r w:rsidR="00CE627C" w:rsidRPr="009A2AB3">
        <w:rPr>
          <w:rFonts w:cs="Arial"/>
          <w:color w:val="002F5D"/>
        </w:rPr>
        <w:t xml:space="preserve">behaviour </w:t>
      </w:r>
      <w:r w:rsidRPr="009A2AB3">
        <w:rPr>
          <w:rFonts w:cs="Arial"/>
          <w:color w:val="002F5D"/>
        </w:rPr>
        <w:t>levels are similar to national averages</w:t>
      </w:r>
      <w:r w:rsidR="00FA197A" w:rsidRPr="009A2AB3">
        <w:rPr>
          <w:rFonts w:cs="Arial"/>
          <w:color w:val="002F5D"/>
        </w:rPr>
        <w:t>.</w:t>
      </w:r>
    </w:p>
    <w:p w14:paraId="52D8F768" w14:textId="7ABE9BF0" w:rsidR="00686E05" w:rsidRPr="009A2AB3" w:rsidRDefault="00686E05" w:rsidP="009A2AB3">
      <w:pPr>
        <w:pStyle w:val="ListParagraph"/>
        <w:spacing w:line="240" w:lineRule="auto"/>
        <w:rPr>
          <w:rFonts w:cs="Arial"/>
          <w:color w:val="002F5D"/>
        </w:rPr>
      </w:pPr>
    </w:p>
    <w:p w14:paraId="47B84654" w14:textId="22589A9E" w:rsidR="00230BBC" w:rsidRPr="009A2AB3" w:rsidRDefault="003A06FA" w:rsidP="009568EF">
      <w:pPr>
        <w:rPr>
          <w:rFonts w:cs="Arial"/>
          <w:color w:val="002F5D"/>
        </w:rPr>
      </w:pPr>
      <w:r w:rsidRPr="009A2AB3">
        <w:rPr>
          <w:b/>
          <w:color w:val="002F5D"/>
        </w:rPr>
        <w:t xml:space="preserve">Table </w:t>
      </w:r>
      <w:r w:rsidR="005B71A3">
        <w:rPr>
          <w:b/>
          <w:color w:val="002F5D"/>
        </w:rPr>
        <w:t>42</w:t>
      </w:r>
      <w:r w:rsidR="005108FF" w:rsidRPr="009A2AB3">
        <w:rPr>
          <w:rFonts w:cs="Arial"/>
          <w:b/>
          <w:color w:val="002F5D"/>
        </w:rPr>
        <w:t>.</w:t>
      </w:r>
      <w:r w:rsidR="005108FF" w:rsidRPr="009A2AB3">
        <w:rPr>
          <w:rFonts w:cs="Arial"/>
          <w:color w:val="002F5D"/>
        </w:rPr>
        <w:t xml:space="preserve"> Admission episodes for alcohol-related</w:t>
      </w:r>
      <w:r w:rsidR="00324276" w:rsidRPr="009A2AB3">
        <w:rPr>
          <w:rFonts w:cs="Arial"/>
          <w:color w:val="002F5D"/>
        </w:rPr>
        <w:t xml:space="preserve"> condit</w:t>
      </w:r>
      <w:r w:rsidR="00B86765" w:rsidRPr="009A2AB3">
        <w:rPr>
          <w:rFonts w:cs="Arial"/>
          <w:color w:val="002F5D"/>
        </w:rPr>
        <w:t>ions (broad definition</w:t>
      </w:r>
      <w:r w:rsidR="00B86765" w:rsidRPr="009A2AB3">
        <w:rPr>
          <w:rFonts w:cs="Arial"/>
          <w:color w:val="002F5D"/>
          <w:vertAlign w:val="superscript"/>
        </w:rPr>
        <w:t>1</w:t>
      </w:r>
      <w:r w:rsidR="00324276" w:rsidRPr="009A2AB3">
        <w:rPr>
          <w:rFonts w:cs="Arial"/>
          <w:color w:val="002F5D"/>
        </w:rPr>
        <w:t xml:space="preserve">), </w:t>
      </w:r>
      <w:r w:rsidR="005108FF" w:rsidRPr="009A2AB3">
        <w:rPr>
          <w:rFonts w:cs="Arial"/>
          <w:color w:val="002F5D"/>
        </w:rPr>
        <w:t>201</w:t>
      </w:r>
      <w:r w:rsidR="00230BBC" w:rsidRPr="009A2AB3">
        <w:rPr>
          <w:rFonts w:cs="Arial"/>
          <w:color w:val="002F5D"/>
        </w:rPr>
        <w:t>7</w:t>
      </w:r>
      <w:r w:rsidR="005108FF" w:rsidRPr="009A2AB3">
        <w:rPr>
          <w:rFonts w:cs="Arial"/>
          <w:color w:val="002F5D"/>
        </w:rPr>
        <w:t>/1</w:t>
      </w:r>
      <w:r w:rsidR="00230BBC" w:rsidRPr="009A2AB3">
        <w:rPr>
          <w:rFonts w:cs="Arial"/>
          <w:color w:val="002F5D"/>
        </w:rPr>
        <w:t>8</w:t>
      </w:r>
    </w:p>
    <w:p w14:paraId="0443F9B0" w14:textId="3BA354E4" w:rsidR="004B3DF4" w:rsidRDefault="004B3DF4" w:rsidP="009568EF"/>
    <w:p w14:paraId="03FC829A" w14:textId="7B7C31AC" w:rsidR="00B473F5" w:rsidRDefault="00B473F5" w:rsidP="009568EF">
      <w:r w:rsidRPr="00B473F5">
        <w:rPr>
          <w:noProof/>
          <w:lang w:eastAsia="en-GB"/>
        </w:rPr>
        <w:drawing>
          <wp:inline distT="0" distB="0" distL="0" distR="0" wp14:anchorId="7334E9C5" wp14:editId="59F8A511">
            <wp:extent cx="3627120" cy="2133599"/>
            <wp:effectExtent l="0" t="0" r="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36155" cy="2138914"/>
                    </a:xfrm>
                    <a:prstGeom prst="rect">
                      <a:avLst/>
                    </a:prstGeom>
                    <a:noFill/>
                    <a:ln>
                      <a:noFill/>
                    </a:ln>
                  </pic:spPr>
                </pic:pic>
              </a:graphicData>
            </a:graphic>
          </wp:inline>
        </w:drawing>
      </w:r>
    </w:p>
    <w:p w14:paraId="3653D6B4" w14:textId="77777777" w:rsidR="0043274F" w:rsidRPr="0037351D" w:rsidRDefault="0043274F" w:rsidP="005108FF">
      <w:pPr>
        <w:spacing w:line="240" w:lineRule="auto"/>
        <w:rPr>
          <w:rFonts w:cs="Arial"/>
          <w:color w:val="FF0000"/>
          <w:sz w:val="18"/>
          <w:szCs w:val="18"/>
        </w:rPr>
      </w:pPr>
    </w:p>
    <w:p w14:paraId="4960768E" w14:textId="77777777" w:rsidR="00AA0115" w:rsidRPr="009A2AB3" w:rsidRDefault="00CE2578" w:rsidP="0043274F">
      <w:pPr>
        <w:spacing w:line="240" w:lineRule="auto"/>
        <w:rPr>
          <w:rFonts w:cs="Arial"/>
          <w:color w:val="002F5D"/>
          <w:sz w:val="18"/>
          <w:szCs w:val="18"/>
        </w:rPr>
      </w:pPr>
      <w:r w:rsidRPr="009A2AB3">
        <w:rPr>
          <w:rFonts w:cs="Arial"/>
          <w:color w:val="002F5D"/>
          <w:sz w:val="18"/>
          <w:szCs w:val="18"/>
        </w:rPr>
        <w:t>*</w:t>
      </w:r>
      <w:r w:rsidR="00E04DEC" w:rsidRPr="009A2AB3">
        <w:rPr>
          <w:rFonts w:cs="Arial"/>
          <w:color w:val="002F5D"/>
          <w:sz w:val="18"/>
          <w:szCs w:val="18"/>
        </w:rPr>
        <w:t xml:space="preserve"> </w:t>
      </w:r>
      <w:r w:rsidRPr="009A2AB3">
        <w:rPr>
          <w:rFonts w:cs="Arial"/>
          <w:color w:val="002F5D"/>
          <w:sz w:val="18"/>
          <w:szCs w:val="18"/>
        </w:rPr>
        <w:t>Value aggregated from all known lower geography values</w:t>
      </w:r>
    </w:p>
    <w:p w14:paraId="14B10426" w14:textId="77777777" w:rsidR="00CE2578" w:rsidRPr="009A2AB3" w:rsidRDefault="00CE2578" w:rsidP="0043274F">
      <w:pPr>
        <w:spacing w:line="240" w:lineRule="auto"/>
        <w:rPr>
          <w:rFonts w:cs="Arial"/>
          <w:color w:val="002F5D"/>
          <w:sz w:val="18"/>
          <w:szCs w:val="18"/>
        </w:rPr>
      </w:pPr>
      <w:r w:rsidRPr="009A2AB3">
        <w:rPr>
          <w:rFonts w:cs="Arial"/>
          <w:color w:val="002F5D"/>
          <w:sz w:val="18"/>
          <w:szCs w:val="18"/>
        </w:rPr>
        <w:t>-</w:t>
      </w:r>
      <w:r w:rsidR="00E04DEC" w:rsidRPr="009A2AB3">
        <w:rPr>
          <w:rFonts w:cs="Arial"/>
          <w:color w:val="002F5D"/>
          <w:sz w:val="18"/>
          <w:szCs w:val="18"/>
        </w:rPr>
        <w:t xml:space="preserve"> </w:t>
      </w:r>
      <w:r w:rsidRPr="009A2AB3">
        <w:rPr>
          <w:rFonts w:cs="Arial"/>
          <w:color w:val="002F5D"/>
          <w:sz w:val="18"/>
          <w:szCs w:val="18"/>
        </w:rPr>
        <w:t>Data not available for Cambridgeshire and Peterborough</w:t>
      </w:r>
    </w:p>
    <w:p w14:paraId="65F8E21F" w14:textId="77777777" w:rsidR="00CE2578" w:rsidRPr="009A2AB3" w:rsidRDefault="00CE2578" w:rsidP="0043274F">
      <w:pPr>
        <w:spacing w:line="240" w:lineRule="auto"/>
        <w:rPr>
          <w:rFonts w:cs="Arial"/>
          <w:color w:val="002F5D"/>
          <w:sz w:val="18"/>
          <w:szCs w:val="18"/>
        </w:rPr>
      </w:pPr>
    </w:p>
    <w:p w14:paraId="1807A192" w14:textId="77777777" w:rsidR="005108FF" w:rsidRPr="009A2AB3" w:rsidRDefault="00B86765" w:rsidP="0043274F">
      <w:pPr>
        <w:spacing w:line="240" w:lineRule="auto"/>
        <w:rPr>
          <w:rFonts w:cs="Arial"/>
          <w:color w:val="002F5D"/>
          <w:sz w:val="18"/>
          <w:szCs w:val="18"/>
        </w:rPr>
      </w:pPr>
      <w:r w:rsidRPr="009A2AB3">
        <w:rPr>
          <w:rFonts w:cs="Arial"/>
          <w:color w:val="002F5D"/>
          <w:sz w:val="18"/>
          <w:szCs w:val="18"/>
          <w:vertAlign w:val="superscript"/>
        </w:rPr>
        <w:t>1</w:t>
      </w:r>
      <w:r w:rsidR="005108FF" w:rsidRPr="009A2AB3">
        <w:rPr>
          <w:rFonts w:cs="Arial"/>
          <w:color w:val="002F5D"/>
          <w:sz w:val="18"/>
          <w:szCs w:val="18"/>
          <w:vertAlign w:val="superscript"/>
        </w:rPr>
        <w:t xml:space="preserve"> </w:t>
      </w:r>
      <w:r w:rsidR="005108FF" w:rsidRPr="009A2AB3">
        <w:rPr>
          <w:rFonts w:cs="Arial"/>
          <w:color w:val="002F5D"/>
          <w:sz w:val="18"/>
          <w:szCs w:val="18"/>
        </w:rPr>
        <w:t>Alcohol-related conditions as primary or subsidiary cause of admission.  Broad measures are considered the best reflection of the burden of alcohol on the community and services.</w:t>
      </w:r>
    </w:p>
    <w:p w14:paraId="77CE1D80" w14:textId="77777777" w:rsidR="00AA0115" w:rsidRPr="009A2AB3" w:rsidRDefault="00AA0115" w:rsidP="0043274F">
      <w:pPr>
        <w:spacing w:line="240" w:lineRule="auto"/>
        <w:rPr>
          <w:rFonts w:cs="Arial"/>
          <w:color w:val="002F5D"/>
          <w:sz w:val="18"/>
          <w:szCs w:val="18"/>
        </w:rPr>
      </w:pPr>
      <w:r w:rsidRPr="009A2AB3">
        <w:rPr>
          <w:rFonts w:cs="Arial"/>
          <w:color w:val="002F5D"/>
          <w:sz w:val="18"/>
          <w:szCs w:val="18"/>
        </w:rPr>
        <w:t>DASR = directly age standardised rate per 100,000 population.</w:t>
      </w:r>
    </w:p>
    <w:p w14:paraId="394EB1EF" w14:textId="77777777" w:rsidR="005108FF" w:rsidRPr="009A2AB3" w:rsidRDefault="005108FF" w:rsidP="0043274F">
      <w:pPr>
        <w:spacing w:line="240" w:lineRule="auto"/>
        <w:rPr>
          <w:rFonts w:cs="Arial"/>
          <w:color w:val="002F5D"/>
        </w:rPr>
      </w:pPr>
    </w:p>
    <w:p w14:paraId="1B0CF02C" w14:textId="3FB90E26" w:rsidR="005108FF" w:rsidRPr="009A2AB3" w:rsidRDefault="00C8326F" w:rsidP="0043274F">
      <w:pPr>
        <w:spacing w:line="240" w:lineRule="auto"/>
        <w:rPr>
          <w:rFonts w:cs="Arial"/>
          <w:color w:val="002F5D"/>
        </w:rPr>
      </w:pPr>
      <w:r w:rsidRPr="009A2AB3">
        <w:rPr>
          <w:rFonts w:cs="Arial"/>
          <w:noProof/>
          <w:color w:val="002F5D"/>
          <w:sz w:val="16"/>
          <w:szCs w:val="16"/>
          <w:lang w:eastAsia="en-GB"/>
        </w:rPr>
        <w:drawing>
          <wp:inline distT="0" distB="0" distL="0" distR="0" wp14:anchorId="6A39A22F" wp14:editId="400FCEF3">
            <wp:extent cx="3604260" cy="583564"/>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36331" cy="588757"/>
                    </a:xfrm>
                    <a:prstGeom prst="rect">
                      <a:avLst/>
                    </a:prstGeom>
                    <a:noFill/>
                  </pic:spPr>
                </pic:pic>
              </a:graphicData>
            </a:graphic>
          </wp:inline>
        </w:drawing>
      </w:r>
    </w:p>
    <w:p w14:paraId="5A66935C" w14:textId="77777777" w:rsidR="005108FF" w:rsidRPr="009A2AB3" w:rsidRDefault="005108FF" w:rsidP="0043274F">
      <w:pPr>
        <w:spacing w:line="240" w:lineRule="auto"/>
        <w:rPr>
          <w:rFonts w:cs="Arial"/>
          <w:color w:val="002F5D"/>
        </w:rPr>
      </w:pPr>
    </w:p>
    <w:p w14:paraId="2C302649" w14:textId="77777777" w:rsidR="005108FF" w:rsidRPr="009A2AB3" w:rsidRDefault="005108FF" w:rsidP="0043274F">
      <w:pPr>
        <w:spacing w:line="240" w:lineRule="auto"/>
        <w:rPr>
          <w:rFonts w:cs="Arial"/>
          <w:color w:val="002F5D"/>
        </w:rPr>
      </w:pPr>
      <w:r w:rsidRPr="009A2AB3">
        <w:rPr>
          <w:rFonts w:cs="Arial"/>
          <w:b/>
          <w:color w:val="002F5D"/>
        </w:rPr>
        <w:t>Source:</w:t>
      </w:r>
      <w:r w:rsidRPr="009A2AB3">
        <w:rPr>
          <w:rFonts w:cs="Arial"/>
          <w:color w:val="002F5D"/>
        </w:rPr>
        <w:t xml:space="preserve"> Public Health England Local Alcohol Profiles for England</w:t>
      </w:r>
    </w:p>
    <w:p w14:paraId="4E398DA5" w14:textId="77777777" w:rsidR="005108FF" w:rsidRPr="009A2AB3" w:rsidRDefault="005108FF" w:rsidP="0043274F">
      <w:pPr>
        <w:spacing w:line="240" w:lineRule="auto"/>
        <w:rPr>
          <w:rFonts w:cs="Arial"/>
          <w:color w:val="002F5D"/>
        </w:rPr>
      </w:pPr>
    </w:p>
    <w:p w14:paraId="10FBC597" w14:textId="77777777" w:rsidR="005108FF" w:rsidRPr="009A2AB3" w:rsidRDefault="005108FF" w:rsidP="0043274F">
      <w:pPr>
        <w:spacing w:line="240" w:lineRule="auto"/>
        <w:rPr>
          <w:rFonts w:cs="Arial"/>
          <w:b/>
          <w:color w:val="002F5D"/>
        </w:rPr>
      </w:pPr>
      <w:r w:rsidRPr="009A2AB3">
        <w:rPr>
          <w:rFonts w:cs="Arial"/>
          <w:b/>
          <w:color w:val="002F5D"/>
        </w:rPr>
        <w:t>Key point</w:t>
      </w:r>
      <w:r w:rsidR="0074740D" w:rsidRPr="009A2AB3">
        <w:rPr>
          <w:rFonts w:cs="Arial"/>
          <w:b/>
          <w:color w:val="002F5D"/>
        </w:rPr>
        <w:t>s</w:t>
      </w:r>
      <w:r w:rsidRPr="009A2AB3">
        <w:rPr>
          <w:rFonts w:cs="Arial"/>
          <w:b/>
          <w:color w:val="002F5D"/>
        </w:rPr>
        <w:t>:</w:t>
      </w:r>
    </w:p>
    <w:p w14:paraId="25D7F2BF" w14:textId="15E5AD14" w:rsidR="0074740D" w:rsidRPr="009A2AB3" w:rsidRDefault="0074740D" w:rsidP="0043274F">
      <w:pPr>
        <w:pStyle w:val="ListParagraph"/>
        <w:numPr>
          <w:ilvl w:val="0"/>
          <w:numId w:val="4"/>
        </w:numPr>
        <w:spacing w:line="240" w:lineRule="auto"/>
        <w:rPr>
          <w:rFonts w:cs="Arial"/>
          <w:color w:val="002F5D"/>
        </w:rPr>
      </w:pPr>
      <w:r w:rsidRPr="009A2AB3">
        <w:rPr>
          <w:rFonts w:cs="Arial"/>
          <w:color w:val="002F5D"/>
        </w:rPr>
        <w:t xml:space="preserve">The rates of hospital admission episodes for alcohol-related conditions are statistically similar </w:t>
      </w:r>
      <w:r w:rsidR="00E04DEC" w:rsidRPr="009A2AB3">
        <w:rPr>
          <w:rFonts w:cs="Arial"/>
          <w:color w:val="002F5D"/>
        </w:rPr>
        <w:t xml:space="preserve">to national levels </w:t>
      </w:r>
      <w:r w:rsidRPr="009A2AB3">
        <w:rPr>
          <w:rFonts w:cs="Arial"/>
          <w:color w:val="002F5D"/>
        </w:rPr>
        <w:t>in Cambridgeshire</w:t>
      </w:r>
      <w:r w:rsidR="00230BBC" w:rsidRPr="009A2AB3">
        <w:rPr>
          <w:rFonts w:cs="Arial"/>
          <w:color w:val="002F5D"/>
        </w:rPr>
        <w:t xml:space="preserve"> and Peterborough and statistically significantly better than the national levels in Cambridgeshire and Peterborough combined</w:t>
      </w:r>
      <w:r w:rsidRPr="009A2AB3">
        <w:rPr>
          <w:rFonts w:cs="Arial"/>
          <w:color w:val="002F5D"/>
        </w:rPr>
        <w:t xml:space="preserve">. </w:t>
      </w:r>
    </w:p>
    <w:p w14:paraId="68884866" w14:textId="1BA6EF0F" w:rsidR="005108FF" w:rsidRPr="009A2AB3" w:rsidRDefault="005108FF" w:rsidP="0043274F">
      <w:pPr>
        <w:pStyle w:val="ListParagraph"/>
        <w:numPr>
          <w:ilvl w:val="0"/>
          <w:numId w:val="4"/>
        </w:numPr>
        <w:spacing w:line="240" w:lineRule="auto"/>
        <w:rPr>
          <w:rFonts w:cs="Arial"/>
          <w:color w:val="002F5D"/>
        </w:rPr>
      </w:pPr>
      <w:r w:rsidRPr="009A2AB3">
        <w:rPr>
          <w:rFonts w:cs="Arial"/>
          <w:color w:val="002F5D"/>
        </w:rPr>
        <w:t xml:space="preserve">The rates of hospital admission episodes for alcohol-related conditions are statistically significantly </w:t>
      </w:r>
      <w:r w:rsidR="00230BBC" w:rsidRPr="009A2AB3">
        <w:rPr>
          <w:rFonts w:cs="Arial"/>
          <w:color w:val="002F5D"/>
        </w:rPr>
        <w:t>worse</w:t>
      </w:r>
      <w:r w:rsidRPr="009A2AB3">
        <w:rPr>
          <w:rFonts w:cs="Arial"/>
          <w:color w:val="002F5D"/>
        </w:rPr>
        <w:t xml:space="preserve"> than the England a</w:t>
      </w:r>
      <w:r w:rsidR="00082FE5" w:rsidRPr="009A2AB3">
        <w:rPr>
          <w:rFonts w:cs="Arial"/>
          <w:color w:val="002F5D"/>
        </w:rPr>
        <w:t xml:space="preserve">verage in Cambridge and Fenland and significantly </w:t>
      </w:r>
      <w:r w:rsidR="00230BBC" w:rsidRPr="009A2AB3">
        <w:rPr>
          <w:rFonts w:cs="Arial"/>
          <w:color w:val="002F5D"/>
        </w:rPr>
        <w:t>better</w:t>
      </w:r>
      <w:r w:rsidR="00082FE5" w:rsidRPr="009A2AB3">
        <w:rPr>
          <w:rFonts w:cs="Arial"/>
          <w:color w:val="002F5D"/>
        </w:rPr>
        <w:t xml:space="preserve"> in all other districts.</w:t>
      </w:r>
    </w:p>
    <w:p w14:paraId="4F4E680A" w14:textId="77777777" w:rsidR="005108FF" w:rsidRPr="009A2AB3" w:rsidRDefault="005108FF" w:rsidP="005108FF">
      <w:pPr>
        <w:spacing w:line="240" w:lineRule="auto"/>
        <w:rPr>
          <w:rFonts w:cs="Arial"/>
          <w:color w:val="002F5D"/>
        </w:rPr>
      </w:pPr>
    </w:p>
    <w:p w14:paraId="0DFA328F" w14:textId="77777777" w:rsidR="005108FF" w:rsidRPr="0037351D" w:rsidRDefault="005108FF" w:rsidP="005108FF">
      <w:pPr>
        <w:spacing w:line="240" w:lineRule="auto"/>
        <w:rPr>
          <w:rFonts w:cs="Arial"/>
          <w:color w:val="FF0000"/>
        </w:rPr>
      </w:pPr>
    </w:p>
    <w:p w14:paraId="52725324" w14:textId="77777777" w:rsidR="005108FF" w:rsidRPr="0037351D" w:rsidRDefault="005108FF" w:rsidP="005108FF">
      <w:pPr>
        <w:spacing w:line="240" w:lineRule="auto"/>
        <w:rPr>
          <w:rFonts w:cs="Arial"/>
          <w:color w:val="FF0000"/>
        </w:rPr>
      </w:pPr>
    </w:p>
    <w:p w14:paraId="06EC78F4" w14:textId="77777777" w:rsidR="005108FF" w:rsidRPr="0037351D" w:rsidRDefault="005108FF" w:rsidP="005108FF">
      <w:pPr>
        <w:spacing w:line="240" w:lineRule="auto"/>
        <w:rPr>
          <w:rFonts w:cs="Arial"/>
          <w:color w:val="FF0000"/>
        </w:rPr>
      </w:pPr>
    </w:p>
    <w:p w14:paraId="38E8D932" w14:textId="77777777" w:rsidR="005108FF" w:rsidRPr="0037351D" w:rsidRDefault="005108FF" w:rsidP="005108FF">
      <w:pPr>
        <w:spacing w:line="240" w:lineRule="auto"/>
        <w:rPr>
          <w:rFonts w:cs="Arial"/>
          <w:color w:val="FF0000"/>
        </w:rPr>
      </w:pPr>
    </w:p>
    <w:p w14:paraId="57E1219D" w14:textId="77777777" w:rsidR="003A2AC2" w:rsidRPr="0037351D" w:rsidRDefault="003A2AC2" w:rsidP="005108FF">
      <w:pPr>
        <w:spacing w:line="240" w:lineRule="auto"/>
        <w:rPr>
          <w:rFonts w:cs="Arial"/>
          <w:color w:val="FF0000"/>
        </w:rPr>
      </w:pPr>
    </w:p>
    <w:p w14:paraId="72D364B1" w14:textId="77777777" w:rsidR="003A2AC2" w:rsidRPr="0037351D" w:rsidRDefault="003A2AC2" w:rsidP="005108FF">
      <w:pPr>
        <w:spacing w:line="240" w:lineRule="auto"/>
        <w:rPr>
          <w:rFonts w:cs="Arial"/>
          <w:color w:val="FF0000"/>
        </w:rPr>
      </w:pPr>
    </w:p>
    <w:p w14:paraId="32CAC048" w14:textId="6891CDF7" w:rsidR="003A2AC2" w:rsidRDefault="003A2AC2" w:rsidP="005108FF">
      <w:pPr>
        <w:spacing w:line="240" w:lineRule="auto"/>
        <w:rPr>
          <w:rFonts w:cs="Arial"/>
          <w:color w:val="FF0000"/>
        </w:rPr>
      </w:pPr>
    </w:p>
    <w:p w14:paraId="3C9758BE" w14:textId="689563B5" w:rsidR="00686E05" w:rsidRDefault="00686E05" w:rsidP="005108FF">
      <w:pPr>
        <w:spacing w:line="240" w:lineRule="auto"/>
        <w:rPr>
          <w:rFonts w:cs="Arial"/>
          <w:color w:val="FF0000"/>
        </w:rPr>
      </w:pPr>
    </w:p>
    <w:p w14:paraId="461F0D4A" w14:textId="77777777" w:rsidR="00686E05" w:rsidRPr="0037351D" w:rsidRDefault="00686E05" w:rsidP="005108FF">
      <w:pPr>
        <w:spacing w:line="240" w:lineRule="auto"/>
        <w:rPr>
          <w:rFonts w:cs="Arial"/>
          <w:color w:val="FF0000"/>
        </w:rPr>
      </w:pPr>
    </w:p>
    <w:p w14:paraId="273F45E0" w14:textId="77777777" w:rsidR="003A2AC2" w:rsidRPr="0037351D" w:rsidRDefault="003A2AC2" w:rsidP="005108FF">
      <w:pPr>
        <w:spacing w:line="240" w:lineRule="auto"/>
        <w:rPr>
          <w:rFonts w:cs="Arial"/>
          <w:color w:val="FF0000"/>
        </w:rPr>
      </w:pPr>
    </w:p>
    <w:p w14:paraId="4168734C" w14:textId="77777777" w:rsidR="003A2AC2" w:rsidRPr="0037351D" w:rsidRDefault="003A2AC2" w:rsidP="005108FF">
      <w:pPr>
        <w:spacing w:line="240" w:lineRule="auto"/>
        <w:rPr>
          <w:rFonts w:cs="Arial"/>
          <w:color w:val="FF0000"/>
        </w:rPr>
      </w:pPr>
    </w:p>
    <w:p w14:paraId="63283E0E" w14:textId="77777777" w:rsidR="0074740D" w:rsidRPr="009A2AB3" w:rsidRDefault="0074740D" w:rsidP="003A06FA">
      <w:pPr>
        <w:pStyle w:val="Caption"/>
        <w:rPr>
          <w:b/>
          <w:color w:val="002F5D"/>
        </w:rPr>
      </w:pPr>
    </w:p>
    <w:p w14:paraId="6E820980" w14:textId="6EB27E3F" w:rsidR="00482899" w:rsidRDefault="003A06FA" w:rsidP="003A06FA">
      <w:pPr>
        <w:pStyle w:val="Caption"/>
        <w:rPr>
          <w:rFonts w:cs="Arial"/>
          <w:color w:val="002F5D"/>
        </w:rPr>
      </w:pPr>
      <w:r w:rsidRPr="009A2AB3">
        <w:rPr>
          <w:b/>
          <w:color w:val="002F5D"/>
        </w:rPr>
        <w:lastRenderedPageBreak/>
        <w:t xml:space="preserve">Table </w:t>
      </w:r>
      <w:r w:rsidR="005B71A3" w:rsidRPr="00E61D24">
        <w:rPr>
          <w:b/>
          <w:color w:val="002F5D"/>
        </w:rPr>
        <w:fldChar w:fldCharType="begin"/>
      </w:r>
      <w:r w:rsidR="005B71A3" w:rsidRPr="00E61D24">
        <w:rPr>
          <w:b/>
          <w:color w:val="002F5D"/>
        </w:rPr>
        <w:instrText xml:space="preserve"> SEQ Table \* ARABIC </w:instrText>
      </w:r>
      <w:r w:rsidR="005B71A3" w:rsidRPr="00E61D24">
        <w:rPr>
          <w:b/>
          <w:color w:val="002F5D"/>
        </w:rPr>
        <w:fldChar w:fldCharType="separate"/>
      </w:r>
      <w:r w:rsidR="00E80CFE">
        <w:rPr>
          <w:b/>
          <w:noProof/>
          <w:color w:val="002F5D"/>
        </w:rPr>
        <w:t>16</w:t>
      </w:r>
      <w:r w:rsidR="005B71A3" w:rsidRPr="00E61D24">
        <w:rPr>
          <w:b/>
          <w:color w:val="002F5D"/>
        </w:rPr>
        <w:fldChar w:fldCharType="end"/>
      </w:r>
      <w:r w:rsidR="005C22FD" w:rsidRPr="009A2AB3">
        <w:rPr>
          <w:rFonts w:cs="Arial"/>
          <w:b/>
          <w:color w:val="002F5D"/>
        </w:rPr>
        <w:t>.</w:t>
      </w:r>
      <w:r w:rsidR="005C22FD" w:rsidRPr="009A2AB3">
        <w:rPr>
          <w:rFonts w:cs="Arial"/>
          <w:color w:val="002F5D"/>
        </w:rPr>
        <w:t xml:space="preserve"> NHS health checks - data from Public Health England's health checks profile, financial year 201</w:t>
      </w:r>
      <w:r w:rsidR="00482899" w:rsidRPr="009A2AB3">
        <w:rPr>
          <w:rFonts w:cs="Arial"/>
          <w:color w:val="002F5D"/>
        </w:rPr>
        <w:t>7</w:t>
      </w:r>
      <w:r w:rsidR="005C22FD" w:rsidRPr="009A2AB3">
        <w:rPr>
          <w:rFonts w:cs="Arial"/>
          <w:color w:val="002F5D"/>
        </w:rPr>
        <w:t>/1</w:t>
      </w:r>
      <w:r w:rsidR="00482899" w:rsidRPr="009A2AB3">
        <w:rPr>
          <w:rFonts w:cs="Arial"/>
          <w:color w:val="002F5D"/>
        </w:rPr>
        <w:t>8</w:t>
      </w:r>
    </w:p>
    <w:p w14:paraId="19E1873D" w14:textId="225A03E2" w:rsidR="005C22FD" w:rsidRPr="009A2AB3" w:rsidRDefault="005C22FD" w:rsidP="003A06FA">
      <w:pPr>
        <w:pStyle w:val="Caption"/>
        <w:rPr>
          <w:rFonts w:cs="Arial"/>
          <w:color w:val="002F5D"/>
        </w:rPr>
      </w:pPr>
    </w:p>
    <w:p w14:paraId="7C0DF511" w14:textId="3C3DC5DC" w:rsidR="0043274F" w:rsidRPr="0037351D" w:rsidRDefault="00482899" w:rsidP="00466271">
      <w:pPr>
        <w:spacing w:line="240" w:lineRule="auto"/>
        <w:rPr>
          <w:color w:val="FF0000"/>
        </w:rPr>
      </w:pPr>
      <w:r w:rsidRPr="00482899">
        <w:rPr>
          <w:noProof/>
          <w:lang w:eastAsia="en-GB"/>
        </w:rPr>
        <w:drawing>
          <wp:inline distT="0" distB="0" distL="0" distR="0" wp14:anchorId="4637A13D" wp14:editId="21D62EB8">
            <wp:extent cx="6120130" cy="881243"/>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881243"/>
                    </a:xfrm>
                    <a:prstGeom prst="rect">
                      <a:avLst/>
                    </a:prstGeom>
                    <a:noFill/>
                    <a:ln>
                      <a:noFill/>
                    </a:ln>
                  </pic:spPr>
                </pic:pic>
              </a:graphicData>
            </a:graphic>
          </wp:inline>
        </w:drawing>
      </w:r>
    </w:p>
    <w:p w14:paraId="3B5496F5" w14:textId="77777777" w:rsidR="0074740D" w:rsidRPr="0037351D" w:rsidRDefault="0074740D" w:rsidP="009A2AB3">
      <w:pPr>
        <w:spacing w:line="276" w:lineRule="auto"/>
        <w:rPr>
          <w:color w:val="FF0000"/>
        </w:rPr>
      </w:pPr>
    </w:p>
    <w:p w14:paraId="373012AA" w14:textId="77777777" w:rsidR="00CE2578" w:rsidRPr="009A2AB3" w:rsidRDefault="00CE2578" w:rsidP="0043274F">
      <w:pPr>
        <w:spacing w:line="240" w:lineRule="auto"/>
        <w:rPr>
          <w:rFonts w:cs="Arial"/>
          <w:color w:val="002F5D"/>
          <w:sz w:val="18"/>
          <w:szCs w:val="18"/>
        </w:rPr>
      </w:pPr>
      <w:r w:rsidRPr="009A2AB3">
        <w:rPr>
          <w:rFonts w:cs="Arial"/>
          <w:color w:val="002F5D"/>
          <w:sz w:val="18"/>
          <w:szCs w:val="18"/>
        </w:rPr>
        <w:t>*Value aggregated from all known lower geography values</w:t>
      </w:r>
    </w:p>
    <w:p w14:paraId="4A48DF8B" w14:textId="77777777" w:rsidR="005C22FD" w:rsidRPr="009A2AB3" w:rsidRDefault="005C22FD" w:rsidP="0043274F">
      <w:pPr>
        <w:spacing w:line="240" w:lineRule="auto"/>
        <w:rPr>
          <w:rFonts w:cs="Arial"/>
          <w:color w:val="002F5D"/>
          <w:sz w:val="18"/>
          <w:szCs w:val="20"/>
        </w:rPr>
      </w:pPr>
      <w:r w:rsidRPr="009A2AB3">
        <w:rPr>
          <w:rFonts w:cs="Arial"/>
          <w:color w:val="002F5D"/>
          <w:sz w:val="18"/>
          <w:szCs w:val="20"/>
        </w:rPr>
        <w:t>Note:</w:t>
      </w:r>
      <w:r w:rsidR="00632141" w:rsidRPr="009A2AB3">
        <w:rPr>
          <w:rFonts w:cs="Arial"/>
          <w:color w:val="002F5D"/>
          <w:sz w:val="18"/>
          <w:szCs w:val="20"/>
        </w:rPr>
        <w:t xml:space="preserve"> </w:t>
      </w:r>
      <w:r w:rsidRPr="009A2AB3">
        <w:rPr>
          <w:rFonts w:cs="Arial"/>
          <w:color w:val="002F5D"/>
          <w:sz w:val="18"/>
          <w:szCs w:val="20"/>
          <w:vertAlign w:val="superscript"/>
        </w:rPr>
        <w:t>1</w:t>
      </w:r>
      <w:r w:rsidRPr="009A2AB3">
        <w:rPr>
          <w:rFonts w:cs="Arial"/>
          <w:color w:val="002F5D"/>
          <w:sz w:val="18"/>
          <w:szCs w:val="20"/>
        </w:rPr>
        <w:t xml:space="preserve"> - Percentage of NHS Health Checks offered to the total eligible population aged 40-74 years in the financial year</w:t>
      </w:r>
    </w:p>
    <w:p w14:paraId="68B4C4E4" w14:textId="77777777" w:rsidR="005C22FD" w:rsidRPr="009A2AB3" w:rsidRDefault="005C22FD" w:rsidP="0043274F">
      <w:pPr>
        <w:spacing w:line="240" w:lineRule="auto"/>
        <w:rPr>
          <w:rFonts w:cs="Arial"/>
          <w:color w:val="002F5D"/>
          <w:sz w:val="18"/>
          <w:szCs w:val="20"/>
        </w:rPr>
      </w:pPr>
      <w:r w:rsidRPr="009A2AB3">
        <w:rPr>
          <w:rFonts w:cs="Arial"/>
          <w:color w:val="002F5D"/>
          <w:sz w:val="18"/>
          <w:szCs w:val="20"/>
        </w:rPr>
        <w:t>Note:</w:t>
      </w:r>
      <w:r w:rsidR="00632141" w:rsidRPr="009A2AB3">
        <w:rPr>
          <w:rFonts w:cs="Arial"/>
          <w:color w:val="002F5D"/>
          <w:sz w:val="18"/>
          <w:szCs w:val="20"/>
        </w:rPr>
        <w:t xml:space="preserve"> </w:t>
      </w:r>
      <w:r w:rsidRPr="009A2AB3">
        <w:rPr>
          <w:rFonts w:cs="Arial"/>
          <w:color w:val="002F5D"/>
          <w:sz w:val="18"/>
          <w:szCs w:val="20"/>
          <w:vertAlign w:val="superscript"/>
        </w:rPr>
        <w:t>2</w:t>
      </w:r>
      <w:r w:rsidRPr="009A2AB3">
        <w:rPr>
          <w:rFonts w:cs="Arial"/>
          <w:color w:val="002F5D"/>
          <w:sz w:val="18"/>
          <w:szCs w:val="20"/>
        </w:rPr>
        <w:t xml:space="preserve"> - Percentage of NHS Health Checks received in the total eligible population aged 40-74 years in the financial year</w:t>
      </w:r>
    </w:p>
    <w:p w14:paraId="79F24028" w14:textId="77777777" w:rsidR="005C22FD" w:rsidRPr="009A2AB3" w:rsidRDefault="005C22FD" w:rsidP="0043274F">
      <w:pPr>
        <w:spacing w:line="240" w:lineRule="auto"/>
        <w:rPr>
          <w:rFonts w:cs="Arial"/>
          <w:color w:val="002F5D"/>
          <w:sz w:val="18"/>
          <w:szCs w:val="20"/>
        </w:rPr>
      </w:pPr>
      <w:r w:rsidRPr="009A2AB3">
        <w:rPr>
          <w:rFonts w:cs="Arial"/>
          <w:color w:val="002F5D"/>
          <w:sz w:val="18"/>
          <w:szCs w:val="20"/>
        </w:rPr>
        <w:t>Note:</w:t>
      </w:r>
      <w:r w:rsidR="00632141" w:rsidRPr="009A2AB3">
        <w:rPr>
          <w:rFonts w:cs="Arial"/>
          <w:color w:val="002F5D"/>
          <w:sz w:val="18"/>
          <w:szCs w:val="20"/>
        </w:rPr>
        <w:t xml:space="preserve"> </w:t>
      </w:r>
      <w:r w:rsidRPr="009A2AB3">
        <w:rPr>
          <w:rFonts w:cs="Arial"/>
          <w:color w:val="002F5D"/>
          <w:sz w:val="18"/>
          <w:szCs w:val="20"/>
          <w:vertAlign w:val="superscript"/>
        </w:rPr>
        <w:t>3</w:t>
      </w:r>
      <w:r w:rsidRPr="009A2AB3">
        <w:rPr>
          <w:rFonts w:cs="Arial"/>
          <w:color w:val="002F5D"/>
          <w:sz w:val="18"/>
          <w:szCs w:val="20"/>
        </w:rPr>
        <w:t xml:space="preserve"> - Percentage of NHS Health Checks invites taken up by those offered health checks in the eligible population aged 40-74 years in the financial year</w:t>
      </w:r>
    </w:p>
    <w:p w14:paraId="5D943CDC" w14:textId="77777777" w:rsidR="0074740D" w:rsidRPr="0037351D" w:rsidRDefault="0074740D" w:rsidP="0043274F">
      <w:pPr>
        <w:spacing w:line="240" w:lineRule="auto"/>
        <w:rPr>
          <w:rFonts w:cs="Arial"/>
          <w:color w:val="FF0000"/>
          <w:sz w:val="18"/>
          <w:szCs w:val="20"/>
        </w:rPr>
      </w:pPr>
    </w:p>
    <w:p w14:paraId="1AEFA75B" w14:textId="2CFED9F1" w:rsidR="0074740D" w:rsidRPr="0037351D" w:rsidRDefault="00482899" w:rsidP="0043274F">
      <w:pPr>
        <w:spacing w:line="240" w:lineRule="auto"/>
        <w:rPr>
          <w:rFonts w:cs="Arial"/>
          <w:color w:val="FF0000"/>
          <w:sz w:val="18"/>
          <w:szCs w:val="20"/>
        </w:rPr>
      </w:pPr>
      <w:r w:rsidRPr="00482899" w:rsidDel="00482899">
        <w:t xml:space="preserve"> </w:t>
      </w:r>
      <w:r w:rsidRPr="00482899">
        <w:rPr>
          <w:noProof/>
          <w:lang w:eastAsia="en-GB"/>
        </w:rPr>
        <w:drawing>
          <wp:inline distT="0" distB="0" distL="0" distR="0" wp14:anchorId="7F94B2D9" wp14:editId="6FEC0FAE">
            <wp:extent cx="4362450" cy="49530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362450" cy="495300"/>
                    </a:xfrm>
                    <a:prstGeom prst="rect">
                      <a:avLst/>
                    </a:prstGeom>
                    <a:noFill/>
                    <a:ln>
                      <a:noFill/>
                    </a:ln>
                  </pic:spPr>
                </pic:pic>
              </a:graphicData>
            </a:graphic>
          </wp:inline>
        </w:drawing>
      </w:r>
      <w:r w:rsidRPr="00482899" w:rsidDel="00482899">
        <w:t xml:space="preserve"> </w:t>
      </w:r>
    </w:p>
    <w:p w14:paraId="76F402F4" w14:textId="77777777" w:rsidR="005C22FD" w:rsidRPr="0037351D" w:rsidRDefault="005C22FD" w:rsidP="0043274F">
      <w:pPr>
        <w:spacing w:line="240" w:lineRule="auto"/>
        <w:rPr>
          <w:rFonts w:cs="Arial"/>
          <w:color w:val="FF0000"/>
        </w:rPr>
      </w:pPr>
    </w:p>
    <w:p w14:paraId="0A2253FD" w14:textId="77777777" w:rsidR="005C22FD" w:rsidRPr="009A2AB3" w:rsidRDefault="005C22FD" w:rsidP="0043274F">
      <w:pPr>
        <w:spacing w:line="240" w:lineRule="auto"/>
        <w:rPr>
          <w:rFonts w:ascii="Calibri" w:eastAsia="Times New Roman" w:hAnsi="Calibri" w:cs="Times New Roman"/>
          <w:color w:val="002F5D"/>
          <w:lang w:eastAsia="en-GB"/>
        </w:rPr>
      </w:pPr>
      <w:r w:rsidRPr="009A2AB3">
        <w:rPr>
          <w:rFonts w:ascii="Calibri" w:eastAsia="Times New Roman" w:hAnsi="Calibri" w:cs="Times New Roman"/>
          <w:b/>
          <w:bCs/>
          <w:color w:val="002F5D"/>
          <w:lang w:eastAsia="en-GB"/>
        </w:rPr>
        <w:t>Source</w:t>
      </w:r>
      <w:r w:rsidRPr="009A2AB3">
        <w:rPr>
          <w:rFonts w:ascii="Calibri" w:eastAsia="Times New Roman" w:hAnsi="Calibri" w:cs="Times New Roman"/>
          <w:color w:val="002F5D"/>
          <w:lang w:eastAsia="en-GB"/>
        </w:rPr>
        <w:t>: Public Health England NHS Health Check profile</w:t>
      </w:r>
    </w:p>
    <w:p w14:paraId="61FCC270" w14:textId="77777777" w:rsidR="005C22FD" w:rsidRPr="009A2AB3" w:rsidRDefault="005C22FD" w:rsidP="0043274F">
      <w:pPr>
        <w:spacing w:line="240" w:lineRule="auto"/>
        <w:rPr>
          <w:rFonts w:cs="Arial"/>
          <w:color w:val="002F5D"/>
        </w:rPr>
      </w:pPr>
    </w:p>
    <w:p w14:paraId="38BC1F00" w14:textId="77777777" w:rsidR="00901C66" w:rsidRPr="009A2AB3" w:rsidRDefault="00901C66" w:rsidP="0043274F">
      <w:pPr>
        <w:spacing w:line="240" w:lineRule="auto"/>
        <w:rPr>
          <w:rFonts w:cs="Arial"/>
          <w:b/>
          <w:color w:val="002F5D"/>
        </w:rPr>
      </w:pPr>
      <w:r w:rsidRPr="009A2AB3">
        <w:rPr>
          <w:rFonts w:cs="Arial"/>
          <w:b/>
          <w:color w:val="002F5D"/>
        </w:rPr>
        <w:t>Key points:</w:t>
      </w:r>
    </w:p>
    <w:p w14:paraId="23FE1473" w14:textId="534B8E52" w:rsidR="00901C66" w:rsidRPr="009A2AB3" w:rsidRDefault="00901C66" w:rsidP="0043274F">
      <w:pPr>
        <w:pStyle w:val="ListParagraph"/>
        <w:numPr>
          <w:ilvl w:val="0"/>
          <w:numId w:val="4"/>
        </w:numPr>
        <w:spacing w:line="240" w:lineRule="auto"/>
        <w:rPr>
          <w:rFonts w:cs="Arial"/>
          <w:color w:val="002F5D"/>
        </w:rPr>
      </w:pPr>
      <w:r w:rsidRPr="009A2AB3">
        <w:rPr>
          <w:rFonts w:cs="Arial"/>
          <w:color w:val="002F5D"/>
        </w:rPr>
        <w:t>Cambridgeshire</w:t>
      </w:r>
      <w:r w:rsidR="0074740D" w:rsidRPr="009A2AB3">
        <w:rPr>
          <w:rFonts w:cs="Arial"/>
          <w:color w:val="002F5D"/>
        </w:rPr>
        <w:t xml:space="preserve"> and Peterborough both</w:t>
      </w:r>
      <w:r w:rsidR="00CE627C" w:rsidRPr="009A2AB3">
        <w:rPr>
          <w:rFonts w:cs="Arial"/>
          <w:color w:val="002F5D"/>
        </w:rPr>
        <w:t xml:space="preserve"> have</w:t>
      </w:r>
      <w:r w:rsidRPr="009A2AB3">
        <w:rPr>
          <w:rFonts w:cs="Arial"/>
          <w:color w:val="002F5D"/>
        </w:rPr>
        <w:t xml:space="preserve"> a statistically </w:t>
      </w:r>
      <w:r w:rsidR="00482899" w:rsidRPr="00482899">
        <w:rPr>
          <w:rFonts w:cs="Arial"/>
          <w:color w:val="002F5D"/>
        </w:rPr>
        <w:t>worse</w:t>
      </w:r>
      <w:r w:rsidRPr="009A2AB3">
        <w:rPr>
          <w:rFonts w:cs="Arial"/>
          <w:color w:val="002F5D"/>
        </w:rPr>
        <w:t xml:space="preserve"> rate of people being invited for NHS health checks than England </w:t>
      </w:r>
      <w:r w:rsidR="00482899" w:rsidRPr="00482899">
        <w:rPr>
          <w:rFonts w:cs="Arial"/>
          <w:color w:val="002F5D"/>
        </w:rPr>
        <w:t>with</w:t>
      </w:r>
      <w:r w:rsidRPr="009A2AB3">
        <w:rPr>
          <w:rFonts w:cs="Arial"/>
          <w:color w:val="002F5D"/>
        </w:rPr>
        <w:t xml:space="preserve"> a better rate of people receiving checks in the year.</w:t>
      </w:r>
    </w:p>
    <w:p w14:paraId="65634443" w14:textId="5BC03C92" w:rsidR="005C22FD" w:rsidRPr="009A2AB3" w:rsidRDefault="00901C66" w:rsidP="0043274F">
      <w:pPr>
        <w:pStyle w:val="ListParagraph"/>
        <w:numPr>
          <w:ilvl w:val="0"/>
          <w:numId w:val="4"/>
        </w:numPr>
        <w:spacing w:line="240" w:lineRule="auto"/>
        <w:rPr>
          <w:rFonts w:cs="Arial"/>
          <w:color w:val="002F5D"/>
        </w:rPr>
      </w:pPr>
      <w:r w:rsidRPr="009A2AB3">
        <w:rPr>
          <w:rFonts w:cs="Arial"/>
          <w:color w:val="002F5D"/>
        </w:rPr>
        <w:t xml:space="preserve">However, of those invited within a given financial year, the uptake rate is statistically significantly </w:t>
      </w:r>
      <w:r w:rsidR="00482899" w:rsidRPr="009A2AB3">
        <w:rPr>
          <w:rFonts w:cs="Arial"/>
          <w:color w:val="002F5D"/>
        </w:rPr>
        <w:t>higher</w:t>
      </w:r>
      <w:r w:rsidRPr="009A2AB3">
        <w:rPr>
          <w:rFonts w:cs="Arial"/>
          <w:color w:val="002F5D"/>
        </w:rPr>
        <w:t xml:space="preserve"> (</w:t>
      </w:r>
      <w:r w:rsidR="00482899" w:rsidRPr="009A2AB3">
        <w:rPr>
          <w:rFonts w:cs="Arial"/>
          <w:color w:val="002F5D"/>
        </w:rPr>
        <w:t>better</w:t>
      </w:r>
      <w:r w:rsidRPr="009A2AB3">
        <w:rPr>
          <w:rFonts w:cs="Arial"/>
          <w:color w:val="002F5D"/>
        </w:rPr>
        <w:t>) than the England rate</w:t>
      </w:r>
      <w:r w:rsidR="00324276" w:rsidRPr="009A2AB3">
        <w:rPr>
          <w:rFonts w:cs="Arial"/>
          <w:color w:val="002F5D"/>
        </w:rPr>
        <w:t xml:space="preserve"> for both Cambridgeshire and Peterborough</w:t>
      </w:r>
      <w:r w:rsidRPr="009A2AB3">
        <w:rPr>
          <w:rFonts w:cs="Arial"/>
          <w:color w:val="002F5D"/>
        </w:rPr>
        <w:t>.</w:t>
      </w:r>
    </w:p>
    <w:p w14:paraId="2C3E98EE" w14:textId="0BD955BF" w:rsidR="00CE627C" w:rsidRPr="009A2AB3" w:rsidRDefault="00CE627C" w:rsidP="0043274F">
      <w:pPr>
        <w:pStyle w:val="ListParagraph"/>
        <w:numPr>
          <w:ilvl w:val="0"/>
          <w:numId w:val="4"/>
        </w:numPr>
        <w:spacing w:line="240" w:lineRule="auto"/>
        <w:rPr>
          <w:rFonts w:cs="Arial"/>
          <w:color w:val="002F5D"/>
        </w:rPr>
      </w:pPr>
      <w:r w:rsidRPr="009A2AB3">
        <w:rPr>
          <w:rFonts w:cs="Arial"/>
          <w:color w:val="002F5D"/>
        </w:rPr>
        <w:t>Although not statistically assessed</w:t>
      </w:r>
      <w:r w:rsidR="00C522C1" w:rsidRPr="009A2AB3">
        <w:rPr>
          <w:rFonts w:cs="Arial"/>
          <w:color w:val="002F5D"/>
        </w:rPr>
        <w:t>, Cambridgeshire</w:t>
      </w:r>
      <w:r w:rsidRPr="009A2AB3">
        <w:rPr>
          <w:rFonts w:cs="Arial"/>
          <w:color w:val="002F5D"/>
        </w:rPr>
        <w:t xml:space="preserve"> and Peterborough combined also has a </w:t>
      </w:r>
      <w:r w:rsidR="00482899" w:rsidRPr="009A2AB3">
        <w:rPr>
          <w:rFonts w:cs="Arial"/>
          <w:color w:val="002F5D"/>
        </w:rPr>
        <w:t xml:space="preserve">worse </w:t>
      </w:r>
      <w:r w:rsidRPr="009A2AB3">
        <w:rPr>
          <w:rFonts w:cs="Arial"/>
          <w:color w:val="002F5D"/>
        </w:rPr>
        <w:t xml:space="preserve">rate of people being invited for NHS health checks than England and  a better rate of people receiving checks in the year, the uptake rate is also </w:t>
      </w:r>
      <w:r w:rsidR="00482899" w:rsidRPr="009A2AB3">
        <w:rPr>
          <w:rFonts w:cs="Arial"/>
          <w:color w:val="002F5D"/>
        </w:rPr>
        <w:t>highe</w:t>
      </w:r>
      <w:r w:rsidRPr="009A2AB3">
        <w:rPr>
          <w:rFonts w:cs="Arial"/>
          <w:color w:val="002F5D"/>
        </w:rPr>
        <w:t>r than the England rate.</w:t>
      </w:r>
    </w:p>
    <w:p w14:paraId="787DAD16" w14:textId="77777777" w:rsidR="005C22FD" w:rsidRPr="0037351D" w:rsidRDefault="005C22FD">
      <w:pPr>
        <w:rPr>
          <w:rFonts w:cs="Arial"/>
          <w:b/>
          <w:color w:val="FF0000"/>
        </w:rPr>
      </w:pPr>
    </w:p>
    <w:p w14:paraId="086621E7" w14:textId="77777777" w:rsidR="003D3F6C" w:rsidRPr="0037351D" w:rsidRDefault="003D3F6C">
      <w:pPr>
        <w:rPr>
          <w:rFonts w:cs="Arial"/>
          <w:b/>
          <w:color w:val="FF0000"/>
        </w:rPr>
      </w:pPr>
      <w:r w:rsidRPr="0037351D">
        <w:rPr>
          <w:rFonts w:cs="Arial"/>
          <w:b/>
          <w:color w:val="FF0000"/>
        </w:rPr>
        <w:br w:type="page"/>
      </w:r>
    </w:p>
    <w:p w14:paraId="512F469A" w14:textId="77777777" w:rsidR="008933E9" w:rsidRPr="00C73EA7" w:rsidRDefault="00437736" w:rsidP="000F6257">
      <w:pPr>
        <w:pStyle w:val="JSNA2"/>
      </w:pPr>
      <w:bookmarkStart w:id="763" w:name="_Toc500414593"/>
      <w:bookmarkStart w:id="764" w:name="_Toc500414594"/>
      <w:bookmarkStart w:id="765" w:name="_Toc500414595"/>
      <w:bookmarkStart w:id="766" w:name="_Toc500414596"/>
      <w:bookmarkStart w:id="767" w:name="_Toc500414597"/>
      <w:bookmarkStart w:id="768" w:name="_Toc500414598"/>
      <w:bookmarkStart w:id="769" w:name="_Toc500414602"/>
      <w:bookmarkStart w:id="770" w:name="_Toc500414603"/>
      <w:bookmarkStart w:id="771" w:name="_Toc4407861"/>
      <w:bookmarkEnd w:id="763"/>
      <w:bookmarkEnd w:id="764"/>
      <w:bookmarkEnd w:id="765"/>
      <w:bookmarkEnd w:id="766"/>
      <w:bookmarkEnd w:id="767"/>
      <w:bookmarkEnd w:id="768"/>
      <w:bookmarkEnd w:id="769"/>
      <w:bookmarkEnd w:id="770"/>
      <w:r w:rsidRPr="00C73EA7">
        <w:lastRenderedPageBreak/>
        <w:t>Drug use</w:t>
      </w:r>
      <w:bookmarkEnd w:id="771"/>
    </w:p>
    <w:p w14:paraId="1DB457D1" w14:textId="77777777" w:rsidR="00437736" w:rsidRPr="0037351D" w:rsidRDefault="00437736" w:rsidP="0038179C">
      <w:pPr>
        <w:spacing w:line="240" w:lineRule="auto"/>
        <w:rPr>
          <w:rFonts w:cs="Arial"/>
          <w:b/>
          <w:color w:val="FF0000"/>
        </w:rPr>
      </w:pPr>
    </w:p>
    <w:p w14:paraId="2A99A68C" w14:textId="77777777" w:rsidR="000F6257" w:rsidRPr="0037351D" w:rsidRDefault="000F6257" w:rsidP="00A3568F">
      <w:pPr>
        <w:pStyle w:val="JSNA3"/>
      </w:pPr>
      <w:bookmarkStart w:id="772" w:name="_Toc4407862"/>
      <w:r w:rsidRPr="0037351D">
        <w:t>Children</w:t>
      </w:r>
      <w:bookmarkEnd w:id="772"/>
    </w:p>
    <w:p w14:paraId="6397167C" w14:textId="77777777" w:rsidR="000F6257" w:rsidRPr="0037351D" w:rsidRDefault="000F6257" w:rsidP="0038179C">
      <w:pPr>
        <w:spacing w:line="240" w:lineRule="auto"/>
        <w:rPr>
          <w:rFonts w:cs="Arial"/>
          <w:b/>
          <w:color w:val="FF0000"/>
        </w:rPr>
      </w:pPr>
    </w:p>
    <w:p w14:paraId="364673C8" w14:textId="3CD91928" w:rsidR="00437736" w:rsidRPr="00D3587B" w:rsidRDefault="003A06FA" w:rsidP="0043274F">
      <w:pPr>
        <w:pStyle w:val="Caption"/>
        <w:rPr>
          <w:rFonts w:cs="Arial"/>
          <w:color w:val="002F5D"/>
        </w:rPr>
      </w:pPr>
      <w:r w:rsidRPr="00D3587B">
        <w:rPr>
          <w:b/>
          <w:color w:val="002F5D"/>
        </w:rPr>
        <w:t xml:space="preserve">Table </w:t>
      </w:r>
      <w:r w:rsidR="005B71A3">
        <w:rPr>
          <w:b/>
          <w:color w:val="002F5D"/>
        </w:rPr>
        <w:t>44</w:t>
      </w:r>
      <w:r w:rsidR="00437736" w:rsidRPr="00D3587B">
        <w:rPr>
          <w:rFonts w:cs="Arial"/>
          <w:b/>
          <w:color w:val="002F5D"/>
        </w:rPr>
        <w:t>.</w:t>
      </w:r>
      <w:r w:rsidR="00437736" w:rsidRPr="00D3587B">
        <w:rPr>
          <w:rFonts w:cs="Arial"/>
          <w:color w:val="002F5D"/>
        </w:rPr>
        <w:t xml:space="preserve"> Drug use</w:t>
      </w:r>
      <w:r w:rsidR="00324276" w:rsidRPr="00D3587B">
        <w:rPr>
          <w:rFonts w:cs="Arial"/>
          <w:color w:val="002F5D"/>
        </w:rPr>
        <w:t xml:space="preserve"> in 15 year olds</w:t>
      </w:r>
      <w:r w:rsidR="00437736" w:rsidRPr="00D3587B">
        <w:rPr>
          <w:rFonts w:cs="Arial"/>
          <w:color w:val="002F5D"/>
        </w:rPr>
        <w:t>, 2014/15</w:t>
      </w:r>
    </w:p>
    <w:p w14:paraId="47D4863D" w14:textId="77777777" w:rsidR="00324276" w:rsidRPr="00D3587B" w:rsidRDefault="00324276" w:rsidP="0043274F">
      <w:pPr>
        <w:spacing w:line="240" w:lineRule="auto"/>
        <w:rPr>
          <w:color w:val="002F5D"/>
        </w:rPr>
      </w:pPr>
    </w:p>
    <w:p w14:paraId="3F2EB00C" w14:textId="77777777" w:rsidR="00AB711B" w:rsidRPr="00D3587B" w:rsidRDefault="00324276" w:rsidP="0043274F">
      <w:pPr>
        <w:spacing w:line="240" w:lineRule="auto"/>
        <w:rPr>
          <w:rFonts w:cs="Arial"/>
          <w:color w:val="002F5D"/>
        </w:rPr>
      </w:pPr>
      <w:r w:rsidRPr="00D3587B">
        <w:rPr>
          <w:noProof/>
          <w:color w:val="002F5D"/>
          <w:lang w:eastAsia="en-GB"/>
        </w:rPr>
        <w:drawing>
          <wp:inline distT="0" distB="0" distL="0" distR="0" wp14:anchorId="111F2A9F" wp14:editId="73B2C2DE">
            <wp:extent cx="4010025" cy="1571625"/>
            <wp:effectExtent l="0" t="0" r="952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10025" cy="1571625"/>
                    </a:xfrm>
                    <a:prstGeom prst="rect">
                      <a:avLst/>
                    </a:prstGeom>
                    <a:noFill/>
                    <a:ln>
                      <a:noFill/>
                    </a:ln>
                  </pic:spPr>
                </pic:pic>
              </a:graphicData>
            </a:graphic>
          </wp:inline>
        </w:drawing>
      </w:r>
    </w:p>
    <w:p w14:paraId="7D2486AF" w14:textId="77777777" w:rsidR="00C13D2F" w:rsidRPr="00D3587B" w:rsidRDefault="00C13D2F" w:rsidP="0043274F">
      <w:pPr>
        <w:spacing w:line="240" w:lineRule="auto"/>
        <w:rPr>
          <w:rFonts w:cs="Arial"/>
          <w:color w:val="002F5D"/>
          <w:sz w:val="18"/>
          <w:szCs w:val="18"/>
        </w:rPr>
      </w:pPr>
    </w:p>
    <w:p w14:paraId="7D4FEEF7" w14:textId="77777777" w:rsidR="00AB711B" w:rsidRPr="00D3587B" w:rsidRDefault="00B86765" w:rsidP="0043274F">
      <w:pPr>
        <w:spacing w:line="240" w:lineRule="auto"/>
        <w:rPr>
          <w:rFonts w:cs="Arial"/>
          <w:color w:val="002F5D"/>
          <w:sz w:val="18"/>
          <w:szCs w:val="18"/>
        </w:rPr>
      </w:pPr>
      <w:r w:rsidRPr="00D3587B">
        <w:rPr>
          <w:rFonts w:cs="Arial"/>
          <w:color w:val="002F5D"/>
          <w:sz w:val="18"/>
          <w:szCs w:val="18"/>
        </w:rPr>
        <w:t>Cambridgeshire and Peterborough data not available</w:t>
      </w:r>
    </w:p>
    <w:p w14:paraId="7E8F829F" w14:textId="77777777" w:rsidR="00B86765" w:rsidRPr="00D3587B" w:rsidRDefault="00B86765" w:rsidP="0043274F">
      <w:pPr>
        <w:spacing w:line="240" w:lineRule="auto"/>
        <w:rPr>
          <w:rFonts w:cs="Arial"/>
          <w:color w:val="002F5D"/>
        </w:rPr>
      </w:pPr>
    </w:p>
    <w:p w14:paraId="62930891" w14:textId="77777777" w:rsidR="008B0B40" w:rsidRPr="00D3587B" w:rsidRDefault="008B0B40" w:rsidP="0043274F">
      <w:pPr>
        <w:spacing w:line="240" w:lineRule="auto"/>
        <w:rPr>
          <w:rFonts w:cs="Arial"/>
          <w:color w:val="002F5D"/>
        </w:rPr>
      </w:pPr>
      <w:r w:rsidRPr="00D3587B">
        <w:rPr>
          <w:noProof/>
          <w:color w:val="002F5D"/>
          <w:lang w:eastAsia="en-GB"/>
        </w:rPr>
        <w:drawing>
          <wp:inline distT="0" distB="0" distL="0" distR="0" wp14:anchorId="2BEAA5D4" wp14:editId="63E86E23">
            <wp:extent cx="4000500" cy="466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3DBC97CA" w14:textId="77777777" w:rsidR="00AB711B" w:rsidRPr="00D3587B" w:rsidRDefault="00AB711B" w:rsidP="0043274F">
      <w:pPr>
        <w:spacing w:line="240" w:lineRule="auto"/>
        <w:rPr>
          <w:rFonts w:cs="Arial"/>
          <w:b/>
          <w:color w:val="002F5D"/>
        </w:rPr>
      </w:pPr>
    </w:p>
    <w:p w14:paraId="0717F68E" w14:textId="77777777" w:rsidR="00437736" w:rsidRPr="00D3587B" w:rsidRDefault="00437736" w:rsidP="0043274F">
      <w:pPr>
        <w:spacing w:line="240" w:lineRule="auto"/>
        <w:rPr>
          <w:rFonts w:cs="Arial"/>
          <w:color w:val="002F5D"/>
        </w:rPr>
      </w:pPr>
      <w:r w:rsidRPr="00D3587B">
        <w:rPr>
          <w:rFonts w:cs="Arial"/>
          <w:b/>
          <w:color w:val="002F5D"/>
        </w:rPr>
        <w:t>Source:</w:t>
      </w:r>
      <w:r w:rsidRPr="00D3587B">
        <w:rPr>
          <w:rFonts w:cs="Arial"/>
          <w:color w:val="002F5D"/>
        </w:rPr>
        <w:t xml:space="preserve"> Public Health England, What About YOUth (WAY) Survey</w:t>
      </w:r>
    </w:p>
    <w:p w14:paraId="3D5A54B7" w14:textId="77777777" w:rsidR="008933E9" w:rsidRPr="00D3587B" w:rsidRDefault="008933E9" w:rsidP="0043274F">
      <w:pPr>
        <w:spacing w:line="240" w:lineRule="auto"/>
        <w:rPr>
          <w:rFonts w:cs="Arial"/>
          <w:color w:val="002F5D"/>
        </w:rPr>
      </w:pPr>
    </w:p>
    <w:p w14:paraId="4D70D3FC" w14:textId="77777777" w:rsidR="008933E9" w:rsidRPr="00D3587B" w:rsidRDefault="008933E9" w:rsidP="0043274F">
      <w:pPr>
        <w:spacing w:line="240" w:lineRule="auto"/>
        <w:rPr>
          <w:rFonts w:cs="Arial"/>
          <w:color w:val="002F5D"/>
        </w:rPr>
      </w:pPr>
      <w:r w:rsidRPr="00D3587B">
        <w:rPr>
          <w:rFonts w:cs="Arial"/>
          <w:b/>
          <w:color w:val="002F5D"/>
        </w:rPr>
        <w:t>Key point:</w:t>
      </w:r>
    </w:p>
    <w:p w14:paraId="7C814CC6" w14:textId="77777777" w:rsidR="008933E9" w:rsidRPr="00D3587B" w:rsidRDefault="008933E9" w:rsidP="0043274F">
      <w:pPr>
        <w:pStyle w:val="ListParagraph"/>
        <w:numPr>
          <w:ilvl w:val="0"/>
          <w:numId w:val="4"/>
        </w:numPr>
        <w:spacing w:line="240" w:lineRule="auto"/>
        <w:rPr>
          <w:rFonts w:cs="Arial"/>
          <w:color w:val="002F5D"/>
        </w:rPr>
      </w:pPr>
      <w:r w:rsidRPr="00D3587B">
        <w:rPr>
          <w:rFonts w:cs="Arial"/>
          <w:color w:val="002F5D"/>
        </w:rPr>
        <w:t xml:space="preserve">Based on data from the What About YOUth Survey, drug use among 15 year olds in Cambridgeshire </w:t>
      </w:r>
      <w:r w:rsidR="00324276" w:rsidRPr="00D3587B">
        <w:rPr>
          <w:rFonts w:cs="Arial"/>
          <w:color w:val="002F5D"/>
        </w:rPr>
        <w:t xml:space="preserve">and Peterborough </w:t>
      </w:r>
      <w:r w:rsidRPr="00D3587B">
        <w:rPr>
          <w:rFonts w:cs="Arial"/>
          <w:color w:val="002F5D"/>
        </w:rPr>
        <w:t>is statistically similar to the England average.</w:t>
      </w:r>
    </w:p>
    <w:p w14:paraId="076B4D28" w14:textId="77777777" w:rsidR="008933E9" w:rsidRPr="0037351D" w:rsidRDefault="008933E9" w:rsidP="0038179C">
      <w:pPr>
        <w:spacing w:line="240" w:lineRule="auto"/>
        <w:rPr>
          <w:rFonts w:cs="Arial"/>
          <w:color w:val="FF0000"/>
        </w:rPr>
      </w:pPr>
    </w:p>
    <w:p w14:paraId="3A7BA982" w14:textId="77777777" w:rsidR="00437736" w:rsidRPr="0037351D" w:rsidRDefault="00437736" w:rsidP="0038179C">
      <w:pPr>
        <w:spacing w:line="240" w:lineRule="auto"/>
        <w:rPr>
          <w:rFonts w:cs="Arial"/>
          <w:color w:val="FF0000"/>
        </w:rPr>
      </w:pPr>
    </w:p>
    <w:p w14:paraId="3522BFFC" w14:textId="77777777" w:rsidR="003D3F6C" w:rsidRPr="0037351D" w:rsidRDefault="003D3F6C">
      <w:pPr>
        <w:rPr>
          <w:rFonts w:eastAsiaTheme="majorEastAsia" w:cstheme="majorBidi"/>
          <w:b/>
          <w:color w:val="FF0000"/>
        </w:rPr>
      </w:pPr>
      <w:r w:rsidRPr="0037351D">
        <w:rPr>
          <w:color w:val="FF0000"/>
        </w:rPr>
        <w:br w:type="page"/>
      </w:r>
    </w:p>
    <w:p w14:paraId="112C05A2" w14:textId="77777777" w:rsidR="008933E9" w:rsidRPr="0037351D" w:rsidRDefault="000F6257" w:rsidP="00A3568F">
      <w:pPr>
        <w:pStyle w:val="JSNA3"/>
        <w:rPr>
          <w:rFonts w:cs="Arial"/>
        </w:rPr>
      </w:pPr>
      <w:bookmarkStart w:id="773" w:name="_Toc4407863"/>
      <w:r w:rsidRPr="0037351D">
        <w:lastRenderedPageBreak/>
        <w:t>A</w:t>
      </w:r>
      <w:r w:rsidR="008933E9" w:rsidRPr="0037351D">
        <w:t>dults</w:t>
      </w:r>
      <w:bookmarkEnd w:id="773"/>
    </w:p>
    <w:p w14:paraId="60E0DE95" w14:textId="77777777" w:rsidR="00324276" w:rsidRPr="0037351D" w:rsidRDefault="00324276" w:rsidP="003A06FA">
      <w:pPr>
        <w:pStyle w:val="Caption"/>
        <w:rPr>
          <w:b/>
          <w:color w:val="FF0000"/>
        </w:rPr>
      </w:pPr>
    </w:p>
    <w:p w14:paraId="2DC7E5F4" w14:textId="4257A7B0" w:rsidR="008933E9" w:rsidRPr="00C73EA7" w:rsidRDefault="003A06FA" w:rsidP="0043274F">
      <w:pPr>
        <w:pStyle w:val="Caption"/>
        <w:rPr>
          <w:rFonts w:cs="Arial"/>
          <w:color w:val="002F5D"/>
        </w:rPr>
      </w:pPr>
      <w:r w:rsidRPr="00C73EA7">
        <w:rPr>
          <w:b/>
          <w:color w:val="002F5D"/>
        </w:rPr>
        <w:t xml:space="preserve">Table </w:t>
      </w:r>
      <w:r w:rsidR="005B71A3">
        <w:rPr>
          <w:b/>
          <w:color w:val="002F5D"/>
        </w:rPr>
        <w:t>45</w:t>
      </w:r>
      <w:r w:rsidR="00155AB3" w:rsidRPr="00C73EA7">
        <w:rPr>
          <w:rFonts w:cs="Arial"/>
          <w:b/>
          <w:color w:val="002F5D"/>
        </w:rPr>
        <w:t>.</w:t>
      </w:r>
      <w:r w:rsidR="00155AB3" w:rsidRPr="00C73EA7">
        <w:rPr>
          <w:rFonts w:cs="Arial"/>
          <w:color w:val="002F5D"/>
        </w:rPr>
        <w:t xml:space="preserve"> </w:t>
      </w:r>
      <w:r w:rsidR="008933E9" w:rsidRPr="00C73EA7">
        <w:rPr>
          <w:rFonts w:cs="Arial"/>
          <w:color w:val="002F5D"/>
        </w:rPr>
        <w:t>Estimated</w:t>
      </w:r>
      <w:r w:rsidR="00B86765" w:rsidRPr="00C73EA7">
        <w:rPr>
          <w:rFonts w:cs="Arial"/>
          <w:color w:val="002F5D"/>
        </w:rPr>
        <w:t xml:space="preserve"> numbers using any illegal drug</w:t>
      </w:r>
      <w:r w:rsidR="00B86765" w:rsidRPr="00C73EA7">
        <w:rPr>
          <w:rFonts w:cs="Arial"/>
          <w:color w:val="002F5D"/>
          <w:vertAlign w:val="superscript"/>
        </w:rPr>
        <w:t>1</w:t>
      </w:r>
      <w:r w:rsidR="00C73EA7">
        <w:rPr>
          <w:rFonts w:cs="Arial"/>
          <w:color w:val="002F5D"/>
        </w:rPr>
        <w:t>, 2017</w:t>
      </w:r>
    </w:p>
    <w:p w14:paraId="68CD83BA" w14:textId="77777777" w:rsidR="00B86765" w:rsidRDefault="00B86765" w:rsidP="0043274F">
      <w:pPr>
        <w:spacing w:line="240" w:lineRule="auto"/>
        <w:rPr>
          <w:color w:val="002F5D"/>
        </w:rPr>
      </w:pPr>
    </w:p>
    <w:p w14:paraId="7582927F" w14:textId="212266E7" w:rsidR="00C73EA7" w:rsidRDefault="00C73EA7" w:rsidP="0043274F">
      <w:pPr>
        <w:spacing w:line="240" w:lineRule="auto"/>
        <w:rPr>
          <w:color w:val="002F5D"/>
        </w:rPr>
      </w:pPr>
      <w:r w:rsidRPr="00C73EA7">
        <w:rPr>
          <w:noProof/>
          <w:lang w:eastAsia="en-GB"/>
        </w:rPr>
        <w:drawing>
          <wp:inline distT="0" distB="0" distL="0" distR="0" wp14:anchorId="03D546FA" wp14:editId="6FF83BFE">
            <wp:extent cx="6048375" cy="9810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48375" cy="981075"/>
                    </a:xfrm>
                    <a:prstGeom prst="rect">
                      <a:avLst/>
                    </a:prstGeom>
                    <a:noFill/>
                    <a:ln>
                      <a:noFill/>
                    </a:ln>
                  </pic:spPr>
                </pic:pic>
              </a:graphicData>
            </a:graphic>
          </wp:inline>
        </w:drawing>
      </w:r>
    </w:p>
    <w:p w14:paraId="45A1501C" w14:textId="77777777" w:rsidR="0043274F" w:rsidRPr="00C73EA7" w:rsidRDefault="0043274F" w:rsidP="0043274F">
      <w:pPr>
        <w:spacing w:line="240" w:lineRule="auto"/>
        <w:rPr>
          <w:rFonts w:cs="Arial"/>
          <w:color w:val="002F5D"/>
          <w:sz w:val="18"/>
          <w:szCs w:val="18"/>
          <w:vertAlign w:val="superscript"/>
        </w:rPr>
      </w:pPr>
    </w:p>
    <w:p w14:paraId="588B0CB9" w14:textId="77777777" w:rsidR="00155AB3" w:rsidRPr="00C73EA7" w:rsidRDefault="00B86765" w:rsidP="0043274F">
      <w:pPr>
        <w:spacing w:line="240" w:lineRule="auto"/>
        <w:rPr>
          <w:rFonts w:cs="Arial"/>
          <w:color w:val="002F5D"/>
          <w:sz w:val="18"/>
          <w:szCs w:val="18"/>
        </w:rPr>
      </w:pPr>
      <w:r w:rsidRPr="00C73EA7">
        <w:rPr>
          <w:rFonts w:cs="Arial"/>
          <w:color w:val="002F5D"/>
          <w:sz w:val="18"/>
          <w:szCs w:val="18"/>
          <w:vertAlign w:val="superscript"/>
        </w:rPr>
        <w:t>1</w:t>
      </w:r>
      <w:r w:rsidR="00155AB3" w:rsidRPr="00C73EA7">
        <w:rPr>
          <w:rFonts w:cs="Arial"/>
          <w:color w:val="002F5D"/>
          <w:sz w:val="18"/>
          <w:szCs w:val="18"/>
        </w:rPr>
        <w:t>Any drug controlled under the Misuse of Drugs Act 1971</w:t>
      </w:r>
    </w:p>
    <w:p w14:paraId="69740B24" w14:textId="77777777" w:rsidR="00CE2578" w:rsidRPr="00C73EA7" w:rsidRDefault="00CE2578" w:rsidP="0043274F">
      <w:pPr>
        <w:spacing w:line="240" w:lineRule="auto"/>
        <w:rPr>
          <w:rFonts w:cs="Arial"/>
          <w:color w:val="002F5D"/>
          <w:sz w:val="18"/>
          <w:szCs w:val="18"/>
        </w:rPr>
      </w:pPr>
      <w:r w:rsidRPr="00C73EA7">
        <w:rPr>
          <w:rFonts w:cs="Arial"/>
          <w:color w:val="002F5D"/>
          <w:sz w:val="18"/>
          <w:szCs w:val="18"/>
        </w:rPr>
        <w:t>*Value aggregated from all known lower geography values</w:t>
      </w:r>
    </w:p>
    <w:p w14:paraId="23DC6089" w14:textId="77777777" w:rsidR="00155AB3" w:rsidRPr="00C73EA7" w:rsidRDefault="00155AB3" w:rsidP="0043274F">
      <w:pPr>
        <w:spacing w:line="240" w:lineRule="auto"/>
        <w:rPr>
          <w:rFonts w:cs="Arial"/>
          <w:color w:val="002F5D"/>
          <w:sz w:val="18"/>
          <w:szCs w:val="18"/>
        </w:rPr>
      </w:pPr>
      <w:r w:rsidRPr="00C73EA7">
        <w:rPr>
          <w:rFonts w:cs="Arial"/>
          <w:color w:val="002F5D"/>
          <w:sz w:val="18"/>
          <w:szCs w:val="18"/>
        </w:rPr>
        <w:t>Numbers estimated based on prevalence estimates for England and Wales 2016/17 applied to the mid-2016 population:</w:t>
      </w:r>
    </w:p>
    <w:p w14:paraId="5870364B" w14:textId="77777777" w:rsidR="00155AB3" w:rsidRPr="00C73EA7" w:rsidRDefault="00155AB3" w:rsidP="0043274F">
      <w:pPr>
        <w:spacing w:line="240" w:lineRule="auto"/>
        <w:rPr>
          <w:rFonts w:cs="Arial"/>
          <w:color w:val="002F5D"/>
          <w:sz w:val="18"/>
          <w:szCs w:val="18"/>
        </w:rPr>
      </w:pPr>
      <w:r w:rsidRPr="00C73EA7">
        <w:rPr>
          <w:rFonts w:cs="Arial"/>
          <w:color w:val="002F5D"/>
          <w:sz w:val="18"/>
          <w:szCs w:val="18"/>
        </w:rPr>
        <w:t>Using in the last year: 16-24 year olds 19.2%, 16-59 year olds 8.5%</w:t>
      </w:r>
      <w:r w:rsidR="00805E8D" w:rsidRPr="00C73EA7">
        <w:rPr>
          <w:rFonts w:cs="Arial"/>
          <w:color w:val="002F5D"/>
          <w:sz w:val="18"/>
          <w:szCs w:val="18"/>
        </w:rPr>
        <w:t>.</w:t>
      </w:r>
    </w:p>
    <w:p w14:paraId="63DFC2DF" w14:textId="77777777" w:rsidR="00155AB3" w:rsidRPr="00C73EA7" w:rsidRDefault="00155AB3" w:rsidP="0043274F">
      <w:pPr>
        <w:spacing w:line="240" w:lineRule="auto"/>
        <w:rPr>
          <w:rFonts w:cs="Arial"/>
          <w:color w:val="002F5D"/>
        </w:rPr>
      </w:pPr>
      <w:r w:rsidRPr="00C73EA7">
        <w:rPr>
          <w:rFonts w:cs="Arial"/>
          <w:color w:val="002F5D"/>
          <w:sz w:val="18"/>
          <w:szCs w:val="18"/>
        </w:rPr>
        <w:t>Using more than once a month: 16-24 year olds 4.2%, 16-59 year olds 2.0%</w:t>
      </w:r>
      <w:r w:rsidR="00805E8D" w:rsidRPr="00C73EA7">
        <w:rPr>
          <w:rFonts w:cs="Arial"/>
          <w:color w:val="002F5D"/>
          <w:sz w:val="18"/>
          <w:szCs w:val="18"/>
        </w:rPr>
        <w:t>.</w:t>
      </w:r>
    </w:p>
    <w:p w14:paraId="1A43C6DF" w14:textId="77777777" w:rsidR="00AB711B" w:rsidRPr="0037351D" w:rsidRDefault="00AB711B" w:rsidP="0043274F">
      <w:pPr>
        <w:spacing w:line="240" w:lineRule="auto"/>
        <w:rPr>
          <w:rFonts w:cs="Arial"/>
          <w:color w:val="FF0000"/>
        </w:rPr>
      </w:pPr>
    </w:p>
    <w:p w14:paraId="35311508" w14:textId="5B82D3BB" w:rsidR="00437736" w:rsidRPr="00C73EA7" w:rsidRDefault="00155AB3" w:rsidP="0043274F">
      <w:pPr>
        <w:spacing w:line="240" w:lineRule="auto"/>
        <w:rPr>
          <w:rFonts w:cs="Arial"/>
          <w:color w:val="002F5D"/>
        </w:rPr>
      </w:pPr>
      <w:r w:rsidRPr="00C73EA7">
        <w:rPr>
          <w:rFonts w:cs="Arial"/>
          <w:b/>
          <w:color w:val="002F5D"/>
        </w:rPr>
        <w:t>Sources:</w:t>
      </w:r>
      <w:r w:rsidR="00C73EA7" w:rsidRPr="00C73EA7">
        <w:rPr>
          <w:rFonts w:cs="Arial"/>
          <w:color w:val="002F5D"/>
        </w:rPr>
        <w:t xml:space="preserve"> Crime Survey for England 2017/18</w:t>
      </w:r>
      <w:r w:rsidRPr="00C73EA7">
        <w:rPr>
          <w:rFonts w:cs="Arial"/>
          <w:color w:val="002F5D"/>
        </w:rPr>
        <w:t xml:space="preserve">, </w:t>
      </w:r>
      <w:r w:rsidR="007750E0">
        <w:rPr>
          <w:rFonts w:cs="Arial"/>
          <w:color w:val="002F5D"/>
        </w:rPr>
        <w:t>ONS</w:t>
      </w:r>
      <w:r w:rsidRPr="00C73EA7">
        <w:rPr>
          <w:rFonts w:cs="Arial"/>
          <w:color w:val="002F5D"/>
        </w:rPr>
        <w:t xml:space="preserve"> </w:t>
      </w:r>
      <w:r w:rsidR="00C73EA7">
        <w:rPr>
          <w:rFonts w:cs="Arial"/>
          <w:color w:val="002F5D"/>
        </w:rPr>
        <w:t xml:space="preserve">2017 </w:t>
      </w:r>
      <w:r w:rsidRPr="00C73EA7">
        <w:rPr>
          <w:rFonts w:cs="Arial"/>
          <w:color w:val="002F5D"/>
        </w:rPr>
        <w:t>mid-year population estimates</w:t>
      </w:r>
    </w:p>
    <w:p w14:paraId="37009A57" w14:textId="77777777" w:rsidR="00DE1FAD" w:rsidRPr="00C73EA7" w:rsidRDefault="00DE1FAD" w:rsidP="0043274F">
      <w:pPr>
        <w:spacing w:line="240" w:lineRule="auto"/>
        <w:rPr>
          <w:rFonts w:cs="Arial"/>
          <w:color w:val="002F5D"/>
        </w:rPr>
      </w:pPr>
    </w:p>
    <w:p w14:paraId="2D2DCB8E" w14:textId="77777777" w:rsidR="008933E9" w:rsidRPr="00C73EA7" w:rsidRDefault="00155AB3" w:rsidP="0043274F">
      <w:pPr>
        <w:spacing w:line="240" w:lineRule="auto"/>
        <w:rPr>
          <w:rFonts w:cs="Arial"/>
          <w:color w:val="002F5D"/>
        </w:rPr>
      </w:pPr>
      <w:r w:rsidRPr="00C73EA7">
        <w:rPr>
          <w:rFonts w:cs="Arial"/>
          <w:color w:val="002F5D"/>
        </w:rPr>
        <w:t>Key point</w:t>
      </w:r>
      <w:r w:rsidR="0052336E" w:rsidRPr="00C73EA7">
        <w:rPr>
          <w:rFonts w:cs="Arial"/>
          <w:color w:val="002F5D"/>
        </w:rPr>
        <w:t>s</w:t>
      </w:r>
      <w:r w:rsidRPr="00C73EA7">
        <w:rPr>
          <w:rFonts w:cs="Arial"/>
          <w:color w:val="002F5D"/>
        </w:rPr>
        <w:t>:</w:t>
      </w:r>
    </w:p>
    <w:p w14:paraId="50E6D928" w14:textId="32250AF0" w:rsidR="00CE627C" w:rsidRPr="00C73EA7" w:rsidRDefault="00CE627C" w:rsidP="00CE627C">
      <w:pPr>
        <w:pStyle w:val="ListParagraph"/>
        <w:numPr>
          <w:ilvl w:val="0"/>
          <w:numId w:val="4"/>
        </w:numPr>
        <w:rPr>
          <w:rFonts w:cs="Arial"/>
          <w:color w:val="002F5D"/>
        </w:rPr>
      </w:pPr>
      <w:r w:rsidRPr="00C73EA7">
        <w:rPr>
          <w:rFonts w:cs="Arial"/>
          <w:color w:val="002F5D"/>
        </w:rPr>
        <w:t>For Cambridgeshire and Peterborough co</w:t>
      </w:r>
      <w:r w:rsidR="00C73EA7" w:rsidRPr="00C73EA7">
        <w:rPr>
          <w:rFonts w:cs="Arial"/>
          <w:color w:val="002F5D"/>
        </w:rPr>
        <w:t>mbined there are an estimated 44</w:t>
      </w:r>
      <w:r w:rsidRPr="00C73EA7">
        <w:rPr>
          <w:rFonts w:cs="Arial"/>
          <w:color w:val="002F5D"/>
        </w:rPr>
        <w:t xml:space="preserve">,000 people who have used </w:t>
      </w:r>
      <w:r w:rsidR="00441207">
        <w:rPr>
          <w:rFonts w:cs="Arial"/>
          <w:color w:val="002F5D"/>
        </w:rPr>
        <w:t xml:space="preserve">an illegal </w:t>
      </w:r>
      <w:r w:rsidRPr="00C73EA7">
        <w:rPr>
          <w:rFonts w:cs="Arial"/>
          <w:color w:val="002F5D"/>
        </w:rPr>
        <w:t>drug at least once</w:t>
      </w:r>
      <w:r w:rsidR="009A0D7B">
        <w:rPr>
          <w:rFonts w:cs="Arial"/>
          <w:color w:val="002F5D"/>
        </w:rPr>
        <w:t xml:space="preserve"> in the last year, around 10,400 </w:t>
      </w:r>
      <w:r w:rsidR="002C3008">
        <w:rPr>
          <w:rFonts w:cs="Arial"/>
          <w:color w:val="002F5D"/>
        </w:rPr>
        <w:t>o</w:t>
      </w:r>
      <w:r w:rsidRPr="00C73EA7">
        <w:rPr>
          <w:rFonts w:cs="Arial"/>
          <w:color w:val="002F5D"/>
        </w:rPr>
        <w:t>f which are estimated to use more than once a month.</w:t>
      </w:r>
    </w:p>
    <w:p w14:paraId="4325B3D0" w14:textId="70CD5B0A" w:rsidR="008933E9" w:rsidRPr="00C73EA7" w:rsidRDefault="00C73EA7" w:rsidP="0043274F">
      <w:pPr>
        <w:pStyle w:val="ListParagraph"/>
        <w:numPr>
          <w:ilvl w:val="0"/>
          <w:numId w:val="4"/>
        </w:numPr>
        <w:spacing w:line="240" w:lineRule="auto"/>
        <w:rPr>
          <w:rFonts w:cs="Arial"/>
          <w:color w:val="002F5D"/>
        </w:rPr>
      </w:pPr>
      <w:r w:rsidRPr="00C73EA7">
        <w:rPr>
          <w:rFonts w:cs="Arial"/>
          <w:color w:val="002F5D"/>
        </w:rPr>
        <w:t>There are an estimated 33</w:t>
      </w:r>
      <w:r w:rsidR="00155AB3" w:rsidRPr="00C73EA7">
        <w:rPr>
          <w:rFonts w:cs="Arial"/>
          <w:color w:val="002F5D"/>
        </w:rPr>
        <w:t>,</w:t>
      </w:r>
      <w:r w:rsidR="009A0D7B">
        <w:rPr>
          <w:rFonts w:cs="Arial"/>
          <w:color w:val="002F5D"/>
        </w:rPr>
        <w:t xml:space="preserve">500 </w:t>
      </w:r>
      <w:r w:rsidR="008C1B7B">
        <w:rPr>
          <w:rFonts w:cs="Arial"/>
          <w:color w:val="002F5D"/>
        </w:rPr>
        <w:t>p</w:t>
      </w:r>
      <w:r w:rsidR="00155AB3" w:rsidRPr="00C73EA7">
        <w:rPr>
          <w:rFonts w:cs="Arial"/>
          <w:color w:val="002F5D"/>
        </w:rPr>
        <w:t>eople who have used drugs at least once in the last yea</w:t>
      </w:r>
      <w:r w:rsidRPr="00C73EA7">
        <w:rPr>
          <w:rFonts w:cs="Arial"/>
          <w:color w:val="002F5D"/>
        </w:rPr>
        <w:t>r in Cambridgeshire</w:t>
      </w:r>
      <w:r w:rsidR="00441207">
        <w:rPr>
          <w:rFonts w:cs="Arial"/>
          <w:color w:val="002F5D"/>
        </w:rPr>
        <w:t>, a</w:t>
      </w:r>
      <w:r w:rsidRPr="00C73EA7">
        <w:rPr>
          <w:rFonts w:cs="Arial"/>
          <w:color w:val="002F5D"/>
        </w:rPr>
        <w:t>round 7,8</w:t>
      </w:r>
      <w:r w:rsidR="00155AB3" w:rsidRPr="00C73EA7">
        <w:rPr>
          <w:rFonts w:cs="Arial"/>
          <w:color w:val="002F5D"/>
        </w:rPr>
        <w:t>00 of which use more than once a month.</w:t>
      </w:r>
    </w:p>
    <w:p w14:paraId="18701C10" w14:textId="0E577449" w:rsidR="00324276" w:rsidRPr="00C73EA7" w:rsidRDefault="00324276" w:rsidP="0043274F">
      <w:pPr>
        <w:pStyle w:val="ListParagraph"/>
        <w:numPr>
          <w:ilvl w:val="0"/>
          <w:numId w:val="4"/>
        </w:numPr>
        <w:spacing w:line="240" w:lineRule="auto"/>
        <w:rPr>
          <w:rFonts w:cs="Arial"/>
          <w:color w:val="002F5D"/>
        </w:rPr>
      </w:pPr>
      <w:r w:rsidRPr="00C73EA7">
        <w:rPr>
          <w:rFonts w:cs="Arial"/>
          <w:color w:val="002F5D"/>
        </w:rPr>
        <w:t>In Peterb</w:t>
      </w:r>
      <w:r w:rsidR="00C73EA7" w:rsidRPr="00C73EA7">
        <w:rPr>
          <w:rFonts w:cs="Arial"/>
          <w:color w:val="002F5D"/>
        </w:rPr>
        <w:t>oro</w:t>
      </w:r>
      <w:r w:rsidR="009A0D7B">
        <w:rPr>
          <w:rFonts w:cs="Arial"/>
          <w:color w:val="002F5D"/>
        </w:rPr>
        <w:t>ugh, there are an estimated 10,400</w:t>
      </w:r>
      <w:r w:rsidRPr="00C73EA7">
        <w:rPr>
          <w:rFonts w:cs="Arial"/>
          <w:color w:val="002F5D"/>
        </w:rPr>
        <w:t xml:space="preserve"> people who have used drugs at least once in the </w:t>
      </w:r>
      <w:r w:rsidR="00C73EA7" w:rsidRPr="00C73EA7">
        <w:rPr>
          <w:rFonts w:cs="Arial"/>
          <w:color w:val="002F5D"/>
        </w:rPr>
        <w:t>last year, around 2,4</w:t>
      </w:r>
      <w:r w:rsidRPr="00C73EA7">
        <w:rPr>
          <w:rFonts w:cs="Arial"/>
          <w:color w:val="002F5D"/>
        </w:rPr>
        <w:t>00 of which are estimated to use more than once a month.</w:t>
      </w:r>
    </w:p>
    <w:p w14:paraId="1FF16210" w14:textId="77777777" w:rsidR="003E18A4" w:rsidRPr="0037351D" w:rsidRDefault="003E18A4" w:rsidP="0043274F">
      <w:pPr>
        <w:pStyle w:val="Caption"/>
        <w:rPr>
          <w:b/>
          <w:color w:val="FF0000"/>
        </w:rPr>
      </w:pPr>
    </w:p>
    <w:p w14:paraId="0A4BC7E6" w14:textId="311DD9DD" w:rsidR="00C012AA" w:rsidRPr="0037351D" w:rsidRDefault="00C012AA">
      <w:pPr>
        <w:rPr>
          <w:b/>
          <w:iCs/>
          <w:color w:val="FF0000"/>
          <w:szCs w:val="18"/>
        </w:rPr>
      </w:pPr>
      <w:r w:rsidRPr="0037351D">
        <w:rPr>
          <w:b/>
          <w:color w:val="FF0000"/>
        </w:rPr>
        <w:br w:type="page"/>
      </w:r>
    </w:p>
    <w:p w14:paraId="6EA85B9E" w14:textId="479F7819" w:rsidR="00851FD3" w:rsidRDefault="003A06FA" w:rsidP="0043274F">
      <w:pPr>
        <w:pStyle w:val="Caption"/>
        <w:rPr>
          <w:rFonts w:cs="Arial"/>
          <w:color w:val="002F5D"/>
        </w:rPr>
      </w:pPr>
      <w:r w:rsidRPr="00424CB3">
        <w:rPr>
          <w:b/>
          <w:color w:val="002F5D"/>
        </w:rPr>
        <w:lastRenderedPageBreak/>
        <w:t xml:space="preserve">Table </w:t>
      </w:r>
      <w:r w:rsidR="005B71A3">
        <w:rPr>
          <w:b/>
          <w:color w:val="002F5D"/>
        </w:rPr>
        <w:t>46</w:t>
      </w:r>
      <w:r w:rsidR="00155AB3" w:rsidRPr="00424CB3">
        <w:rPr>
          <w:rFonts w:cs="Arial"/>
          <w:b/>
          <w:color w:val="002F5D"/>
        </w:rPr>
        <w:t>.</w:t>
      </w:r>
      <w:r w:rsidR="00155AB3" w:rsidRPr="00424CB3">
        <w:rPr>
          <w:rFonts w:cs="Arial"/>
          <w:color w:val="002F5D"/>
        </w:rPr>
        <w:t xml:space="preserve"> Directly age-standar</w:t>
      </w:r>
      <w:r w:rsidR="00DB120F" w:rsidRPr="00424CB3">
        <w:rPr>
          <w:rFonts w:cs="Arial"/>
          <w:color w:val="002F5D"/>
        </w:rPr>
        <w:t>dised drug-related</w:t>
      </w:r>
      <w:r w:rsidR="00DB120F" w:rsidRPr="00424CB3">
        <w:rPr>
          <w:rFonts w:cs="Arial"/>
          <w:color w:val="002F5D"/>
          <w:vertAlign w:val="superscript"/>
        </w:rPr>
        <w:t>1</w:t>
      </w:r>
      <w:r w:rsidR="003E18A4" w:rsidRPr="00424CB3">
        <w:rPr>
          <w:rFonts w:cs="Arial"/>
          <w:color w:val="002F5D"/>
        </w:rPr>
        <w:t xml:space="preserve"> mortality, </w:t>
      </w:r>
      <w:r w:rsidR="00424CB3" w:rsidRPr="00424CB3">
        <w:rPr>
          <w:rFonts w:cs="Arial"/>
          <w:color w:val="002F5D"/>
        </w:rPr>
        <w:t>2013-17</w:t>
      </w:r>
    </w:p>
    <w:p w14:paraId="18406BFE" w14:textId="0F709F9F" w:rsidR="00155AB3" w:rsidRDefault="00155AB3" w:rsidP="0043274F">
      <w:pPr>
        <w:pStyle w:val="Caption"/>
        <w:rPr>
          <w:rFonts w:cs="Arial"/>
          <w:color w:val="002F5D"/>
        </w:rPr>
      </w:pPr>
    </w:p>
    <w:p w14:paraId="0B22A570" w14:textId="0A170418" w:rsidR="00CF103D" w:rsidRPr="009A2AB3" w:rsidRDefault="00312762" w:rsidP="009A2AB3">
      <w:r w:rsidRPr="00312762">
        <w:rPr>
          <w:noProof/>
          <w:lang w:eastAsia="en-GB"/>
        </w:rPr>
        <w:drawing>
          <wp:inline distT="0" distB="0" distL="0" distR="0" wp14:anchorId="412186C7" wp14:editId="69044080">
            <wp:extent cx="4394200" cy="2178029"/>
            <wp:effectExtent l="0" t="0" r="635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99299" cy="2180557"/>
                    </a:xfrm>
                    <a:prstGeom prst="rect">
                      <a:avLst/>
                    </a:prstGeom>
                    <a:noFill/>
                    <a:ln>
                      <a:noFill/>
                    </a:ln>
                  </pic:spPr>
                </pic:pic>
              </a:graphicData>
            </a:graphic>
          </wp:inline>
        </w:drawing>
      </w:r>
    </w:p>
    <w:p w14:paraId="1A4BCEAA" w14:textId="77777777" w:rsidR="00CB71DF" w:rsidRPr="0037351D" w:rsidRDefault="00CB71DF" w:rsidP="009A2AB3">
      <w:pPr>
        <w:rPr>
          <w:rFonts w:cs="Arial"/>
          <w:color w:val="FF0000"/>
          <w:sz w:val="18"/>
          <w:szCs w:val="18"/>
        </w:rPr>
      </w:pPr>
    </w:p>
    <w:p w14:paraId="694407BA" w14:textId="77777777" w:rsidR="00155AB3" w:rsidRPr="00424CB3" w:rsidRDefault="00DB120F" w:rsidP="0043274F">
      <w:pPr>
        <w:spacing w:line="240" w:lineRule="auto"/>
        <w:rPr>
          <w:rFonts w:cs="Arial"/>
          <w:color w:val="002F5D"/>
          <w:sz w:val="18"/>
          <w:szCs w:val="18"/>
        </w:rPr>
      </w:pPr>
      <w:r w:rsidRPr="00424CB3">
        <w:rPr>
          <w:rFonts w:cs="Arial"/>
          <w:color w:val="002F5D"/>
          <w:sz w:val="18"/>
          <w:szCs w:val="18"/>
          <w:vertAlign w:val="superscript"/>
        </w:rPr>
        <w:t>1</w:t>
      </w:r>
      <w:r w:rsidR="00155AB3" w:rsidRPr="00424CB3">
        <w:rPr>
          <w:rFonts w:cs="Arial"/>
          <w:color w:val="002F5D"/>
          <w:sz w:val="18"/>
          <w:szCs w:val="18"/>
        </w:rPr>
        <w:t>Any drug controlled under the Misuse of Drugs Act 1971</w:t>
      </w:r>
    </w:p>
    <w:p w14:paraId="554FD193" w14:textId="77777777" w:rsidR="00424CB3" w:rsidRPr="00196B41" w:rsidRDefault="00424CB3" w:rsidP="00424CB3">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7227DE46" w14:textId="77777777" w:rsidR="00424CB3" w:rsidRPr="00196B41" w:rsidRDefault="00424CB3" w:rsidP="00424CB3">
      <w:pPr>
        <w:spacing w:line="240" w:lineRule="auto"/>
        <w:rPr>
          <w:color w:val="002F5D"/>
          <w:sz w:val="18"/>
          <w:szCs w:val="18"/>
        </w:rPr>
      </w:pPr>
    </w:p>
    <w:p w14:paraId="7E871684" w14:textId="77777777" w:rsidR="00424CB3" w:rsidRPr="00196B41" w:rsidRDefault="00424CB3" w:rsidP="00424CB3">
      <w:pPr>
        <w:spacing w:line="240" w:lineRule="auto"/>
        <w:rPr>
          <w:color w:val="002F5D"/>
          <w:sz w:val="18"/>
        </w:rPr>
      </w:pPr>
      <w:r>
        <w:rPr>
          <w:noProof/>
          <w:color w:val="002F5D"/>
          <w:sz w:val="18"/>
          <w:lang w:eastAsia="en-GB"/>
        </w:rPr>
        <w:drawing>
          <wp:inline distT="0" distB="0" distL="0" distR="0" wp14:anchorId="1F77C628" wp14:editId="50F9BE47">
            <wp:extent cx="3733800" cy="539484"/>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127" cy="541699"/>
                    </a:xfrm>
                    <a:prstGeom prst="rect">
                      <a:avLst/>
                    </a:prstGeom>
                    <a:noFill/>
                  </pic:spPr>
                </pic:pic>
              </a:graphicData>
            </a:graphic>
          </wp:inline>
        </w:drawing>
      </w:r>
    </w:p>
    <w:p w14:paraId="475EF803" w14:textId="77777777" w:rsidR="008B0B40" w:rsidRPr="00424CB3" w:rsidRDefault="008B0B40" w:rsidP="0043274F">
      <w:pPr>
        <w:spacing w:line="240" w:lineRule="auto"/>
        <w:rPr>
          <w:rFonts w:cs="Arial"/>
          <w:color w:val="002F5D"/>
        </w:rPr>
      </w:pPr>
    </w:p>
    <w:p w14:paraId="215D70B2" w14:textId="3BADA021" w:rsidR="00DB120F" w:rsidRPr="00424CB3" w:rsidRDefault="00155AB3" w:rsidP="0043274F">
      <w:pPr>
        <w:spacing w:line="240" w:lineRule="auto"/>
        <w:rPr>
          <w:rFonts w:cs="Arial"/>
          <w:color w:val="002F5D"/>
        </w:rPr>
      </w:pPr>
      <w:r w:rsidRPr="00424CB3">
        <w:rPr>
          <w:rFonts w:cs="Arial"/>
          <w:b/>
          <w:color w:val="002F5D"/>
        </w:rPr>
        <w:t>Sources:</w:t>
      </w:r>
      <w:r w:rsidRPr="00424CB3">
        <w:rPr>
          <w:rFonts w:cs="Arial"/>
          <w:color w:val="002F5D"/>
        </w:rPr>
        <w:t xml:space="preserve"> NHS Digital Primary Care Mortality Database (</w:t>
      </w:r>
      <w:r w:rsidR="007750E0">
        <w:rPr>
          <w:rFonts w:cs="Arial"/>
          <w:color w:val="002F5D"/>
        </w:rPr>
        <w:t>ONS) death registrations</w:t>
      </w:r>
      <w:r w:rsidRPr="00424CB3">
        <w:rPr>
          <w:rFonts w:cs="Arial"/>
          <w:color w:val="002F5D"/>
        </w:rPr>
        <w:t>, ONS mid-year population estimates</w:t>
      </w:r>
    </w:p>
    <w:p w14:paraId="18B91BD5" w14:textId="77777777" w:rsidR="0043274F" w:rsidRPr="0037351D" w:rsidRDefault="0043274F" w:rsidP="0038179C">
      <w:pPr>
        <w:spacing w:line="240" w:lineRule="auto"/>
        <w:rPr>
          <w:rFonts w:cs="Arial"/>
          <w:b/>
          <w:color w:val="FF0000"/>
        </w:rPr>
      </w:pPr>
    </w:p>
    <w:p w14:paraId="106D7294" w14:textId="77777777" w:rsidR="00155AB3" w:rsidRPr="00424CB3" w:rsidRDefault="00155AB3" w:rsidP="0043274F">
      <w:pPr>
        <w:spacing w:line="240" w:lineRule="auto"/>
        <w:rPr>
          <w:rFonts w:cs="Arial"/>
          <w:b/>
          <w:color w:val="002F5D"/>
        </w:rPr>
      </w:pPr>
      <w:r w:rsidRPr="00424CB3">
        <w:rPr>
          <w:rFonts w:cs="Arial"/>
          <w:b/>
          <w:color w:val="002F5D"/>
        </w:rPr>
        <w:t>Key point</w:t>
      </w:r>
      <w:r w:rsidR="0052336E" w:rsidRPr="00424CB3">
        <w:rPr>
          <w:rFonts w:cs="Arial"/>
          <w:b/>
          <w:color w:val="002F5D"/>
        </w:rPr>
        <w:t>s</w:t>
      </w:r>
      <w:r w:rsidRPr="00424CB3">
        <w:rPr>
          <w:rFonts w:cs="Arial"/>
          <w:b/>
          <w:color w:val="002F5D"/>
        </w:rPr>
        <w:t>:</w:t>
      </w:r>
    </w:p>
    <w:p w14:paraId="51D15415" w14:textId="77777777" w:rsidR="00155AB3" w:rsidRPr="00424CB3" w:rsidRDefault="003E18A4" w:rsidP="0043274F">
      <w:pPr>
        <w:pStyle w:val="ListParagraph"/>
        <w:numPr>
          <w:ilvl w:val="0"/>
          <w:numId w:val="4"/>
        </w:numPr>
        <w:spacing w:line="240" w:lineRule="auto"/>
        <w:rPr>
          <w:rFonts w:cs="Arial"/>
          <w:color w:val="002F5D"/>
        </w:rPr>
      </w:pPr>
      <w:r w:rsidRPr="00424CB3">
        <w:rPr>
          <w:rFonts w:cs="Arial"/>
          <w:color w:val="002F5D"/>
        </w:rPr>
        <w:t xml:space="preserve">Around 40 </w:t>
      </w:r>
      <w:r w:rsidR="00155AB3" w:rsidRPr="00424CB3">
        <w:rPr>
          <w:rFonts w:cs="Arial"/>
          <w:color w:val="002F5D"/>
        </w:rPr>
        <w:t>people die each year due to drug misuse in Cambridgeshire</w:t>
      </w:r>
      <w:r w:rsidRPr="00424CB3">
        <w:rPr>
          <w:rFonts w:cs="Arial"/>
          <w:color w:val="002F5D"/>
        </w:rPr>
        <w:t xml:space="preserve"> and Peterborough combined</w:t>
      </w:r>
      <w:r w:rsidR="00155AB3" w:rsidRPr="00424CB3">
        <w:rPr>
          <w:rFonts w:cs="Arial"/>
          <w:color w:val="002F5D"/>
        </w:rPr>
        <w:t>.</w:t>
      </w:r>
    </w:p>
    <w:p w14:paraId="66938BEF" w14:textId="78D43B46" w:rsidR="003676C8" w:rsidRPr="00424CB3" w:rsidRDefault="003676C8" w:rsidP="0043274F">
      <w:pPr>
        <w:pStyle w:val="ListParagraph"/>
        <w:numPr>
          <w:ilvl w:val="0"/>
          <w:numId w:val="4"/>
        </w:numPr>
        <w:spacing w:line="240" w:lineRule="auto"/>
        <w:rPr>
          <w:rFonts w:cs="Arial"/>
          <w:color w:val="002F5D"/>
        </w:rPr>
      </w:pPr>
      <w:r w:rsidRPr="00424CB3">
        <w:rPr>
          <w:rFonts w:cs="Arial"/>
          <w:color w:val="002F5D"/>
        </w:rPr>
        <w:t>None of the area</w:t>
      </w:r>
      <w:r w:rsidR="000D7985">
        <w:rPr>
          <w:rFonts w:cs="Arial"/>
          <w:color w:val="002F5D"/>
        </w:rPr>
        <w:t>-</w:t>
      </w:r>
      <w:r w:rsidRPr="00424CB3">
        <w:rPr>
          <w:rFonts w:cs="Arial"/>
          <w:color w:val="002F5D"/>
        </w:rPr>
        <w:t xml:space="preserve">based rates, differ </w:t>
      </w:r>
      <w:r w:rsidR="000D7985">
        <w:rPr>
          <w:rFonts w:cs="Arial"/>
          <w:color w:val="002F5D"/>
        </w:rPr>
        <w:t>in terms of statistical significance compared to</w:t>
      </w:r>
      <w:r w:rsidRPr="00424CB3">
        <w:rPr>
          <w:rFonts w:cs="Arial"/>
          <w:color w:val="002F5D"/>
        </w:rPr>
        <w:t xml:space="preserve"> the Cambridgeshire and Peterborough average.</w:t>
      </w:r>
    </w:p>
    <w:p w14:paraId="456C35A7" w14:textId="21F89154" w:rsidR="005821AA" w:rsidRPr="00424CB3" w:rsidRDefault="005821AA" w:rsidP="0043274F">
      <w:pPr>
        <w:pStyle w:val="ListParagraph"/>
        <w:numPr>
          <w:ilvl w:val="0"/>
          <w:numId w:val="4"/>
        </w:numPr>
        <w:spacing w:line="240" w:lineRule="auto"/>
        <w:rPr>
          <w:rFonts w:cs="Arial"/>
          <w:color w:val="002F5D"/>
        </w:rPr>
      </w:pPr>
      <w:r w:rsidRPr="00424CB3">
        <w:rPr>
          <w:rFonts w:cs="Arial"/>
          <w:color w:val="002F5D"/>
        </w:rPr>
        <w:t>Rates of death</w:t>
      </w:r>
      <w:r w:rsidR="00155AB3" w:rsidRPr="00424CB3">
        <w:rPr>
          <w:rFonts w:cs="Arial"/>
          <w:color w:val="002F5D"/>
        </w:rPr>
        <w:t xml:space="preserve"> are </w:t>
      </w:r>
      <w:r w:rsidRPr="00424CB3">
        <w:rPr>
          <w:rFonts w:cs="Arial"/>
          <w:color w:val="002F5D"/>
        </w:rPr>
        <w:t>numerically</w:t>
      </w:r>
      <w:r w:rsidR="00155AB3" w:rsidRPr="00424CB3">
        <w:rPr>
          <w:rFonts w:cs="Arial"/>
          <w:color w:val="002F5D"/>
        </w:rPr>
        <w:t xml:space="preserve"> higher </w:t>
      </w:r>
      <w:r w:rsidRPr="00424CB3">
        <w:rPr>
          <w:rFonts w:cs="Arial"/>
          <w:color w:val="002F5D"/>
        </w:rPr>
        <w:t xml:space="preserve">than the </w:t>
      </w:r>
      <w:r w:rsidR="0044085B">
        <w:rPr>
          <w:rFonts w:cs="Arial"/>
          <w:color w:val="002F5D"/>
        </w:rPr>
        <w:t>Cambridgeshire and Peterborough combined</w:t>
      </w:r>
      <w:r w:rsidRPr="00424CB3">
        <w:rPr>
          <w:rFonts w:cs="Arial"/>
          <w:color w:val="002F5D"/>
        </w:rPr>
        <w:t xml:space="preserve"> rate in </w:t>
      </w:r>
      <w:r w:rsidR="003E18A4" w:rsidRPr="00424CB3">
        <w:rPr>
          <w:rFonts w:cs="Arial"/>
          <w:color w:val="002F5D"/>
        </w:rPr>
        <w:t xml:space="preserve">Peterborough, as well as </w:t>
      </w:r>
      <w:r w:rsidR="00155AB3" w:rsidRPr="00424CB3">
        <w:rPr>
          <w:rFonts w:cs="Arial"/>
          <w:color w:val="002F5D"/>
        </w:rPr>
        <w:t>Cambridge and Fenland</w:t>
      </w:r>
      <w:r w:rsidR="00C05701" w:rsidRPr="00424CB3">
        <w:rPr>
          <w:rFonts w:cs="Arial"/>
          <w:color w:val="002F5D"/>
        </w:rPr>
        <w:t xml:space="preserve"> </w:t>
      </w:r>
      <w:r w:rsidRPr="00424CB3">
        <w:rPr>
          <w:rFonts w:cs="Arial"/>
          <w:color w:val="002F5D"/>
        </w:rPr>
        <w:t>at a d</w:t>
      </w:r>
      <w:r w:rsidR="003E18A4" w:rsidRPr="00424CB3">
        <w:rPr>
          <w:rFonts w:cs="Arial"/>
          <w:color w:val="002F5D"/>
        </w:rPr>
        <w:t>istrict</w:t>
      </w:r>
      <w:r w:rsidR="00424CB3" w:rsidRPr="00424CB3">
        <w:rPr>
          <w:rFonts w:cs="Arial"/>
          <w:color w:val="002F5D"/>
        </w:rPr>
        <w:t xml:space="preserve"> level</w:t>
      </w:r>
      <w:r w:rsidRPr="00424CB3">
        <w:rPr>
          <w:rFonts w:cs="Arial"/>
          <w:color w:val="002F5D"/>
        </w:rPr>
        <w:t>.</w:t>
      </w:r>
    </w:p>
    <w:p w14:paraId="63531BBC" w14:textId="77777777" w:rsidR="00155AB3" w:rsidRPr="0037351D" w:rsidRDefault="00155AB3" w:rsidP="0038179C">
      <w:pPr>
        <w:spacing w:line="240" w:lineRule="auto"/>
        <w:rPr>
          <w:rFonts w:cs="Arial"/>
          <w:color w:val="FF0000"/>
        </w:rPr>
      </w:pPr>
    </w:p>
    <w:p w14:paraId="065BF3DC" w14:textId="77777777" w:rsidR="00155AB3" w:rsidRPr="0037351D" w:rsidRDefault="00155AB3" w:rsidP="0038179C">
      <w:pPr>
        <w:spacing w:line="240" w:lineRule="auto"/>
        <w:rPr>
          <w:rFonts w:cs="Arial"/>
          <w:color w:val="FF0000"/>
        </w:rPr>
      </w:pPr>
    </w:p>
    <w:p w14:paraId="10A6FC5E" w14:textId="77777777" w:rsidR="00C012AA" w:rsidRPr="0037351D" w:rsidRDefault="00C012AA">
      <w:pPr>
        <w:rPr>
          <w:rFonts w:eastAsiaTheme="majorEastAsia" w:cs="Arial"/>
          <w:b/>
          <w:color w:val="FF0000"/>
          <w:sz w:val="24"/>
          <w:szCs w:val="26"/>
        </w:rPr>
      </w:pPr>
      <w:bookmarkStart w:id="774" w:name="_Toc500414608"/>
      <w:bookmarkStart w:id="775" w:name="_Toc500414609"/>
      <w:bookmarkStart w:id="776" w:name="_Toc500414610"/>
      <w:bookmarkStart w:id="777" w:name="_Toc500414611"/>
      <w:bookmarkStart w:id="778" w:name="_Toc500414612"/>
      <w:bookmarkStart w:id="779" w:name="_Toc500414614"/>
      <w:bookmarkStart w:id="780" w:name="_Toc500414617"/>
      <w:bookmarkStart w:id="781" w:name="_Toc500414618"/>
      <w:bookmarkEnd w:id="774"/>
      <w:bookmarkEnd w:id="775"/>
      <w:bookmarkEnd w:id="776"/>
      <w:bookmarkEnd w:id="777"/>
      <w:bookmarkEnd w:id="778"/>
      <w:bookmarkEnd w:id="779"/>
      <w:bookmarkEnd w:id="780"/>
      <w:bookmarkEnd w:id="781"/>
      <w:r w:rsidRPr="0037351D">
        <w:rPr>
          <w:color w:val="FF0000"/>
        </w:rPr>
        <w:br w:type="page"/>
      </w:r>
    </w:p>
    <w:p w14:paraId="712C5386" w14:textId="77777777" w:rsidR="0021307A" w:rsidRPr="009A2AB3" w:rsidRDefault="0021307A" w:rsidP="000F6257">
      <w:pPr>
        <w:pStyle w:val="JSNA2"/>
      </w:pPr>
      <w:bookmarkStart w:id="782" w:name="_Toc4407864"/>
      <w:r w:rsidRPr="009A2AB3">
        <w:lastRenderedPageBreak/>
        <w:t xml:space="preserve">Sexual </w:t>
      </w:r>
      <w:r w:rsidR="00E713C5" w:rsidRPr="009A2AB3">
        <w:t>health</w:t>
      </w:r>
      <w:bookmarkEnd w:id="782"/>
    </w:p>
    <w:p w14:paraId="4C8D306B" w14:textId="77777777" w:rsidR="0021307A" w:rsidRPr="009A2AB3" w:rsidRDefault="0021307A" w:rsidP="0038179C">
      <w:pPr>
        <w:spacing w:line="240" w:lineRule="auto"/>
        <w:rPr>
          <w:rFonts w:cs="Arial"/>
          <w:color w:val="002F5D"/>
          <w:u w:val="single"/>
        </w:rPr>
      </w:pPr>
    </w:p>
    <w:p w14:paraId="7E23347E" w14:textId="70C7CE09" w:rsidR="002D6911" w:rsidRDefault="003E18A4" w:rsidP="000516FD">
      <w:pPr>
        <w:pStyle w:val="Caption"/>
        <w:rPr>
          <w:rFonts w:cs="Arial"/>
          <w:color w:val="002F5D"/>
        </w:rPr>
      </w:pPr>
      <w:r w:rsidRPr="009A2AB3">
        <w:rPr>
          <w:b/>
          <w:color w:val="002F5D"/>
        </w:rPr>
        <w:t>T</w:t>
      </w:r>
      <w:r w:rsidR="003A06FA" w:rsidRPr="009A2AB3">
        <w:rPr>
          <w:b/>
          <w:color w:val="002F5D"/>
        </w:rPr>
        <w:t xml:space="preserve">able </w:t>
      </w:r>
      <w:r w:rsidR="005B71A3">
        <w:rPr>
          <w:b/>
          <w:color w:val="002F5D"/>
        </w:rPr>
        <w:t>47</w:t>
      </w:r>
      <w:r w:rsidR="0021307A" w:rsidRPr="009A2AB3">
        <w:rPr>
          <w:rFonts w:cs="Arial"/>
          <w:b/>
          <w:color w:val="002F5D"/>
        </w:rPr>
        <w:t xml:space="preserve">. </w:t>
      </w:r>
      <w:r w:rsidR="0021307A" w:rsidRPr="009A2AB3">
        <w:rPr>
          <w:rFonts w:cs="Arial"/>
          <w:color w:val="002F5D"/>
        </w:rPr>
        <w:t>Chlamydia detection rate per 100,000 aged 15-24, 201</w:t>
      </w:r>
      <w:r w:rsidR="004D7252" w:rsidRPr="009A2AB3">
        <w:rPr>
          <w:rFonts w:cs="Arial"/>
          <w:color w:val="002F5D"/>
        </w:rPr>
        <w:t>7</w:t>
      </w:r>
    </w:p>
    <w:p w14:paraId="52DADEC4" w14:textId="3CABBB43" w:rsidR="002D6911" w:rsidRDefault="002D6911" w:rsidP="000516FD">
      <w:pPr>
        <w:pStyle w:val="Caption"/>
        <w:rPr>
          <w:rFonts w:cs="Arial"/>
          <w:color w:val="002F5D"/>
        </w:rPr>
      </w:pPr>
    </w:p>
    <w:p w14:paraId="233BCD69" w14:textId="1C100FA1" w:rsidR="002D6911" w:rsidRPr="009A2AB3" w:rsidRDefault="002D6911" w:rsidP="009A2AB3">
      <w:r w:rsidRPr="002D6911">
        <w:rPr>
          <w:noProof/>
          <w:lang w:eastAsia="en-GB"/>
        </w:rPr>
        <w:drawing>
          <wp:inline distT="0" distB="0" distL="0" distR="0" wp14:anchorId="7601A5FF" wp14:editId="4437644F">
            <wp:extent cx="4924425" cy="21621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24425" cy="2162175"/>
                    </a:xfrm>
                    <a:prstGeom prst="rect">
                      <a:avLst/>
                    </a:prstGeom>
                    <a:noFill/>
                    <a:ln>
                      <a:noFill/>
                    </a:ln>
                  </pic:spPr>
                </pic:pic>
              </a:graphicData>
            </a:graphic>
          </wp:inline>
        </w:drawing>
      </w:r>
    </w:p>
    <w:p w14:paraId="20720928" w14:textId="77777777" w:rsidR="008E4401" w:rsidRPr="009A2AB3" w:rsidRDefault="008E4401" w:rsidP="009A2AB3">
      <w:pPr>
        <w:pStyle w:val="Caption"/>
      </w:pPr>
    </w:p>
    <w:p w14:paraId="51D60F49" w14:textId="77777777" w:rsidR="00DB120F" w:rsidRPr="009A2AB3" w:rsidRDefault="00DB120F" w:rsidP="00DB120F">
      <w:pPr>
        <w:spacing w:line="240" w:lineRule="auto"/>
        <w:rPr>
          <w:rFonts w:cs="Arial"/>
          <w:color w:val="002F5D"/>
          <w:sz w:val="18"/>
          <w:szCs w:val="18"/>
        </w:rPr>
      </w:pPr>
      <w:r w:rsidRPr="009A2AB3">
        <w:rPr>
          <w:rFonts w:cs="Arial"/>
          <w:color w:val="002F5D"/>
          <w:sz w:val="18"/>
          <w:szCs w:val="18"/>
        </w:rPr>
        <w:t>Higher chlamydia detection rates are currently considered favourable as they are thought to reflect better control activity.  However, low detection rates may also indicate low prevalence of infection in the population.</w:t>
      </w:r>
    </w:p>
    <w:p w14:paraId="1C154681" w14:textId="77777777" w:rsidR="00CE2578" w:rsidRPr="009A2AB3" w:rsidRDefault="00CE2578" w:rsidP="00CE2578">
      <w:pPr>
        <w:spacing w:line="240" w:lineRule="auto"/>
        <w:rPr>
          <w:rFonts w:cs="Arial"/>
          <w:color w:val="002F5D"/>
          <w:sz w:val="18"/>
          <w:szCs w:val="18"/>
        </w:rPr>
      </w:pPr>
      <w:r w:rsidRPr="009A2AB3">
        <w:rPr>
          <w:rFonts w:cs="Arial"/>
          <w:color w:val="002F5D"/>
          <w:sz w:val="18"/>
          <w:szCs w:val="18"/>
        </w:rPr>
        <w:t>*Value aggregated from all known lower geography values</w:t>
      </w:r>
    </w:p>
    <w:p w14:paraId="773E7450" w14:textId="77777777" w:rsidR="00AB711B" w:rsidRPr="0037351D" w:rsidRDefault="00AB711B" w:rsidP="0038179C">
      <w:pPr>
        <w:spacing w:line="240" w:lineRule="auto"/>
        <w:rPr>
          <w:rFonts w:cs="Arial"/>
          <w:color w:val="FF0000"/>
        </w:rPr>
      </w:pPr>
    </w:p>
    <w:p w14:paraId="32011CC5" w14:textId="77777777" w:rsidR="0021307A" w:rsidRPr="0037351D" w:rsidRDefault="0021307A" w:rsidP="0038179C">
      <w:pPr>
        <w:spacing w:line="240" w:lineRule="auto"/>
        <w:rPr>
          <w:rFonts w:cs="Arial"/>
          <w:color w:val="FF0000"/>
        </w:rPr>
      </w:pPr>
      <w:r w:rsidRPr="0037351D">
        <w:rPr>
          <w:noProof/>
          <w:color w:val="FF0000"/>
          <w:lang w:eastAsia="en-GB"/>
        </w:rPr>
        <w:drawing>
          <wp:inline distT="0" distB="0" distL="0" distR="0" wp14:anchorId="59622CAC" wp14:editId="2658B7E6">
            <wp:extent cx="3200400" cy="4667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00400" cy="466725"/>
                    </a:xfrm>
                    <a:prstGeom prst="rect">
                      <a:avLst/>
                    </a:prstGeom>
                    <a:noFill/>
                    <a:ln>
                      <a:noFill/>
                    </a:ln>
                  </pic:spPr>
                </pic:pic>
              </a:graphicData>
            </a:graphic>
          </wp:inline>
        </w:drawing>
      </w:r>
    </w:p>
    <w:p w14:paraId="6FB98735" w14:textId="77777777" w:rsidR="00AB711B" w:rsidRPr="0037351D" w:rsidRDefault="00AB711B" w:rsidP="0038179C">
      <w:pPr>
        <w:spacing w:line="240" w:lineRule="auto"/>
        <w:rPr>
          <w:rFonts w:cs="Arial"/>
          <w:color w:val="FF0000"/>
        </w:rPr>
      </w:pPr>
    </w:p>
    <w:p w14:paraId="3B84EDB2" w14:textId="77777777" w:rsidR="0021307A" w:rsidRPr="009A2AB3" w:rsidRDefault="0021307A" w:rsidP="0043274F">
      <w:pPr>
        <w:spacing w:line="240" w:lineRule="auto"/>
        <w:rPr>
          <w:rFonts w:cs="Arial"/>
          <w:color w:val="002F5D"/>
        </w:rPr>
      </w:pPr>
      <w:r w:rsidRPr="009A2AB3">
        <w:rPr>
          <w:rFonts w:cs="Arial"/>
          <w:b/>
          <w:color w:val="002F5D"/>
        </w:rPr>
        <w:t>Source:</w:t>
      </w:r>
      <w:r w:rsidRPr="009A2AB3">
        <w:rPr>
          <w:rFonts w:cs="Arial"/>
          <w:color w:val="002F5D"/>
        </w:rPr>
        <w:t xml:space="preserve"> Public Health England Public Health Outcomes Framework indicator 3.02 (National Chlamydia Screening Programme)</w:t>
      </w:r>
    </w:p>
    <w:p w14:paraId="759F9FCD" w14:textId="77777777" w:rsidR="00D86E91" w:rsidRPr="009A2AB3" w:rsidRDefault="00D86E91" w:rsidP="0043274F">
      <w:pPr>
        <w:spacing w:line="240" w:lineRule="auto"/>
        <w:rPr>
          <w:rFonts w:cs="Arial"/>
          <w:b/>
          <w:color w:val="002F5D"/>
        </w:rPr>
      </w:pPr>
    </w:p>
    <w:p w14:paraId="07C26906" w14:textId="77777777" w:rsidR="00D86E91" w:rsidRPr="009A2AB3" w:rsidRDefault="00777C8F" w:rsidP="0043274F">
      <w:pPr>
        <w:spacing w:line="240" w:lineRule="auto"/>
        <w:rPr>
          <w:rFonts w:cs="Arial"/>
          <w:b/>
          <w:color w:val="002F5D"/>
        </w:rPr>
      </w:pPr>
      <w:r w:rsidRPr="009A2AB3">
        <w:rPr>
          <w:rFonts w:cs="Arial"/>
          <w:b/>
          <w:color w:val="002F5D"/>
        </w:rPr>
        <w:t>Key poin</w:t>
      </w:r>
      <w:r w:rsidR="00820C56" w:rsidRPr="009A2AB3">
        <w:rPr>
          <w:rFonts w:cs="Arial"/>
          <w:b/>
          <w:color w:val="002F5D"/>
        </w:rPr>
        <w:t>ts</w:t>
      </w:r>
    </w:p>
    <w:p w14:paraId="4843ADDF" w14:textId="63B14626" w:rsidR="00777C8F" w:rsidRPr="009A2AB3" w:rsidRDefault="00777C8F" w:rsidP="0043274F">
      <w:pPr>
        <w:pStyle w:val="ListParagraph"/>
        <w:numPr>
          <w:ilvl w:val="0"/>
          <w:numId w:val="4"/>
        </w:numPr>
        <w:spacing w:line="240" w:lineRule="auto"/>
        <w:rPr>
          <w:rFonts w:cs="Arial"/>
          <w:color w:val="002F5D"/>
        </w:rPr>
      </w:pPr>
      <w:r w:rsidRPr="009A2AB3">
        <w:rPr>
          <w:rFonts w:cs="Arial"/>
          <w:color w:val="002F5D"/>
        </w:rPr>
        <w:t xml:space="preserve">The </w:t>
      </w:r>
      <w:r w:rsidR="0033067E" w:rsidRPr="009A2AB3">
        <w:rPr>
          <w:rFonts w:cs="Arial"/>
          <w:color w:val="002F5D"/>
        </w:rPr>
        <w:t>C</w:t>
      </w:r>
      <w:r w:rsidRPr="009A2AB3">
        <w:rPr>
          <w:rFonts w:cs="Arial"/>
          <w:color w:val="002F5D"/>
        </w:rPr>
        <w:t>hl</w:t>
      </w:r>
      <w:r w:rsidR="00907108" w:rsidRPr="009A2AB3">
        <w:rPr>
          <w:rFonts w:cs="Arial"/>
          <w:color w:val="002F5D"/>
        </w:rPr>
        <w:t xml:space="preserve">amydia detection rate is higher </w:t>
      </w:r>
      <w:r w:rsidRPr="009A2AB3">
        <w:rPr>
          <w:rFonts w:cs="Arial"/>
          <w:color w:val="002F5D"/>
        </w:rPr>
        <w:t xml:space="preserve">than the national target in Peterborough.  </w:t>
      </w:r>
    </w:p>
    <w:p w14:paraId="677221AC" w14:textId="1C263F9E" w:rsidR="00D86E91" w:rsidRPr="009A2AB3" w:rsidRDefault="00D86E91" w:rsidP="002F0658">
      <w:pPr>
        <w:pStyle w:val="ListParagraph"/>
        <w:numPr>
          <w:ilvl w:val="0"/>
          <w:numId w:val="4"/>
        </w:numPr>
        <w:spacing w:line="240" w:lineRule="auto"/>
        <w:rPr>
          <w:rFonts w:cs="Arial"/>
          <w:color w:val="002F5D"/>
        </w:rPr>
      </w:pPr>
      <w:r w:rsidRPr="009A2AB3">
        <w:rPr>
          <w:rFonts w:cs="Arial"/>
          <w:color w:val="002F5D"/>
        </w:rPr>
        <w:t xml:space="preserve">The </w:t>
      </w:r>
      <w:r w:rsidR="0033067E" w:rsidRPr="009A2AB3">
        <w:rPr>
          <w:rFonts w:cs="Arial"/>
          <w:color w:val="002F5D"/>
        </w:rPr>
        <w:t>C</w:t>
      </w:r>
      <w:r w:rsidRPr="009A2AB3">
        <w:rPr>
          <w:rFonts w:cs="Arial"/>
          <w:color w:val="002F5D"/>
        </w:rPr>
        <w:t xml:space="preserve">hlamydia detection rate is lower than the national </w:t>
      </w:r>
      <w:r w:rsidR="001F4089" w:rsidRPr="009A2AB3">
        <w:rPr>
          <w:rFonts w:cs="Arial"/>
          <w:color w:val="002F5D"/>
        </w:rPr>
        <w:t>target</w:t>
      </w:r>
      <w:r w:rsidRPr="009A2AB3">
        <w:rPr>
          <w:rFonts w:cs="Arial"/>
          <w:color w:val="002F5D"/>
        </w:rPr>
        <w:t xml:space="preserve"> </w:t>
      </w:r>
      <w:r w:rsidR="001F4089" w:rsidRPr="009A2AB3">
        <w:rPr>
          <w:rFonts w:cs="Arial"/>
          <w:color w:val="002F5D"/>
        </w:rPr>
        <w:t>in</w:t>
      </w:r>
      <w:r w:rsidRPr="009A2AB3">
        <w:rPr>
          <w:rFonts w:cs="Arial"/>
          <w:color w:val="002F5D"/>
        </w:rPr>
        <w:t xml:space="preserve"> </w:t>
      </w:r>
      <w:r w:rsidR="00777C8F" w:rsidRPr="009A2AB3">
        <w:rPr>
          <w:rFonts w:cs="Arial"/>
          <w:color w:val="002F5D"/>
        </w:rPr>
        <w:t>Cambridgeshire and Peterborough</w:t>
      </w:r>
      <w:r w:rsidR="00907108" w:rsidRPr="009A2AB3">
        <w:rPr>
          <w:rFonts w:cs="Arial"/>
          <w:color w:val="002F5D"/>
        </w:rPr>
        <w:t xml:space="preserve"> combined</w:t>
      </w:r>
      <w:r w:rsidR="000516FD" w:rsidRPr="009A2AB3">
        <w:rPr>
          <w:rFonts w:cs="Arial"/>
          <w:color w:val="002F5D"/>
        </w:rPr>
        <w:t xml:space="preserve">, </w:t>
      </w:r>
      <w:r w:rsidR="00907108" w:rsidRPr="009A2AB3">
        <w:rPr>
          <w:rFonts w:cs="Arial"/>
          <w:color w:val="002F5D"/>
        </w:rPr>
        <w:t>Cambridgeshire and each of the</w:t>
      </w:r>
      <w:r w:rsidRPr="009A2AB3">
        <w:rPr>
          <w:rFonts w:cs="Arial"/>
          <w:color w:val="002F5D"/>
        </w:rPr>
        <w:t xml:space="preserve"> districts.  The rate of overall for the county has </w:t>
      </w:r>
      <w:r w:rsidR="00E15DF3" w:rsidRPr="009A2AB3">
        <w:rPr>
          <w:rFonts w:cs="Arial"/>
          <w:color w:val="002F5D"/>
        </w:rPr>
        <w:t>decreased over the last 5 years, as has the Combined Authority rate.</w:t>
      </w:r>
      <w:r w:rsidR="0033067E" w:rsidRPr="009A2AB3">
        <w:rPr>
          <w:rFonts w:cs="Arial"/>
          <w:color w:val="002F5D"/>
        </w:rPr>
        <w:t xml:space="preserve"> Low detection rates for Chlamydia can either be due to a low rate of infections in an area, to lower numbers of screen</w:t>
      </w:r>
      <w:r w:rsidR="003E5EDF">
        <w:rPr>
          <w:rFonts w:cs="Arial"/>
          <w:color w:val="002F5D"/>
        </w:rPr>
        <w:t>ing</w:t>
      </w:r>
      <w:r w:rsidR="0033067E" w:rsidRPr="009A2AB3">
        <w:rPr>
          <w:rFonts w:cs="Arial"/>
          <w:color w:val="002F5D"/>
        </w:rPr>
        <w:t>s being done, or to the screen</w:t>
      </w:r>
      <w:r w:rsidR="003E5EDF">
        <w:rPr>
          <w:rFonts w:cs="Arial"/>
          <w:color w:val="002F5D"/>
        </w:rPr>
        <w:t>ings</w:t>
      </w:r>
      <w:r w:rsidR="0033067E" w:rsidRPr="009A2AB3">
        <w:rPr>
          <w:rFonts w:cs="Arial"/>
          <w:color w:val="002F5D"/>
        </w:rPr>
        <w:t xml:space="preserve"> not targeting those at highest risk. </w:t>
      </w:r>
    </w:p>
    <w:p w14:paraId="20829F46" w14:textId="77777777" w:rsidR="00C012AA" w:rsidRPr="0037351D" w:rsidRDefault="00C012AA" w:rsidP="0043274F">
      <w:pPr>
        <w:pStyle w:val="Caption"/>
        <w:rPr>
          <w:b/>
          <w:color w:val="FF0000"/>
        </w:rPr>
      </w:pPr>
    </w:p>
    <w:p w14:paraId="4E250776" w14:textId="77777777" w:rsidR="00C012AA" w:rsidRPr="0037351D" w:rsidRDefault="00C012AA">
      <w:pPr>
        <w:rPr>
          <w:b/>
          <w:iCs/>
          <w:color w:val="FF0000"/>
          <w:szCs w:val="18"/>
        </w:rPr>
      </w:pPr>
      <w:r w:rsidRPr="0037351D">
        <w:rPr>
          <w:b/>
          <w:color w:val="FF0000"/>
        </w:rPr>
        <w:br w:type="page"/>
      </w:r>
    </w:p>
    <w:p w14:paraId="1DE6E4A7" w14:textId="0F108E87" w:rsidR="00F57258" w:rsidRDefault="003A2AC2" w:rsidP="0043274F">
      <w:pPr>
        <w:pStyle w:val="Caption"/>
        <w:rPr>
          <w:rFonts w:cs="Arial"/>
          <w:color w:val="002F5D"/>
        </w:rPr>
      </w:pPr>
      <w:r w:rsidRPr="009A2AB3">
        <w:rPr>
          <w:b/>
          <w:color w:val="002F5D"/>
        </w:rPr>
        <w:lastRenderedPageBreak/>
        <w:t xml:space="preserve">Figure </w:t>
      </w:r>
      <w:r w:rsidR="004061DD">
        <w:rPr>
          <w:b/>
          <w:color w:val="002F5D"/>
        </w:rPr>
        <w:t>35</w:t>
      </w:r>
      <w:r w:rsidR="00D51E28" w:rsidRPr="009A2AB3">
        <w:rPr>
          <w:rFonts w:cs="Arial"/>
          <w:b/>
          <w:color w:val="002F5D"/>
        </w:rPr>
        <w:t>.</w:t>
      </w:r>
      <w:r w:rsidR="00D51E28" w:rsidRPr="009A2AB3">
        <w:rPr>
          <w:rFonts w:cs="Arial"/>
          <w:color w:val="002F5D"/>
        </w:rPr>
        <w:t xml:space="preserve"> </w:t>
      </w:r>
      <w:r w:rsidR="006461F1" w:rsidRPr="009A2AB3">
        <w:rPr>
          <w:rFonts w:cs="Arial"/>
          <w:color w:val="002F5D"/>
        </w:rPr>
        <w:t>Percentage of HIV diagnoses at a late stage of infection</w:t>
      </w:r>
      <w:r w:rsidR="00D51E28" w:rsidRPr="009A2AB3">
        <w:rPr>
          <w:rFonts w:cs="Arial"/>
          <w:color w:val="002F5D"/>
        </w:rPr>
        <w:t xml:space="preserve">, </w:t>
      </w:r>
      <w:r w:rsidR="00777C8F" w:rsidRPr="009A2AB3">
        <w:rPr>
          <w:rFonts w:cs="Arial"/>
          <w:color w:val="002F5D"/>
        </w:rPr>
        <w:t>2009-11 to 201</w:t>
      </w:r>
      <w:r w:rsidR="00850F94" w:rsidRPr="009A2AB3">
        <w:rPr>
          <w:rFonts w:cs="Arial"/>
          <w:color w:val="002F5D"/>
        </w:rPr>
        <w:t>5</w:t>
      </w:r>
      <w:r w:rsidR="006461F1" w:rsidRPr="009A2AB3">
        <w:rPr>
          <w:rFonts w:cs="Arial"/>
          <w:color w:val="002F5D"/>
        </w:rPr>
        <w:t>-</w:t>
      </w:r>
      <w:r w:rsidR="00D51E28" w:rsidRPr="009A2AB3">
        <w:rPr>
          <w:rFonts w:cs="Arial"/>
          <w:color w:val="002F5D"/>
        </w:rPr>
        <w:t>201</w:t>
      </w:r>
      <w:r w:rsidR="00850F94" w:rsidRPr="009A2AB3">
        <w:rPr>
          <w:rFonts w:cs="Arial"/>
          <w:color w:val="002F5D"/>
        </w:rPr>
        <w:t>7</w:t>
      </w:r>
    </w:p>
    <w:p w14:paraId="7D9C1B32" w14:textId="6945158B" w:rsidR="00D51E28" w:rsidRPr="009A2AB3" w:rsidRDefault="00D51E28" w:rsidP="0043274F">
      <w:pPr>
        <w:pStyle w:val="Caption"/>
        <w:rPr>
          <w:rFonts w:cs="Arial"/>
          <w:color w:val="002F5D"/>
        </w:rPr>
      </w:pPr>
    </w:p>
    <w:p w14:paraId="0C6B383F" w14:textId="449E5775" w:rsidR="00850F94" w:rsidRPr="009A2AB3" w:rsidRDefault="00F57258" w:rsidP="009A2AB3">
      <w:pPr>
        <w:rPr>
          <w:color w:val="002F5D"/>
        </w:rPr>
      </w:pPr>
      <w:r>
        <w:rPr>
          <w:noProof/>
          <w:color w:val="002F5D"/>
          <w:lang w:eastAsia="en-GB"/>
        </w:rPr>
        <w:drawing>
          <wp:inline distT="0" distB="0" distL="0" distR="0" wp14:anchorId="77736B98" wp14:editId="4DDA23DB">
            <wp:extent cx="5414010" cy="3255645"/>
            <wp:effectExtent l="0" t="0" r="0" b="190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14010" cy="3255645"/>
                    </a:xfrm>
                    <a:prstGeom prst="rect">
                      <a:avLst/>
                    </a:prstGeom>
                    <a:noFill/>
                  </pic:spPr>
                </pic:pic>
              </a:graphicData>
            </a:graphic>
          </wp:inline>
        </w:drawing>
      </w:r>
    </w:p>
    <w:p w14:paraId="3DA31A27" w14:textId="77777777" w:rsidR="006461F1" w:rsidRPr="009A2AB3" w:rsidRDefault="006461F1" w:rsidP="0038179C">
      <w:pPr>
        <w:spacing w:line="240" w:lineRule="auto"/>
        <w:rPr>
          <w:rFonts w:cs="Arial"/>
          <w:color w:val="002F5D"/>
        </w:rPr>
      </w:pPr>
    </w:p>
    <w:p w14:paraId="352F2D27" w14:textId="77777777" w:rsidR="00D51E28" w:rsidRPr="009A2AB3" w:rsidRDefault="00D51E28" w:rsidP="0038179C">
      <w:pPr>
        <w:spacing w:line="240" w:lineRule="auto"/>
        <w:rPr>
          <w:rFonts w:cs="Arial"/>
          <w:color w:val="002F5D"/>
        </w:rPr>
      </w:pPr>
      <w:r w:rsidRPr="009A2AB3">
        <w:rPr>
          <w:noProof/>
          <w:color w:val="002F5D"/>
          <w:lang w:eastAsia="en-GB"/>
        </w:rPr>
        <w:drawing>
          <wp:inline distT="0" distB="0" distL="0" distR="0" wp14:anchorId="4A256BD7" wp14:editId="18A6EB41">
            <wp:extent cx="1676400" cy="4667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76400" cy="466725"/>
                    </a:xfrm>
                    <a:prstGeom prst="rect">
                      <a:avLst/>
                    </a:prstGeom>
                    <a:noFill/>
                    <a:ln>
                      <a:noFill/>
                    </a:ln>
                  </pic:spPr>
                </pic:pic>
              </a:graphicData>
            </a:graphic>
          </wp:inline>
        </w:drawing>
      </w:r>
    </w:p>
    <w:p w14:paraId="6DE3EE15" w14:textId="77777777" w:rsidR="00AB711B" w:rsidRPr="009A2AB3" w:rsidRDefault="00AB711B" w:rsidP="0043274F">
      <w:pPr>
        <w:spacing w:line="240" w:lineRule="auto"/>
        <w:rPr>
          <w:rFonts w:cs="Arial"/>
          <w:color w:val="002F5D"/>
        </w:rPr>
      </w:pPr>
    </w:p>
    <w:p w14:paraId="5C318F51" w14:textId="77777777" w:rsidR="00D51E28" w:rsidRPr="009A2AB3" w:rsidRDefault="006461F1" w:rsidP="0043274F">
      <w:pPr>
        <w:spacing w:line="240" w:lineRule="auto"/>
        <w:rPr>
          <w:rFonts w:cs="Arial"/>
          <w:color w:val="002F5D"/>
        </w:rPr>
      </w:pPr>
      <w:r w:rsidRPr="009A2AB3">
        <w:rPr>
          <w:rFonts w:cs="Arial"/>
          <w:b/>
          <w:color w:val="002F5D"/>
        </w:rPr>
        <w:t>Source:</w:t>
      </w:r>
      <w:r w:rsidRPr="009A2AB3">
        <w:rPr>
          <w:rFonts w:cs="Arial"/>
          <w:color w:val="002F5D"/>
        </w:rPr>
        <w:t xml:space="preserve"> Public Health England Public Health Outcomes Framework indicator 3.04</w:t>
      </w:r>
    </w:p>
    <w:p w14:paraId="745401A5" w14:textId="77777777" w:rsidR="00D51E28" w:rsidRPr="009A2AB3" w:rsidRDefault="00D51E28" w:rsidP="0043274F">
      <w:pPr>
        <w:spacing w:line="240" w:lineRule="auto"/>
        <w:rPr>
          <w:rFonts w:cs="Arial"/>
          <w:color w:val="002F5D"/>
        </w:rPr>
      </w:pPr>
    </w:p>
    <w:p w14:paraId="55D0145F" w14:textId="77777777" w:rsidR="00D51E28" w:rsidRPr="009A2AB3" w:rsidRDefault="006461F1" w:rsidP="0043274F">
      <w:pPr>
        <w:spacing w:line="240" w:lineRule="auto"/>
        <w:rPr>
          <w:rFonts w:cs="Arial"/>
          <w:b/>
          <w:color w:val="002F5D"/>
        </w:rPr>
      </w:pPr>
      <w:r w:rsidRPr="009A2AB3">
        <w:rPr>
          <w:rFonts w:cs="Arial"/>
          <w:b/>
          <w:color w:val="002F5D"/>
        </w:rPr>
        <w:t>Key points:</w:t>
      </w:r>
    </w:p>
    <w:p w14:paraId="2AAA5D0D" w14:textId="393F7B4E" w:rsidR="006461F1" w:rsidRPr="009A2AB3" w:rsidRDefault="006461F1" w:rsidP="0043274F">
      <w:pPr>
        <w:pStyle w:val="ListParagraph"/>
        <w:numPr>
          <w:ilvl w:val="0"/>
          <w:numId w:val="5"/>
        </w:numPr>
        <w:spacing w:line="240" w:lineRule="auto"/>
        <w:rPr>
          <w:rFonts w:cs="Arial"/>
          <w:color w:val="002F5D"/>
        </w:rPr>
      </w:pPr>
      <w:r w:rsidRPr="009A2AB3">
        <w:rPr>
          <w:rFonts w:cs="Arial"/>
          <w:color w:val="002F5D"/>
        </w:rPr>
        <w:t>The percentage of HIV diagnoses being made at a late stage of infection i</w:t>
      </w:r>
      <w:r w:rsidR="00777C8F" w:rsidRPr="009A2AB3">
        <w:rPr>
          <w:rFonts w:cs="Arial"/>
          <w:color w:val="002F5D"/>
        </w:rPr>
        <w:t xml:space="preserve">n Cambridgeshire </w:t>
      </w:r>
      <w:r w:rsidR="00C63F7F" w:rsidRPr="009A2AB3">
        <w:rPr>
          <w:rFonts w:cs="Arial"/>
          <w:color w:val="002F5D"/>
        </w:rPr>
        <w:t xml:space="preserve">and Peterborough and Cambridgeshire </w:t>
      </w:r>
      <w:r w:rsidR="00777C8F" w:rsidRPr="009A2AB3">
        <w:rPr>
          <w:rFonts w:cs="Arial"/>
          <w:color w:val="002F5D"/>
        </w:rPr>
        <w:t>is currently 51</w:t>
      </w:r>
      <w:r w:rsidR="00A2455B" w:rsidRPr="009A2AB3">
        <w:rPr>
          <w:rFonts w:cs="Arial"/>
          <w:color w:val="002F5D"/>
        </w:rPr>
        <w:t>.1</w:t>
      </w:r>
      <w:r w:rsidR="00C63F7F" w:rsidRPr="009A2AB3">
        <w:rPr>
          <w:rFonts w:cs="Arial"/>
          <w:color w:val="002F5D"/>
        </w:rPr>
        <w:t>% and 5</w:t>
      </w:r>
      <w:r w:rsidR="00A2455B" w:rsidRPr="009A2AB3">
        <w:rPr>
          <w:rFonts w:cs="Arial"/>
          <w:color w:val="002F5D"/>
        </w:rPr>
        <w:t>1.2</w:t>
      </w:r>
      <w:r w:rsidR="00C63F7F" w:rsidRPr="009A2AB3">
        <w:rPr>
          <w:rFonts w:cs="Arial"/>
          <w:color w:val="002F5D"/>
        </w:rPr>
        <w:t>% in Peterborough</w:t>
      </w:r>
      <w:r w:rsidR="003E5EDF">
        <w:rPr>
          <w:rFonts w:cs="Arial"/>
          <w:color w:val="002F5D"/>
        </w:rPr>
        <w:t>.</w:t>
      </w:r>
      <w:r w:rsidR="00C63F7F" w:rsidRPr="009A2AB3">
        <w:rPr>
          <w:rFonts w:cs="Arial"/>
          <w:color w:val="002F5D"/>
        </w:rPr>
        <w:t xml:space="preserve"> </w:t>
      </w:r>
      <w:r w:rsidR="003E5EDF">
        <w:rPr>
          <w:rFonts w:cs="Arial"/>
          <w:color w:val="002F5D"/>
        </w:rPr>
        <w:t>A</w:t>
      </w:r>
      <w:r w:rsidR="00C63F7F" w:rsidRPr="009A2AB3">
        <w:rPr>
          <w:rFonts w:cs="Arial"/>
          <w:color w:val="002F5D"/>
        </w:rPr>
        <w:t>ll</w:t>
      </w:r>
      <w:r w:rsidR="00DE1FAD" w:rsidRPr="009A2AB3">
        <w:rPr>
          <w:rFonts w:cs="Arial"/>
          <w:color w:val="002F5D"/>
        </w:rPr>
        <w:t xml:space="preserve"> values are </w:t>
      </w:r>
      <w:r w:rsidR="003E5EDF">
        <w:rPr>
          <w:rFonts w:cs="Arial"/>
          <w:color w:val="002F5D"/>
        </w:rPr>
        <w:t xml:space="preserve">therefore </w:t>
      </w:r>
      <w:r w:rsidRPr="009A2AB3">
        <w:rPr>
          <w:rFonts w:cs="Arial"/>
          <w:color w:val="002F5D"/>
        </w:rPr>
        <w:t>above</w:t>
      </w:r>
      <w:r w:rsidR="003E5EDF">
        <w:rPr>
          <w:rFonts w:cs="Arial"/>
          <w:color w:val="002F5D"/>
        </w:rPr>
        <w:t xml:space="preserve"> (worse than)</w:t>
      </w:r>
      <w:r w:rsidRPr="009A2AB3">
        <w:rPr>
          <w:rFonts w:cs="Arial"/>
          <w:color w:val="002F5D"/>
        </w:rPr>
        <w:t xml:space="preserve"> the target of 25% and England average</w:t>
      </w:r>
      <w:r w:rsidR="00E713C5" w:rsidRPr="009A2AB3">
        <w:rPr>
          <w:rFonts w:cs="Arial"/>
          <w:color w:val="002F5D"/>
        </w:rPr>
        <w:t xml:space="preserve"> of 4</w:t>
      </w:r>
      <w:r w:rsidR="00A2455B" w:rsidRPr="00A2455B">
        <w:rPr>
          <w:rFonts w:cs="Arial"/>
          <w:color w:val="002F5D"/>
        </w:rPr>
        <w:t>1.1</w:t>
      </w:r>
      <w:r w:rsidR="00E713C5" w:rsidRPr="009A2AB3">
        <w:rPr>
          <w:rFonts w:cs="Arial"/>
          <w:color w:val="002F5D"/>
        </w:rPr>
        <w:t>%</w:t>
      </w:r>
      <w:r w:rsidR="00777C8F" w:rsidRPr="009A2AB3">
        <w:rPr>
          <w:rFonts w:cs="Arial"/>
          <w:color w:val="002F5D"/>
        </w:rPr>
        <w:t>.</w:t>
      </w:r>
    </w:p>
    <w:p w14:paraId="64C07BB6" w14:textId="77777777" w:rsidR="006461F1" w:rsidRPr="009A2AB3" w:rsidRDefault="006461F1" w:rsidP="0043274F">
      <w:pPr>
        <w:pStyle w:val="ListParagraph"/>
        <w:numPr>
          <w:ilvl w:val="0"/>
          <w:numId w:val="5"/>
        </w:numPr>
        <w:spacing w:line="240" w:lineRule="auto"/>
        <w:rPr>
          <w:rFonts w:cs="Arial"/>
          <w:color w:val="002F5D"/>
        </w:rPr>
      </w:pPr>
      <w:r w:rsidRPr="009A2AB3">
        <w:rPr>
          <w:rFonts w:cs="Arial"/>
          <w:color w:val="002F5D"/>
        </w:rPr>
        <w:t xml:space="preserve">Although </w:t>
      </w:r>
      <w:r w:rsidR="006E2A36" w:rsidRPr="009A2AB3">
        <w:rPr>
          <w:rFonts w:cs="Arial"/>
          <w:color w:val="002F5D"/>
        </w:rPr>
        <w:t xml:space="preserve">the trend is </w:t>
      </w:r>
      <w:r w:rsidRPr="009A2AB3">
        <w:rPr>
          <w:rFonts w:cs="Arial"/>
          <w:color w:val="002F5D"/>
        </w:rPr>
        <w:t>not statistically assessed, the percentage appears to have increased in Cambridgeshire compared to a decrease seen nationally.</w:t>
      </w:r>
    </w:p>
    <w:p w14:paraId="4756D39A" w14:textId="77777777" w:rsidR="00D51E28" w:rsidRPr="0037351D" w:rsidRDefault="00D51E28" w:rsidP="0043274F">
      <w:pPr>
        <w:spacing w:line="240" w:lineRule="auto"/>
        <w:rPr>
          <w:rFonts w:cs="Arial"/>
          <w:color w:val="FF0000"/>
        </w:rPr>
      </w:pPr>
    </w:p>
    <w:p w14:paraId="690096A8" w14:textId="77777777" w:rsidR="00782147" w:rsidRPr="0037351D" w:rsidRDefault="00782147" w:rsidP="0038179C">
      <w:pPr>
        <w:spacing w:line="240" w:lineRule="auto"/>
        <w:rPr>
          <w:rFonts w:cs="Arial"/>
          <w:b/>
          <w:color w:val="FF0000"/>
        </w:rPr>
      </w:pPr>
    </w:p>
    <w:p w14:paraId="56A09175" w14:textId="77777777" w:rsidR="00782147" w:rsidRPr="0037351D" w:rsidRDefault="00782147" w:rsidP="0038179C">
      <w:pPr>
        <w:spacing w:line="240" w:lineRule="auto"/>
        <w:rPr>
          <w:rFonts w:cs="Arial"/>
          <w:b/>
          <w:color w:val="FF0000"/>
        </w:rPr>
      </w:pPr>
    </w:p>
    <w:p w14:paraId="68F91AF4" w14:textId="77777777" w:rsidR="00782147" w:rsidRPr="0037351D" w:rsidRDefault="00782147" w:rsidP="0038179C">
      <w:pPr>
        <w:spacing w:line="240" w:lineRule="auto"/>
        <w:rPr>
          <w:rFonts w:cs="Arial"/>
          <w:b/>
          <w:color w:val="FF0000"/>
        </w:rPr>
      </w:pPr>
    </w:p>
    <w:p w14:paraId="378C0099" w14:textId="77777777" w:rsidR="00782147" w:rsidRPr="0037351D" w:rsidRDefault="00782147" w:rsidP="0038179C">
      <w:pPr>
        <w:spacing w:line="240" w:lineRule="auto"/>
        <w:rPr>
          <w:rFonts w:cs="Arial"/>
          <w:b/>
          <w:color w:val="FF0000"/>
        </w:rPr>
      </w:pPr>
    </w:p>
    <w:p w14:paraId="10FFAE06" w14:textId="77777777" w:rsidR="00782147" w:rsidRPr="0037351D" w:rsidRDefault="00782147" w:rsidP="0038179C">
      <w:pPr>
        <w:spacing w:line="240" w:lineRule="auto"/>
        <w:rPr>
          <w:rFonts w:cs="Arial"/>
          <w:b/>
          <w:color w:val="FF0000"/>
        </w:rPr>
      </w:pPr>
    </w:p>
    <w:p w14:paraId="3BC3D7C0" w14:textId="77777777" w:rsidR="00782147" w:rsidRPr="0037351D" w:rsidRDefault="00782147" w:rsidP="0038179C">
      <w:pPr>
        <w:spacing w:line="240" w:lineRule="auto"/>
        <w:rPr>
          <w:rFonts w:cs="Arial"/>
          <w:b/>
          <w:color w:val="FF0000"/>
        </w:rPr>
      </w:pPr>
    </w:p>
    <w:p w14:paraId="6338A3BC" w14:textId="77777777" w:rsidR="00782147" w:rsidRPr="0037351D" w:rsidRDefault="00782147" w:rsidP="0038179C">
      <w:pPr>
        <w:spacing w:line="240" w:lineRule="auto"/>
        <w:rPr>
          <w:rFonts w:cs="Arial"/>
          <w:b/>
          <w:color w:val="FF0000"/>
        </w:rPr>
      </w:pPr>
    </w:p>
    <w:p w14:paraId="0EEE4BFA" w14:textId="77777777" w:rsidR="008D342C" w:rsidRPr="0037351D" w:rsidRDefault="008D342C" w:rsidP="0038179C">
      <w:pPr>
        <w:spacing w:line="240" w:lineRule="auto"/>
        <w:rPr>
          <w:rFonts w:cs="Arial"/>
          <w:b/>
          <w:color w:val="FF0000"/>
        </w:rPr>
      </w:pPr>
    </w:p>
    <w:p w14:paraId="66E55FC7" w14:textId="77777777" w:rsidR="008D342C" w:rsidRPr="0037351D" w:rsidRDefault="008D342C" w:rsidP="0038179C">
      <w:pPr>
        <w:spacing w:line="240" w:lineRule="auto"/>
        <w:rPr>
          <w:rFonts w:cs="Arial"/>
          <w:b/>
          <w:color w:val="FF0000"/>
        </w:rPr>
      </w:pPr>
    </w:p>
    <w:p w14:paraId="08984AB6" w14:textId="77777777" w:rsidR="008D342C" w:rsidRPr="0037351D" w:rsidRDefault="008D342C" w:rsidP="0038179C">
      <w:pPr>
        <w:spacing w:line="240" w:lineRule="auto"/>
        <w:rPr>
          <w:rFonts w:cs="Arial"/>
          <w:b/>
          <w:color w:val="FF0000"/>
        </w:rPr>
      </w:pPr>
    </w:p>
    <w:p w14:paraId="5576CD6E" w14:textId="77777777" w:rsidR="008D342C" w:rsidRPr="0037351D" w:rsidRDefault="008D342C" w:rsidP="0038179C">
      <w:pPr>
        <w:spacing w:line="240" w:lineRule="auto"/>
        <w:rPr>
          <w:rFonts w:cs="Arial"/>
          <w:b/>
          <w:color w:val="FF0000"/>
        </w:rPr>
      </w:pPr>
    </w:p>
    <w:p w14:paraId="49B3E055" w14:textId="77777777" w:rsidR="008D342C" w:rsidRPr="0037351D" w:rsidRDefault="008D342C" w:rsidP="0038179C">
      <w:pPr>
        <w:spacing w:line="240" w:lineRule="auto"/>
        <w:rPr>
          <w:rFonts w:cs="Arial"/>
          <w:b/>
          <w:color w:val="FF0000"/>
        </w:rPr>
      </w:pPr>
    </w:p>
    <w:p w14:paraId="14B201E3" w14:textId="77777777" w:rsidR="00FF5BC8" w:rsidRPr="0037351D" w:rsidRDefault="00FF5BC8">
      <w:pPr>
        <w:rPr>
          <w:rFonts w:cs="Arial"/>
          <w:b/>
          <w:color w:val="FF0000"/>
        </w:rPr>
      </w:pPr>
      <w:r w:rsidRPr="0037351D">
        <w:rPr>
          <w:rFonts w:cs="Arial"/>
          <w:b/>
          <w:color w:val="FF0000"/>
        </w:rPr>
        <w:br w:type="page"/>
      </w:r>
    </w:p>
    <w:p w14:paraId="301ABD7F" w14:textId="6F830D96" w:rsidR="00A2455B" w:rsidRDefault="00B654F0" w:rsidP="00B654F0">
      <w:pPr>
        <w:pStyle w:val="Caption"/>
        <w:rPr>
          <w:rFonts w:cs="Arial"/>
          <w:color w:val="002F5D"/>
        </w:rPr>
      </w:pPr>
      <w:r w:rsidRPr="009A2AB3">
        <w:rPr>
          <w:b/>
          <w:color w:val="002F5D"/>
        </w:rPr>
        <w:lastRenderedPageBreak/>
        <w:t xml:space="preserve">Table </w:t>
      </w:r>
      <w:r w:rsidR="009E5BFE">
        <w:rPr>
          <w:b/>
          <w:color w:val="002F5D"/>
        </w:rPr>
        <w:t>48</w:t>
      </w:r>
      <w:r w:rsidR="00782147" w:rsidRPr="009A2AB3">
        <w:rPr>
          <w:rFonts w:cs="Arial"/>
          <w:b/>
          <w:color w:val="002F5D"/>
        </w:rPr>
        <w:t>.</w:t>
      </w:r>
      <w:r w:rsidR="00782147" w:rsidRPr="009A2AB3">
        <w:rPr>
          <w:rFonts w:cs="Arial"/>
          <w:color w:val="002F5D"/>
        </w:rPr>
        <w:t xml:space="preserve"> New sexually </w:t>
      </w:r>
      <w:r w:rsidR="00DB120F" w:rsidRPr="009A2AB3">
        <w:rPr>
          <w:rFonts w:cs="Arial"/>
          <w:color w:val="002F5D"/>
        </w:rPr>
        <w:t>transmitted infection diagnoses</w:t>
      </w:r>
      <w:r w:rsidR="00DB120F" w:rsidRPr="009A2AB3">
        <w:rPr>
          <w:rFonts w:cs="Arial"/>
          <w:color w:val="002F5D"/>
          <w:vertAlign w:val="superscript"/>
        </w:rPr>
        <w:t>1</w:t>
      </w:r>
      <w:r w:rsidR="00782147" w:rsidRPr="009A2AB3">
        <w:rPr>
          <w:rFonts w:cs="Arial"/>
          <w:color w:val="002F5D"/>
        </w:rPr>
        <w:t xml:space="preserve"> in those aged 15-64, 201</w:t>
      </w:r>
      <w:r w:rsidR="00A2455B" w:rsidRPr="009A2AB3">
        <w:rPr>
          <w:rFonts w:cs="Arial"/>
          <w:color w:val="002F5D"/>
        </w:rPr>
        <w:t>7</w:t>
      </w:r>
    </w:p>
    <w:p w14:paraId="7D32FB3C" w14:textId="77777777" w:rsidR="00457858" w:rsidRPr="009A2AB3" w:rsidRDefault="00457858" w:rsidP="00E61D24"/>
    <w:p w14:paraId="1280D402" w14:textId="77777777" w:rsidR="00457858" w:rsidRDefault="00457858" w:rsidP="00B654F0">
      <w:pPr>
        <w:pStyle w:val="Caption"/>
      </w:pPr>
      <w:r w:rsidRPr="00457858">
        <w:rPr>
          <w:noProof/>
          <w:lang w:eastAsia="en-GB"/>
        </w:rPr>
        <w:drawing>
          <wp:inline distT="0" distB="0" distL="0" distR="0" wp14:anchorId="75BEBF8E" wp14:editId="4B1EFC89">
            <wp:extent cx="6512582" cy="2190750"/>
            <wp:effectExtent l="0" t="0" r="254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518020" cy="2192579"/>
                    </a:xfrm>
                    <a:prstGeom prst="rect">
                      <a:avLst/>
                    </a:prstGeom>
                    <a:noFill/>
                    <a:ln>
                      <a:noFill/>
                    </a:ln>
                  </pic:spPr>
                </pic:pic>
              </a:graphicData>
            </a:graphic>
          </wp:inline>
        </w:drawing>
      </w:r>
      <w:r w:rsidRPr="00457858" w:rsidDel="00A2455B">
        <w:t xml:space="preserve"> </w:t>
      </w:r>
    </w:p>
    <w:p w14:paraId="0BFF0F40" w14:textId="2C049177" w:rsidR="00782147" w:rsidRPr="009A2AB3" w:rsidRDefault="00782147" w:rsidP="00B654F0">
      <w:pPr>
        <w:pStyle w:val="Caption"/>
        <w:rPr>
          <w:rFonts w:cs="Arial"/>
          <w:color w:val="002F5D"/>
        </w:rPr>
      </w:pPr>
    </w:p>
    <w:p w14:paraId="43E16E68" w14:textId="77777777" w:rsidR="00782147" w:rsidRPr="009A2AB3" w:rsidRDefault="0081169F" w:rsidP="0043274F">
      <w:pPr>
        <w:spacing w:line="240" w:lineRule="auto"/>
        <w:rPr>
          <w:rFonts w:cs="Arial"/>
          <w:color w:val="002F5D"/>
          <w:sz w:val="18"/>
          <w:szCs w:val="18"/>
        </w:rPr>
      </w:pPr>
      <w:r w:rsidRPr="009A2AB3">
        <w:rPr>
          <w:rFonts w:cs="Arial"/>
          <w:color w:val="002F5D"/>
          <w:sz w:val="18"/>
          <w:szCs w:val="18"/>
          <w:vertAlign w:val="superscript"/>
        </w:rPr>
        <w:t>1</w:t>
      </w:r>
      <w:r w:rsidRPr="009A2AB3">
        <w:rPr>
          <w:rFonts w:cs="Arial"/>
          <w:color w:val="002F5D"/>
          <w:sz w:val="18"/>
          <w:szCs w:val="18"/>
        </w:rPr>
        <w:t xml:space="preserve"> </w:t>
      </w:r>
      <w:r w:rsidR="00782147" w:rsidRPr="009A2AB3">
        <w:rPr>
          <w:rFonts w:cs="Arial"/>
          <w:color w:val="002F5D"/>
          <w:sz w:val="18"/>
          <w:szCs w:val="18"/>
        </w:rPr>
        <w:t>excluding chlamydia in under 25s</w:t>
      </w:r>
    </w:p>
    <w:p w14:paraId="1DE36772" w14:textId="0A1E510C" w:rsidR="00457858" w:rsidRDefault="00457858" w:rsidP="0043274F">
      <w:pPr>
        <w:spacing w:line="240" w:lineRule="auto"/>
        <w:rPr>
          <w:rFonts w:cs="Arial"/>
          <w:color w:val="002F5D"/>
          <w:sz w:val="18"/>
          <w:szCs w:val="18"/>
        </w:rPr>
      </w:pPr>
      <w:r w:rsidRPr="00457858">
        <w:rPr>
          <w:noProof/>
          <w:lang w:eastAsia="en-GB"/>
        </w:rPr>
        <w:drawing>
          <wp:anchor distT="0" distB="0" distL="114300" distR="114300" simplePos="0" relativeHeight="251694080" behindDoc="1" locked="0" layoutInCell="1" allowOverlap="1" wp14:anchorId="27DC6AA8" wp14:editId="36DFEDDD">
            <wp:simplePos x="0" y="0"/>
            <wp:positionH relativeFrom="column">
              <wp:posOffset>4080510</wp:posOffset>
            </wp:positionH>
            <wp:positionV relativeFrom="page">
              <wp:posOffset>3800475</wp:posOffset>
            </wp:positionV>
            <wp:extent cx="2476500" cy="581025"/>
            <wp:effectExtent l="0" t="0" r="0" b="9525"/>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76500" cy="581025"/>
                    </a:xfrm>
                    <a:prstGeom prst="rect">
                      <a:avLst/>
                    </a:prstGeom>
                    <a:noFill/>
                    <a:ln>
                      <a:noFill/>
                    </a:ln>
                  </pic:spPr>
                </pic:pic>
              </a:graphicData>
            </a:graphic>
          </wp:anchor>
        </w:drawing>
      </w:r>
    </w:p>
    <w:p w14:paraId="447257E9" w14:textId="18FF328F" w:rsidR="00782147" w:rsidRPr="0037351D" w:rsidRDefault="00A2455B" w:rsidP="0043274F">
      <w:pPr>
        <w:spacing w:line="240" w:lineRule="auto"/>
        <w:rPr>
          <w:rFonts w:cs="Arial"/>
          <w:color w:val="FF0000"/>
        </w:rPr>
      </w:pPr>
      <w:r w:rsidRPr="00A2455B">
        <w:rPr>
          <w:noProof/>
          <w:lang w:eastAsia="en-GB"/>
        </w:rPr>
        <w:drawing>
          <wp:inline distT="0" distB="0" distL="0" distR="0" wp14:anchorId="36D4E21A" wp14:editId="336B40A9">
            <wp:extent cx="3971925" cy="581025"/>
            <wp:effectExtent l="0" t="0" r="0"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71925" cy="581025"/>
                    </a:xfrm>
                    <a:prstGeom prst="rect">
                      <a:avLst/>
                    </a:prstGeom>
                    <a:noFill/>
                    <a:ln>
                      <a:noFill/>
                    </a:ln>
                  </pic:spPr>
                </pic:pic>
              </a:graphicData>
            </a:graphic>
          </wp:inline>
        </w:drawing>
      </w:r>
      <w:r w:rsidRPr="00A2455B">
        <w:t xml:space="preserve"> </w:t>
      </w:r>
      <w:r w:rsidR="00457858" w:rsidRPr="00457858" w:rsidDel="00A2455B">
        <w:t xml:space="preserve"> </w:t>
      </w:r>
    </w:p>
    <w:p w14:paraId="71A35FA1" w14:textId="3E268B88" w:rsidR="00AB711B" w:rsidRPr="0037351D" w:rsidRDefault="00AB711B" w:rsidP="0043274F">
      <w:pPr>
        <w:spacing w:line="240" w:lineRule="auto"/>
        <w:rPr>
          <w:rFonts w:cs="Arial"/>
          <w:color w:val="FF0000"/>
        </w:rPr>
      </w:pPr>
    </w:p>
    <w:p w14:paraId="2398A976" w14:textId="1EE9E3EF" w:rsidR="00782147" w:rsidRPr="009A2AB3" w:rsidRDefault="00782147" w:rsidP="0043274F">
      <w:pPr>
        <w:spacing w:line="240" w:lineRule="auto"/>
        <w:rPr>
          <w:rFonts w:cs="Arial"/>
          <w:color w:val="002F5D"/>
        </w:rPr>
      </w:pPr>
      <w:r w:rsidRPr="009A2AB3">
        <w:rPr>
          <w:rFonts w:cs="Arial"/>
          <w:b/>
          <w:color w:val="002F5D"/>
        </w:rPr>
        <w:t>Source:</w:t>
      </w:r>
      <w:r w:rsidRPr="009A2AB3">
        <w:rPr>
          <w:rFonts w:cs="Arial"/>
          <w:color w:val="002F5D"/>
        </w:rPr>
        <w:t xml:space="preserve"> Public Health England Sexual and Reproductive Health Profiles</w:t>
      </w:r>
    </w:p>
    <w:p w14:paraId="32A9E504" w14:textId="08E1E6DD" w:rsidR="00DE1FAD" w:rsidRPr="0037351D" w:rsidRDefault="00DE1FAD" w:rsidP="0043274F">
      <w:pPr>
        <w:spacing w:line="240" w:lineRule="auto"/>
        <w:rPr>
          <w:rFonts w:cs="Arial"/>
          <w:color w:val="FF0000"/>
        </w:rPr>
      </w:pPr>
    </w:p>
    <w:p w14:paraId="3AC3996E" w14:textId="09464835" w:rsidR="00782147" w:rsidRPr="009A2AB3" w:rsidRDefault="009723AC" w:rsidP="0043274F">
      <w:pPr>
        <w:spacing w:line="240" w:lineRule="auto"/>
        <w:rPr>
          <w:rFonts w:cs="Arial"/>
          <w:b/>
          <w:color w:val="002F5D"/>
        </w:rPr>
      </w:pPr>
      <w:r w:rsidRPr="009A2AB3">
        <w:rPr>
          <w:rFonts w:cs="Arial"/>
          <w:b/>
          <w:color w:val="002F5D"/>
        </w:rPr>
        <w:t>Key points:</w:t>
      </w:r>
    </w:p>
    <w:p w14:paraId="7CE1D5AB" w14:textId="228D0BEE" w:rsidR="009723AC" w:rsidRPr="009A2AB3" w:rsidRDefault="009723AC" w:rsidP="0043274F">
      <w:pPr>
        <w:pStyle w:val="ListParagraph"/>
        <w:numPr>
          <w:ilvl w:val="0"/>
          <w:numId w:val="6"/>
        </w:numPr>
        <w:spacing w:line="240" w:lineRule="auto"/>
        <w:rPr>
          <w:rFonts w:cs="Arial"/>
          <w:color w:val="002F5D"/>
        </w:rPr>
      </w:pPr>
      <w:r w:rsidRPr="009A2AB3">
        <w:rPr>
          <w:rFonts w:cs="Arial"/>
          <w:color w:val="002F5D"/>
        </w:rPr>
        <w:t>The STI diagnosis rate in Cambridgeshire</w:t>
      </w:r>
      <w:r w:rsidR="00B565C9" w:rsidRPr="009A2AB3">
        <w:rPr>
          <w:rFonts w:cs="Arial"/>
          <w:color w:val="002F5D"/>
        </w:rPr>
        <w:t xml:space="preserve"> and Cambridgeshire and Peterborough as a whole</w:t>
      </w:r>
      <w:r w:rsidRPr="009A2AB3">
        <w:rPr>
          <w:rFonts w:cs="Arial"/>
          <w:color w:val="002F5D"/>
        </w:rPr>
        <w:t xml:space="preserve"> is currently statistically significantly </w:t>
      </w:r>
      <w:r w:rsidR="0033067E" w:rsidRPr="009A2AB3">
        <w:rPr>
          <w:rFonts w:cs="Arial"/>
          <w:color w:val="002F5D"/>
        </w:rPr>
        <w:t>lower (better</w:t>
      </w:r>
      <w:r w:rsidR="007E0984" w:rsidRPr="009A2AB3">
        <w:rPr>
          <w:rFonts w:cs="Arial"/>
          <w:color w:val="002F5D"/>
        </w:rPr>
        <w:t>) than</w:t>
      </w:r>
      <w:r w:rsidRPr="009A2AB3">
        <w:rPr>
          <w:rFonts w:cs="Arial"/>
          <w:color w:val="002F5D"/>
        </w:rPr>
        <w:t xml:space="preserve"> the England average an</w:t>
      </w:r>
      <w:r w:rsidR="008D342C" w:rsidRPr="009A2AB3">
        <w:rPr>
          <w:rFonts w:cs="Arial"/>
          <w:color w:val="002F5D"/>
        </w:rPr>
        <w:t xml:space="preserve">d has decreased over the last 5 </w:t>
      </w:r>
      <w:r w:rsidRPr="009A2AB3">
        <w:rPr>
          <w:rFonts w:cs="Arial"/>
          <w:color w:val="002F5D"/>
        </w:rPr>
        <w:t xml:space="preserve">years, as it has nationally. </w:t>
      </w:r>
      <w:r w:rsidR="0033067E" w:rsidRPr="009A2AB3">
        <w:rPr>
          <w:rFonts w:cs="Arial"/>
          <w:color w:val="002F5D"/>
        </w:rPr>
        <w:t xml:space="preserve">The rate of testing for STIs is significantly lower than the England average in Cambridgeshire and the percentage of cases tested found to be positive for an STI is also lower. </w:t>
      </w:r>
    </w:p>
    <w:p w14:paraId="7ECEF09C" w14:textId="76F67217" w:rsidR="009723AC" w:rsidRPr="009A2AB3" w:rsidRDefault="009723AC" w:rsidP="0043274F">
      <w:pPr>
        <w:pStyle w:val="ListParagraph"/>
        <w:numPr>
          <w:ilvl w:val="0"/>
          <w:numId w:val="6"/>
        </w:numPr>
        <w:spacing w:line="240" w:lineRule="auto"/>
        <w:rPr>
          <w:rFonts w:cs="Arial"/>
          <w:color w:val="002F5D"/>
        </w:rPr>
      </w:pPr>
      <w:r w:rsidRPr="009A2AB3">
        <w:rPr>
          <w:rFonts w:cs="Arial"/>
          <w:color w:val="002F5D"/>
        </w:rPr>
        <w:t>In</w:t>
      </w:r>
      <w:r w:rsidR="00B565C9" w:rsidRPr="009A2AB3">
        <w:rPr>
          <w:rFonts w:cs="Arial"/>
          <w:color w:val="002F5D"/>
        </w:rPr>
        <w:t xml:space="preserve"> Peterborough</w:t>
      </w:r>
      <w:r w:rsidRPr="009A2AB3">
        <w:rPr>
          <w:rFonts w:cs="Arial"/>
          <w:color w:val="002F5D"/>
        </w:rPr>
        <w:t xml:space="preserve">, the </w:t>
      </w:r>
      <w:r w:rsidR="00B565C9" w:rsidRPr="009A2AB3">
        <w:rPr>
          <w:rFonts w:cs="Arial"/>
          <w:color w:val="002F5D"/>
        </w:rPr>
        <w:t xml:space="preserve">STI diagnosis rate </w:t>
      </w:r>
      <w:r w:rsidRPr="009A2AB3">
        <w:rPr>
          <w:rFonts w:cs="Arial"/>
          <w:color w:val="002F5D"/>
        </w:rPr>
        <w:t xml:space="preserve">is </w:t>
      </w:r>
      <w:r w:rsidR="00457858" w:rsidRPr="009A2AB3">
        <w:rPr>
          <w:rFonts w:cs="Arial"/>
          <w:color w:val="002F5D"/>
        </w:rPr>
        <w:t>similar to</w:t>
      </w:r>
      <w:r w:rsidRPr="009A2AB3">
        <w:rPr>
          <w:rFonts w:cs="Arial"/>
          <w:color w:val="002F5D"/>
        </w:rPr>
        <w:t xml:space="preserve"> the average for England but the </w:t>
      </w:r>
      <w:r w:rsidR="00B565C9" w:rsidRPr="009A2AB3">
        <w:rPr>
          <w:rFonts w:cs="Arial"/>
          <w:color w:val="002F5D"/>
        </w:rPr>
        <w:t xml:space="preserve">testing rate is significantly </w:t>
      </w:r>
      <w:r w:rsidR="007E0984" w:rsidRPr="009A2AB3">
        <w:rPr>
          <w:rFonts w:cs="Arial"/>
          <w:color w:val="002F5D"/>
        </w:rPr>
        <w:t>higher and</w:t>
      </w:r>
      <w:r w:rsidR="00B565C9" w:rsidRPr="009A2AB3">
        <w:rPr>
          <w:rFonts w:cs="Arial"/>
          <w:color w:val="002F5D"/>
        </w:rPr>
        <w:t xml:space="preserve"> the positivity rate is similar</w:t>
      </w:r>
      <w:r w:rsidR="008F61B9" w:rsidRPr="009A2AB3">
        <w:rPr>
          <w:rFonts w:cs="Arial"/>
          <w:color w:val="002F5D"/>
        </w:rPr>
        <w:t>.</w:t>
      </w:r>
    </w:p>
    <w:p w14:paraId="63F19BA9" w14:textId="77777777" w:rsidR="009723AC" w:rsidRPr="009A2AB3" w:rsidRDefault="009723AC" w:rsidP="0043274F">
      <w:pPr>
        <w:pStyle w:val="ListParagraph"/>
        <w:numPr>
          <w:ilvl w:val="0"/>
          <w:numId w:val="6"/>
        </w:numPr>
        <w:spacing w:line="240" w:lineRule="auto"/>
        <w:rPr>
          <w:rFonts w:cs="Arial"/>
          <w:color w:val="002F5D"/>
        </w:rPr>
      </w:pPr>
      <w:r w:rsidRPr="009A2AB3">
        <w:rPr>
          <w:rFonts w:cs="Arial"/>
          <w:color w:val="002F5D"/>
        </w:rPr>
        <w:t xml:space="preserve">Testing rates have been stable or increasing over the last 5 years </w:t>
      </w:r>
      <w:r w:rsidR="006D107B" w:rsidRPr="009A2AB3">
        <w:rPr>
          <w:rFonts w:cs="Arial"/>
          <w:color w:val="002F5D"/>
        </w:rPr>
        <w:t xml:space="preserve">across all districts </w:t>
      </w:r>
      <w:r w:rsidRPr="009A2AB3">
        <w:rPr>
          <w:rFonts w:cs="Arial"/>
          <w:color w:val="002F5D"/>
        </w:rPr>
        <w:t>but positivity rates have declined, which again may indicate inappropriate targeting</w:t>
      </w:r>
      <w:r w:rsidR="004A7B56" w:rsidRPr="009A2AB3">
        <w:rPr>
          <w:rFonts w:cs="Arial"/>
          <w:color w:val="002F5D"/>
        </w:rPr>
        <w:t xml:space="preserve"> or a general decrease in prevalence of infection in the population</w:t>
      </w:r>
      <w:r w:rsidRPr="009A2AB3">
        <w:rPr>
          <w:rFonts w:cs="Arial"/>
          <w:color w:val="002F5D"/>
        </w:rPr>
        <w:t>.  Similar trends are observed for England as a whole.</w:t>
      </w:r>
    </w:p>
    <w:p w14:paraId="46EDA080" w14:textId="77777777" w:rsidR="00F47A47" w:rsidRPr="009A2AB3" w:rsidRDefault="00F47A47" w:rsidP="0038179C">
      <w:pPr>
        <w:spacing w:line="240" w:lineRule="auto"/>
        <w:rPr>
          <w:rFonts w:cs="Arial"/>
          <w:color w:val="002F5D"/>
        </w:rPr>
      </w:pPr>
      <w:r w:rsidRPr="009A2AB3">
        <w:rPr>
          <w:rFonts w:cs="Arial"/>
          <w:color w:val="002F5D"/>
        </w:rPr>
        <w:br w:type="page"/>
      </w:r>
    </w:p>
    <w:p w14:paraId="25331CE1" w14:textId="77777777" w:rsidR="00F47A47" w:rsidRPr="009A2AB3" w:rsidRDefault="00F47A47" w:rsidP="000F6257">
      <w:pPr>
        <w:pStyle w:val="JSNA2"/>
      </w:pPr>
      <w:bookmarkStart w:id="783" w:name="_Toc4407865"/>
      <w:r w:rsidRPr="009A2AB3">
        <w:lastRenderedPageBreak/>
        <w:t>Under 18</w:t>
      </w:r>
      <w:r w:rsidR="006B0B24" w:rsidRPr="009A2AB3">
        <w:t xml:space="preserve"> </w:t>
      </w:r>
      <w:r w:rsidRPr="009A2AB3">
        <w:t>conceptions</w:t>
      </w:r>
      <w:r w:rsidR="00D86E91" w:rsidRPr="009A2AB3">
        <w:t xml:space="preserve"> and births</w:t>
      </w:r>
      <w:bookmarkEnd w:id="783"/>
    </w:p>
    <w:p w14:paraId="34E79711" w14:textId="77777777" w:rsidR="00F47A47" w:rsidRPr="0037351D" w:rsidRDefault="00F47A47" w:rsidP="0038179C">
      <w:pPr>
        <w:spacing w:line="240" w:lineRule="auto"/>
        <w:rPr>
          <w:rFonts w:cs="Arial"/>
          <w:color w:val="FF0000"/>
          <w:u w:val="single"/>
        </w:rPr>
      </w:pPr>
    </w:p>
    <w:p w14:paraId="339B2AE9" w14:textId="2FDF0646" w:rsidR="00153BEA" w:rsidRPr="009A2AB3" w:rsidRDefault="00B654F0" w:rsidP="0043274F">
      <w:pPr>
        <w:pStyle w:val="Caption"/>
        <w:rPr>
          <w:rFonts w:cs="Arial"/>
          <w:color w:val="002F5D"/>
        </w:rPr>
      </w:pPr>
      <w:r w:rsidRPr="009A2AB3">
        <w:rPr>
          <w:b/>
          <w:color w:val="002F5D"/>
        </w:rPr>
        <w:t xml:space="preserve">Table </w:t>
      </w:r>
      <w:r w:rsidR="009E5BFE">
        <w:rPr>
          <w:b/>
          <w:color w:val="002F5D"/>
        </w:rPr>
        <w:t>49</w:t>
      </w:r>
      <w:r w:rsidR="006625F1" w:rsidRPr="009A2AB3">
        <w:rPr>
          <w:rFonts w:cs="Arial"/>
          <w:b/>
          <w:color w:val="002F5D"/>
        </w:rPr>
        <w:t>.</w:t>
      </w:r>
      <w:r w:rsidR="006625F1" w:rsidRPr="009A2AB3">
        <w:rPr>
          <w:rFonts w:cs="Arial"/>
          <w:color w:val="002F5D"/>
        </w:rPr>
        <w:t xml:space="preserve"> Under 18 conception</w:t>
      </w:r>
      <w:r w:rsidR="00955955" w:rsidRPr="009A2AB3">
        <w:rPr>
          <w:rFonts w:cs="Arial"/>
          <w:color w:val="002F5D"/>
        </w:rPr>
        <w:t>s</w:t>
      </w:r>
      <w:r w:rsidR="006625F1" w:rsidRPr="009A2AB3">
        <w:rPr>
          <w:rFonts w:cs="Arial"/>
          <w:color w:val="002F5D"/>
        </w:rPr>
        <w:t xml:space="preserve"> and birth rates, 201</w:t>
      </w:r>
      <w:r w:rsidR="00457858">
        <w:rPr>
          <w:rFonts w:cs="Arial"/>
          <w:color w:val="002F5D"/>
        </w:rPr>
        <w:t>6</w:t>
      </w:r>
    </w:p>
    <w:p w14:paraId="62CA0E46" w14:textId="77777777" w:rsidR="00153BEA" w:rsidRPr="0037351D" w:rsidRDefault="00153BEA" w:rsidP="0043274F">
      <w:pPr>
        <w:spacing w:line="240" w:lineRule="auto"/>
        <w:rPr>
          <w:color w:val="FF0000"/>
        </w:rPr>
      </w:pPr>
    </w:p>
    <w:p w14:paraId="7C928744" w14:textId="69BADED4" w:rsidR="000F3639" w:rsidRPr="0037351D" w:rsidRDefault="00457858" w:rsidP="0043274F">
      <w:pPr>
        <w:pStyle w:val="Caption"/>
        <w:rPr>
          <w:color w:val="FF0000"/>
        </w:rPr>
      </w:pPr>
      <w:r w:rsidRPr="00457858">
        <w:rPr>
          <w:noProof/>
          <w:lang w:eastAsia="en-GB"/>
        </w:rPr>
        <w:drawing>
          <wp:inline distT="0" distB="0" distL="0" distR="0" wp14:anchorId="30B28536" wp14:editId="1E050C80">
            <wp:extent cx="6266498" cy="2428875"/>
            <wp:effectExtent l="0" t="0" r="127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67647" cy="2429320"/>
                    </a:xfrm>
                    <a:prstGeom prst="rect">
                      <a:avLst/>
                    </a:prstGeom>
                    <a:noFill/>
                    <a:ln>
                      <a:noFill/>
                    </a:ln>
                  </pic:spPr>
                </pic:pic>
              </a:graphicData>
            </a:graphic>
          </wp:inline>
        </w:drawing>
      </w:r>
      <w:r w:rsidRPr="00457858" w:rsidDel="00457858">
        <w:t xml:space="preserve"> </w:t>
      </w:r>
    </w:p>
    <w:p w14:paraId="1C5C34DD" w14:textId="77777777" w:rsidR="000F3639" w:rsidRPr="0037351D" w:rsidRDefault="000F3639" w:rsidP="0043274F">
      <w:pPr>
        <w:spacing w:line="240" w:lineRule="auto"/>
        <w:rPr>
          <w:color w:val="FF0000"/>
        </w:rPr>
      </w:pPr>
    </w:p>
    <w:p w14:paraId="1864D130" w14:textId="77777777" w:rsidR="006625F1" w:rsidRPr="009A2AB3" w:rsidRDefault="00DB120F" w:rsidP="0043274F">
      <w:pPr>
        <w:spacing w:line="240" w:lineRule="auto"/>
        <w:rPr>
          <w:rFonts w:cs="Arial"/>
          <w:color w:val="002F5D"/>
          <w:sz w:val="18"/>
          <w:szCs w:val="18"/>
        </w:rPr>
      </w:pPr>
      <w:r w:rsidRPr="009A2AB3">
        <w:rPr>
          <w:rFonts w:cs="Arial"/>
          <w:color w:val="002F5D"/>
          <w:sz w:val="18"/>
          <w:szCs w:val="18"/>
          <w:vertAlign w:val="superscript"/>
        </w:rPr>
        <w:t>1</w:t>
      </w:r>
      <w:r w:rsidR="006625F1" w:rsidRPr="009A2AB3">
        <w:rPr>
          <w:rFonts w:cs="Arial"/>
          <w:color w:val="002F5D"/>
          <w:sz w:val="18"/>
          <w:szCs w:val="18"/>
        </w:rPr>
        <w:t xml:space="preserve"> per 1,000 females aged 15-17</w:t>
      </w:r>
    </w:p>
    <w:p w14:paraId="719505C9" w14:textId="29D878EC" w:rsidR="005E6459" w:rsidRDefault="005E6459" w:rsidP="0043274F">
      <w:pPr>
        <w:spacing w:line="240" w:lineRule="auto"/>
        <w:rPr>
          <w:rFonts w:cs="Arial"/>
          <w:color w:val="FF0000"/>
          <w:sz w:val="18"/>
          <w:szCs w:val="18"/>
        </w:rPr>
      </w:pPr>
    </w:p>
    <w:p w14:paraId="6B409DF6" w14:textId="28B9FA42" w:rsidR="00AB711B" w:rsidRPr="0037351D" w:rsidRDefault="005E6459" w:rsidP="0043274F">
      <w:pPr>
        <w:spacing w:line="240" w:lineRule="auto"/>
        <w:rPr>
          <w:rFonts w:cs="Arial"/>
          <w:color w:val="FF0000"/>
        </w:rPr>
      </w:pPr>
      <w:r>
        <w:rPr>
          <w:rFonts w:cs="Arial"/>
          <w:noProof/>
          <w:color w:val="FF0000"/>
          <w:sz w:val="18"/>
          <w:szCs w:val="18"/>
          <w:lang w:eastAsia="en-GB"/>
        </w:rPr>
        <w:drawing>
          <wp:anchor distT="0" distB="0" distL="114300" distR="114300" simplePos="0" relativeHeight="251695104" behindDoc="1" locked="0" layoutInCell="1" allowOverlap="1" wp14:anchorId="4B15CC8B" wp14:editId="01A6642C">
            <wp:simplePos x="0" y="0"/>
            <wp:positionH relativeFrom="column">
              <wp:posOffset>4013835</wp:posOffset>
            </wp:positionH>
            <wp:positionV relativeFrom="page">
              <wp:posOffset>4343400</wp:posOffset>
            </wp:positionV>
            <wp:extent cx="2475230" cy="585470"/>
            <wp:effectExtent l="0" t="0" r="0" b="508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75230" cy="585470"/>
                    </a:xfrm>
                    <a:prstGeom prst="rect">
                      <a:avLst/>
                    </a:prstGeom>
                    <a:noFill/>
                  </pic:spPr>
                </pic:pic>
              </a:graphicData>
            </a:graphic>
          </wp:anchor>
        </w:drawing>
      </w:r>
      <w:r>
        <w:rPr>
          <w:rFonts w:cs="Arial"/>
          <w:noProof/>
          <w:color w:val="FF0000"/>
          <w:sz w:val="18"/>
          <w:szCs w:val="18"/>
          <w:lang w:eastAsia="en-GB"/>
        </w:rPr>
        <w:drawing>
          <wp:inline distT="0" distB="0" distL="0" distR="0" wp14:anchorId="1E039FE4" wp14:editId="576E9273">
            <wp:extent cx="3975100" cy="57912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6076D2B2" w14:textId="77777777" w:rsidR="005E6459" w:rsidRDefault="005E6459" w:rsidP="0043274F">
      <w:pPr>
        <w:spacing w:line="240" w:lineRule="auto"/>
        <w:rPr>
          <w:noProof/>
          <w:color w:val="FF0000"/>
          <w:lang w:eastAsia="en-GB"/>
        </w:rPr>
      </w:pPr>
    </w:p>
    <w:p w14:paraId="1CE3AB11" w14:textId="42274845" w:rsidR="006625F1" w:rsidRPr="009A2AB3" w:rsidRDefault="006625F1" w:rsidP="0043274F">
      <w:pPr>
        <w:spacing w:line="240" w:lineRule="auto"/>
        <w:rPr>
          <w:rFonts w:cs="Arial"/>
          <w:color w:val="002F5D"/>
        </w:rPr>
      </w:pPr>
      <w:r w:rsidRPr="009A2AB3">
        <w:rPr>
          <w:rFonts w:cs="Arial"/>
          <w:b/>
          <w:color w:val="002F5D"/>
        </w:rPr>
        <w:t>Sources:</w:t>
      </w:r>
      <w:r w:rsidRPr="009A2AB3">
        <w:rPr>
          <w:rFonts w:cs="Arial"/>
          <w:color w:val="002F5D"/>
        </w:rPr>
        <w:t xml:space="preserve"> Public Health England Public Health Outcomes Framework indicator 2.04, Sexual and Reproductive Health Profiles (</w:t>
      </w:r>
      <w:r w:rsidR="007750E0" w:rsidRPr="009A2AB3">
        <w:rPr>
          <w:rFonts w:cs="Arial"/>
          <w:color w:val="002F5D"/>
        </w:rPr>
        <w:t>ONS</w:t>
      </w:r>
      <w:r w:rsidRPr="009A2AB3">
        <w:rPr>
          <w:rFonts w:cs="Arial"/>
          <w:color w:val="002F5D"/>
        </w:rPr>
        <w:t>)</w:t>
      </w:r>
    </w:p>
    <w:p w14:paraId="65266492" w14:textId="77777777" w:rsidR="006625F1" w:rsidRPr="009A2AB3" w:rsidRDefault="006625F1" w:rsidP="0043274F">
      <w:pPr>
        <w:spacing w:line="240" w:lineRule="auto"/>
        <w:rPr>
          <w:rFonts w:cs="Arial"/>
          <w:color w:val="002F5D"/>
        </w:rPr>
      </w:pPr>
    </w:p>
    <w:p w14:paraId="0CED1420" w14:textId="77777777" w:rsidR="006625F1" w:rsidRPr="009A2AB3" w:rsidRDefault="006625F1" w:rsidP="0043274F">
      <w:pPr>
        <w:spacing w:line="240" w:lineRule="auto"/>
        <w:rPr>
          <w:rFonts w:cs="Arial"/>
          <w:b/>
          <w:color w:val="002F5D"/>
        </w:rPr>
      </w:pPr>
      <w:r w:rsidRPr="009A2AB3">
        <w:rPr>
          <w:rFonts w:cs="Arial"/>
          <w:b/>
          <w:color w:val="002F5D"/>
        </w:rPr>
        <w:t>Key points</w:t>
      </w:r>
      <w:r w:rsidR="000B6796" w:rsidRPr="009A2AB3">
        <w:rPr>
          <w:rFonts w:cs="Arial"/>
          <w:b/>
          <w:color w:val="002F5D"/>
        </w:rPr>
        <w:t>:</w:t>
      </w:r>
    </w:p>
    <w:p w14:paraId="7E29D65B" w14:textId="3827A3C4" w:rsidR="00A93602" w:rsidRPr="009A2AB3" w:rsidRDefault="005E6459" w:rsidP="0043274F">
      <w:pPr>
        <w:pStyle w:val="ListParagraph"/>
        <w:numPr>
          <w:ilvl w:val="0"/>
          <w:numId w:val="7"/>
        </w:numPr>
        <w:spacing w:line="240" w:lineRule="auto"/>
        <w:rPr>
          <w:rFonts w:cs="Arial"/>
          <w:color w:val="002F5D"/>
        </w:rPr>
      </w:pPr>
      <w:r w:rsidRPr="009A2AB3">
        <w:rPr>
          <w:rFonts w:cs="Arial"/>
          <w:color w:val="002F5D"/>
        </w:rPr>
        <w:t>T</w:t>
      </w:r>
      <w:r w:rsidR="00A93602" w:rsidRPr="009A2AB3">
        <w:rPr>
          <w:rFonts w:cs="Arial"/>
          <w:color w:val="002F5D"/>
        </w:rPr>
        <w:t xml:space="preserve">he rate of under 18 conception </w:t>
      </w:r>
      <w:r w:rsidRPr="009A2AB3">
        <w:rPr>
          <w:rFonts w:cs="Arial"/>
          <w:color w:val="002F5D"/>
        </w:rPr>
        <w:t xml:space="preserve">in Cambridgeshire and Peterborough combined is statistically significantly lower than the England average </w:t>
      </w:r>
      <w:r w:rsidR="00A93602" w:rsidRPr="009A2AB3">
        <w:rPr>
          <w:rFonts w:cs="Arial"/>
          <w:color w:val="002F5D"/>
        </w:rPr>
        <w:t xml:space="preserve">and the overall birth rate </w:t>
      </w:r>
      <w:r w:rsidRPr="009A2AB3">
        <w:rPr>
          <w:rFonts w:cs="Arial"/>
          <w:color w:val="002F5D"/>
        </w:rPr>
        <w:t>is</w:t>
      </w:r>
      <w:r w:rsidR="00A93602" w:rsidRPr="009A2AB3">
        <w:rPr>
          <w:rFonts w:cs="Arial"/>
          <w:color w:val="002F5D"/>
        </w:rPr>
        <w:t xml:space="preserve"> similar </w:t>
      </w:r>
      <w:r w:rsidR="00465251" w:rsidRPr="009A2AB3">
        <w:rPr>
          <w:rFonts w:cs="Arial"/>
          <w:color w:val="002F5D"/>
        </w:rPr>
        <w:t>to national rate</w:t>
      </w:r>
      <w:r w:rsidR="00A93602" w:rsidRPr="009A2AB3">
        <w:rPr>
          <w:rFonts w:cs="Arial"/>
          <w:color w:val="002F5D"/>
        </w:rPr>
        <w:t>.</w:t>
      </w:r>
    </w:p>
    <w:p w14:paraId="26114CE2" w14:textId="77777777" w:rsidR="006625F1" w:rsidRPr="009A2AB3" w:rsidRDefault="006625F1" w:rsidP="0043274F">
      <w:pPr>
        <w:pStyle w:val="ListParagraph"/>
        <w:numPr>
          <w:ilvl w:val="0"/>
          <w:numId w:val="7"/>
        </w:numPr>
        <w:spacing w:line="240" w:lineRule="auto"/>
        <w:rPr>
          <w:rFonts w:cs="Arial"/>
          <w:color w:val="002F5D"/>
        </w:rPr>
      </w:pPr>
      <w:r w:rsidRPr="009A2AB3">
        <w:rPr>
          <w:rFonts w:cs="Arial"/>
          <w:color w:val="002F5D"/>
        </w:rPr>
        <w:t>The rate of under 18 conception</w:t>
      </w:r>
      <w:r w:rsidR="00955955" w:rsidRPr="009A2AB3">
        <w:rPr>
          <w:rFonts w:cs="Arial"/>
          <w:color w:val="002F5D"/>
        </w:rPr>
        <w:t>s</w:t>
      </w:r>
      <w:r w:rsidRPr="009A2AB3">
        <w:rPr>
          <w:rFonts w:cs="Arial"/>
          <w:color w:val="002F5D"/>
        </w:rPr>
        <w:t xml:space="preserve"> in Cambridgeshire is statistically significantly lower than the England average and rates are declining across the county, as they are nationally.</w:t>
      </w:r>
    </w:p>
    <w:p w14:paraId="00BF3C44" w14:textId="77777777" w:rsidR="0074120D" w:rsidRPr="009A2AB3" w:rsidRDefault="0074120D" w:rsidP="0043274F">
      <w:pPr>
        <w:pStyle w:val="ListParagraph"/>
        <w:numPr>
          <w:ilvl w:val="0"/>
          <w:numId w:val="7"/>
        </w:numPr>
        <w:spacing w:line="240" w:lineRule="auto"/>
        <w:rPr>
          <w:rFonts w:cs="Arial"/>
          <w:color w:val="002F5D"/>
        </w:rPr>
      </w:pPr>
      <w:r w:rsidRPr="009A2AB3">
        <w:rPr>
          <w:rFonts w:cs="Arial"/>
          <w:color w:val="002F5D"/>
        </w:rPr>
        <w:t>In Peterborough the rate of under 18 conception and the birth rate to mothers aged under 18 are both statistically significantly higher than the England average although rates are declining.</w:t>
      </w:r>
    </w:p>
    <w:p w14:paraId="4377BF17" w14:textId="08258F19" w:rsidR="006625F1" w:rsidRPr="009A2AB3" w:rsidRDefault="006625F1" w:rsidP="0043274F">
      <w:pPr>
        <w:pStyle w:val="ListParagraph"/>
        <w:numPr>
          <w:ilvl w:val="0"/>
          <w:numId w:val="7"/>
        </w:numPr>
        <w:spacing w:line="240" w:lineRule="auto"/>
        <w:rPr>
          <w:rFonts w:cs="Arial"/>
          <w:color w:val="002F5D"/>
        </w:rPr>
      </w:pPr>
      <w:r w:rsidRPr="009A2AB3">
        <w:rPr>
          <w:rFonts w:cs="Arial"/>
          <w:color w:val="002F5D"/>
        </w:rPr>
        <w:t>Birth rates to mother</w:t>
      </w:r>
      <w:r w:rsidR="00AA1543" w:rsidRPr="009A2AB3">
        <w:rPr>
          <w:rFonts w:cs="Arial"/>
          <w:color w:val="002F5D"/>
        </w:rPr>
        <w:t>s</w:t>
      </w:r>
      <w:r w:rsidRPr="009A2AB3">
        <w:rPr>
          <w:rFonts w:cs="Arial"/>
          <w:color w:val="002F5D"/>
        </w:rPr>
        <w:t xml:space="preserve"> aged under 18 are statistically significantly </w:t>
      </w:r>
      <w:r w:rsidR="005E6459" w:rsidRPr="009A2AB3">
        <w:rPr>
          <w:rFonts w:cs="Arial"/>
          <w:color w:val="002F5D"/>
        </w:rPr>
        <w:t>lower</w:t>
      </w:r>
      <w:r w:rsidRPr="009A2AB3">
        <w:rPr>
          <w:rFonts w:cs="Arial"/>
          <w:color w:val="002F5D"/>
        </w:rPr>
        <w:t xml:space="preserve"> </w:t>
      </w:r>
      <w:r w:rsidR="0074120D" w:rsidRPr="009A2AB3">
        <w:rPr>
          <w:rFonts w:cs="Arial"/>
          <w:color w:val="002F5D"/>
        </w:rPr>
        <w:t>in</w:t>
      </w:r>
      <w:r w:rsidRPr="009A2AB3">
        <w:rPr>
          <w:rFonts w:cs="Arial"/>
          <w:color w:val="002F5D"/>
        </w:rPr>
        <w:t xml:space="preserve"> </w:t>
      </w:r>
      <w:r w:rsidR="005E6459" w:rsidRPr="009A2AB3">
        <w:rPr>
          <w:rFonts w:cs="Arial"/>
          <w:color w:val="002F5D"/>
        </w:rPr>
        <w:t>Huntingdonshire</w:t>
      </w:r>
      <w:r w:rsidRPr="009A2AB3">
        <w:rPr>
          <w:rFonts w:cs="Arial"/>
          <w:color w:val="002F5D"/>
        </w:rPr>
        <w:t xml:space="preserve"> </w:t>
      </w:r>
      <w:r w:rsidR="00AA1543" w:rsidRPr="009A2AB3">
        <w:rPr>
          <w:rFonts w:cs="Arial"/>
          <w:color w:val="002F5D"/>
        </w:rPr>
        <w:t>compared with</w:t>
      </w:r>
      <w:r w:rsidRPr="009A2AB3">
        <w:rPr>
          <w:rFonts w:cs="Arial"/>
          <w:color w:val="002F5D"/>
        </w:rPr>
        <w:t xml:space="preserve"> the national average.</w:t>
      </w:r>
    </w:p>
    <w:p w14:paraId="63EAACA5" w14:textId="77777777" w:rsidR="006625F1" w:rsidRPr="0037351D" w:rsidRDefault="006625F1" w:rsidP="0038179C">
      <w:pPr>
        <w:spacing w:line="240" w:lineRule="auto"/>
        <w:rPr>
          <w:rFonts w:cs="Arial"/>
          <w:b/>
          <w:color w:val="FF0000"/>
        </w:rPr>
      </w:pPr>
    </w:p>
    <w:p w14:paraId="3CEE32B3" w14:textId="77777777" w:rsidR="006625F1" w:rsidRPr="0037351D" w:rsidRDefault="006625F1" w:rsidP="0038179C">
      <w:pPr>
        <w:spacing w:line="240" w:lineRule="auto"/>
        <w:rPr>
          <w:rFonts w:cs="Arial"/>
          <w:b/>
          <w:color w:val="FF0000"/>
        </w:rPr>
      </w:pPr>
    </w:p>
    <w:p w14:paraId="191BC111" w14:textId="77777777" w:rsidR="006625F1" w:rsidRPr="0037351D" w:rsidRDefault="006625F1" w:rsidP="0038179C">
      <w:pPr>
        <w:spacing w:line="240" w:lineRule="auto"/>
        <w:rPr>
          <w:rFonts w:cs="Arial"/>
          <w:b/>
          <w:color w:val="FF0000"/>
        </w:rPr>
      </w:pPr>
    </w:p>
    <w:p w14:paraId="58CA59F4" w14:textId="77777777" w:rsidR="006625F1" w:rsidRPr="0037351D" w:rsidRDefault="006625F1" w:rsidP="0038179C">
      <w:pPr>
        <w:spacing w:line="240" w:lineRule="auto"/>
        <w:rPr>
          <w:rFonts w:cs="Arial"/>
          <w:b/>
          <w:color w:val="FF0000"/>
        </w:rPr>
      </w:pPr>
    </w:p>
    <w:p w14:paraId="65E9C8FE" w14:textId="77777777" w:rsidR="006625F1" w:rsidRPr="0037351D" w:rsidRDefault="006625F1" w:rsidP="0038179C">
      <w:pPr>
        <w:spacing w:line="240" w:lineRule="auto"/>
        <w:rPr>
          <w:rFonts w:cs="Arial"/>
          <w:b/>
          <w:color w:val="FF0000"/>
        </w:rPr>
      </w:pPr>
    </w:p>
    <w:p w14:paraId="54D0B2EE" w14:textId="77777777" w:rsidR="006625F1" w:rsidRPr="0037351D" w:rsidRDefault="006625F1" w:rsidP="0038179C">
      <w:pPr>
        <w:spacing w:line="240" w:lineRule="auto"/>
        <w:rPr>
          <w:rFonts w:cs="Arial"/>
          <w:b/>
          <w:color w:val="FF0000"/>
        </w:rPr>
      </w:pPr>
    </w:p>
    <w:p w14:paraId="656D3B8F" w14:textId="77777777" w:rsidR="006625F1" w:rsidRPr="0037351D" w:rsidRDefault="006625F1" w:rsidP="0038179C">
      <w:pPr>
        <w:spacing w:line="240" w:lineRule="auto"/>
        <w:rPr>
          <w:rFonts w:cs="Arial"/>
          <w:b/>
          <w:color w:val="FF0000"/>
        </w:rPr>
      </w:pPr>
    </w:p>
    <w:p w14:paraId="2A92DAC1" w14:textId="77777777" w:rsidR="006625F1" w:rsidRPr="0037351D" w:rsidRDefault="006625F1" w:rsidP="0038179C">
      <w:pPr>
        <w:spacing w:line="240" w:lineRule="auto"/>
        <w:rPr>
          <w:rFonts w:cs="Arial"/>
          <w:b/>
          <w:color w:val="FF0000"/>
        </w:rPr>
      </w:pPr>
    </w:p>
    <w:p w14:paraId="5EDEF6FA" w14:textId="77777777" w:rsidR="006625F1" w:rsidRPr="0037351D" w:rsidRDefault="006625F1" w:rsidP="0038179C">
      <w:pPr>
        <w:spacing w:line="240" w:lineRule="auto"/>
        <w:rPr>
          <w:rFonts w:cs="Arial"/>
          <w:b/>
          <w:color w:val="FF0000"/>
        </w:rPr>
      </w:pPr>
    </w:p>
    <w:p w14:paraId="2AB5BEFF" w14:textId="77777777" w:rsidR="006625F1" w:rsidRPr="0037351D" w:rsidRDefault="006625F1" w:rsidP="0038179C">
      <w:pPr>
        <w:spacing w:line="240" w:lineRule="auto"/>
        <w:rPr>
          <w:rFonts w:cs="Arial"/>
          <w:b/>
          <w:color w:val="FF0000"/>
        </w:rPr>
      </w:pPr>
    </w:p>
    <w:p w14:paraId="196CFEE0" w14:textId="77777777" w:rsidR="006625F1" w:rsidRPr="0037351D" w:rsidRDefault="006625F1" w:rsidP="0038179C">
      <w:pPr>
        <w:spacing w:line="240" w:lineRule="auto"/>
        <w:rPr>
          <w:rFonts w:cs="Arial"/>
          <w:b/>
          <w:color w:val="FF0000"/>
        </w:rPr>
      </w:pPr>
    </w:p>
    <w:p w14:paraId="057AA0BC" w14:textId="77777777" w:rsidR="006625F1" w:rsidRPr="0037351D" w:rsidRDefault="006625F1" w:rsidP="0038179C">
      <w:pPr>
        <w:spacing w:line="240" w:lineRule="auto"/>
        <w:rPr>
          <w:rFonts w:cs="Arial"/>
          <w:b/>
          <w:color w:val="FF0000"/>
        </w:rPr>
      </w:pPr>
    </w:p>
    <w:p w14:paraId="4C74F91B" w14:textId="77777777" w:rsidR="006625F1" w:rsidRPr="0037351D" w:rsidRDefault="006625F1" w:rsidP="0038179C">
      <w:pPr>
        <w:spacing w:line="240" w:lineRule="auto"/>
        <w:rPr>
          <w:rFonts w:cs="Arial"/>
          <w:b/>
          <w:color w:val="FF0000"/>
        </w:rPr>
      </w:pPr>
    </w:p>
    <w:p w14:paraId="3E854C1D" w14:textId="77777777" w:rsidR="00D7047D" w:rsidRPr="009A2AB3" w:rsidRDefault="00EA1751" w:rsidP="00EA1751">
      <w:pPr>
        <w:pStyle w:val="JSNA2"/>
      </w:pPr>
      <w:bookmarkStart w:id="784" w:name="_Toc4407866"/>
      <w:r w:rsidRPr="009A2AB3">
        <w:lastRenderedPageBreak/>
        <w:t>Falls</w:t>
      </w:r>
      <w:r w:rsidR="00B2304A" w:rsidRPr="009A2AB3">
        <w:t xml:space="preserve"> and hip fracture</w:t>
      </w:r>
      <w:bookmarkEnd w:id="784"/>
    </w:p>
    <w:p w14:paraId="1AC5BD11" w14:textId="77777777" w:rsidR="00D7047D" w:rsidRPr="009A2AB3" w:rsidRDefault="00D7047D" w:rsidP="0043274F">
      <w:pPr>
        <w:spacing w:line="240" w:lineRule="auto"/>
        <w:rPr>
          <w:color w:val="002F5D"/>
        </w:rPr>
      </w:pPr>
    </w:p>
    <w:p w14:paraId="5CA6AD97" w14:textId="668B70D3" w:rsidR="001D1BC8" w:rsidRDefault="001D1BC8" w:rsidP="001D1BC8">
      <w:pPr>
        <w:pStyle w:val="Caption"/>
        <w:rPr>
          <w:rFonts w:cs="Arial"/>
          <w:color w:val="002F5D"/>
        </w:rPr>
      </w:pPr>
      <w:r w:rsidRPr="009B744C">
        <w:rPr>
          <w:b/>
          <w:color w:val="002F5D"/>
        </w:rPr>
        <w:t>Table</w:t>
      </w:r>
      <w:r>
        <w:rPr>
          <w:b/>
          <w:color w:val="002F5D"/>
        </w:rPr>
        <w:t xml:space="preserve"> 50a</w:t>
      </w:r>
      <w:r w:rsidRPr="009B744C">
        <w:rPr>
          <w:rFonts w:cs="Arial"/>
          <w:b/>
          <w:color w:val="002F5D"/>
        </w:rPr>
        <w:t>.</w:t>
      </w:r>
      <w:r w:rsidRPr="009B744C">
        <w:rPr>
          <w:rFonts w:cs="Arial"/>
          <w:color w:val="002F5D"/>
        </w:rPr>
        <w:t xml:space="preserve"> Falls in people aged 65 and over - emergency hospital admissions</w:t>
      </w:r>
      <w:r w:rsidR="002C60D5">
        <w:rPr>
          <w:rFonts w:cs="Arial"/>
          <w:color w:val="002F5D"/>
        </w:rPr>
        <w:t>, England, Cambridgeshire, Peterborough, and Cambridgeshire &amp; Peterborough</w:t>
      </w:r>
      <w:r w:rsidRPr="009B744C">
        <w:rPr>
          <w:rFonts w:cs="Arial"/>
          <w:color w:val="002F5D"/>
        </w:rPr>
        <w:t xml:space="preserve"> (</w:t>
      </w:r>
      <w:r w:rsidR="002C60D5" w:rsidRPr="009B744C">
        <w:rPr>
          <w:rFonts w:cs="Arial"/>
          <w:color w:val="002F5D"/>
        </w:rPr>
        <w:t>for age/sex groups where one or more</w:t>
      </w:r>
      <w:r w:rsidR="002C60D5">
        <w:rPr>
          <w:rFonts w:cs="Arial"/>
          <w:color w:val="002F5D"/>
        </w:rPr>
        <w:t xml:space="preserve"> Cambridgeshire</w:t>
      </w:r>
      <w:r w:rsidR="002C60D5" w:rsidRPr="009B744C">
        <w:rPr>
          <w:rFonts w:cs="Arial"/>
          <w:color w:val="002F5D"/>
        </w:rPr>
        <w:t xml:space="preserve"> districts have worse rates than England</w:t>
      </w:r>
      <w:r w:rsidR="002C60D5">
        <w:rPr>
          <w:rFonts w:cs="Arial"/>
          <w:color w:val="002F5D"/>
        </w:rPr>
        <w:t>, as shown in Table 50b</w:t>
      </w:r>
      <w:r w:rsidRPr="009B744C">
        <w:rPr>
          <w:rFonts w:cs="Arial"/>
          <w:color w:val="002F5D"/>
        </w:rPr>
        <w:t>), 2017/18</w:t>
      </w:r>
    </w:p>
    <w:p w14:paraId="015E5FC3" w14:textId="2050CF92" w:rsidR="001D1BC8" w:rsidRDefault="001D1BC8" w:rsidP="001D1BC8">
      <w:pPr>
        <w:pStyle w:val="Caption"/>
        <w:rPr>
          <w:rFonts w:cs="Arial"/>
          <w:color w:val="002F5D"/>
        </w:rPr>
      </w:pPr>
      <w:r w:rsidRPr="001D1BC8">
        <w:rPr>
          <w:rFonts w:cs="Arial"/>
          <w:color w:val="002F5D"/>
        </w:rPr>
        <w:t xml:space="preserve"> </w:t>
      </w:r>
      <w:r w:rsidRPr="001D1BC8">
        <w:rPr>
          <w:noProof/>
          <w:lang w:eastAsia="en-GB"/>
        </w:rPr>
        <w:drawing>
          <wp:inline distT="0" distB="0" distL="0" distR="0" wp14:anchorId="4105749B" wp14:editId="6DB825F0">
            <wp:extent cx="6654598" cy="147637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56759" cy="1476854"/>
                    </a:xfrm>
                    <a:prstGeom prst="rect">
                      <a:avLst/>
                    </a:prstGeom>
                    <a:noFill/>
                    <a:ln>
                      <a:noFill/>
                    </a:ln>
                  </pic:spPr>
                </pic:pic>
              </a:graphicData>
            </a:graphic>
          </wp:inline>
        </w:drawing>
      </w:r>
      <w:r w:rsidRPr="004E53D4">
        <w:rPr>
          <w:rFonts w:cs="Arial"/>
          <w:iCs w:val="0"/>
          <w:color w:val="002F5D"/>
        </w:rPr>
        <w:t xml:space="preserve"> </w:t>
      </w:r>
    </w:p>
    <w:p w14:paraId="1C8C7084" w14:textId="77777777" w:rsidR="001D1BC8" w:rsidRPr="0037351D" w:rsidRDefault="001D1BC8" w:rsidP="001D1BC8">
      <w:pPr>
        <w:pStyle w:val="Caption"/>
        <w:rPr>
          <w:rFonts w:cs="Arial"/>
          <w:color w:val="FF0000"/>
          <w:sz w:val="18"/>
        </w:rPr>
      </w:pPr>
    </w:p>
    <w:p w14:paraId="52C54607" w14:textId="77777777" w:rsidR="001D1BC8" w:rsidRPr="009B744C" w:rsidRDefault="001D1BC8" w:rsidP="001D1BC8">
      <w:pPr>
        <w:spacing w:line="240" w:lineRule="auto"/>
        <w:rPr>
          <w:rFonts w:ascii="Calibri" w:eastAsia="Times New Roman" w:hAnsi="Calibri" w:cs="Times New Roman"/>
          <w:color w:val="002F5D"/>
          <w:sz w:val="18"/>
          <w:szCs w:val="18"/>
          <w:lang w:eastAsia="en-GB"/>
        </w:rPr>
      </w:pPr>
      <w:r w:rsidRPr="009B744C">
        <w:rPr>
          <w:rFonts w:ascii="Calibri" w:eastAsia="Times New Roman" w:hAnsi="Calibri" w:cs="Times New Roman"/>
          <w:color w:val="002F5D"/>
          <w:sz w:val="18"/>
          <w:szCs w:val="18"/>
          <w:vertAlign w:val="superscript"/>
          <w:lang w:eastAsia="en-GB"/>
        </w:rPr>
        <w:t>1</w:t>
      </w:r>
      <w:r w:rsidRPr="009B744C">
        <w:rPr>
          <w:rFonts w:ascii="Calibri" w:eastAsia="Times New Roman" w:hAnsi="Calibri" w:cs="Times New Roman"/>
          <w:color w:val="002F5D"/>
          <w:sz w:val="18"/>
          <w:szCs w:val="18"/>
          <w:lang w:eastAsia="en-GB"/>
        </w:rPr>
        <w:t xml:space="preserve"> age standardised rate per 100,000 population </w:t>
      </w:r>
    </w:p>
    <w:p w14:paraId="751C6A38" w14:textId="77777777" w:rsidR="001D1BC8" w:rsidRPr="009B744C" w:rsidRDefault="001D1BC8" w:rsidP="001D1BC8">
      <w:pPr>
        <w:spacing w:line="240" w:lineRule="auto"/>
        <w:rPr>
          <w:rFonts w:cs="Arial"/>
          <w:color w:val="002F5D"/>
          <w:sz w:val="18"/>
          <w:szCs w:val="18"/>
        </w:rPr>
      </w:pPr>
      <w:r w:rsidRPr="009B744C">
        <w:rPr>
          <w:rFonts w:cs="Arial"/>
          <w:color w:val="002F5D"/>
          <w:sz w:val="18"/>
          <w:szCs w:val="18"/>
        </w:rPr>
        <w:t xml:space="preserve">*value aggregated from all known lower geography </w:t>
      </w:r>
    </w:p>
    <w:p w14:paraId="5E23EF9C" w14:textId="77777777" w:rsidR="001D1BC8" w:rsidRPr="009B744C" w:rsidRDefault="001D1BC8" w:rsidP="001D1BC8">
      <w:pPr>
        <w:spacing w:line="240" w:lineRule="auto"/>
        <w:rPr>
          <w:color w:val="002F5D"/>
        </w:rPr>
      </w:pPr>
    </w:p>
    <w:p w14:paraId="23AC2AE3" w14:textId="77777777" w:rsidR="001D1BC8" w:rsidRPr="009B744C" w:rsidRDefault="001D1BC8" w:rsidP="001D1BC8">
      <w:pPr>
        <w:spacing w:line="240" w:lineRule="auto"/>
        <w:rPr>
          <w:color w:val="002F5D"/>
        </w:rPr>
      </w:pPr>
      <w:r w:rsidRPr="009B744C">
        <w:rPr>
          <w:noProof/>
          <w:color w:val="002F5D"/>
          <w:lang w:eastAsia="en-GB"/>
        </w:rPr>
        <w:drawing>
          <wp:inline distT="0" distB="0" distL="0" distR="0" wp14:anchorId="41B7B4B8" wp14:editId="3F9CBD34">
            <wp:extent cx="3975100" cy="57912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1EF5F991" w14:textId="77777777" w:rsidR="001D1BC8" w:rsidRPr="009B744C" w:rsidRDefault="001D1BC8" w:rsidP="001D1BC8">
      <w:pPr>
        <w:spacing w:line="240" w:lineRule="auto"/>
        <w:rPr>
          <w:rFonts w:ascii="Calibri" w:eastAsia="Times New Roman" w:hAnsi="Calibri" w:cs="Times New Roman"/>
          <w:b/>
          <w:bCs/>
          <w:color w:val="002F5D"/>
          <w:lang w:eastAsia="en-GB"/>
        </w:rPr>
      </w:pPr>
    </w:p>
    <w:p w14:paraId="5D7404DE" w14:textId="77777777" w:rsidR="001D1BC8" w:rsidRPr="009B744C" w:rsidRDefault="001D1BC8" w:rsidP="001D1BC8">
      <w:pPr>
        <w:spacing w:line="240" w:lineRule="auto"/>
        <w:rPr>
          <w:rFonts w:ascii="Calibri" w:eastAsia="Times New Roman" w:hAnsi="Calibri" w:cs="Times New Roman"/>
          <w:color w:val="002F5D"/>
          <w:lang w:eastAsia="en-GB"/>
        </w:rPr>
      </w:pPr>
      <w:r w:rsidRPr="009B744C">
        <w:rPr>
          <w:rFonts w:ascii="Calibri" w:eastAsia="Times New Roman" w:hAnsi="Calibri" w:cs="Times New Roman"/>
          <w:b/>
          <w:bCs/>
          <w:color w:val="002F5D"/>
          <w:lang w:eastAsia="en-GB"/>
        </w:rPr>
        <w:t>Source</w:t>
      </w:r>
      <w:r w:rsidRPr="009B744C">
        <w:rPr>
          <w:rFonts w:ascii="Calibri" w:eastAsia="Times New Roman" w:hAnsi="Calibri" w:cs="Times New Roman"/>
          <w:color w:val="002F5D"/>
          <w:lang w:eastAsia="en-GB"/>
        </w:rPr>
        <w:t>: Public Health England, Public Health Outcomes Framework</w:t>
      </w:r>
    </w:p>
    <w:p w14:paraId="46EBA6A5" w14:textId="77777777" w:rsidR="001D1BC8" w:rsidRDefault="001D1BC8" w:rsidP="001D1BC8">
      <w:pPr>
        <w:pStyle w:val="Caption"/>
        <w:rPr>
          <w:b/>
          <w:color w:val="002F5D"/>
        </w:rPr>
      </w:pPr>
    </w:p>
    <w:p w14:paraId="5964D44B" w14:textId="77777777" w:rsidR="001D1BC8" w:rsidRDefault="001D1BC8" w:rsidP="001D1BC8">
      <w:pPr>
        <w:pStyle w:val="Caption"/>
        <w:rPr>
          <w:rFonts w:cs="Arial"/>
          <w:color w:val="002F5D"/>
        </w:rPr>
      </w:pPr>
      <w:r w:rsidRPr="009B744C">
        <w:rPr>
          <w:b/>
          <w:color w:val="002F5D"/>
        </w:rPr>
        <w:t>Table</w:t>
      </w:r>
      <w:r>
        <w:rPr>
          <w:b/>
          <w:color w:val="002F5D"/>
        </w:rPr>
        <w:t xml:space="preserve"> 50b</w:t>
      </w:r>
      <w:r w:rsidRPr="009B744C">
        <w:rPr>
          <w:rFonts w:cs="Arial"/>
          <w:b/>
          <w:color w:val="002F5D"/>
        </w:rPr>
        <w:t>.</w:t>
      </w:r>
      <w:r w:rsidRPr="009B744C">
        <w:rPr>
          <w:rFonts w:cs="Arial"/>
          <w:color w:val="002F5D"/>
        </w:rPr>
        <w:t xml:space="preserve"> Falls in people aged 65 and over - emergency hospital admissions (for age/sex groups where one or more districts have worse rates than England), 2017/18</w:t>
      </w:r>
    </w:p>
    <w:p w14:paraId="0C311E9C" w14:textId="77777777" w:rsidR="001D1BC8" w:rsidRDefault="001D1BC8" w:rsidP="001D1BC8">
      <w:pPr>
        <w:pStyle w:val="Caption"/>
        <w:rPr>
          <w:rFonts w:cs="Arial"/>
          <w:color w:val="002F5D"/>
        </w:rPr>
      </w:pPr>
    </w:p>
    <w:p w14:paraId="10884098" w14:textId="77777777" w:rsidR="001216E6" w:rsidRDefault="001D1BC8" w:rsidP="001D1BC8">
      <w:pPr>
        <w:pStyle w:val="Caption"/>
        <w:rPr>
          <w:rFonts w:cs="Arial"/>
          <w:iCs w:val="0"/>
          <w:color w:val="002F5D"/>
        </w:rPr>
      </w:pPr>
      <w:r w:rsidRPr="004E53D4">
        <w:rPr>
          <w:rFonts w:cs="Arial"/>
          <w:iCs w:val="0"/>
          <w:color w:val="002F5D"/>
        </w:rPr>
        <w:t xml:space="preserve"> </w:t>
      </w:r>
      <w:r w:rsidRPr="004E53D4">
        <w:rPr>
          <w:noProof/>
          <w:lang w:eastAsia="en-GB"/>
        </w:rPr>
        <w:drawing>
          <wp:inline distT="0" distB="0" distL="0" distR="0" wp14:anchorId="7B133CDE" wp14:editId="57A82611">
            <wp:extent cx="5743575" cy="1807358"/>
            <wp:effectExtent l="0" t="0" r="0" b="254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7041" cy="1811595"/>
                    </a:xfrm>
                    <a:prstGeom prst="rect">
                      <a:avLst/>
                    </a:prstGeom>
                    <a:noFill/>
                    <a:ln>
                      <a:noFill/>
                    </a:ln>
                  </pic:spPr>
                </pic:pic>
              </a:graphicData>
            </a:graphic>
          </wp:inline>
        </w:drawing>
      </w:r>
    </w:p>
    <w:p w14:paraId="53700696" w14:textId="7B9B513B" w:rsidR="001D1BC8" w:rsidRPr="009B744C" w:rsidRDefault="001D1BC8" w:rsidP="001D1BC8">
      <w:pPr>
        <w:pStyle w:val="Caption"/>
        <w:rPr>
          <w:rFonts w:cs="Arial"/>
          <w:color w:val="002F5D"/>
        </w:rPr>
      </w:pPr>
      <w:r w:rsidRPr="009B744C">
        <w:rPr>
          <w:rFonts w:ascii="Calibri" w:eastAsia="Times New Roman" w:hAnsi="Calibri" w:cs="Times New Roman"/>
          <w:color w:val="002F5D"/>
          <w:sz w:val="18"/>
          <w:vertAlign w:val="superscript"/>
          <w:lang w:eastAsia="en-GB"/>
        </w:rPr>
        <w:t>1</w:t>
      </w:r>
      <w:r w:rsidRPr="009B744C">
        <w:rPr>
          <w:rFonts w:ascii="Calibri" w:eastAsia="Times New Roman" w:hAnsi="Calibri" w:cs="Times New Roman"/>
          <w:color w:val="002F5D"/>
          <w:sz w:val="18"/>
          <w:lang w:eastAsia="en-GB"/>
        </w:rPr>
        <w:t xml:space="preserve"> age standardised rate per 100,000 population </w:t>
      </w:r>
    </w:p>
    <w:p w14:paraId="0BB98003" w14:textId="77777777" w:rsidR="001D1BC8" w:rsidRPr="009B744C" w:rsidRDefault="001D1BC8" w:rsidP="001D1BC8">
      <w:pPr>
        <w:spacing w:line="240" w:lineRule="auto"/>
        <w:rPr>
          <w:color w:val="002F5D"/>
        </w:rPr>
      </w:pPr>
    </w:p>
    <w:p w14:paraId="6670AC8F" w14:textId="77777777" w:rsidR="001D1BC8" w:rsidRPr="009B744C" w:rsidRDefault="001D1BC8" w:rsidP="001D1BC8">
      <w:pPr>
        <w:spacing w:line="240" w:lineRule="auto"/>
        <w:rPr>
          <w:color w:val="002F5D"/>
        </w:rPr>
      </w:pPr>
      <w:r w:rsidRPr="009B744C">
        <w:rPr>
          <w:noProof/>
          <w:color w:val="002F5D"/>
          <w:lang w:eastAsia="en-GB"/>
        </w:rPr>
        <w:drawing>
          <wp:inline distT="0" distB="0" distL="0" distR="0" wp14:anchorId="7201925F" wp14:editId="41593A80">
            <wp:extent cx="3975100" cy="57912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0B98D001" w14:textId="77777777" w:rsidR="001D1BC8" w:rsidRPr="009B744C" w:rsidRDefault="001D1BC8" w:rsidP="001D1BC8">
      <w:pPr>
        <w:spacing w:line="240" w:lineRule="auto"/>
        <w:rPr>
          <w:rFonts w:ascii="Calibri" w:eastAsia="Times New Roman" w:hAnsi="Calibri" w:cs="Times New Roman"/>
          <w:b/>
          <w:bCs/>
          <w:color w:val="002F5D"/>
          <w:lang w:eastAsia="en-GB"/>
        </w:rPr>
      </w:pPr>
    </w:p>
    <w:p w14:paraId="007078FB" w14:textId="77777777" w:rsidR="001D1BC8" w:rsidRPr="009B744C" w:rsidRDefault="001D1BC8" w:rsidP="001D1BC8">
      <w:pPr>
        <w:spacing w:line="240" w:lineRule="auto"/>
        <w:rPr>
          <w:rFonts w:ascii="Calibri" w:eastAsia="Times New Roman" w:hAnsi="Calibri" w:cs="Times New Roman"/>
          <w:color w:val="002F5D"/>
          <w:lang w:eastAsia="en-GB"/>
        </w:rPr>
      </w:pPr>
      <w:r w:rsidRPr="009B744C">
        <w:rPr>
          <w:rFonts w:ascii="Calibri" w:eastAsia="Times New Roman" w:hAnsi="Calibri" w:cs="Times New Roman"/>
          <w:b/>
          <w:bCs/>
          <w:color w:val="002F5D"/>
          <w:lang w:eastAsia="en-GB"/>
        </w:rPr>
        <w:t>Source</w:t>
      </w:r>
      <w:r w:rsidRPr="009B744C">
        <w:rPr>
          <w:rFonts w:ascii="Calibri" w:eastAsia="Times New Roman" w:hAnsi="Calibri" w:cs="Times New Roman"/>
          <w:color w:val="002F5D"/>
          <w:lang w:eastAsia="en-GB"/>
        </w:rPr>
        <w:t>: Public Health England, Public Health Outcomes Framework</w:t>
      </w:r>
    </w:p>
    <w:p w14:paraId="287ED212" w14:textId="77777777" w:rsidR="006008D2" w:rsidRPr="009A2AB3" w:rsidRDefault="006008D2" w:rsidP="0043274F">
      <w:pPr>
        <w:spacing w:line="240" w:lineRule="auto"/>
        <w:rPr>
          <w:color w:val="002F5D"/>
        </w:rPr>
      </w:pPr>
    </w:p>
    <w:p w14:paraId="244DC90B" w14:textId="77777777" w:rsidR="006008D2" w:rsidRPr="009A2AB3" w:rsidRDefault="006008D2" w:rsidP="0043274F">
      <w:pPr>
        <w:spacing w:line="240" w:lineRule="auto"/>
        <w:rPr>
          <w:b/>
          <w:color w:val="002F5D"/>
        </w:rPr>
      </w:pPr>
      <w:r w:rsidRPr="009A2AB3">
        <w:rPr>
          <w:b/>
          <w:color w:val="002F5D"/>
        </w:rPr>
        <w:t>Key points:</w:t>
      </w:r>
    </w:p>
    <w:p w14:paraId="53B49C85" w14:textId="27F5859E" w:rsidR="002002AF" w:rsidRPr="009A2AB3" w:rsidRDefault="002002AF">
      <w:pPr>
        <w:pStyle w:val="ListParagraph"/>
        <w:numPr>
          <w:ilvl w:val="0"/>
          <w:numId w:val="53"/>
        </w:numPr>
        <w:spacing w:line="240" w:lineRule="auto"/>
        <w:rPr>
          <w:color w:val="002F5D"/>
        </w:rPr>
      </w:pPr>
      <w:r w:rsidRPr="009A2AB3">
        <w:rPr>
          <w:color w:val="002F5D"/>
        </w:rPr>
        <w:t>In falls emergency admissions in people and males aged 65-79 years, Cambridgeshire and Peterborough combine</w:t>
      </w:r>
      <w:r w:rsidR="00D94D46">
        <w:rPr>
          <w:color w:val="002F5D"/>
        </w:rPr>
        <w:t>d</w:t>
      </w:r>
      <w:r w:rsidRPr="009A2AB3">
        <w:rPr>
          <w:color w:val="002F5D"/>
        </w:rPr>
        <w:t xml:space="preserve"> has statistically significantly better rates than England. </w:t>
      </w:r>
    </w:p>
    <w:p w14:paraId="57266FEE" w14:textId="57A44492" w:rsidR="006008D2" w:rsidRPr="009A2AB3" w:rsidRDefault="006008D2" w:rsidP="0043274F">
      <w:pPr>
        <w:pStyle w:val="ListParagraph"/>
        <w:numPr>
          <w:ilvl w:val="0"/>
          <w:numId w:val="53"/>
        </w:numPr>
        <w:spacing w:line="240" w:lineRule="auto"/>
        <w:rPr>
          <w:color w:val="002F5D"/>
        </w:rPr>
      </w:pPr>
      <w:r w:rsidRPr="009A2AB3">
        <w:rPr>
          <w:color w:val="002F5D"/>
        </w:rPr>
        <w:t>Overall, in people aged 65 years and over Cambridgeshire and the districts</w:t>
      </w:r>
      <w:r w:rsidR="002002AF" w:rsidRPr="009A2AB3">
        <w:rPr>
          <w:color w:val="002F5D"/>
        </w:rPr>
        <w:t>, except Cambridge,</w:t>
      </w:r>
      <w:r w:rsidRPr="009A2AB3">
        <w:rPr>
          <w:color w:val="002F5D"/>
        </w:rPr>
        <w:t xml:space="preserve"> have similar</w:t>
      </w:r>
      <w:r w:rsidR="002002AF" w:rsidRPr="009A2AB3">
        <w:rPr>
          <w:color w:val="002F5D"/>
        </w:rPr>
        <w:t xml:space="preserve"> </w:t>
      </w:r>
      <w:r w:rsidRPr="009A2AB3">
        <w:rPr>
          <w:color w:val="002F5D"/>
        </w:rPr>
        <w:t xml:space="preserve">rates </w:t>
      </w:r>
      <w:r w:rsidR="002002AF" w:rsidRPr="009A2AB3">
        <w:rPr>
          <w:color w:val="002F5D"/>
        </w:rPr>
        <w:t xml:space="preserve">to </w:t>
      </w:r>
      <w:r w:rsidRPr="009A2AB3">
        <w:rPr>
          <w:color w:val="002F5D"/>
        </w:rPr>
        <w:t>the England averages</w:t>
      </w:r>
      <w:r w:rsidR="00C13FA2" w:rsidRPr="009A2AB3">
        <w:rPr>
          <w:color w:val="002F5D"/>
        </w:rPr>
        <w:t xml:space="preserve"> for emergency hospital admissions for falls</w:t>
      </w:r>
      <w:r w:rsidRPr="009A2AB3">
        <w:rPr>
          <w:color w:val="002F5D"/>
        </w:rPr>
        <w:t xml:space="preserve">. South Cambridgeshire and </w:t>
      </w:r>
      <w:r w:rsidR="002002AF" w:rsidRPr="009A2AB3">
        <w:rPr>
          <w:color w:val="002F5D"/>
        </w:rPr>
        <w:t xml:space="preserve">East Cambridgeshire </w:t>
      </w:r>
      <w:r w:rsidRPr="009A2AB3">
        <w:rPr>
          <w:color w:val="002F5D"/>
        </w:rPr>
        <w:t>sometimes have better rates in some age groups.</w:t>
      </w:r>
    </w:p>
    <w:p w14:paraId="78A0DB7E" w14:textId="5E4C3ECB" w:rsidR="00275574" w:rsidRPr="009A2AB3" w:rsidRDefault="00275574" w:rsidP="0043274F">
      <w:pPr>
        <w:pStyle w:val="ListParagraph"/>
        <w:numPr>
          <w:ilvl w:val="0"/>
          <w:numId w:val="53"/>
        </w:numPr>
        <w:spacing w:line="240" w:lineRule="auto"/>
        <w:rPr>
          <w:color w:val="002F5D"/>
        </w:rPr>
      </w:pPr>
      <w:r w:rsidRPr="009A2AB3">
        <w:rPr>
          <w:color w:val="002F5D"/>
        </w:rPr>
        <w:lastRenderedPageBreak/>
        <w:t xml:space="preserve">In Peterborough, rates for people aged 65 are all statistically </w:t>
      </w:r>
      <w:r w:rsidR="002002AF" w:rsidRPr="009A2AB3">
        <w:rPr>
          <w:color w:val="002F5D"/>
        </w:rPr>
        <w:t>similar to</w:t>
      </w:r>
      <w:r w:rsidRPr="009A2AB3">
        <w:rPr>
          <w:color w:val="002F5D"/>
        </w:rPr>
        <w:t xml:space="preserve"> England.</w:t>
      </w:r>
    </w:p>
    <w:p w14:paraId="4E116F67" w14:textId="10030DBC" w:rsidR="006008D2" w:rsidRPr="009A2AB3" w:rsidRDefault="006008D2" w:rsidP="0043274F">
      <w:pPr>
        <w:pStyle w:val="ListParagraph"/>
        <w:numPr>
          <w:ilvl w:val="0"/>
          <w:numId w:val="53"/>
        </w:numPr>
        <w:spacing w:line="240" w:lineRule="auto"/>
        <w:rPr>
          <w:color w:val="002F5D"/>
        </w:rPr>
      </w:pPr>
      <w:r w:rsidRPr="009A2AB3">
        <w:rPr>
          <w:color w:val="002F5D"/>
        </w:rPr>
        <w:t xml:space="preserve">Falls </w:t>
      </w:r>
      <w:r w:rsidR="00C13FA2" w:rsidRPr="009A2AB3">
        <w:rPr>
          <w:color w:val="002F5D"/>
        </w:rPr>
        <w:t xml:space="preserve">emergency admissions </w:t>
      </w:r>
      <w:r w:rsidRPr="009A2AB3">
        <w:rPr>
          <w:color w:val="002F5D"/>
        </w:rPr>
        <w:t>in males and females in Cambridge aged 65 years and over are statistically significantly worse than England, as are the rates for all persons</w:t>
      </w:r>
      <w:r w:rsidR="002002AF" w:rsidRPr="009A2AB3">
        <w:rPr>
          <w:color w:val="002F5D"/>
        </w:rPr>
        <w:t xml:space="preserve"> in this age band.</w:t>
      </w:r>
    </w:p>
    <w:p w14:paraId="0DEB9B5C" w14:textId="7DF8CC2E" w:rsidR="006008D2" w:rsidRPr="009A2AB3" w:rsidRDefault="006008D2" w:rsidP="0043274F">
      <w:pPr>
        <w:pStyle w:val="ListParagraph"/>
        <w:numPr>
          <w:ilvl w:val="0"/>
          <w:numId w:val="53"/>
        </w:numPr>
        <w:spacing w:line="240" w:lineRule="auto"/>
        <w:rPr>
          <w:color w:val="002F5D"/>
        </w:rPr>
      </w:pPr>
      <w:r w:rsidRPr="009A2AB3">
        <w:rPr>
          <w:color w:val="002F5D"/>
        </w:rPr>
        <w:t>In falls</w:t>
      </w:r>
      <w:r w:rsidR="00C13FA2" w:rsidRPr="009A2AB3">
        <w:rPr>
          <w:color w:val="002F5D"/>
        </w:rPr>
        <w:t xml:space="preserve"> emergency </w:t>
      </w:r>
      <w:r w:rsidR="007E0984" w:rsidRPr="009A2AB3">
        <w:rPr>
          <w:color w:val="002F5D"/>
        </w:rPr>
        <w:t>admissions in</w:t>
      </w:r>
      <w:r w:rsidRPr="009A2AB3">
        <w:rPr>
          <w:color w:val="002F5D"/>
        </w:rPr>
        <w:t xml:space="preserve"> people </w:t>
      </w:r>
      <w:r w:rsidR="002002AF" w:rsidRPr="009A2AB3">
        <w:rPr>
          <w:color w:val="002F5D"/>
        </w:rPr>
        <w:t xml:space="preserve">and males </w:t>
      </w:r>
      <w:r w:rsidRPr="009A2AB3">
        <w:rPr>
          <w:color w:val="002F5D"/>
        </w:rPr>
        <w:t>aged 65-79 years</w:t>
      </w:r>
      <w:r w:rsidR="0084438B" w:rsidRPr="009A2AB3">
        <w:rPr>
          <w:color w:val="002F5D"/>
        </w:rPr>
        <w:t>,</w:t>
      </w:r>
      <w:r w:rsidRPr="009A2AB3">
        <w:rPr>
          <w:color w:val="002F5D"/>
        </w:rPr>
        <w:t xml:space="preserve"> Cambridge has statistically significantly worse rates than England for falls across the population.</w:t>
      </w:r>
    </w:p>
    <w:p w14:paraId="4561B20D" w14:textId="65CDB9AF" w:rsidR="002002AF" w:rsidRPr="009A2AB3" w:rsidRDefault="006008D2" w:rsidP="0043274F">
      <w:pPr>
        <w:pStyle w:val="ListParagraph"/>
        <w:numPr>
          <w:ilvl w:val="0"/>
          <w:numId w:val="53"/>
        </w:numPr>
        <w:spacing w:line="240" w:lineRule="auto"/>
        <w:rPr>
          <w:color w:val="002F5D"/>
        </w:rPr>
      </w:pPr>
      <w:r w:rsidRPr="009A2AB3">
        <w:rPr>
          <w:color w:val="002F5D"/>
        </w:rPr>
        <w:t xml:space="preserve">In falls </w:t>
      </w:r>
      <w:r w:rsidR="00C13FA2" w:rsidRPr="009A2AB3">
        <w:rPr>
          <w:color w:val="002F5D"/>
        </w:rPr>
        <w:t xml:space="preserve">emergency admissions </w:t>
      </w:r>
      <w:r w:rsidRPr="009A2AB3">
        <w:rPr>
          <w:color w:val="002F5D"/>
        </w:rPr>
        <w:t xml:space="preserve">in people </w:t>
      </w:r>
      <w:r w:rsidR="002002AF" w:rsidRPr="009A2AB3">
        <w:rPr>
          <w:color w:val="002F5D"/>
        </w:rPr>
        <w:t xml:space="preserve">and males </w:t>
      </w:r>
      <w:r w:rsidRPr="009A2AB3">
        <w:rPr>
          <w:color w:val="002F5D"/>
        </w:rPr>
        <w:t>aged 65-79 years</w:t>
      </w:r>
      <w:r w:rsidR="0084438B" w:rsidRPr="009A2AB3">
        <w:rPr>
          <w:color w:val="002F5D"/>
        </w:rPr>
        <w:t>,</w:t>
      </w:r>
      <w:r w:rsidRPr="009A2AB3">
        <w:rPr>
          <w:color w:val="002F5D"/>
        </w:rPr>
        <w:t xml:space="preserve"> East Cambridgeshire</w:t>
      </w:r>
      <w:r w:rsidR="002002AF" w:rsidRPr="009A2AB3">
        <w:rPr>
          <w:color w:val="002F5D"/>
        </w:rPr>
        <w:t xml:space="preserve"> and South Cambridgeshire</w:t>
      </w:r>
      <w:r w:rsidRPr="009A2AB3">
        <w:rPr>
          <w:color w:val="002F5D"/>
        </w:rPr>
        <w:t xml:space="preserve"> ha</w:t>
      </w:r>
      <w:r w:rsidR="002002AF" w:rsidRPr="009A2AB3">
        <w:rPr>
          <w:color w:val="002F5D"/>
        </w:rPr>
        <w:t>ve</w:t>
      </w:r>
      <w:r w:rsidRPr="009A2AB3">
        <w:rPr>
          <w:color w:val="002F5D"/>
        </w:rPr>
        <w:t xml:space="preserve"> statistically significantly </w:t>
      </w:r>
      <w:r w:rsidR="002002AF" w:rsidRPr="009A2AB3">
        <w:rPr>
          <w:color w:val="002F5D"/>
        </w:rPr>
        <w:t>better</w:t>
      </w:r>
      <w:r w:rsidRPr="009A2AB3">
        <w:rPr>
          <w:color w:val="002F5D"/>
        </w:rPr>
        <w:t xml:space="preserve"> rates than England. </w:t>
      </w:r>
    </w:p>
    <w:p w14:paraId="45E2F035" w14:textId="4091FC92" w:rsidR="002002AF" w:rsidRPr="009A2AB3" w:rsidRDefault="002002AF" w:rsidP="002002AF">
      <w:pPr>
        <w:pStyle w:val="ListParagraph"/>
        <w:numPr>
          <w:ilvl w:val="0"/>
          <w:numId w:val="53"/>
        </w:numPr>
        <w:spacing w:line="240" w:lineRule="auto"/>
        <w:rPr>
          <w:color w:val="002F5D"/>
        </w:rPr>
      </w:pPr>
      <w:r w:rsidRPr="009A2AB3">
        <w:rPr>
          <w:color w:val="002F5D"/>
        </w:rPr>
        <w:t>In falls emergency admissions in people and females aged 80 years and over, Cambridge has statistically significantly worse rates than England for falls across the population.</w:t>
      </w:r>
    </w:p>
    <w:p w14:paraId="594CF33A" w14:textId="77777777" w:rsidR="00B2304A" w:rsidRPr="0037351D" w:rsidRDefault="00B2304A" w:rsidP="009A2AB3">
      <w:pPr>
        <w:pStyle w:val="ListParagraph"/>
        <w:spacing w:line="240" w:lineRule="auto"/>
      </w:pPr>
    </w:p>
    <w:p w14:paraId="27A6F45C" w14:textId="26F7C6B3" w:rsidR="00B2304A" w:rsidRDefault="00B654F0" w:rsidP="0043274F">
      <w:pPr>
        <w:pStyle w:val="Caption"/>
        <w:rPr>
          <w:color w:val="002F5D"/>
        </w:rPr>
      </w:pPr>
      <w:r w:rsidRPr="009A2AB3">
        <w:rPr>
          <w:b/>
          <w:color w:val="002F5D"/>
        </w:rPr>
        <w:t>Table</w:t>
      </w:r>
      <w:r w:rsidR="009E239B">
        <w:rPr>
          <w:b/>
          <w:color w:val="002F5D"/>
        </w:rPr>
        <w:t xml:space="preserve"> 51</w:t>
      </w:r>
      <w:r w:rsidR="0050723F">
        <w:rPr>
          <w:b/>
          <w:color w:val="002F5D"/>
        </w:rPr>
        <w:t>a</w:t>
      </w:r>
      <w:r w:rsidR="00453D34" w:rsidRPr="009A2AB3">
        <w:rPr>
          <w:rFonts w:cs="Arial"/>
          <w:b/>
          <w:color w:val="002F5D"/>
        </w:rPr>
        <w:t>.</w:t>
      </w:r>
      <w:r w:rsidR="00453D34" w:rsidRPr="009A2AB3">
        <w:rPr>
          <w:rFonts w:cs="Arial"/>
          <w:color w:val="002F5D"/>
        </w:rPr>
        <w:t xml:space="preserve"> </w:t>
      </w:r>
      <w:r w:rsidR="00453D34" w:rsidRPr="009A2AB3">
        <w:rPr>
          <w:color w:val="002F5D"/>
        </w:rPr>
        <w:t>Hip fractures in people aged 65 and over - emergency hospital admissions for fractured neck of femur, Cambridgeshire</w:t>
      </w:r>
      <w:r w:rsidR="0050723F">
        <w:rPr>
          <w:color w:val="002F5D"/>
        </w:rPr>
        <w:t xml:space="preserve"> and Peterborough</w:t>
      </w:r>
      <w:r w:rsidR="00453D34" w:rsidRPr="009A2AB3">
        <w:rPr>
          <w:color w:val="002F5D"/>
        </w:rPr>
        <w:t xml:space="preserve"> and England, 201</w:t>
      </w:r>
      <w:r w:rsidR="00A931FB" w:rsidRPr="009A2AB3">
        <w:rPr>
          <w:color w:val="002F5D"/>
        </w:rPr>
        <w:t>7</w:t>
      </w:r>
      <w:r w:rsidR="00453D34" w:rsidRPr="009A2AB3">
        <w:rPr>
          <w:color w:val="002F5D"/>
        </w:rPr>
        <w:t>/</w:t>
      </w:r>
      <w:r w:rsidR="00A931FB" w:rsidRPr="009A2AB3">
        <w:rPr>
          <w:color w:val="002F5D"/>
        </w:rPr>
        <w:t>18</w:t>
      </w:r>
    </w:p>
    <w:p w14:paraId="0A9D899C" w14:textId="77777777" w:rsidR="0050723F" w:rsidRPr="009A2AB3" w:rsidRDefault="0050723F" w:rsidP="009A2AB3"/>
    <w:p w14:paraId="177B95AB" w14:textId="6C22BF7B" w:rsidR="0050723F" w:rsidRPr="009A2AB3" w:rsidRDefault="0050723F" w:rsidP="009A2AB3">
      <w:r w:rsidRPr="0050723F">
        <w:rPr>
          <w:noProof/>
          <w:lang w:eastAsia="en-GB"/>
        </w:rPr>
        <w:drawing>
          <wp:inline distT="0" distB="0" distL="0" distR="0" wp14:anchorId="2A3FD8A1" wp14:editId="57167623">
            <wp:extent cx="6120130" cy="989112"/>
            <wp:effectExtent l="0" t="0" r="0" b="190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0130" cy="989112"/>
                    </a:xfrm>
                    <a:prstGeom prst="rect">
                      <a:avLst/>
                    </a:prstGeom>
                    <a:noFill/>
                    <a:ln>
                      <a:noFill/>
                    </a:ln>
                  </pic:spPr>
                </pic:pic>
              </a:graphicData>
            </a:graphic>
          </wp:inline>
        </w:drawing>
      </w:r>
    </w:p>
    <w:p w14:paraId="5CDE5F15" w14:textId="77777777" w:rsidR="00DB5BA2" w:rsidRPr="0037351D" w:rsidRDefault="00DB5BA2" w:rsidP="0043274F">
      <w:pPr>
        <w:spacing w:line="240" w:lineRule="auto"/>
        <w:rPr>
          <w:rFonts w:cs="Arial"/>
          <w:color w:val="FF0000"/>
          <w:sz w:val="18"/>
          <w:szCs w:val="18"/>
        </w:rPr>
      </w:pPr>
    </w:p>
    <w:p w14:paraId="483BFEFD" w14:textId="77777777" w:rsidR="00453D34" w:rsidRPr="009A2AB3" w:rsidRDefault="00453D34" w:rsidP="0043274F">
      <w:pPr>
        <w:spacing w:line="240" w:lineRule="auto"/>
        <w:rPr>
          <w:color w:val="002F5D"/>
          <w:sz w:val="18"/>
          <w:szCs w:val="20"/>
        </w:rPr>
      </w:pPr>
      <w:r w:rsidRPr="009A2AB3">
        <w:rPr>
          <w:color w:val="002F5D"/>
          <w:sz w:val="18"/>
          <w:szCs w:val="20"/>
          <w:vertAlign w:val="superscript"/>
        </w:rPr>
        <w:t>1</w:t>
      </w:r>
      <w:r w:rsidR="0081169F" w:rsidRPr="009A2AB3">
        <w:rPr>
          <w:color w:val="002F5D"/>
          <w:sz w:val="18"/>
          <w:szCs w:val="20"/>
        </w:rPr>
        <w:t xml:space="preserve"> </w:t>
      </w:r>
      <w:r w:rsidRPr="009A2AB3">
        <w:rPr>
          <w:color w:val="002F5D"/>
          <w:sz w:val="18"/>
          <w:szCs w:val="20"/>
        </w:rPr>
        <w:t xml:space="preserve">age standardised rate per 100,000 population </w:t>
      </w:r>
    </w:p>
    <w:p w14:paraId="40B20E18" w14:textId="77777777" w:rsidR="00887342" w:rsidRPr="009A2AB3" w:rsidRDefault="0081169F" w:rsidP="0043274F">
      <w:pPr>
        <w:spacing w:line="240" w:lineRule="auto"/>
        <w:rPr>
          <w:rFonts w:cs="Arial"/>
          <w:color w:val="002F5D"/>
          <w:sz w:val="18"/>
          <w:szCs w:val="18"/>
        </w:rPr>
      </w:pPr>
      <w:r w:rsidRPr="009A2AB3">
        <w:rPr>
          <w:rFonts w:cs="Arial"/>
          <w:color w:val="002F5D"/>
          <w:sz w:val="18"/>
          <w:szCs w:val="18"/>
        </w:rPr>
        <w:t>*Value aggregated from all known lower geography values</w:t>
      </w:r>
    </w:p>
    <w:p w14:paraId="09D394ED" w14:textId="77777777" w:rsidR="00453D34" w:rsidRPr="0037351D" w:rsidRDefault="00453D34" w:rsidP="0043274F">
      <w:pPr>
        <w:spacing w:line="240" w:lineRule="auto"/>
        <w:rPr>
          <w:color w:val="FF0000"/>
          <w:sz w:val="20"/>
          <w:szCs w:val="20"/>
        </w:rPr>
      </w:pPr>
    </w:p>
    <w:p w14:paraId="1504F249" w14:textId="235C6180" w:rsidR="00453D34" w:rsidRPr="009A2AB3" w:rsidRDefault="00A931FB" w:rsidP="0043274F">
      <w:pPr>
        <w:spacing w:line="240" w:lineRule="auto"/>
        <w:rPr>
          <w:color w:val="002F5D"/>
          <w:sz w:val="20"/>
          <w:szCs w:val="20"/>
        </w:rPr>
      </w:pPr>
      <w:r w:rsidRPr="009A2AB3">
        <w:rPr>
          <w:noProof/>
          <w:color w:val="002F5D"/>
          <w:sz w:val="20"/>
          <w:szCs w:val="20"/>
          <w:lang w:eastAsia="en-GB"/>
        </w:rPr>
        <w:drawing>
          <wp:inline distT="0" distB="0" distL="0" distR="0" wp14:anchorId="2F39E01A" wp14:editId="07804572">
            <wp:extent cx="3975100" cy="57912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79CF981B" w14:textId="77777777" w:rsidR="00453D34" w:rsidRPr="009A2AB3" w:rsidRDefault="00453D34" w:rsidP="0043274F">
      <w:pPr>
        <w:spacing w:line="240" w:lineRule="auto"/>
        <w:rPr>
          <w:color w:val="002F5D"/>
          <w:sz w:val="20"/>
          <w:szCs w:val="20"/>
        </w:rPr>
      </w:pPr>
    </w:p>
    <w:p w14:paraId="2C0B4FDA" w14:textId="77777777" w:rsidR="00453D34" w:rsidRPr="009A2AB3" w:rsidRDefault="00453D34" w:rsidP="0043274F">
      <w:pPr>
        <w:spacing w:line="240" w:lineRule="auto"/>
        <w:rPr>
          <w:rFonts w:ascii="Calibri" w:eastAsia="Times New Roman" w:hAnsi="Calibri" w:cs="Times New Roman"/>
          <w:color w:val="002F5D"/>
          <w:lang w:eastAsia="en-GB"/>
        </w:rPr>
      </w:pPr>
      <w:r w:rsidRPr="009A2AB3">
        <w:rPr>
          <w:rFonts w:ascii="Calibri" w:eastAsia="Times New Roman" w:hAnsi="Calibri" w:cs="Times New Roman"/>
          <w:b/>
          <w:bCs/>
          <w:color w:val="002F5D"/>
          <w:lang w:eastAsia="en-GB"/>
        </w:rPr>
        <w:t>Source</w:t>
      </w:r>
      <w:r w:rsidRPr="009A2AB3">
        <w:rPr>
          <w:rFonts w:ascii="Calibri" w:eastAsia="Times New Roman" w:hAnsi="Calibri" w:cs="Times New Roman"/>
          <w:color w:val="002F5D"/>
          <w:lang w:eastAsia="en-GB"/>
        </w:rPr>
        <w:t>: Public Health England, Pu</w:t>
      </w:r>
      <w:r w:rsidR="007F70D8" w:rsidRPr="009A2AB3">
        <w:rPr>
          <w:rFonts w:ascii="Calibri" w:eastAsia="Times New Roman" w:hAnsi="Calibri" w:cs="Times New Roman"/>
          <w:color w:val="002F5D"/>
          <w:lang w:eastAsia="en-GB"/>
        </w:rPr>
        <w:t>blic Health Outcomes Framework</w:t>
      </w:r>
    </w:p>
    <w:p w14:paraId="49032467" w14:textId="53091356" w:rsidR="00453D34" w:rsidRDefault="00453D34" w:rsidP="0043274F">
      <w:pPr>
        <w:spacing w:line="240" w:lineRule="auto"/>
        <w:rPr>
          <w:rFonts w:ascii="Calibri" w:eastAsia="Times New Roman" w:hAnsi="Calibri" w:cs="Times New Roman"/>
          <w:color w:val="002F5D"/>
          <w:lang w:eastAsia="en-GB"/>
        </w:rPr>
      </w:pPr>
    </w:p>
    <w:p w14:paraId="0DC3D61C" w14:textId="7053271B" w:rsidR="0050723F" w:rsidRDefault="0050723F" w:rsidP="0050723F">
      <w:pPr>
        <w:pStyle w:val="Caption"/>
        <w:rPr>
          <w:color w:val="002F5D"/>
        </w:rPr>
      </w:pPr>
      <w:r w:rsidRPr="009B744C">
        <w:rPr>
          <w:b/>
          <w:color w:val="002F5D"/>
        </w:rPr>
        <w:t>Table</w:t>
      </w:r>
      <w:r>
        <w:rPr>
          <w:b/>
          <w:color w:val="002F5D"/>
        </w:rPr>
        <w:t xml:space="preserve"> 51b</w:t>
      </w:r>
      <w:r w:rsidRPr="009B744C">
        <w:rPr>
          <w:rFonts w:cs="Arial"/>
          <w:b/>
          <w:color w:val="002F5D"/>
        </w:rPr>
        <w:t>.</w:t>
      </w:r>
      <w:r w:rsidRPr="009B744C">
        <w:rPr>
          <w:rFonts w:cs="Arial"/>
          <w:color w:val="002F5D"/>
        </w:rPr>
        <w:t xml:space="preserve"> </w:t>
      </w:r>
      <w:r w:rsidRPr="009B744C">
        <w:rPr>
          <w:color w:val="002F5D"/>
        </w:rPr>
        <w:t>Hip fractures in people aged 65 and over - emergency hospital admissions for fractured neck of femur, Cambridgeshire districts, 2017/18</w:t>
      </w:r>
    </w:p>
    <w:p w14:paraId="411038BC" w14:textId="77777777" w:rsidR="0050723F" w:rsidRPr="009A2AB3" w:rsidRDefault="0050723F" w:rsidP="00E61D24"/>
    <w:p w14:paraId="1E37BB50" w14:textId="1F1472B0" w:rsidR="0050723F" w:rsidRDefault="0050723F" w:rsidP="0043274F">
      <w:pPr>
        <w:spacing w:line="240" w:lineRule="auto"/>
        <w:rPr>
          <w:rFonts w:ascii="Calibri" w:eastAsia="Times New Roman" w:hAnsi="Calibri" w:cs="Times New Roman"/>
          <w:color w:val="002F5D"/>
          <w:lang w:eastAsia="en-GB"/>
        </w:rPr>
      </w:pPr>
      <w:r w:rsidRPr="0050723F">
        <w:rPr>
          <w:noProof/>
          <w:lang w:eastAsia="en-GB"/>
        </w:rPr>
        <w:drawing>
          <wp:inline distT="0" distB="0" distL="0" distR="0" wp14:anchorId="57365F60" wp14:editId="373D7FD1">
            <wp:extent cx="5553075" cy="1162050"/>
            <wp:effectExtent l="0" t="0" r="952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53075" cy="1162050"/>
                    </a:xfrm>
                    <a:prstGeom prst="rect">
                      <a:avLst/>
                    </a:prstGeom>
                    <a:noFill/>
                    <a:ln>
                      <a:noFill/>
                    </a:ln>
                  </pic:spPr>
                </pic:pic>
              </a:graphicData>
            </a:graphic>
          </wp:inline>
        </w:drawing>
      </w:r>
    </w:p>
    <w:p w14:paraId="6E80868E" w14:textId="5B1966AF" w:rsidR="0050723F" w:rsidRDefault="0050723F" w:rsidP="0043274F">
      <w:pPr>
        <w:spacing w:line="240" w:lineRule="auto"/>
        <w:rPr>
          <w:rFonts w:ascii="Calibri" w:eastAsia="Times New Roman" w:hAnsi="Calibri" w:cs="Times New Roman"/>
          <w:color w:val="002F5D"/>
          <w:lang w:eastAsia="en-GB"/>
        </w:rPr>
      </w:pPr>
    </w:p>
    <w:p w14:paraId="5B3EF6BB" w14:textId="77777777" w:rsidR="0050723F" w:rsidRPr="009B744C" w:rsidRDefault="0050723F" w:rsidP="0050723F">
      <w:pPr>
        <w:spacing w:line="240" w:lineRule="auto"/>
        <w:rPr>
          <w:color w:val="002F5D"/>
          <w:sz w:val="18"/>
          <w:szCs w:val="20"/>
        </w:rPr>
      </w:pPr>
      <w:r w:rsidRPr="009B744C">
        <w:rPr>
          <w:color w:val="002F5D"/>
          <w:sz w:val="18"/>
          <w:szCs w:val="20"/>
          <w:vertAlign w:val="superscript"/>
        </w:rPr>
        <w:t>1</w:t>
      </w:r>
      <w:r w:rsidRPr="009B744C">
        <w:rPr>
          <w:color w:val="002F5D"/>
          <w:sz w:val="18"/>
          <w:szCs w:val="20"/>
        </w:rPr>
        <w:t xml:space="preserve"> age standardised rate per 100,000 population </w:t>
      </w:r>
    </w:p>
    <w:p w14:paraId="364FADE7" w14:textId="77777777" w:rsidR="0050723F" w:rsidRPr="0037351D" w:rsidRDefault="0050723F" w:rsidP="0050723F">
      <w:pPr>
        <w:spacing w:line="240" w:lineRule="auto"/>
        <w:rPr>
          <w:color w:val="FF0000"/>
          <w:sz w:val="20"/>
          <w:szCs w:val="20"/>
        </w:rPr>
      </w:pPr>
    </w:p>
    <w:p w14:paraId="29CF3C74" w14:textId="77777777" w:rsidR="0050723F" w:rsidRPr="009B744C" w:rsidRDefault="0050723F" w:rsidP="0050723F">
      <w:pPr>
        <w:spacing w:line="240" w:lineRule="auto"/>
        <w:rPr>
          <w:color w:val="002F5D"/>
          <w:sz w:val="20"/>
          <w:szCs w:val="20"/>
        </w:rPr>
      </w:pPr>
      <w:r w:rsidRPr="009B744C">
        <w:rPr>
          <w:noProof/>
          <w:color w:val="002F5D"/>
          <w:sz w:val="20"/>
          <w:szCs w:val="20"/>
          <w:lang w:eastAsia="en-GB"/>
        </w:rPr>
        <w:drawing>
          <wp:inline distT="0" distB="0" distL="0" distR="0" wp14:anchorId="486E7870" wp14:editId="510F4E15">
            <wp:extent cx="3975100" cy="5791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0E4EF733" w14:textId="77777777" w:rsidR="0050723F" w:rsidRPr="009B744C" w:rsidRDefault="0050723F" w:rsidP="0050723F">
      <w:pPr>
        <w:spacing w:line="240" w:lineRule="auto"/>
        <w:rPr>
          <w:color w:val="002F5D"/>
          <w:sz w:val="20"/>
          <w:szCs w:val="20"/>
        </w:rPr>
      </w:pPr>
    </w:p>
    <w:p w14:paraId="066E16D4" w14:textId="77777777" w:rsidR="0050723F" w:rsidRPr="009B744C" w:rsidRDefault="0050723F" w:rsidP="0050723F">
      <w:pPr>
        <w:spacing w:line="240" w:lineRule="auto"/>
        <w:rPr>
          <w:rFonts w:ascii="Calibri" w:eastAsia="Times New Roman" w:hAnsi="Calibri" w:cs="Times New Roman"/>
          <w:color w:val="002F5D"/>
          <w:lang w:eastAsia="en-GB"/>
        </w:rPr>
      </w:pPr>
      <w:r w:rsidRPr="009B744C">
        <w:rPr>
          <w:rFonts w:ascii="Calibri" w:eastAsia="Times New Roman" w:hAnsi="Calibri" w:cs="Times New Roman"/>
          <w:b/>
          <w:bCs/>
          <w:color w:val="002F5D"/>
          <w:lang w:eastAsia="en-GB"/>
        </w:rPr>
        <w:t>Source</w:t>
      </w:r>
      <w:r w:rsidRPr="009B744C">
        <w:rPr>
          <w:rFonts w:ascii="Calibri" w:eastAsia="Times New Roman" w:hAnsi="Calibri" w:cs="Times New Roman"/>
          <w:color w:val="002F5D"/>
          <w:lang w:eastAsia="en-GB"/>
        </w:rPr>
        <w:t>: Public Health England, Public Health Outcomes Framework</w:t>
      </w:r>
    </w:p>
    <w:p w14:paraId="78853112" w14:textId="77777777" w:rsidR="0050723F" w:rsidRPr="009A2AB3" w:rsidRDefault="0050723F" w:rsidP="0043274F">
      <w:pPr>
        <w:spacing w:line="240" w:lineRule="auto"/>
        <w:rPr>
          <w:rFonts w:ascii="Calibri" w:eastAsia="Times New Roman" w:hAnsi="Calibri" w:cs="Times New Roman"/>
          <w:color w:val="002F5D"/>
          <w:lang w:eastAsia="en-GB"/>
        </w:rPr>
      </w:pPr>
    </w:p>
    <w:p w14:paraId="189864D4" w14:textId="77777777" w:rsidR="00453D34" w:rsidRPr="009A2AB3" w:rsidRDefault="00453D34" w:rsidP="0043274F">
      <w:pPr>
        <w:spacing w:line="240" w:lineRule="auto"/>
        <w:rPr>
          <w:rFonts w:ascii="Calibri" w:eastAsia="Times New Roman" w:hAnsi="Calibri" w:cs="Times New Roman"/>
          <w:b/>
          <w:color w:val="002F5D"/>
          <w:lang w:eastAsia="en-GB"/>
        </w:rPr>
      </w:pPr>
      <w:r w:rsidRPr="009A2AB3">
        <w:rPr>
          <w:rFonts w:ascii="Calibri" w:eastAsia="Times New Roman" w:hAnsi="Calibri" w:cs="Times New Roman"/>
          <w:b/>
          <w:color w:val="002F5D"/>
          <w:lang w:eastAsia="en-GB"/>
        </w:rPr>
        <w:t>Key points:</w:t>
      </w:r>
    </w:p>
    <w:p w14:paraId="2960D197" w14:textId="6E1AA233" w:rsidR="00453D34" w:rsidRPr="009A2AB3" w:rsidRDefault="00453D34" w:rsidP="0043274F">
      <w:pPr>
        <w:pStyle w:val="ListParagraph"/>
        <w:numPr>
          <w:ilvl w:val="0"/>
          <w:numId w:val="54"/>
        </w:numPr>
        <w:spacing w:line="240" w:lineRule="auto"/>
        <w:rPr>
          <w:rFonts w:ascii="Calibri" w:eastAsia="Times New Roman" w:hAnsi="Calibri" w:cs="Times New Roman"/>
          <w:color w:val="002F5D"/>
          <w:lang w:eastAsia="en-GB"/>
        </w:rPr>
      </w:pPr>
      <w:r w:rsidRPr="009A2AB3">
        <w:rPr>
          <w:rFonts w:ascii="Calibri" w:eastAsia="Times New Roman" w:hAnsi="Calibri" w:cs="Times New Roman"/>
          <w:color w:val="002F5D"/>
          <w:lang w:eastAsia="en-GB"/>
        </w:rPr>
        <w:t>Across Cambridgeshire</w:t>
      </w:r>
      <w:r w:rsidR="0051163A" w:rsidRPr="009A2AB3">
        <w:rPr>
          <w:rFonts w:ascii="Calibri" w:eastAsia="Times New Roman" w:hAnsi="Calibri" w:cs="Times New Roman"/>
          <w:color w:val="002F5D"/>
          <w:lang w:eastAsia="en-GB"/>
        </w:rPr>
        <w:t xml:space="preserve"> and Peterborough</w:t>
      </w:r>
      <w:r w:rsidRPr="009A2AB3">
        <w:rPr>
          <w:rFonts w:ascii="Calibri" w:eastAsia="Times New Roman" w:hAnsi="Calibri" w:cs="Times New Roman"/>
          <w:color w:val="002F5D"/>
          <w:lang w:eastAsia="en-GB"/>
        </w:rPr>
        <w:t xml:space="preserve"> the rates of hip fractures in people aged 65 and over tend to show no statistical difference to the England average. Looking back to 2011/12 this pattern is similar with Cambridgeshire and most districts generally having rates that do not differ </w:t>
      </w:r>
      <w:r w:rsidRPr="009A2AB3">
        <w:rPr>
          <w:rFonts w:ascii="Calibri" w:eastAsia="Times New Roman" w:hAnsi="Calibri" w:cs="Times New Roman"/>
          <w:color w:val="002F5D"/>
          <w:lang w:eastAsia="en-GB"/>
        </w:rPr>
        <w:lastRenderedPageBreak/>
        <w:t xml:space="preserve">statistically from the England average. However, the numbers of </w:t>
      </w:r>
      <w:r w:rsidR="00C13FA2" w:rsidRPr="009A2AB3">
        <w:rPr>
          <w:rFonts w:ascii="Calibri" w:eastAsia="Times New Roman" w:hAnsi="Calibri" w:cs="Times New Roman"/>
          <w:color w:val="002F5D"/>
          <w:lang w:eastAsia="en-GB"/>
        </w:rPr>
        <w:t xml:space="preserve">hip fractures </w:t>
      </w:r>
      <w:r w:rsidRPr="009A2AB3">
        <w:rPr>
          <w:rFonts w:ascii="Calibri" w:eastAsia="Times New Roman" w:hAnsi="Calibri" w:cs="Times New Roman"/>
          <w:color w:val="002F5D"/>
          <w:lang w:eastAsia="en-GB"/>
        </w:rPr>
        <w:t>are relatively small and this makes it harder to detect statistical differences.</w:t>
      </w:r>
    </w:p>
    <w:p w14:paraId="0ECD7CB6" w14:textId="19DBE1AB" w:rsidR="00E87F40" w:rsidRPr="009A2AB3" w:rsidRDefault="00E87F40" w:rsidP="0043274F">
      <w:pPr>
        <w:pStyle w:val="ListParagraph"/>
        <w:numPr>
          <w:ilvl w:val="0"/>
          <w:numId w:val="54"/>
        </w:numPr>
        <w:spacing w:line="240" w:lineRule="auto"/>
        <w:rPr>
          <w:rFonts w:ascii="Calibri" w:eastAsia="Times New Roman" w:hAnsi="Calibri" w:cs="Times New Roman"/>
          <w:color w:val="002F5D"/>
          <w:lang w:eastAsia="en-GB"/>
        </w:rPr>
      </w:pPr>
      <w:r w:rsidRPr="009A2AB3">
        <w:rPr>
          <w:rFonts w:ascii="Calibri" w:eastAsia="Times New Roman" w:hAnsi="Calibri" w:cs="Times New Roman"/>
          <w:color w:val="002F5D"/>
          <w:lang w:eastAsia="en-GB"/>
        </w:rPr>
        <w:t>The Cambridgeshire rate of hip fractures in people aged 65 and over in 2017/18 is statistically significantly better than England, having been similar since 2010/11.</w:t>
      </w:r>
    </w:p>
    <w:p w14:paraId="025546A8" w14:textId="370E2A35" w:rsidR="00275574" w:rsidRPr="009A2AB3" w:rsidRDefault="004E0901" w:rsidP="0043274F">
      <w:pPr>
        <w:pStyle w:val="ListParagraph"/>
        <w:numPr>
          <w:ilvl w:val="0"/>
          <w:numId w:val="54"/>
        </w:numPr>
        <w:spacing w:line="240" w:lineRule="auto"/>
        <w:rPr>
          <w:rFonts w:ascii="Calibri" w:eastAsia="Times New Roman" w:hAnsi="Calibri" w:cs="Times New Roman"/>
          <w:color w:val="002F5D"/>
          <w:lang w:eastAsia="en-GB"/>
        </w:rPr>
      </w:pPr>
      <w:r w:rsidRPr="009A2AB3">
        <w:rPr>
          <w:rFonts w:ascii="Calibri" w:eastAsia="Times New Roman" w:hAnsi="Calibri" w:cs="Times New Roman"/>
          <w:color w:val="002F5D"/>
          <w:lang w:eastAsia="en-GB"/>
        </w:rPr>
        <w:t>In Peterborough the rate</w:t>
      </w:r>
      <w:r w:rsidR="00275574" w:rsidRPr="009A2AB3">
        <w:rPr>
          <w:rFonts w:ascii="Calibri" w:eastAsia="Times New Roman" w:hAnsi="Calibri" w:cs="Times New Roman"/>
          <w:color w:val="002F5D"/>
          <w:lang w:eastAsia="en-GB"/>
        </w:rPr>
        <w:t xml:space="preserve"> of hip</w:t>
      </w:r>
      <w:r w:rsidRPr="009A2AB3">
        <w:rPr>
          <w:rFonts w:ascii="Calibri" w:eastAsia="Times New Roman" w:hAnsi="Calibri" w:cs="Times New Roman"/>
          <w:color w:val="002F5D"/>
          <w:lang w:eastAsia="en-GB"/>
        </w:rPr>
        <w:t xml:space="preserve"> fractures in people aged 65 returned to </w:t>
      </w:r>
      <w:r w:rsidR="00D94D46">
        <w:rPr>
          <w:rFonts w:ascii="Calibri" w:eastAsia="Times New Roman" w:hAnsi="Calibri" w:cs="Times New Roman"/>
          <w:color w:val="002F5D"/>
          <w:lang w:eastAsia="en-GB"/>
        </w:rPr>
        <w:t>statistically similar</w:t>
      </w:r>
      <w:r w:rsidR="00275574" w:rsidRPr="009A2AB3">
        <w:rPr>
          <w:rFonts w:ascii="Calibri" w:eastAsia="Times New Roman" w:hAnsi="Calibri" w:cs="Times New Roman"/>
          <w:color w:val="002F5D"/>
          <w:lang w:eastAsia="en-GB"/>
        </w:rPr>
        <w:t xml:space="preserve"> to the England average</w:t>
      </w:r>
      <w:r w:rsidR="00D94D46">
        <w:rPr>
          <w:rFonts w:ascii="Calibri" w:eastAsia="Times New Roman" w:hAnsi="Calibri" w:cs="Times New Roman"/>
          <w:color w:val="002F5D"/>
          <w:lang w:eastAsia="en-GB"/>
        </w:rPr>
        <w:t>,</w:t>
      </w:r>
      <w:r w:rsidRPr="009A2AB3">
        <w:rPr>
          <w:rFonts w:ascii="Calibri" w:eastAsia="Times New Roman" w:hAnsi="Calibri" w:cs="Times New Roman"/>
          <w:color w:val="002F5D"/>
          <w:lang w:eastAsia="en-GB"/>
        </w:rPr>
        <w:t xml:space="preserve"> having been statistically significantly higher in 2013/14 and 2014/15.</w:t>
      </w:r>
    </w:p>
    <w:p w14:paraId="0FEE1AD4" w14:textId="0E2B4D22" w:rsidR="00E87F40" w:rsidRPr="009A2AB3" w:rsidRDefault="00E87F40" w:rsidP="0043274F">
      <w:pPr>
        <w:pStyle w:val="ListParagraph"/>
        <w:numPr>
          <w:ilvl w:val="0"/>
          <w:numId w:val="54"/>
        </w:numPr>
        <w:spacing w:line="240" w:lineRule="auto"/>
        <w:rPr>
          <w:rFonts w:ascii="Calibri" w:eastAsia="Times New Roman" w:hAnsi="Calibri" w:cs="Times New Roman"/>
          <w:color w:val="002F5D"/>
          <w:lang w:eastAsia="en-GB"/>
        </w:rPr>
      </w:pPr>
      <w:r w:rsidRPr="009A2AB3">
        <w:rPr>
          <w:rFonts w:ascii="Calibri" w:eastAsia="Times New Roman" w:hAnsi="Calibri" w:cs="Times New Roman"/>
          <w:color w:val="002F5D"/>
          <w:lang w:eastAsia="en-GB"/>
        </w:rPr>
        <w:t xml:space="preserve">For all </w:t>
      </w:r>
      <w:r w:rsidR="00D94D46">
        <w:rPr>
          <w:rFonts w:ascii="Calibri" w:eastAsia="Times New Roman" w:hAnsi="Calibri" w:cs="Times New Roman"/>
          <w:color w:val="002F5D"/>
          <w:lang w:eastAsia="en-GB"/>
        </w:rPr>
        <w:t>d</w:t>
      </w:r>
      <w:r w:rsidRPr="009A2AB3">
        <w:rPr>
          <w:rFonts w:ascii="Calibri" w:eastAsia="Times New Roman" w:hAnsi="Calibri" w:cs="Times New Roman"/>
          <w:color w:val="002F5D"/>
          <w:lang w:eastAsia="en-GB"/>
        </w:rPr>
        <w:t>istricts except East Cambridgeshire</w:t>
      </w:r>
      <w:r w:rsidR="002002AF" w:rsidRPr="009A2AB3">
        <w:rPr>
          <w:rFonts w:ascii="Calibri" w:eastAsia="Times New Roman" w:hAnsi="Calibri" w:cs="Times New Roman"/>
          <w:color w:val="002F5D"/>
          <w:lang w:eastAsia="en-GB"/>
        </w:rPr>
        <w:t>,</w:t>
      </w:r>
      <w:r w:rsidRPr="009A2AB3">
        <w:rPr>
          <w:rFonts w:ascii="Calibri" w:eastAsia="Times New Roman" w:hAnsi="Calibri" w:cs="Times New Roman"/>
          <w:color w:val="002F5D"/>
          <w:lang w:eastAsia="en-GB"/>
        </w:rPr>
        <w:t xml:space="preserve"> rates of hip fractures in people aged 65 and over tend to show no statistical difference to the England average.  East Cambridgeshire has a statistically significantly</w:t>
      </w:r>
      <w:r w:rsidR="00D53C4C">
        <w:rPr>
          <w:rFonts w:ascii="Calibri" w:eastAsia="Times New Roman" w:hAnsi="Calibri" w:cs="Times New Roman"/>
          <w:color w:val="002F5D"/>
          <w:lang w:eastAsia="en-GB"/>
        </w:rPr>
        <w:t xml:space="preserve"> lower</w:t>
      </w:r>
      <w:r w:rsidRPr="009A2AB3">
        <w:rPr>
          <w:rFonts w:ascii="Calibri" w:eastAsia="Times New Roman" w:hAnsi="Calibri" w:cs="Times New Roman"/>
          <w:color w:val="002F5D"/>
          <w:lang w:eastAsia="en-GB"/>
        </w:rPr>
        <w:t xml:space="preserve"> rate of hip </w:t>
      </w:r>
      <w:r w:rsidR="002002AF" w:rsidRPr="009A2AB3">
        <w:rPr>
          <w:rFonts w:ascii="Calibri" w:eastAsia="Times New Roman" w:hAnsi="Calibri" w:cs="Times New Roman"/>
          <w:color w:val="002F5D"/>
          <w:lang w:eastAsia="en-GB"/>
        </w:rPr>
        <w:t xml:space="preserve">fractures </w:t>
      </w:r>
      <w:r w:rsidR="00DB4DC0">
        <w:rPr>
          <w:rFonts w:ascii="Calibri" w:eastAsia="Times New Roman" w:hAnsi="Calibri" w:cs="Times New Roman"/>
          <w:color w:val="002F5D"/>
          <w:lang w:eastAsia="en-GB"/>
        </w:rPr>
        <w:t xml:space="preserve">than England </w:t>
      </w:r>
      <w:r w:rsidR="002002AF" w:rsidRPr="009A2AB3">
        <w:rPr>
          <w:rFonts w:ascii="Calibri" w:eastAsia="Times New Roman" w:hAnsi="Calibri" w:cs="Times New Roman"/>
          <w:color w:val="002F5D"/>
          <w:lang w:eastAsia="en-GB"/>
        </w:rPr>
        <w:t>in people aged 65 and over in 2017/18</w:t>
      </w:r>
      <w:r w:rsidR="00DB4DC0">
        <w:rPr>
          <w:rFonts w:ascii="Calibri" w:eastAsia="Times New Roman" w:hAnsi="Calibri" w:cs="Times New Roman"/>
          <w:color w:val="002F5D"/>
          <w:lang w:eastAsia="en-GB"/>
        </w:rPr>
        <w:t xml:space="preserve"> and  for people aged </w:t>
      </w:r>
      <w:r w:rsidR="002002AF" w:rsidRPr="009A2AB3">
        <w:rPr>
          <w:rFonts w:ascii="Calibri" w:eastAsia="Times New Roman" w:hAnsi="Calibri" w:cs="Times New Roman"/>
          <w:color w:val="002F5D"/>
          <w:lang w:eastAsia="en-GB"/>
        </w:rPr>
        <w:t>65- 79</w:t>
      </w:r>
      <w:r w:rsidR="00DB4DC0">
        <w:rPr>
          <w:rFonts w:ascii="Calibri" w:eastAsia="Times New Roman" w:hAnsi="Calibri" w:cs="Times New Roman"/>
          <w:color w:val="002F5D"/>
          <w:lang w:eastAsia="en-GB"/>
        </w:rPr>
        <w:t xml:space="preserve"> years</w:t>
      </w:r>
      <w:r w:rsidR="002002AF" w:rsidRPr="009A2AB3">
        <w:rPr>
          <w:rFonts w:ascii="Calibri" w:eastAsia="Times New Roman" w:hAnsi="Calibri" w:cs="Times New Roman"/>
          <w:color w:val="002F5D"/>
          <w:lang w:eastAsia="en-GB"/>
        </w:rPr>
        <w:t>.</w:t>
      </w:r>
    </w:p>
    <w:p w14:paraId="18F2F7DB" w14:textId="77777777" w:rsidR="003D3F6C" w:rsidRPr="009A2AB3" w:rsidRDefault="003D3F6C" w:rsidP="0043274F">
      <w:pPr>
        <w:spacing w:line="240" w:lineRule="auto"/>
        <w:rPr>
          <w:rFonts w:ascii="Calibri" w:eastAsia="Times New Roman" w:hAnsi="Calibri" w:cs="Times New Roman"/>
          <w:color w:val="002F5D"/>
          <w:lang w:eastAsia="en-GB"/>
        </w:rPr>
      </w:pPr>
      <w:r w:rsidRPr="009A2AB3">
        <w:rPr>
          <w:rFonts w:cs="Arial"/>
          <w:b/>
          <w:color w:val="002F5D"/>
        </w:rPr>
        <w:br w:type="page"/>
      </w:r>
    </w:p>
    <w:p w14:paraId="3C1B3FA9" w14:textId="77777777" w:rsidR="000F6257" w:rsidRPr="0037351D" w:rsidRDefault="000F6257" w:rsidP="000F6257">
      <w:pPr>
        <w:pStyle w:val="JSNA1"/>
        <w:rPr>
          <w:color w:val="FF0000"/>
        </w:rPr>
      </w:pPr>
      <w:bookmarkStart w:id="785" w:name="_Toc500414623"/>
      <w:bookmarkStart w:id="786" w:name="_Toc500414624"/>
      <w:bookmarkStart w:id="787" w:name="_Toc500414625"/>
      <w:bookmarkStart w:id="788" w:name="_Toc500414626"/>
      <w:bookmarkStart w:id="789" w:name="_Toc500414627"/>
      <w:bookmarkStart w:id="790" w:name="_Toc500414629"/>
      <w:bookmarkStart w:id="791" w:name="_Toc500414633"/>
      <w:bookmarkStart w:id="792" w:name="_Toc500414634"/>
      <w:bookmarkStart w:id="793" w:name="_Toc4407867"/>
      <w:bookmarkEnd w:id="785"/>
      <w:bookmarkEnd w:id="786"/>
      <w:bookmarkEnd w:id="787"/>
      <w:bookmarkEnd w:id="788"/>
      <w:bookmarkEnd w:id="789"/>
      <w:bookmarkEnd w:id="790"/>
      <w:bookmarkEnd w:id="791"/>
      <w:bookmarkEnd w:id="792"/>
      <w:r w:rsidRPr="009A2AB3">
        <w:lastRenderedPageBreak/>
        <w:t>SCREENING</w:t>
      </w:r>
      <w:r w:rsidR="00D72915" w:rsidRPr="009A2AB3">
        <w:t>, VACCINATION</w:t>
      </w:r>
      <w:r w:rsidRPr="009A2AB3">
        <w:t xml:space="preserve"> AND IMMUNISATION</w:t>
      </w:r>
      <w:bookmarkEnd w:id="793"/>
    </w:p>
    <w:p w14:paraId="7C660B96" w14:textId="77777777" w:rsidR="000F6257" w:rsidRPr="009A2AB3" w:rsidRDefault="000F6257" w:rsidP="0043274F">
      <w:pPr>
        <w:spacing w:line="240" w:lineRule="auto"/>
        <w:rPr>
          <w:color w:val="002F5D"/>
        </w:rPr>
      </w:pPr>
    </w:p>
    <w:p w14:paraId="71D7677C" w14:textId="067EA790" w:rsidR="00D60CEC" w:rsidRDefault="00D60CEC" w:rsidP="0043274F">
      <w:pPr>
        <w:spacing w:line="240" w:lineRule="auto"/>
        <w:rPr>
          <w:color w:val="002F5D"/>
        </w:rPr>
      </w:pPr>
      <w:r w:rsidRPr="009A2AB3">
        <w:rPr>
          <w:color w:val="002F5D"/>
        </w:rPr>
        <w:t>This section presents key information for cancer screening, abdominal aortic aneurysm screening, childhood screening and vaccinations and flu vaccination.</w:t>
      </w:r>
    </w:p>
    <w:p w14:paraId="43EF03DF" w14:textId="77777777" w:rsidR="001930FF" w:rsidRDefault="001930FF" w:rsidP="0043274F">
      <w:pPr>
        <w:spacing w:line="240" w:lineRule="auto"/>
        <w:rPr>
          <w:color w:val="002F5D"/>
        </w:rPr>
      </w:pPr>
    </w:p>
    <w:p w14:paraId="7C4BB339" w14:textId="77777777" w:rsidR="00656DEF" w:rsidRPr="00DA777F" w:rsidRDefault="00656DEF" w:rsidP="00656DEF">
      <w:pPr>
        <w:spacing w:line="240" w:lineRule="auto"/>
        <w:jc w:val="both"/>
        <w:rPr>
          <w:rFonts w:ascii="Calibri" w:eastAsia="Times New Roman" w:hAnsi="Calibri" w:cs="Times New Roman"/>
          <w:color w:val="002F5D"/>
          <w:lang w:eastAsia="en-GB"/>
        </w:rPr>
      </w:pPr>
      <w:r w:rsidRPr="007525E0">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Public Health England</w:t>
      </w:r>
      <w:r w:rsidRPr="00DA777F">
        <w:rPr>
          <w:rFonts w:ascii="Calibri" w:eastAsia="Times New Roman" w:hAnsi="Calibri" w:cs="Times New Roman"/>
          <w:color w:val="002F5D"/>
          <w:lang w:eastAsia="en-GB"/>
        </w:rPr>
        <w:t xml:space="preserve"> (PHE) </w:t>
      </w:r>
      <w:r>
        <w:rPr>
          <w:rFonts w:ascii="Calibri" w:eastAsia="Times New Roman" w:hAnsi="Calibri" w:cs="Times New Roman"/>
          <w:color w:val="002F5D"/>
          <w:lang w:eastAsia="en-GB"/>
        </w:rPr>
        <w:t>calculate statistical significance using comparator area confidence intervals compared with the area value for the benchmark. This method is used in the RAG rated tables in this section.</w:t>
      </w:r>
      <w:r w:rsidRPr="00DA777F">
        <w:rPr>
          <w:rFonts w:ascii="Calibri" w:eastAsia="Times New Roman" w:hAnsi="Calibri" w:cs="Times New Roman"/>
          <w:color w:val="002F5D"/>
          <w:lang w:eastAsia="en-GB"/>
        </w:rPr>
        <w:t xml:space="preserve"> </w:t>
      </w:r>
    </w:p>
    <w:p w14:paraId="6FA9F2C2" w14:textId="57B46AB6" w:rsidR="003D3F6C" w:rsidRPr="0037351D" w:rsidRDefault="001930FF" w:rsidP="0043274F">
      <w:pPr>
        <w:spacing w:line="240" w:lineRule="auto"/>
        <w:rPr>
          <w:color w:val="FF0000"/>
        </w:rPr>
      </w:pPr>
      <w:r>
        <w:rPr>
          <w:rFonts w:ascii="Calibri" w:eastAsia="Times New Roman" w:hAnsi="Calibri" w:cs="Times New Roman"/>
          <w:color w:val="002F5D"/>
          <w:lang w:eastAsia="en-GB"/>
        </w:rPr>
        <w:t xml:space="preserve"> </w:t>
      </w:r>
    </w:p>
    <w:p w14:paraId="65D30046" w14:textId="77777777" w:rsidR="00AB49C4" w:rsidRPr="009A2AB3" w:rsidRDefault="00AB49C4" w:rsidP="00AB49C4">
      <w:pPr>
        <w:pStyle w:val="JSNA2"/>
      </w:pPr>
      <w:bookmarkStart w:id="794" w:name="_Toc4407868"/>
      <w:r w:rsidRPr="009A2AB3">
        <w:t>Children</w:t>
      </w:r>
      <w:bookmarkEnd w:id="794"/>
    </w:p>
    <w:p w14:paraId="6ABE6ABF" w14:textId="77777777" w:rsidR="00AB49C4" w:rsidRPr="0037351D" w:rsidRDefault="00AB49C4" w:rsidP="00AB49C4">
      <w:pPr>
        <w:spacing w:line="240" w:lineRule="auto"/>
        <w:rPr>
          <w:rFonts w:cs="Arial"/>
          <w:b/>
          <w:color w:val="FF0000"/>
        </w:rPr>
      </w:pPr>
    </w:p>
    <w:p w14:paraId="48AA50E4" w14:textId="551D9043" w:rsidR="00AE54CD" w:rsidRDefault="00AB49C4" w:rsidP="009A2AB3">
      <w:pPr>
        <w:pStyle w:val="Caption"/>
        <w:rPr>
          <w:rFonts w:cs="Arial"/>
          <w:color w:val="002F5D"/>
        </w:rPr>
      </w:pPr>
      <w:r w:rsidRPr="009A2AB3">
        <w:rPr>
          <w:b/>
          <w:color w:val="002F5D"/>
        </w:rPr>
        <w:t>Table</w:t>
      </w:r>
      <w:r w:rsidR="009E239B">
        <w:rPr>
          <w:b/>
          <w:color w:val="002F5D"/>
        </w:rPr>
        <w:t xml:space="preserve"> 52</w:t>
      </w:r>
      <w:r w:rsidRPr="009A2AB3">
        <w:rPr>
          <w:rFonts w:cs="Arial"/>
          <w:b/>
          <w:color w:val="002F5D"/>
        </w:rPr>
        <w:t>.</w:t>
      </w:r>
      <w:r w:rsidRPr="009A2AB3">
        <w:rPr>
          <w:rFonts w:cs="Arial"/>
          <w:color w:val="002F5D"/>
        </w:rPr>
        <w:t xml:space="preserve"> Childhood screening, vaccination and immunisation - coverage (%) for Cambridgeshire and Peterborough, 201</w:t>
      </w:r>
      <w:r w:rsidR="0072214E" w:rsidRPr="009A2AB3">
        <w:rPr>
          <w:rFonts w:cs="Arial"/>
          <w:color w:val="002F5D"/>
        </w:rPr>
        <w:t>7</w:t>
      </w:r>
      <w:r w:rsidRPr="009A2AB3">
        <w:rPr>
          <w:rFonts w:cs="Arial"/>
          <w:color w:val="002F5D"/>
        </w:rPr>
        <w:t>/1</w:t>
      </w:r>
      <w:r w:rsidR="0072214E" w:rsidRPr="009A2AB3">
        <w:rPr>
          <w:rFonts w:cs="Arial"/>
          <w:color w:val="002F5D"/>
        </w:rPr>
        <w:t>8</w:t>
      </w:r>
    </w:p>
    <w:p w14:paraId="3C7FAFF0" w14:textId="77777777" w:rsidR="00CF10AB" w:rsidRPr="009A2AB3" w:rsidRDefault="00CF10AB" w:rsidP="00E61D24"/>
    <w:p w14:paraId="20B38EA0" w14:textId="07C22574" w:rsidR="00AB49C4" w:rsidRPr="0037351D" w:rsidRDefault="00AE54CD" w:rsidP="009A2AB3">
      <w:pPr>
        <w:pStyle w:val="Caption"/>
      </w:pPr>
      <w:r w:rsidRPr="00AE54CD">
        <w:rPr>
          <w:iCs w:val="0"/>
          <w:noProof/>
          <w:lang w:eastAsia="en-GB"/>
        </w:rPr>
        <w:drawing>
          <wp:inline distT="0" distB="0" distL="0" distR="0" wp14:anchorId="660ECA5E" wp14:editId="349C2BDD">
            <wp:extent cx="6186945" cy="2548467"/>
            <wp:effectExtent l="0" t="0" r="4445" b="444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99904" cy="2553805"/>
                    </a:xfrm>
                    <a:prstGeom prst="rect">
                      <a:avLst/>
                    </a:prstGeom>
                    <a:noFill/>
                    <a:ln>
                      <a:noFill/>
                    </a:ln>
                  </pic:spPr>
                </pic:pic>
              </a:graphicData>
            </a:graphic>
          </wp:inline>
        </w:drawing>
      </w:r>
    </w:p>
    <w:p w14:paraId="23734CAB" w14:textId="60B157B4" w:rsidR="00AB49C4" w:rsidRPr="0037351D" w:rsidRDefault="00AB49C4" w:rsidP="00AB49C4">
      <w:pPr>
        <w:spacing w:line="240" w:lineRule="auto"/>
        <w:rPr>
          <w:color w:val="FF0000"/>
        </w:rPr>
      </w:pPr>
    </w:p>
    <w:p w14:paraId="432A6FAE" w14:textId="77777777" w:rsidR="009D7ABF" w:rsidRPr="0041347C" w:rsidRDefault="009D7ABF" w:rsidP="009D7ABF">
      <w:pPr>
        <w:spacing w:line="240" w:lineRule="auto"/>
        <w:rPr>
          <w:color w:val="002B61"/>
          <w:sz w:val="18"/>
          <w:szCs w:val="18"/>
        </w:rPr>
      </w:pPr>
      <w:r w:rsidRPr="0041347C">
        <w:rPr>
          <w:color w:val="002B61"/>
          <w:sz w:val="18"/>
          <w:szCs w:val="18"/>
        </w:rPr>
        <w:t>Note:1 - % of babies eligible for newborn blood spot screening who were screened</w:t>
      </w:r>
    </w:p>
    <w:p w14:paraId="4E0B4751" w14:textId="77777777" w:rsidR="009D7ABF" w:rsidRPr="0041347C" w:rsidRDefault="009D7ABF" w:rsidP="009D7ABF">
      <w:pPr>
        <w:spacing w:line="240" w:lineRule="auto"/>
        <w:rPr>
          <w:color w:val="002B61"/>
          <w:sz w:val="18"/>
          <w:szCs w:val="18"/>
        </w:rPr>
      </w:pPr>
      <w:r w:rsidRPr="0041347C">
        <w:rPr>
          <w:color w:val="002B61"/>
          <w:sz w:val="18"/>
          <w:szCs w:val="18"/>
        </w:rPr>
        <w:t>Note:2 - % of babies eligible for newborn hearing screening for whom screening process is complete within 4 weeks</w:t>
      </w:r>
    </w:p>
    <w:p w14:paraId="21BBD7DA" w14:textId="77777777" w:rsidR="009D7ABF" w:rsidRPr="0041347C" w:rsidRDefault="009D7ABF" w:rsidP="009D7ABF">
      <w:pPr>
        <w:spacing w:line="240" w:lineRule="auto"/>
        <w:rPr>
          <w:color w:val="002B61"/>
          <w:sz w:val="18"/>
          <w:szCs w:val="18"/>
        </w:rPr>
      </w:pPr>
      <w:r w:rsidRPr="0041347C">
        <w:rPr>
          <w:color w:val="002B61"/>
          <w:sz w:val="18"/>
          <w:szCs w:val="18"/>
        </w:rPr>
        <w:t>Note:3 - Vaccination - Dtap / IPV / Hib (1 year old) = diphtheria, hepatitis B, Hib (Haemophilus influenzae type b), polio, tetanus, whooping cough (pertussis).</w:t>
      </w:r>
    </w:p>
    <w:p w14:paraId="3E548F7A" w14:textId="77777777" w:rsidR="009D7ABF" w:rsidRPr="0041347C" w:rsidRDefault="009D7ABF" w:rsidP="009D7ABF">
      <w:pPr>
        <w:spacing w:line="240" w:lineRule="auto"/>
        <w:rPr>
          <w:color w:val="002B61"/>
          <w:sz w:val="18"/>
          <w:szCs w:val="18"/>
        </w:rPr>
      </w:pPr>
      <w:r w:rsidRPr="0041347C">
        <w:rPr>
          <w:color w:val="002B61"/>
          <w:sz w:val="18"/>
          <w:szCs w:val="18"/>
        </w:rPr>
        <w:t>Note:4 - benchmarked against threshold based goals - see http://www.phoutcomes.info/</w:t>
      </w:r>
    </w:p>
    <w:p w14:paraId="4D110786" w14:textId="77777777" w:rsidR="009D7ABF" w:rsidRPr="0041347C" w:rsidRDefault="009D7ABF" w:rsidP="009D7ABF">
      <w:pPr>
        <w:spacing w:line="240" w:lineRule="auto"/>
        <w:rPr>
          <w:color w:val="002B61"/>
          <w:sz w:val="18"/>
          <w:szCs w:val="18"/>
        </w:rPr>
      </w:pPr>
      <w:r w:rsidRPr="0041347C">
        <w:rPr>
          <w:color w:val="002B61"/>
          <w:sz w:val="18"/>
          <w:szCs w:val="18"/>
        </w:rPr>
        <w:t>Note:5 - Hib  = Haemophilus influenzae type b; MenC = meningitis C</w:t>
      </w:r>
    </w:p>
    <w:p w14:paraId="215A6F1B" w14:textId="77777777" w:rsidR="009D7ABF" w:rsidRPr="0041347C" w:rsidRDefault="009D7ABF" w:rsidP="009D7ABF">
      <w:pPr>
        <w:spacing w:line="240" w:lineRule="auto"/>
        <w:rPr>
          <w:color w:val="002B61"/>
          <w:sz w:val="18"/>
          <w:szCs w:val="18"/>
        </w:rPr>
      </w:pPr>
      <w:r w:rsidRPr="0041347C">
        <w:rPr>
          <w:color w:val="002B61"/>
          <w:sz w:val="18"/>
          <w:szCs w:val="18"/>
        </w:rPr>
        <w:t>Note:6 - MMR = measles, mumps and rubella</w:t>
      </w:r>
    </w:p>
    <w:p w14:paraId="256526F7" w14:textId="77777777" w:rsidR="009D7ABF" w:rsidRPr="0041347C" w:rsidRDefault="009D7ABF" w:rsidP="009D7ABF">
      <w:pPr>
        <w:spacing w:line="240" w:lineRule="auto"/>
        <w:rPr>
          <w:color w:val="002B61"/>
          <w:sz w:val="18"/>
          <w:szCs w:val="18"/>
        </w:rPr>
      </w:pPr>
      <w:r w:rsidRPr="0041347C">
        <w:rPr>
          <w:color w:val="002B61"/>
          <w:sz w:val="18"/>
          <w:szCs w:val="18"/>
        </w:rPr>
        <w:t>Note:7 - HPV = Human papilloma virus</w:t>
      </w:r>
    </w:p>
    <w:p w14:paraId="3494A880" w14:textId="73E5DAAC" w:rsidR="009D7ABF" w:rsidRDefault="009D7ABF" w:rsidP="009D7ABF">
      <w:pPr>
        <w:spacing w:line="240" w:lineRule="auto"/>
        <w:rPr>
          <w:color w:val="002B61"/>
          <w:sz w:val="18"/>
          <w:szCs w:val="18"/>
        </w:rPr>
      </w:pPr>
      <w:r w:rsidRPr="0041347C">
        <w:rPr>
          <w:color w:val="002B61"/>
          <w:sz w:val="18"/>
          <w:szCs w:val="18"/>
        </w:rPr>
        <w:t>- Data not available</w:t>
      </w:r>
    </w:p>
    <w:p w14:paraId="5402DEE9" w14:textId="77777777" w:rsidR="00527BE6" w:rsidRDefault="00527BE6" w:rsidP="009D7ABF">
      <w:pPr>
        <w:spacing w:line="240" w:lineRule="auto"/>
        <w:rPr>
          <w:color w:val="002B61"/>
          <w:sz w:val="18"/>
          <w:szCs w:val="18"/>
        </w:rPr>
      </w:pPr>
    </w:p>
    <w:p w14:paraId="26A498B4" w14:textId="3B5F2CD8" w:rsidR="00DF0E47" w:rsidRDefault="00527BE6" w:rsidP="009D7ABF">
      <w:pPr>
        <w:spacing w:line="240" w:lineRule="auto"/>
        <w:rPr>
          <w:rFonts w:ascii="Calibri" w:eastAsia="Times New Roman" w:hAnsi="Calibri" w:cs="Times New Roman"/>
          <w:b/>
          <w:bCs/>
          <w:color w:val="002B61"/>
          <w:lang w:eastAsia="en-GB"/>
        </w:rPr>
      </w:pPr>
      <w:r w:rsidRPr="00527BE6">
        <w:rPr>
          <w:noProof/>
          <w:lang w:eastAsia="en-GB"/>
        </w:rPr>
        <w:drawing>
          <wp:inline distT="0" distB="0" distL="0" distR="0" wp14:anchorId="3499C73F" wp14:editId="106379B1">
            <wp:extent cx="6120130" cy="1054969"/>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0130" cy="1054969"/>
                    </a:xfrm>
                    <a:prstGeom prst="rect">
                      <a:avLst/>
                    </a:prstGeom>
                    <a:noFill/>
                    <a:ln>
                      <a:noFill/>
                    </a:ln>
                  </pic:spPr>
                </pic:pic>
              </a:graphicData>
            </a:graphic>
          </wp:inline>
        </w:drawing>
      </w:r>
    </w:p>
    <w:p w14:paraId="23E85D10" w14:textId="45ECC093" w:rsidR="009D7ABF" w:rsidRPr="0041347C" w:rsidRDefault="009D7ABF" w:rsidP="009D7ABF">
      <w:pPr>
        <w:spacing w:line="240" w:lineRule="auto"/>
        <w:rPr>
          <w:rFonts w:ascii="Calibri" w:eastAsia="Times New Roman" w:hAnsi="Calibri" w:cs="Times New Roman"/>
          <w:color w:val="002B61"/>
          <w:lang w:eastAsia="en-GB"/>
        </w:rPr>
      </w:pPr>
      <w:r w:rsidRPr="0041347C">
        <w:rPr>
          <w:rFonts w:ascii="Calibri" w:eastAsia="Times New Roman" w:hAnsi="Calibri" w:cs="Times New Roman"/>
          <w:b/>
          <w:bCs/>
          <w:color w:val="002B61"/>
          <w:lang w:eastAsia="en-GB"/>
        </w:rPr>
        <w:t>Source</w:t>
      </w:r>
      <w:r w:rsidRPr="0041347C">
        <w:rPr>
          <w:rFonts w:ascii="Calibri" w:eastAsia="Times New Roman" w:hAnsi="Calibri" w:cs="Times New Roman"/>
          <w:color w:val="002B61"/>
          <w:lang w:eastAsia="en-GB"/>
        </w:rPr>
        <w:t>: Public Health England, Public Health Outcomes Framework</w:t>
      </w:r>
    </w:p>
    <w:p w14:paraId="2446E570" w14:textId="77777777" w:rsidR="009D7ABF" w:rsidRPr="0041347C" w:rsidRDefault="009D7ABF" w:rsidP="009D7ABF">
      <w:pPr>
        <w:spacing w:line="240" w:lineRule="auto"/>
        <w:rPr>
          <w:rFonts w:ascii="Calibri" w:eastAsia="Times New Roman" w:hAnsi="Calibri" w:cs="Times New Roman"/>
          <w:color w:val="002B61"/>
          <w:lang w:eastAsia="en-GB"/>
        </w:rPr>
      </w:pPr>
    </w:p>
    <w:p w14:paraId="4EDCBD1F" w14:textId="77777777" w:rsidR="009D7ABF" w:rsidRPr="0041347C" w:rsidRDefault="009D7ABF" w:rsidP="009D7ABF">
      <w:pPr>
        <w:spacing w:line="240" w:lineRule="auto"/>
        <w:rPr>
          <w:rFonts w:ascii="Calibri" w:eastAsia="Times New Roman" w:hAnsi="Calibri" w:cs="Times New Roman"/>
          <w:b/>
          <w:color w:val="002B61"/>
          <w:lang w:eastAsia="en-GB"/>
        </w:rPr>
      </w:pPr>
      <w:r w:rsidRPr="0041347C">
        <w:rPr>
          <w:rFonts w:ascii="Calibri" w:eastAsia="Times New Roman" w:hAnsi="Calibri" w:cs="Times New Roman"/>
          <w:b/>
          <w:color w:val="002B61"/>
          <w:lang w:eastAsia="en-GB"/>
        </w:rPr>
        <w:t>Key points:</w:t>
      </w:r>
    </w:p>
    <w:p w14:paraId="05503A63" w14:textId="77777777" w:rsidR="009D7ABF" w:rsidRPr="0041347C" w:rsidRDefault="009D7ABF" w:rsidP="009D7ABF">
      <w:pPr>
        <w:pStyle w:val="ListParagraph"/>
        <w:numPr>
          <w:ilvl w:val="0"/>
          <w:numId w:val="56"/>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 xml:space="preserve">In general, Cambridgeshire and Peterborough's vaccination coverage rates tend to be similar to target goals. </w:t>
      </w:r>
    </w:p>
    <w:p w14:paraId="71DC9F8F" w14:textId="77777777" w:rsidR="009D7ABF" w:rsidRPr="0041347C" w:rsidRDefault="009D7ABF" w:rsidP="009D7ABF">
      <w:pPr>
        <w:pStyle w:val="ListParagraph"/>
        <w:numPr>
          <w:ilvl w:val="0"/>
          <w:numId w:val="56"/>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lastRenderedPageBreak/>
        <w:t>For Cambridgeshire and Peterborough collectively, and also for the two individual areas,</w:t>
      </w:r>
    </w:p>
    <w:p w14:paraId="37E2289C" w14:textId="77777777" w:rsidR="009D7ABF" w:rsidRPr="0041347C" w:rsidRDefault="009D7ABF" w:rsidP="009D7ABF">
      <w:pPr>
        <w:pStyle w:val="ListParagraph"/>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vaccination coverage rates for MMR for 2 doses (5 years old) are statistically significantly worse than the benchmark goals, as is England.</w:t>
      </w:r>
    </w:p>
    <w:p w14:paraId="7A3CC5A8" w14:textId="77777777" w:rsidR="009D7ABF" w:rsidRPr="0041347C" w:rsidRDefault="009D7ABF" w:rsidP="009D7ABF">
      <w:pPr>
        <w:pStyle w:val="ListParagraph"/>
        <w:numPr>
          <w:ilvl w:val="0"/>
          <w:numId w:val="56"/>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Vaccination coverage for new-born hearing screening and MMR for 1 dose (5 year old) in Cambridgeshire and Peterborough is statistically significantly above the target goal.</w:t>
      </w:r>
    </w:p>
    <w:p w14:paraId="0877A7D5" w14:textId="77777777" w:rsidR="009D7ABF" w:rsidRPr="0041347C" w:rsidRDefault="009D7ABF" w:rsidP="009D7ABF">
      <w:pPr>
        <w:pStyle w:val="ListParagraph"/>
        <w:numPr>
          <w:ilvl w:val="0"/>
          <w:numId w:val="56"/>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Vaccination coverage rates are decreasing (getting worse) for Cambridgeshire and Peterborough collectively for Dtap/IPV/Hib (2 year old) and for Hib/MenC booster (2 year old)</w:t>
      </w:r>
    </w:p>
    <w:p w14:paraId="716E5C22" w14:textId="77777777" w:rsidR="009D7ABF" w:rsidRPr="0041347C" w:rsidRDefault="009D7ABF" w:rsidP="009D7ABF">
      <w:pPr>
        <w:spacing w:line="240" w:lineRule="auto"/>
        <w:rPr>
          <w:rFonts w:cs="Arial"/>
          <w:b/>
          <w:color w:val="002B61"/>
        </w:rPr>
      </w:pPr>
    </w:p>
    <w:p w14:paraId="11BE961A" w14:textId="70FEB6F3" w:rsidR="00AB49C4" w:rsidRPr="0037351D" w:rsidRDefault="009D7ABF" w:rsidP="0043274F">
      <w:pPr>
        <w:spacing w:line="240" w:lineRule="auto"/>
        <w:rPr>
          <w:color w:val="FF0000"/>
        </w:rPr>
      </w:pPr>
      <w:r w:rsidRPr="0041347C">
        <w:rPr>
          <w:color w:val="002B61"/>
          <w:szCs w:val="20"/>
        </w:rPr>
        <w:t xml:space="preserve">USEFUL LINK: </w:t>
      </w:r>
      <w:hyperlink r:id="rId180" w:history="1">
        <w:r w:rsidRPr="0041347C">
          <w:rPr>
            <w:rStyle w:val="Hyperlink"/>
            <w:color w:val="002B61"/>
            <w:szCs w:val="20"/>
          </w:rPr>
          <w:t>http://www.phoutcomes.info/</w:t>
        </w:r>
      </w:hyperlink>
    </w:p>
    <w:p w14:paraId="57912F6C" w14:textId="77777777" w:rsidR="00AB49C4" w:rsidRPr="0037351D" w:rsidRDefault="00AB49C4" w:rsidP="0043274F">
      <w:pPr>
        <w:spacing w:line="240" w:lineRule="auto"/>
        <w:rPr>
          <w:color w:val="FF0000"/>
        </w:rPr>
      </w:pPr>
    </w:p>
    <w:p w14:paraId="77D5231D" w14:textId="77777777" w:rsidR="003D3F6C" w:rsidRPr="009A2AB3" w:rsidRDefault="003D3F6C" w:rsidP="0043274F">
      <w:pPr>
        <w:pStyle w:val="JSNA2"/>
        <w:spacing w:before="0"/>
      </w:pPr>
      <w:bookmarkStart w:id="795" w:name="_Toc4407869"/>
      <w:r w:rsidRPr="009A2AB3">
        <w:t>Adult</w:t>
      </w:r>
      <w:r w:rsidR="00797231" w:rsidRPr="009A2AB3">
        <w:t xml:space="preserve"> screening</w:t>
      </w:r>
      <w:bookmarkEnd w:id="795"/>
    </w:p>
    <w:p w14:paraId="46B10A6B" w14:textId="77777777" w:rsidR="00D60CEC" w:rsidRPr="009A2AB3" w:rsidRDefault="00D60CEC" w:rsidP="0043274F">
      <w:pPr>
        <w:spacing w:line="240" w:lineRule="auto"/>
        <w:rPr>
          <w:color w:val="002F5D"/>
        </w:rPr>
      </w:pPr>
    </w:p>
    <w:p w14:paraId="5AF69F9B" w14:textId="3FE61F45" w:rsidR="00795923" w:rsidRDefault="00B654F0">
      <w:pPr>
        <w:pStyle w:val="Caption"/>
        <w:rPr>
          <w:rFonts w:cs="Arial"/>
          <w:color w:val="002F5D"/>
        </w:rPr>
      </w:pPr>
      <w:r w:rsidRPr="009A2AB3">
        <w:rPr>
          <w:b/>
          <w:color w:val="002F5D"/>
        </w:rPr>
        <w:t>Table</w:t>
      </w:r>
      <w:r w:rsidR="009E239B">
        <w:rPr>
          <w:b/>
          <w:color w:val="002F5D"/>
        </w:rPr>
        <w:t xml:space="preserve"> 53</w:t>
      </w:r>
      <w:r w:rsidR="00366560" w:rsidRPr="009A2AB3">
        <w:rPr>
          <w:rFonts w:cs="Arial"/>
          <w:b/>
          <w:color w:val="002F5D"/>
        </w:rPr>
        <w:t>.</w:t>
      </w:r>
      <w:r w:rsidR="00366560" w:rsidRPr="009A2AB3">
        <w:rPr>
          <w:rFonts w:cs="Arial"/>
          <w:color w:val="002F5D"/>
        </w:rPr>
        <w:t xml:space="preserve"> Screening coverage, 201</w:t>
      </w:r>
      <w:r w:rsidR="00795923">
        <w:rPr>
          <w:rFonts w:cs="Arial"/>
          <w:color w:val="002F5D"/>
        </w:rPr>
        <w:t>8</w:t>
      </w:r>
      <w:r w:rsidR="00366560" w:rsidRPr="009A2AB3">
        <w:rPr>
          <w:rFonts w:cs="Arial"/>
          <w:color w:val="002F5D"/>
        </w:rPr>
        <w:t xml:space="preserve"> (cancer) and 201</w:t>
      </w:r>
      <w:r w:rsidR="00795923">
        <w:rPr>
          <w:rFonts w:cs="Arial"/>
          <w:color w:val="002F5D"/>
        </w:rPr>
        <w:t>7</w:t>
      </w:r>
      <w:r w:rsidR="00366560" w:rsidRPr="009A2AB3">
        <w:rPr>
          <w:rFonts w:cs="Arial"/>
          <w:color w:val="002F5D"/>
        </w:rPr>
        <w:t>/1</w:t>
      </w:r>
      <w:r w:rsidR="00795923">
        <w:rPr>
          <w:rFonts w:cs="Arial"/>
          <w:color w:val="002F5D"/>
        </w:rPr>
        <w:t>8</w:t>
      </w:r>
      <w:r w:rsidR="00366560" w:rsidRPr="009A2AB3">
        <w:rPr>
          <w:rFonts w:cs="Arial"/>
          <w:color w:val="002F5D"/>
        </w:rPr>
        <w:t xml:space="preserve"> (abdominal aortic aneurysm) - Cambridgeshire and </w:t>
      </w:r>
      <w:r w:rsidR="006A7446" w:rsidRPr="009A2AB3">
        <w:rPr>
          <w:rFonts w:cs="Arial"/>
          <w:color w:val="002F5D"/>
        </w:rPr>
        <w:t>Peterborough</w:t>
      </w:r>
      <w:r w:rsidR="0025512A" w:rsidRPr="009A2AB3">
        <w:rPr>
          <w:rFonts w:cs="Arial"/>
          <w:color w:val="002F5D"/>
        </w:rPr>
        <w:t xml:space="preserve"> residents</w:t>
      </w:r>
    </w:p>
    <w:p w14:paraId="2BBDDB91" w14:textId="77777777" w:rsidR="00601E6F" w:rsidRPr="009A2AB3" w:rsidRDefault="00601E6F" w:rsidP="00E61D24"/>
    <w:p w14:paraId="68F41307" w14:textId="48AA2490" w:rsidR="00752168" w:rsidRPr="0037351D" w:rsidRDefault="00AE54CD" w:rsidP="009A2AB3">
      <w:pPr>
        <w:rPr>
          <w:color w:val="FF0000"/>
        </w:rPr>
      </w:pPr>
      <w:r w:rsidRPr="00AE54CD">
        <w:rPr>
          <w:noProof/>
          <w:lang w:eastAsia="en-GB"/>
        </w:rPr>
        <w:drawing>
          <wp:inline distT="0" distB="0" distL="0" distR="0" wp14:anchorId="30BE2A32" wp14:editId="38464259">
            <wp:extent cx="6419200" cy="1058334"/>
            <wp:effectExtent l="0" t="0" r="1270" b="889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33727" cy="1060729"/>
                    </a:xfrm>
                    <a:prstGeom prst="rect">
                      <a:avLst/>
                    </a:prstGeom>
                    <a:noFill/>
                    <a:ln>
                      <a:noFill/>
                    </a:ln>
                  </pic:spPr>
                </pic:pic>
              </a:graphicData>
            </a:graphic>
          </wp:inline>
        </w:drawing>
      </w:r>
    </w:p>
    <w:p w14:paraId="4BBB77CD" w14:textId="77777777" w:rsidR="000F422A" w:rsidRPr="0037351D" w:rsidRDefault="000F422A" w:rsidP="0043274F">
      <w:pPr>
        <w:spacing w:line="240" w:lineRule="auto"/>
        <w:rPr>
          <w:rFonts w:cs="Arial"/>
          <w:color w:val="FF0000"/>
          <w:sz w:val="18"/>
          <w:szCs w:val="18"/>
        </w:rPr>
      </w:pPr>
    </w:p>
    <w:p w14:paraId="71EFC49E" w14:textId="049C6927" w:rsidR="00366560" w:rsidRPr="009A2AB3" w:rsidRDefault="00366560" w:rsidP="0043274F">
      <w:pPr>
        <w:spacing w:line="240" w:lineRule="auto"/>
        <w:rPr>
          <w:rFonts w:cs="Arial"/>
          <w:color w:val="002F5D"/>
          <w:sz w:val="18"/>
          <w:szCs w:val="18"/>
        </w:rPr>
      </w:pPr>
      <w:r w:rsidRPr="009A2AB3">
        <w:rPr>
          <w:rFonts w:cs="Arial"/>
          <w:color w:val="002F5D"/>
          <w:sz w:val="18"/>
          <w:szCs w:val="18"/>
        </w:rPr>
        <w:t>Note:</w:t>
      </w:r>
      <w:r w:rsidR="00632141" w:rsidRPr="009A2AB3">
        <w:rPr>
          <w:rFonts w:cs="Arial"/>
          <w:color w:val="002F5D"/>
          <w:sz w:val="18"/>
          <w:szCs w:val="18"/>
        </w:rPr>
        <w:t xml:space="preserve"> </w:t>
      </w:r>
      <w:r w:rsidRPr="009A2AB3">
        <w:rPr>
          <w:rFonts w:cs="Arial"/>
          <w:color w:val="002F5D"/>
          <w:sz w:val="18"/>
          <w:szCs w:val="18"/>
          <w:vertAlign w:val="superscript"/>
        </w:rPr>
        <w:t>1</w:t>
      </w:r>
      <w:r w:rsidRPr="009A2AB3">
        <w:rPr>
          <w:rFonts w:cs="Arial"/>
          <w:color w:val="002F5D"/>
          <w:sz w:val="18"/>
          <w:szCs w:val="18"/>
        </w:rPr>
        <w:t xml:space="preserve"> </w:t>
      </w:r>
      <w:r w:rsidR="007E0984" w:rsidRPr="009A2AB3">
        <w:rPr>
          <w:rFonts w:cs="Arial"/>
          <w:color w:val="002F5D"/>
          <w:sz w:val="18"/>
          <w:szCs w:val="18"/>
        </w:rPr>
        <w:t>- %</w:t>
      </w:r>
      <w:r w:rsidRPr="009A2AB3">
        <w:rPr>
          <w:rFonts w:cs="Arial"/>
          <w:color w:val="002F5D"/>
          <w:sz w:val="18"/>
          <w:szCs w:val="18"/>
        </w:rPr>
        <w:t xml:space="preserve"> of eligible women screened adequately within the previous 3 years on 31st March</w:t>
      </w:r>
    </w:p>
    <w:p w14:paraId="1656D6BD" w14:textId="68BC04DC" w:rsidR="00366560" w:rsidRPr="009A2AB3" w:rsidRDefault="00366560" w:rsidP="0043274F">
      <w:pPr>
        <w:spacing w:line="240" w:lineRule="auto"/>
        <w:rPr>
          <w:rFonts w:cs="Arial"/>
          <w:color w:val="002F5D"/>
          <w:sz w:val="18"/>
          <w:szCs w:val="18"/>
        </w:rPr>
      </w:pPr>
      <w:r w:rsidRPr="009A2AB3">
        <w:rPr>
          <w:rFonts w:cs="Arial"/>
          <w:color w:val="002F5D"/>
          <w:sz w:val="18"/>
          <w:szCs w:val="18"/>
        </w:rPr>
        <w:t>Note:</w:t>
      </w:r>
      <w:r w:rsidR="00632141" w:rsidRPr="009A2AB3">
        <w:rPr>
          <w:rFonts w:cs="Arial"/>
          <w:color w:val="002F5D"/>
          <w:sz w:val="18"/>
          <w:szCs w:val="18"/>
        </w:rPr>
        <w:t xml:space="preserve"> </w:t>
      </w:r>
      <w:r w:rsidRPr="009A2AB3">
        <w:rPr>
          <w:rFonts w:cs="Arial"/>
          <w:color w:val="002F5D"/>
          <w:sz w:val="18"/>
          <w:szCs w:val="18"/>
          <w:vertAlign w:val="superscript"/>
        </w:rPr>
        <w:t>2</w:t>
      </w:r>
      <w:r w:rsidRPr="009A2AB3">
        <w:rPr>
          <w:rFonts w:cs="Arial"/>
          <w:color w:val="002F5D"/>
          <w:sz w:val="18"/>
          <w:szCs w:val="18"/>
        </w:rPr>
        <w:t xml:space="preserve"> - % of eligible women screened adequately within the previous 3.5 or 5.5 years (according to age) on 31st March</w:t>
      </w:r>
    </w:p>
    <w:p w14:paraId="1C78D586" w14:textId="3869B54B" w:rsidR="00366560" w:rsidRPr="009A2AB3" w:rsidRDefault="00366560" w:rsidP="0043274F">
      <w:pPr>
        <w:spacing w:line="240" w:lineRule="auto"/>
        <w:rPr>
          <w:rFonts w:cs="Arial"/>
          <w:color w:val="002F5D"/>
          <w:sz w:val="18"/>
          <w:szCs w:val="18"/>
        </w:rPr>
      </w:pPr>
      <w:r w:rsidRPr="009A2AB3">
        <w:rPr>
          <w:rFonts w:cs="Arial"/>
          <w:color w:val="002F5D"/>
          <w:sz w:val="18"/>
          <w:szCs w:val="18"/>
        </w:rPr>
        <w:t>Note:</w:t>
      </w:r>
      <w:r w:rsidR="00632141" w:rsidRPr="009A2AB3">
        <w:rPr>
          <w:rFonts w:cs="Arial"/>
          <w:color w:val="002F5D"/>
          <w:sz w:val="18"/>
          <w:szCs w:val="18"/>
        </w:rPr>
        <w:t xml:space="preserve"> </w:t>
      </w:r>
      <w:r w:rsidRPr="009A2AB3">
        <w:rPr>
          <w:rFonts w:cs="Arial"/>
          <w:color w:val="002F5D"/>
          <w:sz w:val="18"/>
          <w:szCs w:val="18"/>
          <w:vertAlign w:val="superscript"/>
        </w:rPr>
        <w:t>3</w:t>
      </w:r>
      <w:r w:rsidRPr="009A2AB3">
        <w:rPr>
          <w:rFonts w:cs="Arial"/>
          <w:color w:val="002F5D"/>
          <w:sz w:val="18"/>
          <w:szCs w:val="18"/>
        </w:rPr>
        <w:t xml:space="preserve"> - % of people eligible for bowel screening who were screened</w:t>
      </w:r>
    </w:p>
    <w:p w14:paraId="62A42662" w14:textId="2A775502" w:rsidR="00366560" w:rsidRPr="009A2AB3" w:rsidRDefault="00366560" w:rsidP="0043274F">
      <w:pPr>
        <w:spacing w:line="240" w:lineRule="auto"/>
        <w:rPr>
          <w:rFonts w:cs="Arial"/>
          <w:color w:val="002F5D"/>
          <w:sz w:val="18"/>
          <w:szCs w:val="18"/>
        </w:rPr>
      </w:pPr>
      <w:r w:rsidRPr="009A2AB3">
        <w:rPr>
          <w:rFonts w:cs="Arial"/>
          <w:color w:val="002F5D"/>
          <w:sz w:val="18"/>
          <w:szCs w:val="18"/>
        </w:rPr>
        <w:t>Note:</w:t>
      </w:r>
      <w:r w:rsidR="00632141" w:rsidRPr="009A2AB3">
        <w:rPr>
          <w:rFonts w:cs="Arial"/>
          <w:color w:val="002F5D"/>
          <w:sz w:val="18"/>
          <w:szCs w:val="18"/>
        </w:rPr>
        <w:t xml:space="preserve"> </w:t>
      </w:r>
      <w:r w:rsidRPr="009A2AB3">
        <w:rPr>
          <w:rFonts w:cs="Arial"/>
          <w:color w:val="002F5D"/>
          <w:sz w:val="18"/>
          <w:szCs w:val="18"/>
          <w:vertAlign w:val="superscript"/>
        </w:rPr>
        <w:t>4</w:t>
      </w:r>
      <w:r w:rsidRPr="009A2AB3">
        <w:rPr>
          <w:rFonts w:cs="Arial"/>
          <w:color w:val="002F5D"/>
          <w:sz w:val="18"/>
          <w:szCs w:val="18"/>
        </w:rPr>
        <w:t xml:space="preserve"> </w:t>
      </w:r>
      <w:r w:rsidR="007E0984" w:rsidRPr="009A2AB3">
        <w:rPr>
          <w:rFonts w:cs="Arial"/>
          <w:color w:val="002F5D"/>
          <w:sz w:val="18"/>
          <w:szCs w:val="18"/>
        </w:rPr>
        <w:t>- %</w:t>
      </w:r>
      <w:r w:rsidRPr="009A2AB3">
        <w:rPr>
          <w:rFonts w:cs="Arial"/>
          <w:color w:val="002F5D"/>
          <w:sz w:val="18"/>
          <w:szCs w:val="18"/>
        </w:rPr>
        <w:t xml:space="preserve"> of men eligible for abdominal aortic aneurysm screening who are conclusively tested</w:t>
      </w:r>
    </w:p>
    <w:p w14:paraId="4E6159FD" w14:textId="114F297E" w:rsidR="00752168" w:rsidRPr="009A2AB3" w:rsidRDefault="00752168" w:rsidP="0043274F">
      <w:pPr>
        <w:spacing w:line="240" w:lineRule="auto"/>
        <w:rPr>
          <w:rFonts w:ascii="Calibri" w:eastAsia="Times New Roman" w:hAnsi="Calibri" w:cs="Calibri"/>
          <w:color w:val="002F5D"/>
          <w:sz w:val="18"/>
          <w:szCs w:val="18"/>
          <w:lang w:eastAsia="en-GB"/>
        </w:rPr>
      </w:pPr>
      <w:r w:rsidRPr="009A2AB3">
        <w:rPr>
          <w:rFonts w:ascii="Calibri" w:eastAsia="Times New Roman" w:hAnsi="Calibri" w:cs="Calibri"/>
          <w:color w:val="002F5D"/>
          <w:sz w:val="18"/>
          <w:szCs w:val="18"/>
          <w:lang w:eastAsia="en-GB"/>
        </w:rPr>
        <w:t>* Aggregated from all known lower geography values, not statistically assessed</w:t>
      </w:r>
    </w:p>
    <w:p w14:paraId="07C61754" w14:textId="0D4336DE" w:rsidR="00366560" w:rsidRPr="009A2AB3" w:rsidRDefault="00752168" w:rsidP="0043274F">
      <w:pPr>
        <w:spacing w:line="240" w:lineRule="auto"/>
        <w:rPr>
          <w:rFonts w:cs="Arial"/>
          <w:color w:val="002F5D"/>
          <w:sz w:val="18"/>
          <w:szCs w:val="18"/>
        </w:rPr>
      </w:pPr>
      <w:r w:rsidRPr="009A2AB3">
        <w:rPr>
          <w:rFonts w:cs="Arial"/>
          <w:color w:val="002F5D"/>
          <w:sz w:val="18"/>
          <w:szCs w:val="18"/>
        </w:rPr>
        <w:t>- Recent trend not available</w:t>
      </w:r>
    </w:p>
    <w:p w14:paraId="7ABCDCAB" w14:textId="77777777" w:rsidR="00795923" w:rsidRDefault="00795923" w:rsidP="00795923">
      <w:pPr>
        <w:spacing w:line="240" w:lineRule="auto"/>
        <w:rPr>
          <w:rFonts w:cs="Arial"/>
          <w:color w:val="FF0000"/>
          <w:sz w:val="18"/>
          <w:szCs w:val="18"/>
        </w:rPr>
      </w:pPr>
    </w:p>
    <w:p w14:paraId="3A6A8AFA" w14:textId="3B4D020E" w:rsidR="00795923" w:rsidRPr="0037351D" w:rsidRDefault="00795923" w:rsidP="00795923">
      <w:pPr>
        <w:spacing w:line="240" w:lineRule="auto"/>
        <w:rPr>
          <w:rFonts w:cs="Arial"/>
          <w:color w:val="FF0000"/>
        </w:rPr>
      </w:pPr>
      <w:r>
        <w:rPr>
          <w:rFonts w:cs="Arial"/>
          <w:noProof/>
          <w:color w:val="FF0000"/>
          <w:sz w:val="18"/>
          <w:szCs w:val="18"/>
          <w:lang w:eastAsia="en-GB"/>
        </w:rPr>
        <w:drawing>
          <wp:inline distT="0" distB="0" distL="0" distR="0" wp14:anchorId="37A36F19" wp14:editId="1454B22C">
            <wp:extent cx="3975100" cy="57912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75100" cy="579120"/>
                    </a:xfrm>
                    <a:prstGeom prst="rect">
                      <a:avLst/>
                    </a:prstGeom>
                    <a:noFill/>
                  </pic:spPr>
                </pic:pic>
              </a:graphicData>
            </a:graphic>
          </wp:inline>
        </w:drawing>
      </w:r>
    </w:p>
    <w:p w14:paraId="2462603B" w14:textId="5B35FFEE" w:rsidR="00795923" w:rsidRPr="009A2AB3" w:rsidRDefault="00795923" w:rsidP="00795923">
      <w:pPr>
        <w:spacing w:line="240" w:lineRule="auto"/>
        <w:rPr>
          <w:noProof/>
          <w:color w:val="002F5D"/>
          <w:lang w:eastAsia="en-GB"/>
        </w:rPr>
      </w:pPr>
    </w:p>
    <w:p w14:paraId="2713C770" w14:textId="77777777" w:rsidR="005C01AF" w:rsidRPr="009A2AB3" w:rsidRDefault="005C01AF" w:rsidP="0043274F">
      <w:pPr>
        <w:spacing w:line="240" w:lineRule="auto"/>
        <w:rPr>
          <w:rFonts w:ascii="Calibri" w:eastAsia="Times New Roman" w:hAnsi="Calibri" w:cs="Times New Roman"/>
          <w:color w:val="002F5D"/>
          <w:lang w:eastAsia="en-GB"/>
        </w:rPr>
      </w:pPr>
      <w:r w:rsidRPr="009A2AB3">
        <w:rPr>
          <w:rFonts w:ascii="Calibri" w:eastAsia="Times New Roman" w:hAnsi="Calibri" w:cs="Times New Roman"/>
          <w:b/>
          <w:bCs/>
          <w:color w:val="002F5D"/>
          <w:lang w:eastAsia="en-GB"/>
        </w:rPr>
        <w:t>Source</w:t>
      </w:r>
      <w:r w:rsidRPr="009A2AB3">
        <w:rPr>
          <w:rFonts w:ascii="Calibri" w:eastAsia="Times New Roman" w:hAnsi="Calibri" w:cs="Times New Roman"/>
          <w:color w:val="002F5D"/>
          <w:lang w:eastAsia="en-GB"/>
        </w:rPr>
        <w:t>: Public Health England, Public Health Outcomes Framew</w:t>
      </w:r>
      <w:r w:rsidR="007F70D8" w:rsidRPr="009A2AB3">
        <w:rPr>
          <w:rFonts w:ascii="Calibri" w:eastAsia="Times New Roman" w:hAnsi="Calibri" w:cs="Times New Roman"/>
          <w:color w:val="002F5D"/>
          <w:lang w:eastAsia="en-GB"/>
        </w:rPr>
        <w:t>ork</w:t>
      </w:r>
    </w:p>
    <w:p w14:paraId="3CD6E788" w14:textId="3F41094D" w:rsidR="00D60CEC" w:rsidRPr="009A2AB3" w:rsidRDefault="00D60CEC" w:rsidP="0043274F">
      <w:pPr>
        <w:spacing w:line="240" w:lineRule="auto"/>
        <w:rPr>
          <w:color w:val="002F5D"/>
        </w:rPr>
      </w:pPr>
    </w:p>
    <w:p w14:paraId="1B7D3010" w14:textId="77777777" w:rsidR="005C01AF" w:rsidRPr="009A2AB3" w:rsidRDefault="005C01AF" w:rsidP="0043274F">
      <w:pPr>
        <w:spacing w:line="240" w:lineRule="auto"/>
        <w:rPr>
          <w:b/>
          <w:color w:val="002F5D"/>
        </w:rPr>
      </w:pPr>
      <w:r w:rsidRPr="009A2AB3">
        <w:rPr>
          <w:b/>
          <w:color w:val="002F5D"/>
        </w:rPr>
        <w:t>Key points:</w:t>
      </w:r>
    </w:p>
    <w:p w14:paraId="44D22B7B" w14:textId="296A5F64" w:rsidR="00795923" w:rsidRPr="009A2AB3" w:rsidRDefault="00F61F10" w:rsidP="0043274F">
      <w:pPr>
        <w:pStyle w:val="ListParagraph"/>
        <w:numPr>
          <w:ilvl w:val="0"/>
          <w:numId w:val="55"/>
        </w:numPr>
        <w:spacing w:line="240" w:lineRule="auto"/>
        <w:rPr>
          <w:color w:val="002F5D"/>
        </w:rPr>
      </w:pPr>
      <w:r w:rsidRPr="009A2AB3">
        <w:rPr>
          <w:color w:val="002F5D"/>
        </w:rPr>
        <w:t>Cambridgeshire and Peterborough</w:t>
      </w:r>
      <w:r w:rsidR="00795923" w:rsidRPr="009A2AB3">
        <w:rPr>
          <w:color w:val="002F5D"/>
        </w:rPr>
        <w:t xml:space="preserve"> combined has statistically significantly lower (worse) cervical cancer screening rate</w:t>
      </w:r>
      <w:r w:rsidRPr="009A2AB3">
        <w:rPr>
          <w:color w:val="002F5D"/>
        </w:rPr>
        <w:t xml:space="preserve">s </w:t>
      </w:r>
      <w:r w:rsidR="00795923" w:rsidRPr="009A2AB3">
        <w:rPr>
          <w:color w:val="002F5D"/>
        </w:rPr>
        <w:t>and better bowel cancer screening rates</w:t>
      </w:r>
      <w:r w:rsidRPr="009A2AB3">
        <w:rPr>
          <w:color w:val="002F5D"/>
        </w:rPr>
        <w:t xml:space="preserve"> compared to the national benchmark. </w:t>
      </w:r>
    </w:p>
    <w:p w14:paraId="568CD29D" w14:textId="645FC53C" w:rsidR="00795923" w:rsidRPr="009A2AB3" w:rsidRDefault="00392031">
      <w:pPr>
        <w:pStyle w:val="ListParagraph"/>
        <w:numPr>
          <w:ilvl w:val="0"/>
          <w:numId w:val="55"/>
        </w:numPr>
        <w:spacing w:line="240" w:lineRule="auto"/>
        <w:rPr>
          <w:color w:val="002F5D"/>
        </w:rPr>
      </w:pPr>
      <w:r w:rsidRPr="009A2AB3">
        <w:rPr>
          <w:color w:val="002F5D"/>
        </w:rPr>
        <w:t>The recent trend in cervical cancer screening for Cambridgeshire and Peterborough independently is also downwards (getting worse). This is also the case nationally.</w:t>
      </w:r>
    </w:p>
    <w:p w14:paraId="4F7A3D64" w14:textId="77777777" w:rsidR="00037A57" w:rsidRPr="009A2AB3" w:rsidRDefault="007C6798" w:rsidP="0043274F">
      <w:pPr>
        <w:pStyle w:val="ListParagraph"/>
        <w:numPr>
          <w:ilvl w:val="0"/>
          <w:numId w:val="55"/>
        </w:numPr>
        <w:spacing w:line="240" w:lineRule="auto"/>
        <w:rPr>
          <w:color w:val="002F5D"/>
        </w:rPr>
      </w:pPr>
      <w:r w:rsidRPr="009A2AB3">
        <w:rPr>
          <w:color w:val="002F5D"/>
        </w:rPr>
        <w:t>Peterborough’s screening rates are all statistically significantly</w:t>
      </w:r>
      <w:r w:rsidR="00037A57" w:rsidRPr="009A2AB3">
        <w:rPr>
          <w:color w:val="002F5D"/>
        </w:rPr>
        <w:t xml:space="preserve"> lower (worse) than the national rate, except screening of abdominal aortic aneurysm which is statistically similar.</w:t>
      </w:r>
    </w:p>
    <w:p w14:paraId="1F921679" w14:textId="5286D647" w:rsidR="005C01AF" w:rsidRPr="009A2AB3" w:rsidRDefault="005C01AF" w:rsidP="0043274F">
      <w:pPr>
        <w:pStyle w:val="ListParagraph"/>
        <w:numPr>
          <w:ilvl w:val="0"/>
          <w:numId w:val="55"/>
        </w:numPr>
        <w:spacing w:line="240" w:lineRule="auto"/>
        <w:rPr>
          <w:color w:val="002F5D"/>
        </w:rPr>
      </w:pPr>
      <w:r w:rsidRPr="009A2AB3">
        <w:rPr>
          <w:color w:val="002F5D"/>
        </w:rPr>
        <w:t>Cambridgeshire's screening rates are</w:t>
      </w:r>
      <w:r w:rsidR="004F609F">
        <w:rPr>
          <w:color w:val="002F5D"/>
        </w:rPr>
        <w:t>,</w:t>
      </w:r>
      <w:r w:rsidRPr="009A2AB3">
        <w:rPr>
          <w:color w:val="002F5D"/>
        </w:rPr>
        <w:t xml:space="preserve"> </w:t>
      </w:r>
      <w:r w:rsidR="00795923" w:rsidRPr="009A2AB3">
        <w:rPr>
          <w:color w:val="002F5D"/>
        </w:rPr>
        <w:t xml:space="preserve">for </w:t>
      </w:r>
      <w:r w:rsidR="004F609F">
        <w:rPr>
          <w:color w:val="002F5D"/>
        </w:rPr>
        <w:t>b</w:t>
      </w:r>
      <w:r w:rsidR="00795923" w:rsidRPr="00E61D24">
        <w:rPr>
          <w:color w:val="002F5D"/>
        </w:rPr>
        <w:t xml:space="preserve">reast and </w:t>
      </w:r>
      <w:r w:rsidR="004F609F">
        <w:rPr>
          <w:color w:val="002F5D"/>
        </w:rPr>
        <w:t>b</w:t>
      </w:r>
      <w:r w:rsidR="00795923" w:rsidRPr="00E61D24">
        <w:rPr>
          <w:color w:val="002F5D"/>
        </w:rPr>
        <w:t>owel cancer screen</w:t>
      </w:r>
      <w:r w:rsidR="004F609F">
        <w:rPr>
          <w:color w:val="002F5D"/>
        </w:rPr>
        <w:t>ing,</w:t>
      </w:r>
      <w:r w:rsidR="00795923" w:rsidRPr="009A2AB3">
        <w:rPr>
          <w:color w:val="002F5D"/>
        </w:rPr>
        <w:t xml:space="preserve"> </w:t>
      </w:r>
      <w:r w:rsidRPr="009A2AB3">
        <w:rPr>
          <w:color w:val="002F5D"/>
        </w:rPr>
        <w:t>statistically significantly above the England average</w:t>
      </w:r>
      <w:r w:rsidR="00037A57" w:rsidRPr="009A2AB3">
        <w:rPr>
          <w:color w:val="002F5D"/>
        </w:rPr>
        <w:t xml:space="preserve"> (better)</w:t>
      </w:r>
      <w:r w:rsidR="004F609F">
        <w:rPr>
          <w:color w:val="002F5D"/>
        </w:rPr>
        <w:t>; however,</w:t>
      </w:r>
      <w:r w:rsidRPr="009A2AB3">
        <w:rPr>
          <w:color w:val="002F5D"/>
        </w:rPr>
        <w:t xml:space="preserve"> the rate for cervical cancer screening is</w:t>
      </w:r>
      <w:r w:rsidR="004F609F">
        <w:rPr>
          <w:color w:val="002F5D"/>
        </w:rPr>
        <w:t xml:space="preserve"> statistically</w:t>
      </w:r>
      <w:r w:rsidRPr="009A2AB3">
        <w:rPr>
          <w:color w:val="002F5D"/>
        </w:rPr>
        <w:t xml:space="preserve"> significantly worse.</w:t>
      </w:r>
    </w:p>
    <w:p w14:paraId="4274F513" w14:textId="3BDC38CD" w:rsidR="00AB49C4" w:rsidRPr="009A2AB3" w:rsidRDefault="005C01AF" w:rsidP="00AB49C4">
      <w:pPr>
        <w:pStyle w:val="ListParagraph"/>
        <w:numPr>
          <w:ilvl w:val="0"/>
          <w:numId w:val="55"/>
        </w:numPr>
        <w:spacing w:line="240" w:lineRule="auto"/>
        <w:rPr>
          <w:color w:val="002F5D"/>
        </w:rPr>
      </w:pPr>
      <w:r w:rsidRPr="009A2AB3">
        <w:rPr>
          <w:color w:val="002F5D"/>
        </w:rPr>
        <w:t xml:space="preserve">Screening rates in </w:t>
      </w:r>
      <w:r w:rsidR="0084438B" w:rsidRPr="009A2AB3">
        <w:rPr>
          <w:color w:val="002F5D"/>
        </w:rPr>
        <w:t>Cambridge</w:t>
      </w:r>
      <w:r w:rsidRPr="009A2AB3">
        <w:rPr>
          <w:color w:val="002F5D"/>
        </w:rPr>
        <w:t xml:space="preserve"> and Fenland are generally the worst in terms of the districts - </w:t>
      </w:r>
      <w:r w:rsidR="0084438B" w:rsidRPr="009A2AB3">
        <w:rPr>
          <w:color w:val="002F5D"/>
        </w:rPr>
        <w:t>Cambridge</w:t>
      </w:r>
      <w:r w:rsidRPr="009A2AB3">
        <w:rPr>
          <w:color w:val="002F5D"/>
        </w:rPr>
        <w:t xml:space="preserve">'s rates are </w:t>
      </w:r>
      <w:r w:rsidR="004F609F">
        <w:rPr>
          <w:color w:val="002F5D"/>
        </w:rPr>
        <w:t xml:space="preserve">statistically </w:t>
      </w:r>
      <w:r w:rsidRPr="009A2AB3">
        <w:rPr>
          <w:color w:val="002F5D"/>
        </w:rPr>
        <w:t xml:space="preserve">significantly worse than the England rate for breast, cervical and bowel cancer </w:t>
      </w:r>
      <w:r w:rsidR="00E66C69" w:rsidRPr="009A2AB3">
        <w:rPr>
          <w:color w:val="002F5D"/>
        </w:rPr>
        <w:t xml:space="preserve">and abdominal aortic aneurysm </w:t>
      </w:r>
      <w:r w:rsidRPr="009A2AB3">
        <w:rPr>
          <w:color w:val="002F5D"/>
        </w:rPr>
        <w:t>screening. Fenland's rates are generally similar to the national average, other than for bowel cancer screening where they are statistically significantly worse than England's rate.</w:t>
      </w:r>
    </w:p>
    <w:p w14:paraId="1BEAC0EE" w14:textId="77777777" w:rsidR="00AB49C4" w:rsidRPr="009A2AB3" w:rsidRDefault="00AB49C4">
      <w:pPr>
        <w:rPr>
          <w:color w:val="002F5D"/>
        </w:rPr>
      </w:pPr>
      <w:r w:rsidRPr="009A2AB3">
        <w:rPr>
          <w:color w:val="002F5D"/>
        </w:rPr>
        <w:br w:type="page"/>
      </w:r>
    </w:p>
    <w:p w14:paraId="17F83AF0" w14:textId="77777777" w:rsidR="007F70D8" w:rsidRPr="009A2AB3" w:rsidRDefault="007F70D8" w:rsidP="007F70D8">
      <w:pPr>
        <w:pStyle w:val="JSNA2"/>
      </w:pPr>
      <w:bookmarkStart w:id="796" w:name="_Toc4407870"/>
      <w:r w:rsidRPr="009A2AB3">
        <w:lastRenderedPageBreak/>
        <w:t>Influenza</w:t>
      </w:r>
      <w:bookmarkEnd w:id="796"/>
    </w:p>
    <w:p w14:paraId="28F9BFD0" w14:textId="77777777" w:rsidR="007F70D8" w:rsidRPr="0037351D" w:rsidRDefault="007F70D8" w:rsidP="0050222B">
      <w:pPr>
        <w:spacing w:line="240" w:lineRule="auto"/>
        <w:rPr>
          <w:rFonts w:cs="Arial"/>
          <w:b/>
          <w:color w:val="FF0000"/>
        </w:rPr>
      </w:pPr>
    </w:p>
    <w:p w14:paraId="10405200" w14:textId="18D11FF3" w:rsidR="0050222B" w:rsidRDefault="00B654F0" w:rsidP="00B654F0">
      <w:pPr>
        <w:pStyle w:val="Caption"/>
        <w:rPr>
          <w:rFonts w:cs="Arial"/>
          <w:color w:val="002F5D"/>
        </w:rPr>
      </w:pPr>
      <w:r w:rsidRPr="009A2AB3">
        <w:rPr>
          <w:b/>
          <w:color w:val="002F5D"/>
        </w:rPr>
        <w:t>Table</w:t>
      </w:r>
      <w:r w:rsidR="00A5114D">
        <w:rPr>
          <w:b/>
          <w:color w:val="002F5D"/>
        </w:rPr>
        <w:t xml:space="preserve"> 54</w:t>
      </w:r>
      <w:r w:rsidR="0050222B" w:rsidRPr="009A2AB3">
        <w:rPr>
          <w:rFonts w:cs="Arial"/>
          <w:b/>
          <w:color w:val="002F5D"/>
        </w:rPr>
        <w:t>.</w:t>
      </w:r>
      <w:r w:rsidR="0050222B" w:rsidRPr="009A2AB3">
        <w:rPr>
          <w:rFonts w:cs="Arial"/>
          <w:color w:val="002F5D"/>
        </w:rPr>
        <w:t xml:space="preserve"> Flu vaccination coverage (%) – Cambridgeshire</w:t>
      </w:r>
      <w:r w:rsidR="00B41522" w:rsidRPr="009A2AB3">
        <w:rPr>
          <w:rFonts w:cs="Arial"/>
          <w:color w:val="002F5D"/>
        </w:rPr>
        <w:t xml:space="preserve"> and Peterborough</w:t>
      </w:r>
    </w:p>
    <w:p w14:paraId="21F76B7B" w14:textId="77777777" w:rsidR="009E239B" w:rsidRPr="009A2AB3" w:rsidRDefault="009E239B" w:rsidP="00E61D24"/>
    <w:p w14:paraId="7FC310FB" w14:textId="0A369331" w:rsidR="00DE2910" w:rsidRPr="009A2AB3" w:rsidRDefault="009E239B" w:rsidP="009A2AB3">
      <w:pPr>
        <w:tabs>
          <w:tab w:val="left" w:pos="7935"/>
        </w:tabs>
        <w:spacing w:line="276" w:lineRule="auto"/>
        <w:rPr>
          <w:rFonts w:ascii="Calibri" w:eastAsia="Times New Roman" w:hAnsi="Calibri" w:cs="Times New Roman"/>
          <w:color w:val="002F5D"/>
          <w:sz w:val="18"/>
          <w:szCs w:val="18"/>
          <w:vertAlign w:val="superscript"/>
          <w:lang w:eastAsia="en-GB"/>
        </w:rPr>
      </w:pPr>
      <w:r w:rsidRPr="009E239B">
        <w:rPr>
          <w:noProof/>
          <w:lang w:eastAsia="en-GB"/>
        </w:rPr>
        <w:drawing>
          <wp:inline distT="0" distB="0" distL="0" distR="0" wp14:anchorId="5CF511AB" wp14:editId="70872479">
            <wp:extent cx="6120130" cy="972276"/>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0130" cy="972276"/>
                    </a:xfrm>
                    <a:prstGeom prst="rect">
                      <a:avLst/>
                    </a:prstGeom>
                    <a:noFill/>
                    <a:ln>
                      <a:noFill/>
                    </a:ln>
                  </pic:spPr>
                </pic:pic>
              </a:graphicData>
            </a:graphic>
          </wp:inline>
        </w:drawing>
      </w:r>
      <w:r w:rsidR="009F16B6" w:rsidRPr="0037351D">
        <w:rPr>
          <w:color w:val="FF0000"/>
        </w:rPr>
        <w:tab/>
      </w:r>
    </w:p>
    <w:p w14:paraId="796F7074" w14:textId="77777777" w:rsidR="0050222B" w:rsidRPr="009A2AB3" w:rsidRDefault="0050222B" w:rsidP="0050222B">
      <w:pPr>
        <w:spacing w:line="240" w:lineRule="auto"/>
        <w:rPr>
          <w:rFonts w:ascii="Calibri" w:eastAsia="Times New Roman" w:hAnsi="Calibri" w:cs="Times New Roman"/>
          <w:color w:val="002F5D"/>
          <w:sz w:val="18"/>
          <w:szCs w:val="18"/>
          <w:lang w:eastAsia="en-GB"/>
        </w:rPr>
      </w:pPr>
      <w:r w:rsidRPr="009A2AB3">
        <w:rPr>
          <w:rFonts w:ascii="Calibri" w:eastAsia="Times New Roman" w:hAnsi="Calibri" w:cs="Times New Roman"/>
          <w:color w:val="002F5D"/>
          <w:sz w:val="18"/>
          <w:szCs w:val="18"/>
          <w:vertAlign w:val="superscript"/>
          <w:lang w:eastAsia="en-GB"/>
        </w:rPr>
        <w:t>1</w:t>
      </w:r>
      <w:r w:rsidR="00632141" w:rsidRPr="009A2AB3">
        <w:rPr>
          <w:rFonts w:ascii="Calibri" w:eastAsia="Times New Roman" w:hAnsi="Calibri" w:cs="Times New Roman"/>
          <w:color w:val="002F5D"/>
          <w:sz w:val="18"/>
          <w:szCs w:val="18"/>
          <w:lang w:eastAsia="en-GB"/>
        </w:rPr>
        <w:t xml:space="preserve"> </w:t>
      </w:r>
      <w:r w:rsidRPr="009A2AB3">
        <w:rPr>
          <w:rFonts w:ascii="Calibri" w:eastAsia="Times New Roman" w:hAnsi="Calibri" w:cs="Times New Roman"/>
          <w:color w:val="002F5D"/>
          <w:sz w:val="18"/>
          <w:szCs w:val="18"/>
          <w:lang w:eastAsia="en-GB"/>
        </w:rPr>
        <w:t>benchmarked agai</w:t>
      </w:r>
      <w:r w:rsidR="007F70D8" w:rsidRPr="009A2AB3">
        <w:rPr>
          <w:rFonts w:ascii="Calibri" w:eastAsia="Times New Roman" w:hAnsi="Calibri" w:cs="Times New Roman"/>
          <w:color w:val="002F5D"/>
          <w:sz w:val="18"/>
          <w:szCs w:val="18"/>
          <w:lang w:eastAsia="en-GB"/>
        </w:rPr>
        <w:t>nst threshold based goals</w:t>
      </w:r>
    </w:p>
    <w:p w14:paraId="433A1B56" w14:textId="77777777" w:rsidR="0081169F" w:rsidRPr="009A2AB3" w:rsidRDefault="0081169F" w:rsidP="0081169F">
      <w:pPr>
        <w:spacing w:line="240" w:lineRule="auto"/>
        <w:rPr>
          <w:rFonts w:ascii="Calibri" w:eastAsia="Times New Roman" w:hAnsi="Calibri" w:cs="Times New Roman"/>
          <w:color w:val="002F5D"/>
          <w:sz w:val="18"/>
          <w:szCs w:val="18"/>
          <w:lang w:eastAsia="en-GB"/>
        </w:rPr>
      </w:pPr>
      <w:r w:rsidRPr="009A2AB3">
        <w:rPr>
          <w:rFonts w:ascii="Calibri" w:eastAsia="Times New Roman" w:hAnsi="Calibri" w:cs="Times New Roman"/>
          <w:color w:val="002F5D"/>
          <w:sz w:val="18"/>
          <w:szCs w:val="18"/>
          <w:lang w:eastAsia="en-GB"/>
        </w:rPr>
        <w:t>-No recent trend data available</w:t>
      </w:r>
    </w:p>
    <w:p w14:paraId="27377C33" w14:textId="25830E9A" w:rsidR="0081169F" w:rsidRPr="009A2AB3" w:rsidRDefault="0081169F" w:rsidP="0081169F">
      <w:pPr>
        <w:spacing w:line="240" w:lineRule="auto"/>
        <w:rPr>
          <w:rFonts w:ascii="Calibri" w:eastAsia="Times New Roman" w:hAnsi="Calibri" w:cs="Times New Roman"/>
          <w:color w:val="002F5D"/>
          <w:sz w:val="18"/>
          <w:szCs w:val="18"/>
          <w:lang w:eastAsia="en-GB"/>
        </w:rPr>
      </w:pPr>
      <w:r w:rsidRPr="009A2AB3">
        <w:rPr>
          <w:rFonts w:ascii="Calibri" w:eastAsia="Times New Roman" w:hAnsi="Calibri" w:cs="Times New Roman"/>
          <w:color w:val="002F5D"/>
          <w:sz w:val="18"/>
          <w:szCs w:val="18"/>
          <w:lang w:eastAsia="en-GB"/>
        </w:rPr>
        <w:t>~</w:t>
      </w:r>
      <w:r w:rsidRPr="009A2AB3">
        <w:rPr>
          <w:rFonts w:ascii="Calibri" w:eastAsia="Times New Roman" w:hAnsi="Calibri" w:cs="Calibri"/>
          <w:color w:val="002F5D"/>
          <w:sz w:val="18"/>
          <w:szCs w:val="18"/>
          <w:lang w:eastAsia="en-GB"/>
        </w:rPr>
        <w:t xml:space="preserve"> Aggregated from all known lower geography values</w:t>
      </w:r>
    </w:p>
    <w:p w14:paraId="16A46EB8" w14:textId="132F578C" w:rsidR="0050222B" w:rsidRPr="0037351D" w:rsidRDefault="0050222B" w:rsidP="00273EB5">
      <w:pPr>
        <w:spacing w:line="240" w:lineRule="auto"/>
        <w:rPr>
          <w:rFonts w:ascii="Calibri" w:eastAsia="Times New Roman" w:hAnsi="Calibri" w:cs="Times New Roman"/>
          <w:color w:val="FF0000"/>
          <w:lang w:eastAsia="en-GB"/>
        </w:rPr>
      </w:pPr>
    </w:p>
    <w:p w14:paraId="3D38598B" w14:textId="697E83CA" w:rsidR="009C71D8" w:rsidRPr="0037351D" w:rsidRDefault="009E239B" w:rsidP="00273EB5">
      <w:pPr>
        <w:spacing w:line="240" w:lineRule="auto"/>
        <w:rPr>
          <w:rFonts w:ascii="Calibri" w:eastAsia="Times New Roman" w:hAnsi="Calibri" w:cs="Times New Roman"/>
          <w:color w:val="FF0000"/>
          <w:lang w:eastAsia="en-GB"/>
        </w:rPr>
      </w:pPr>
      <w:r w:rsidRPr="00527BE6">
        <w:rPr>
          <w:noProof/>
          <w:lang w:eastAsia="en-GB"/>
        </w:rPr>
        <w:drawing>
          <wp:anchor distT="0" distB="0" distL="114300" distR="114300" simplePos="0" relativeHeight="251700224" behindDoc="0" locked="0" layoutInCell="1" allowOverlap="1" wp14:anchorId="6AA031AD" wp14:editId="1D0864F0">
            <wp:simplePos x="0" y="0"/>
            <wp:positionH relativeFrom="column">
              <wp:posOffset>3223260</wp:posOffset>
            </wp:positionH>
            <wp:positionV relativeFrom="paragraph">
              <wp:posOffset>5080</wp:posOffset>
            </wp:positionV>
            <wp:extent cx="2667000" cy="506730"/>
            <wp:effectExtent l="0" t="0" r="0" b="7620"/>
            <wp:wrapSquare wrapText="bothSides"/>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67000" cy="50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E47">
        <w:rPr>
          <w:rFonts w:ascii="Calibri" w:eastAsia="Times New Roman" w:hAnsi="Calibri" w:cs="Times New Roman"/>
          <w:noProof/>
          <w:color w:val="FF0000"/>
          <w:lang w:eastAsia="en-GB"/>
        </w:rPr>
        <w:drawing>
          <wp:inline distT="0" distB="0" distL="0" distR="0" wp14:anchorId="049839C0" wp14:editId="661355A6">
            <wp:extent cx="2305050" cy="545217"/>
            <wp:effectExtent l="0" t="0" r="0" b="762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24355" cy="549783"/>
                    </a:xfrm>
                    <a:prstGeom prst="rect">
                      <a:avLst/>
                    </a:prstGeom>
                    <a:noFill/>
                  </pic:spPr>
                </pic:pic>
              </a:graphicData>
            </a:graphic>
          </wp:inline>
        </w:drawing>
      </w:r>
    </w:p>
    <w:p w14:paraId="0D3EA849" w14:textId="22D385FD" w:rsidR="00273EB5" w:rsidRPr="009A2AB3" w:rsidRDefault="00273EB5" w:rsidP="00273EB5">
      <w:pPr>
        <w:spacing w:line="240" w:lineRule="auto"/>
        <w:rPr>
          <w:rFonts w:ascii="Calibri" w:eastAsia="Times New Roman" w:hAnsi="Calibri" w:cs="Times New Roman"/>
          <w:color w:val="002F5D"/>
          <w:lang w:eastAsia="en-GB"/>
        </w:rPr>
      </w:pPr>
    </w:p>
    <w:p w14:paraId="37CAA58D" w14:textId="356FC734" w:rsidR="00273EB5" w:rsidRPr="009A2AB3" w:rsidRDefault="00273EB5" w:rsidP="00273EB5">
      <w:pPr>
        <w:spacing w:line="240" w:lineRule="auto"/>
        <w:rPr>
          <w:rFonts w:ascii="Calibri" w:eastAsia="Times New Roman" w:hAnsi="Calibri" w:cs="Times New Roman"/>
          <w:color w:val="002F5D"/>
          <w:lang w:eastAsia="en-GB"/>
        </w:rPr>
      </w:pPr>
      <w:r w:rsidRPr="009A2AB3">
        <w:rPr>
          <w:rFonts w:ascii="Calibri" w:eastAsia="Times New Roman" w:hAnsi="Calibri" w:cs="Times New Roman"/>
          <w:b/>
          <w:bCs/>
          <w:color w:val="002F5D"/>
          <w:lang w:eastAsia="en-GB"/>
        </w:rPr>
        <w:t>Source</w:t>
      </w:r>
      <w:r w:rsidRPr="009A2AB3">
        <w:rPr>
          <w:rFonts w:ascii="Calibri" w:eastAsia="Times New Roman" w:hAnsi="Calibri" w:cs="Times New Roman"/>
          <w:color w:val="002F5D"/>
          <w:lang w:eastAsia="en-GB"/>
        </w:rPr>
        <w:t>: Public Health England, Pu</w:t>
      </w:r>
      <w:r w:rsidR="007F70D8" w:rsidRPr="009A2AB3">
        <w:rPr>
          <w:rFonts w:ascii="Calibri" w:eastAsia="Times New Roman" w:hAnsi="Calibri" w:cs="Times New Roman"/>
          <w:color w:val="002F5D"/>
          <w:lang w:eastAsia="en-GB"/>
        </w:rPr>
        <w:t>blic Health Outcomes Framework</w:t>
      </w:r>
    </w:p>
    <w:p w14:paraId="1C39F67A" w14:textId="77777777" w:rsidR="00D61039" w:rsidRPr="009A2AB3" w:rsidRDefault="00D61039" w:rsidP="00273EB5">
      <w:pPr>
        <w:spacing w:line="240" w:lineRule="auto"/>
        <w:rPr>
          <w:rFonts w:ascii="Calibri" w:eastAsia="Times New Roman" w:hAnsi="Calibri" w:cs="Times New Roman"/>
          <w:color w:val="002F5D"/>
          <w:lang w:eastAsia="en-GB"/>
        </w:rPr>
      </w:pPr>
    </w:p>
    <w:p w14:paraId="52BA3CFD" w14:textId="77777777" w:rsidR="00D61039" w:rsidRPr="0041347C" w:rsidRDefault="00D61039" w:rsidP="00D61039">
      <w:pPr>
        <w:spacing w:line="240" w:lineRule="auto"/>
        <w:rPr>
          <w:rFonts w:ascii="Calibri" w:eastAsia="Times New Roman" w:hAnsi="Calibri" w:cs="Times New Roman"/>
          <w:b/>
          <w:color w:val="002B61"/>
          <w:lang w:eastAsia="en-GB"/>
        </w:rPr>
      </w:pPr>
      <w:r w:rsidRPr="0041347C">
        <w:rPr>
          <w:rFonts w:ascii="Calibri" w:eastAsia="Times New Roman" w:hAnsi="Calibri" w:cs="Times New Roman"/>
          <w:b/>
          <w:color w:val="002B61"/>
          <w:lang w:eastAsia="en-GB"/>
        </w:rPr>
        <w:t>Key points:</w:t>
      </w:r>
    </w:p>
    <w:p w14:paraId="4DC2A87A" w14:textId="77777777" w:rsidR="00D61039" w:rsidRPr="0041347C" w:rsidRDefault="00D61039" w:rsidP="00D61039">
      <w:pPr>
        <w:pStyle w:val="ListParagraph"/>
        <w:numPr>
          <w:ilvl w:val="0"/>
          <w:numId w:val="57"/>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Flu vaccination coverage for older people</w:t>
      </w:r>
      <w:r>
        <w:rPr>
          <w:rFonts w:ascii="Calibri" w:eastAsia="Times New Roman" w:hAnsi="Calibri" w:cs="Times New Roman"/>
          <w:color w:val="002B61"/>
          <w:lang w:eastAsia="en-GB"/>
        </w:rPr>
        <w:t xml:space="preserve"> and</w:t>
      </w:r>
      <w:r w:rsidRPr="0041347C">
        <w:rPr>
          <w:rFonts w:ascii="Calibri" w:eastAsia="Times New Roman" w:hAnsi="Calibri" w:cs="Times New Roman"/>
          <w:color w:val="002B61"/>
          <w:lang w:eastAsia="en-GB"/>
        </w:rPr>
        <w:t xml:space="preserve"> at risk individuals</w:t>
      </w:r>
      <w:r w:rsidRPr="0041347C">
        <w:rPr>
          <w:rStyle w:val="FootnoteReference"/>
          <w:rFonts w:ascii="Calibri" w:eastAsia="Times New Roman" w:hAnsi="Calibri" w:cs="Times New Roman"/>
          <w:color w:val="002B61"/>
          <w:lang w:eastAsia="en-GB"/>
        </w:rPr>
        <w:footnoteReference w:id="12"/>
      </w:r>
      <w:r w:rsidRPr="0041347C">
        <w:rPr>
          <w:rFonts w:ascii="Calibri" w:eastAsia="Times New Roman" w:hAnsi="Calibri" w:cs="Times New Roman"/>
          <w:color w:val="002B61"/>
          <w:lang w:eastAsia="en-GB"/>
        </w:rPr>
        <w:t xml:space="preserve"> are statistically significantly below target goals for England and Cambridgeshire and Peterborough, both independently and as a whole. </w:t>
      </w:r>
    </w:p>
    <w:p w14:paraId="3FC61FBF" w14:textId="77777777" w:rsidR="00D61039" w:rsidRPr="0041347C" w:rsidRDefault="00D61039" w:rsidP="00D61039">
      <w:pPr>
        <w:pStyle w:val="ListParagraph"/>
        <w:numPr>
          <w:ilvl w:val="0"/>
          <w:numId w:val="57"/>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Coverage for 2-3 year olds in England, Cambridgeshire and Cambridgeshire and Peterborough collectively is</w:t>
      </w:r>
      <w:r>
        <w:rPr>
          <w:rFonts w:ascii="Calibri" w:eastAsia="Times New Roman" w:hAnsi="Calibri" w:cs="Times New Roman"/>
          <w:color w:val="002B61"/>
          <w:lang w:eastAsia="en-GB"/>
        </w:rPr>
        <w:t xml:space="preserve"> the</w:t>
      </w:r>
      <w:r w:rsidRPr="0041347C">
        <w:rPr>
          <w:rFonts w:ascii="Calibri" w:eastAsia="Times New Roman" w:hAnsi="Calibri" w:cs="Times New Roman"/>
          <w:color w:val="002B61"/>
          <w:lang w:eastAsia="en-GB"/>
        </w:rPr>
        <w:t xml:space="preserve"> only indicator which is statistically similar to the benchmark goal.</w:t>
      </w:r>
    </w:p>
    <w:p w14:paraId="2EBCAA8B" w14:textId="77777777" w:rsidR="00D61039" w:rsidRPr="0041347C" w:rsidRDefault="00D61039" w:rsidP="00D61039">
      <w:pPr>
        <w:pStyle w:val="ListParagraph"/>
        <w:numPr>
          <w:ilvl w:val="0"/>
          <w:numId w:val="57"/>
        </w:numPr>
        <w:spacing w:line="240" w:lineRule="auto"/>
        <w:rPr>
          <w:rFonts w:ascii="Calibri" w:eastAsia="Times New Roman" w:hAnsi="Calibri" w:cs="Times New Roman"/>
          <w:color w:val="002B61"/>
          <w:lang w:eastAsia="en-GB"/>
        </w:rPr>
      </w:pPr>
      <w:r w:rsidRPr="0041347C">
        <w:rPr>
          <w:rFonts w:ascii="Calibri" w:eastAsia="Times New Roman" w:hAnsi="Calibri" w:cs="Times New Roman"/>
          <w:color w:val="002B61"/>
          <w:lang w:eastAsia="en-GB"/>
        </w:rPr>
        <w:t xml:space="preserve">Trends over the last five years show a decline for Cambridgeshire and Peterborough combined for flu vaccination coverage for older people and at risk individuals. This downward trend </w:t>
      </w:r>
      <w:r w:rsidRPr="0041347C">
        <w:rPr>
          <w:color w:val="002B61"/>
        </w:rPr>
        <w:t>is also the case for Cambridgeshire, Peterborough, the East of England, and each area within it, and nationally</w:t>
      </w:r>
      <w:r>
        <w:rPr>
          <w:color w:val="002B61"/>
        </w:rPr>
        <w:t xml:space="preserve"> </w:t>
      </w:r>
      <w:r w:rsidRPr="0041347C">
        <w:rPr>
          <w:color w:val="002B61"/>
        </w:rPr>
        <w:t>[data not shown].</w:t>
      </w:r>
      <w:r w:rsidRPr="0041347C">
        <w:rPr>
          <w:rStyle w:val="FootnoteReference"/>
          <w:color w:val="002B61"/>
        </w:rPr>
        <w:footnoteReference w:id="13"/>
      </w:r>
      <w:r w:rsidRPr="0041347C">
        <w:rPr>
          <w:color w:val="002B61"/>
        </w:rPr>
        <w:t>.</w:t>
      </w:r>
    </w:p>
    <w:p w14:paraId="045E48E2" w14:textId="5AB35908" w:rsidR="00D61039" w:rsidRDefault="00D61039" w:rsidP="00D61039">
      <w:pPr>
        <w:spacing w:after="200"/>
        <w:rPr>
          <w:b/>
          <w:iCs/>
          <w:color w:val="002B61"/>
          <w:szCs w:val="18"/>
        </w:rPr>
      </w:pPr>
    </w:p>
    <w:p w14:paraId="1C8A6405" w14:textId="77777777" w:rsidR="003D3F6C" w:rsidRPr="0037351D" w:rsidRDefault="003D3F6C" w:rsidP="0043274F">
      <w:pPr>
        <w:spacing w:line="240" w:lineRule="auto"/>
        <w:rPr>
          <w:rFonts w:cs="Arial"/>
          <w:b/>
          <w:color w:val="FF0000"/>
        </w:rPr>
      </w:pPr>
      <w:r w:rsidRPr="0037351D">
        <w:rPr>
          <w:rFonts w:cs="Arial"/>
          <w:b/>
          <w:color w:val="FF0000"/>
        </w:rPr>
        <w:br w:type="page"/>
      </w:r>
    </w:p>
    <w:p w14:paraId="042BC712" w14:textId="77777777" w:rsidR="002172CB" w:rsidRPr="00681285" w:rsidRDefault="002172CB" w:rsidP="005108FF">
      <w:pPr>
        <w:pStyle w:val="JSNA1"/>
      </w:pPr>
      <w:bookmarkStart w:id="797" w:name="_Toc4407871"/>
      <w:r w:rsidRPr="00681285">
        <w:lastRenderedPageBreak/>
        <w:t>L</w:t>
      </w:r>
      <w:r w:rsidR="005108FF" w:rsidRPr="00681285">
        <w:t>EVELS OF ILLNESS AND HEALTH AND SOCIAL CARE</w:t>
      </w:r>
      <w:r w:rsidR="00EA1751" w:rsidRPr="00681285">
        <w:t xml:space="preserve"> SERVICES</w:t>
      </w:r>
      <w:bookmarkEnd w:id="797"/>
    </w:p>
    <w:p w14:paraId="1E80BA4F" w14:textId="77777777" w:rsidR="00397F0E" w:rsidRPr="00681285" w:rsidRDefault="00397F0E" w:rsidP="0038179C">
      <w:pPr>
        <w:spacing w:line="240" w:lineRule="auto"/>
        <w:rPr>
          <w:rFonts w:cs="Arial"/>
          <w:b/>
          <w:color w:val="002F5D"/>
          <w:sz w:val="16"/>
          <w:szCs w:val="16"/>
        </w:rPr>
      </w:pPr>
    </w:p>
    <w:p w14:paraId="4B782817" w14:textId="77777777" w:rsidR="00514F61" w:rsidRPr="00681285" w:rsidRDefault="00514F61" w:rsidP="0043274F">
      <w:pPr>
        <w:spacing w:line="240" w:lineRule="auto"/>
        <w:rPr>
          <w:rFonts w:cs="Arial"/>
          <w:b/>
          <w:color w:val="002F5D"/>
        </w:rPr>
      </w:pPr>
      <w:r w:rsidRPr="00681285">
        <w:rPr>
          <w:rFonts w:cs="Arial"/>
          <w:b/>
          <w:color w:val="002F5D"/>
        </w:rPr>
        <w:t>Interpreting data from the NHS Quality and Outc</w:t>
      </w:r>
      <w:r w:rsidR="00CC5C99" w:rsidRPr="00681285">
        <w:rPr>
          <w:rFonts w:cs="Arial"/>
          <w:b/>
          <w:color w:val="002F5D"/>
        </w:rPr>
        <w:t>omes Framework (QOF) (sections 6.1 to 6</w:t>
      </w:r>
      <w:r w:rsidRPr="00681285">
        <w:rPr>
          <w:rFonts w:cs="Arial"/>
          <w:b/>
          <w:color w:val="002F5D"/>
        </w:rPr>
        <w:t>.4)</w:t>
      </w:r>
    </w:p>
    <w:p w14:paraId="5BA6C775" w14:textId="77777777" w:rsidR="00514F61" w:rsidRPr="00681285" w:rsidRDefault="00514F61" w:rsidP="000C1C16">
      <w:pPr>
        <w:pStyle w:val="ListParagraph"/>
        <w:numPr>
          <w:ilvl w:val="0"/>
          <w:numId w:val="58"/>
        </w:numPr>
        <w:spacing w:line="240" w:lineRule="auto"/>
        <w:ind w:left="357" w:hanging="357"/>
        <w:rPr>
          <w:rFonts w:cs="Arial"/>
          <w:color w:val="002F5D"/>
        </w:rPr>
      </w:pPr>
      <w:r w:rsidRPr="00681285">
        <w:rPr>
          <w:rFonts w:cs="Arial"/>
          <w:color w:val="002F5D"/>
        </w:rPr>
        <w:t>The recorded prevalence of disease in QOF is the percentage of patients recorded on practice disease registers as a proportion of the relevant GP registered population.</w:t>
      </w:r>
    </w:p>
    <w:p w14:paraId="283EA9D3" w14:textId="77777777" w:rsidR="00514F61" w:rsidRPr="00681285" w:rsidRDefault="00514F61" w:rsidP="000C1C16">
      <w:pPr>
        <w:pStyle w:val="ListParagraph"/>
        <w:numPr>
          <w:ilvl w:val="0"/>
          <w:numId w:val="58"/>
        </w:numPr>
        <w:spacing w:line="240" w:lineRule="auto"/>
        <w:ind w:left="357" w:hanging="357"/>
        <w:rPr>
          <w:rFonts w:cs="Arial"/>
          <w:color w:val="002F5D"/>
        </w:rPr>
      </w:pPr>
      <w:r w:rsidRPr="00681285">
        <w:rPr>
          <w:rFonts w:cs="Arial"/>
          <w:color w:val="002F5D"/>
        </w:rPr>
        <w:t>Data presented by district are based on the location of the general practice and not necessarily the residence of the patient.</w:t>
      </w:r>
    </w:p>
    <w:p w14:paraId="0705C0B9" w14:textId="77777777" w:rsidR="000745E8" w:rsidRPr="00681285" w:rsidRDefault="00F55A0A" w:rsidP="000C1C16">
      <w:pPr>
        <w:pStyle w:val="ListParagraph"/>
        <w:numPr>
          <w:ilvl w:val="0"/>
          <w:numId w:val="58"/>
        </w:numPr>
        <w:spacing w:line="240" w:lineRule="auto"/>
        <w:ind w:left="357" w:hanging="357"/>
        <w:rPr>
          <w:rFonts w:cs="Arial"/>
          <w:color w:val="002F5D"/>
        </w:rPr>
      </w:pPr>
      <w:r w:rsidRPr="00681285">
        <w:rPr>
          <w:rFonts w:cs="Arial"/>
          <w:color w:val="002F5D"/>
        </w:rPr>
        <w:t>QOF data are not available by age. As the prevalence of most diseases varies with age, differences in prevalence between areas may be due to differences in the age structures of populations rather than true differences in disease prevalence.</w:t>
      </w:r>
      <w:r w:rsidR="00BE4966" w:rsidRPr="00681285">
        <w:rPr>
          <w:rFonts w:cs="Arial"/>
          <w:color w:val="002F5D"/>
        </w:rPr>
        <w:t xml:space="preserve"> In general most disease prevalence increases with age.</w:t>
      </w:r>
      <w:r w:rsidR="00714984" w:rsidRPr="00681285">
        <w:rPr>
          <w:rFonts w:cs="Arial"/>
          <w:color w:val="002F5D"/>
        </w:rPr>
        <w:t xml:space="preserve"> </w:t>
      </w:r>
      <w:r w:rsidR="000745E8" w:rsidRPr="00681285">
        <w:rPr>
          <w:rFonts w:cs="Arial"/>
          <w:color w:val="002F5D"/>
        </w:rPr>
        <w:t xml:space="preserve">To this effect, it is important to note that </w:t>
      </w:r>
      <w:r w:rsidR="00714984" w:rsidRPr="00681285">
        <w:rPr>
          <w:rFonts w:cs="Arial"/>
          <w:color w:val="002F5D"/>
        </w:rPr>
        <w:t xml:space="preserve">where an indicator is reported as statistically significantly lower than the England average, this does not necessarily mean that the prevalence reported is not of a concern locally, particularly given the age structure of the local population. </w:t>
      </w:r>
      <w:r w:rsidR="00953D0E" w:rsidRPr="00681285">
        <w:rPr>
          <w:rFonts w:cs="Arial"/>
          <w:color w:val="002F5D"/>
        </w:rPr>
        <w:t>It is recommended that QOF data</w:t>
      </w:r>
      <w:r w:rsidR="005E0C2F" w:rsidRPr="00681285">
        <w:rPr>
          <w:rFonts w:cs="Arial"/>
          <w:color w:val="002F5D"/>
        </w:rPr>
        <w:t xml:space="preserve"> findings are </w:t>
      </w:r>
      <w:r w:rsidR="00953D0E" w:rsidRPr="00681285">
        <w:rPr>
          <w:rFonts w:cs="Arial"/>
          <w:color w:val="002F5D"/>
        </w:rPr>
        <w:t>used sensitively</w:t>
      </w:r>
      <w:r w:rsidR="005E0C2F" w:rsidRPr="00681285">
        <w:rPr>
          <w:rFonts w:cs="Arial"/>
          <w:color w:val="002F5D"/>
        </w:rPr>
        <w:t>, and where possible alongside other local intelligence</w:t>
      </w:r>
      <w:r w:rsidR="00953D0E" w:rsidRPr="00681285">
        <w:rPr>
          <w:rFonts w:cs="Arial"/>
          <w:color w:val="002F5D"/>
        </w:rPr>
        <w:t>.</w:t>
      </w:r>
      <w:r w:rsidR="00714984" w:rsidRPr="00681285">
        <w:rPr>
          <w:rFonts w:cs="Arial"/>
          <w:color w:val="002F5D"/>
        </w:rPr>
        <w:t xml:space="preserve">  </w:t>
      </w:r>
      <w:r w:rsidR="000745E8" w:rsidRPr="00681285">
        <w:rPr>
          <w:rFonts w:cs="Arial"/>
          <w:color w:val="002F5D"/>
        </w:rPr>
        <w:t xml:space="preserve"> </w:t>
      </w:r>
    </w:p>
    <w:p w14:paraId="7B58A4C9" w14:textId="223C2943" w:rsidR="00514F61" w:rsidRPr="00681285" w:rsidRDefault="00514F61" w:rsidP="001A5940">
      <w:pPr>
        <w:pStyle w:val="ListParagraph"/>
        <w:numPr>
          <w:ilvl w:val="0"/>
          <w:numId w:val="58"/>
        </w:numPr>
        <w:spacing w:line="240" w:lineRule="auto"/>
        <w:ind w:left="357" w:hanging="357"/>
        <w:rPr>
          <w:rFonts w:cs="Arial"/>
          <w:color w:val="002F5D"/>
        </w:rPr>
      </w:pPr>
      <w:r w:rsidRPr="00681285">
        <w:rPr>
          <w:rFonts w:cs="Arial"/>
          <w:color w:val="002F5D"/>
        </w:rPr>
        <w:t xml:space="preserve">Recorded prevalence may not reflect true prevalence as some people may have undiagnosed disease or not be registered with GPs. </w:t>
      </w:r>
      <w:r w:rsidR="000C1C16" w:rsidRPr="00681285">
        <w:rPr>
          <w:rFonts w:cs="Arial"/>
          <w:color w:val="002F5D"/>
        </w:rPr>
        <w:t xml:space="preserve"> </w:t>
      </w:r>
      <w:r w:rsidRPr="00681285">
        <w:rPr>
          <w:rFonts w:cs="Arial"/>
          <w:color w:val="002F5D"/>
        </w:rPr>
        <w:t>The data are also reliant on the ascertainment and quality of recordi</w:t>
      </w:r>
      <w:r w:rsidR="000C1C16" w:rsidRPr="00681285">
        <w:rPr>
          <w:rFonts w:cs="Arial"/>
          <w:color w:val="002F5D"/>
        </w:rPr>
        <w:t>ng within individual practices.</w:t>
      </w:r>
    </w:p>
    <w:p w14:paraId="12B6B134" w14:textId="69FD6768" w:rsidR="00514F61" w:rsidRDefault="00514F61" w:rsidP="000C1C16">
      <w:pPr>
        <w:pStyle w:val="ListParagraph"/>
        <w:numPr>
          <w:ilvl w:val="0"/>
          <w:numId w:val="58"/>
        </w:numPr>
        <w:spacing w:line="240" w:lineRule="auto"/>
        <w:ind w:left="357" w:hanging="357"/>
        <w:rPr>
          <w:rFonts w:cs="Arial"/>
          <w:color w:val="002F5D"/>
        </w:rPr>
      </w:pPr>
      <w:r w:rsidRPr="00681285">
        <w:rPr>
          <w:rFonts w:cs="Arial"/>
          <w:color w:val="002F5D"/>
        </w:rPr>
        <w:t>Locally, the quality of QOF recording is thought to be good and consistent in recent years, so although the prevalence estimates included below may not represent the actual morbidity of illness, the patterns by area and over time are likely to still be valid.</w:t>
      </w:r>
    </w:p>
    <w:p w14:paraId="3974E317" w14:textId="77777777" w:rsidR="00DA52D5" w:rsidRDefault="00DA52D5" w:rsidP="009A2AB3">
      <w:pPr>
        <w:pStyle w:val="ListParagraph"/>
        <w:spacing w:line="240" w:lineRule="auto"/>
        <w:ind w:left="357"/>
        <w:rPr>
          <w:rFonts w:cs="Arial"/>
          <w:color w:val="002F5D"/>
        </w:rPr>
      </w:pPr>
    </w:p>
    <w:p w14:paraId="47A1AFFA" w14:textId="5E6BC7FE" w:rsidR="00DA52D5" w:rsidRPr="009A2AB3" w:rsidRDefault="00DA52D5" w:rsidP="009A2AB3">
      <w:pPr>
        <w:spacing w:line="240" w:lineRule="auto"/>
        <w:jc w:val="both"/>
        <w:rPr>
          <w:rFonts w:ascii="Calibri" w:eastAsia="Times New Roman" w:hAnsi="Calibri" w:cs="Times New Roman"/>
          <w:color w:val="002F5D"/>
          <w:lang w:eastAsia="en-GB"/>
        </w:rPr>
      </w:pPr>
      <w:r w:rsidRPr="009A2AB3">
        <w:rPr>
          <w:rFonts w:ascii="Calibri" w:eastAsia="Times New Roman" w:hAnsi="Calibri" w:cs="Times New Roman"/>
          <w:b/>
          <w:color w:val="002F5D"/>
          <w:lang w:eastAsia="en-GB"/>
        </w:rPr>
        <w:t>Note</w:t>
      </w:r>
      <w:r w:rsidRPr="009A2AB3">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Cambridgeshire and Peterborough PHI Team calculate statistical significance using comparator area confidence intervals compared with confidence intervals for the benchmark. This method is used in the RAG rated </w:t>
      </w:r>
      <w:r>
        <w:rPr>
          <w:rFonts w:ascii="Calibri" w:eastAsia="Times New Roman" w:hAnsi="Calibri" w:cs="Times New Roman"/>
          <w:color w:val="002F5D"/>
          <w:lang w:eastAsia="en-GB"/>
        </w:rPr>
        <w:t xml:space="preserve">QOF </w:t>
      </w:r>
      <w:r w:rsidRPr="009A2AB3">
        <w:rPr>
          <w:rFonts w:ascii="Calibri" w:eastAsia="Times New Roman" w:hAnsi="Calibri" w:cs="Times New Roman"/>
          <w:color w:val="002F5D"/>
          <w:lang w:eastAsia="en-GB"/>
        </w:rPr>
        <w:t xml:space="preserve">tables in this section. </w:t>
      </w:r>
    </w:p>
    <w:p w14:paraId="749448B8" w14:textId="1F99D12F" w:rsidR="001930FF" w:rsidRPr="009A2AB3" w:rsidRDefault="001930FF" w:rsidP="009A2AB3">
      <w:pPr>
        <w:spacing w:line="240" w:lineRule="auto"/>
        <w:rPr>
          <w:rFonts w:cs="Arial"/>
          <w:color w:val="002F5D"/>
        </w:rPr>
      </w:pPr>
    </w:p>
    <w:p w14:paraId="05B8DDF4" w14:textId="77777777" w:rsidR="00FF5BC8" w:rsidRPr="0037351D" w:rsidRDefault="00FF5BC8" w:rsidP="0038179C">
      <w:pPr>
        <w:spacing w:line="240" w:lineRule="auto"/>
        <w:rPr>
          <w:rFonts w:cs="Arial"/>
          <w:color w:val="FF0000"/>
          <w:sz w:val="16"/>
          <w:szCs w:val="16"/>
        </w:rPr>
      </w:pPr>
    </w:p>
    <w:p w14:paraId="202786C0" w14:textId="77777777" w:rsidR="001B5CAB" w:rsidRPr="0037351D" w:rsidRDefault="001B5CAB" w:rsidP="00D03219">
      <w:pPr>
        <w:pStyle w:val="JSNA2"/>
        <w:rPr>
          <w:color w:val="FF0000"/>
        </w:rPr>
      </w:pPr>
      <w:bookmarkStart w:id="798" w:name="_Toc4407872"/>
      <w:r w:rsidRPr="00681285">
        <w:t>Cardiovascular conditions</w:t>
      </w:r>
      <w:r w:rsidR="00386CC7" w:rsidRPr="00681285">
        <w:t xml:space="preserve"> (coronary heart disease, high blood pressure and stroke)</w:t>
      </w:r>
      <w:bookmarkEnd w:id="798"/>
    </w:p>
    <w:p w14:paraId="27693491" w14:textId="77777777" w:rsidR="000F6257" w:rsidRPr="0037351D" w:rsidRDefault="000F6257" w:rsidP="000F6257">
      <w:pPr>
        <w:rPr>
          <w:color w:val="FF0000"/>
          <w:sz w:val="16"/>
          <w:szCs w:val="16"/>
        </w:rPr>
      </w:pPr>
    </w:p>
    <w:p w14:paraId="0A1256BA" w14:textId="4E871A11" w:rsidR="000F6257" w:rsidRPr="0037351D" w:rsidRDefault="000C40EA" w:rsidP="00A3568F">
      <w:pPr>
        <w:pStyle w:val="JSNA3"/>
      </w:pPr>
      <w:bookmarkStart w:id="799" w:name="_Toc4407873"/>
      <w:r w:rsidRPr="0037351D">
        <w:t>P</w:t>
      </w:r>
      <w:r w:rsidR="000F6257" w:rsidRPr="0037351D">
        <w:t>revalence and modelled estimates</w:t>
      </w:r>
      <w:bookmarkEnd w:id="799"/>
    </w:p>
    <w:p w14:paraId="7C95CBF3" w14:textId="77777777" w:rsidR="000F6257" w:rsidRPr="0037351D" w:rsidRDefault="000F6257" w:rsidP="0038179C">
      <w:pPr>
        <w:spacing w:line="240" w:lineRule="auto"/>
        <w:rPr>
          <w:rFonts w:cs="Arial"/>
          <w:b/>
          <w:color w:val="FF0000"/>
          <w:sz w:val="16"/>
          <w:szCs w:val="16"/>
        </w:rPr>
      </w:pPr>
    </w:p>
    <w:p w14:paraId="19BE13D4" w14:textId="3A493426" w:rsidR="00315B7D" w:rsidRDefault="00B654F0" w:rsidP="00953D0E">
      <w:pPr>
        <w:pStyle w:val="Caption"/>
        <w:rPr>
          <w:rFonts w:cs="Arial"/>
          <w:color w:val="002F5D"/>
        </w:rPr>
      </w:pPr>
      <w:r w:rsidRPr="00681285">
        <w:rPr>
          <w:b/>
          <w:color w:val="002F5D"/>
        </w:rPr>
        <w:t xml:space="preserve">Table </w:t>
      </w:r>
      <w:r w:rsidR="00A5114D" w:rsidRPr="00681285">
        <w:rPr>
          <w:b/>
          <w:color w:val="002F5D"/>
        </w:rPr>
        <w:fldChar w:fldCharType="begin"/>
      </w:r>
      <w:r w:rsidR="00A5114D" w:rsidRPr="00681285">
        <w:rPr>
          <w:b/>
          <w:color w:val="002F5D"/>
        </w:rPr>
        <w:instrText xml:space="preserve"> SEQ Table \* ARABIC </w:instrText>
      </w:r>
      <w:r w:rsidR="00A5114D" w:rsidRPr="00681285">
        <w:rPr>
          <w:b/>
          <w:color w:val="002F5D"/>
        </w:rPr>
        <w:fldChar w:fldCharType="separate"/>
      </w:r>
      <w:r w:rsidR="00E80CFE">
        <w:rPr>
          <w:b/>
          <w:noProof/>
          <w:color w:val="002F5D"/>
        </w:rPr>
        <w:t>17</w:t>
      </w:r>
      <w:r w:rsidR="00A5114D" w:rsidRPr="00681285">
        <w:rPr>
          <w:b/>
          <w:color w:val="002F5D"/>
        </w:rPr>
        <w:fldChar w:fldCharType="end"/>
      </w:r>
      <w:r w:rsidR="00172F39" w:rsidRPr="00681285">
        <w:rPr>
          <w:rFonts w:cs="Arial"/>
          <w:b/>
          <w:color w:val="002F5D"/>
        </w:rPr>
        <w:t>.</w:t>
      </w:r>
      <w:r w:rsidR="00172F39" w:rsidRPr="00681285">
        <w:rPr>
          <w:rFonts w:cs="Arial"/>
          <w:color w:val="002F5D"/>
        </w:rPr>
        <w:t xml:space="preserve"> Prevalence of cardiovascular conditions by area of general practice location, Cambridgeshire</w:t>
      </w:r>
      <w:r w:rsidR="00B41522" w:rsidRPr="00681285">
        <w:rPr>
          <w:rFonts w:cs="Arial"/>
          <w:color w:val="002F5D"/>
        </w:rPr>
        <w:t xml:space="preserve"> and Peterborough</w:t>
      </w:r>
      <w:r w:rsidR="00681285">
        <w:rPr>
          <w:rFonts w:cs="Arial"/>
          <w:color w:val="002F5D"/>
        </w:rPr>
        <w:t>, 2017/18</w:t>
      </w:r>
    </w:p>
    <w:p w14:paraId="5A97B4A6" w14:textId="77777777" w:rsidR="00F37CA2" w:rsidRPr="009A2AB3" w:rsidRDefault="00F37CA2" w:rsidP="009A2AB3"/>
    <w:p w14:paraId="29E6ED1D" w14:textId="5A6DDC48" w:rsidR="00F37CA2" w:rsidRDefault="00F37CA2" w:rsidP="009A2AB3">
      <w:r w:rsidRPr="00F37CA2">
        <w:rPr>
          <w:noProof/>
          <w:lang w:eastAsia="en-GB"/>
        </w:rPr>
        <w:drawing>
          <wp:inline distT="0" distB="0" distL="0" distR="0" wp14:anchorId="2CA8C3A5" wp14:editId="4C518081">
            <wp:extent cx="6204725" cy="2032000"/>
            <wp:effectExtent l="0" t="0" r="5715" b="635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26685" cy="2039192"/>
                    </a:xfrm>
                    <a:prstGeom prst="rect">
                      <a:avLst/>
                    </a:prstGeom>
                    <a:noFill/>
                    <a:ln>
                      <a:noFill/>
                    </a:ln>
                  </pic:spPr>
                </pic:pic>
              </a:graphicData>
            </a:graphic>
          </wp:inline>
        </w:drawing>
      </w:r>
    </w:p>
    <w:p w14:paraId="425897FE" w14:textId="77777777" w:rsidR="00F37CA2" w:rsidRPr="009A2AB3" w:rsidRDefault="00F37CA2" w:rsidP="009A2AB3"/>
    <w:p w14:paraId="272A27E2" w14:textId="50C8DCC6" w:rsidR="00172F39" w:rsidRDefault="00F87293" w:rsidP="0038179C">
      <w:pPr>
        <w:spacing w:line="240" w:lineRule="auto"/>
        <w:rPr>
          <w:rFonts w:cs="Arial"/>
          <w:color w:val="FF0000"/>
        </w:rPr>
      </w:pPr>
      <w:r w:rsidRPr="0037351D">
        <w:rPr>
          <w:noProof/>
          <w:color w:val="FF0000"/>
          <w:lang w:eastAsia="en-GB"/>
        </w:rPr>
        <w:drawing>
          <wp:inline distT="0" distB="0" distL="0" distR="0" wp14:anchorId="79F2EC21" wp14:editId="0D1E73B1">
            <wp:extent cx="3539408" cy="40005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46112" cy="491230"/>
                    </a:xfrm>
                    <a:prstGeom prst="rect">
                      <a:avLst/>
                    </a:prstGeom>
                    <a:noFill/>
                    <a:ln>
                      <a:noFill/>
                    </a:ln>
                  </pic:spPr>
                </pic:pic>
              </a:graphicData>
            </a:graphic>
          </wp:inline>
        </w:drawing>
      </w:r>
    </w:p>
    <w:p w14:paraId="44CA8314" w14:textId="77777777" w:rsidR="00681285" w:rsidRPr="00681285" w:rsidRDefault="00681285" w:rsidP="0038179C">
      <w:pPr>
        <w:spacing w:line="240" w:lineRule="auto"/>
        <w:rPr>
          <w:rFonts w:cs="Arial"/>
          <w:color w:val="002F5D"/>
        </w:rPr>
      </w:pPr>
    </w:p>
    <w:p w14:paraId="605F9E6E" w14:textId="77777777" w:rsidR="00172F39" w:rsidRPr="00681285" w:rsidRDefault="00172F39" w:rsidP="0043274F">
      <w:pPr>
        <w:spacing w:line="240" w:lineRule="auto"/>
        <w:rPr>
          <w:rFonts w:cs="Arial"/>
          <w:color w:val="002F5D"/>
        </w:rPr>
      </w:pPr>
      <w:r w:rsidRPr="00681285">
        <w:rPr>
          <w:rFonts w:cs="Arial"/>
          <w:b/>
          <w:color w:val="002F5D"/>
        </w:rPr>
        <w:t>Sources:</w:t>
      </w:r>
      <w:r w:rsidRPr="00681285">
        <w:rPr>
          <w:rFonts w:cs="Arial"/>
          <w:color w:val="002F5D"/>
        </w:rPr>
        <w:t xml:space="preserve"> NHS Digital, Quality and Outcomes Framework, </w:t>
      </w:r>
      <w:r w:rsidR="00877F3B" w:rsidRPr="00681285">
        <w:rPr>
          <w:rFonts w:cs="Arial"/>
          <w:color w:val="002F5D"/>
        </w:rPr>
        <w:t>CCC</w:t>
      </w:r>
      <w:r w:rsidRPr="00681285">
        <w:rPr>
          <w:rFonts w:cs="Arial"/>
          <w:color w:val="002F5D"/>
        </w:rPr>
        <w:t xml:space="preserve"> Public Health Intelligence</w:t>
      </w:r>
    </w:p>
    <w:p w14:paraId="4F4DD307" w14:textId="77777777" w:rsidR="00172F39" w:rsidRPr="0037351D" w:rsidRDefault="00172F39" w:rsidP="0038179C">
      <w:pPr>
        <w:spacing w:line="240" w:lineRule="auto"/>
        <w:rPr>
          <w:rFonts w:cs="Arial"/>
          <w:color w:val="FF0000"/>
          <w:sz w:val="16"/>
          <w:szCs w:val="16"/>
        </w:rPr>
      </w:pPr>
    </w:p>
    <w:p w14:paraId="77A5910D" w14:textId="77777777" w:rsidR="00172F39" w:rsidRPr="00681285" w:rsidRDefault="00172F39" w:rsidP="0043274F">
      <w:pPr>
        <w:spacing w:line="240" w:lineRule="auto"/>
        <w:rPr>
          <w:rFonts w:cs="Arial"/>
          <w:b/>
          <w:color w:val="002F5D"/>
        </w:rPr>
      </w:pPr>
      <w:r w:rsidRPr="00681285">
        <w:rPr>
          <w:rFonts w:cs="Arial"/>
          <w:b/>
          <w:color w:val="002F5D"/>
        </w:rPr>
        <w:t>Key points:</w:t>
      </w:r>
    </w:p>
    <w:p w14:paraId="25BA93F0" w14:textId="34027B53" w:rsidR="00953D0E" w:rsidRPr="00681285" w:rsidRDefault="00953D0E" w:rsidP="0043274F">
      <w:pPr>
        <w:pStyle w:val="ListParagraph"/>
        <w:numPr>
          <w:ilvl w:val="0"/>
          <w:numId w:val="13"/>
        </w:numPr>
        <w:spacing w:line="240" w:lineRule="auto"/>
        <w:rPr>
          <w:rFonts w:cs="Arial"/>
          <w:color w:val="002F5D"/>
        </w:rPr>
      </w:pPr>
      <w:r w:rsidRPr="00681285">
        <w:rPr>
          <w:rFonts w:cs="Arial"/>
          <w:color w:val="002F5D"/>
        </w:rPr>
        <w:t>The recorded prevalence of coronary heart disease, high blood pressure and stroke are statistically significantly lower than the national averages across Cambridgeshire and Peterborough. This is also true for the two areas independently.</w:t>
      </w:r>
      <w:r w:rsidR="00C13FA2" w:rsidRPr="00681285">
        <w:rPr>
          <w:rFonts w:cs="Arial"/>
          <w:color w:val="002F5D"/>
        </w:rPr>
        <w:t xml:space="preserve"> Both Peterborough and Cambridge would be expected to have low prevalence due to the younger age structure of the</w:t>
      </w:r>
      <w:r w:rsidR="00FE3708">
        <w:rPr>
          <w:rFonts w:cs="Arial"/>
          <w:color w:val="002F5D"/>
        </w:rPr>
        <w:t>ir</w:t>
      </w:r>
      <w:r w:rsidR="00C13FA2" w:rsidRPr="00681285">
        <w:rPr>
          <w:rFonts w:cs="Arial"/>
          <w:color w:val="002F5D"/>
        </w:rPr>
        <w:t xml:space="preserve"> population</w:t>
      </w:r>
      <w:r w:rsidR="00FE3708">
        <w:rPr>
          <w:rFonts w:cs="Arial"/>
          <w:color w:val="002F5D"/>
        </w:rPr>
        <w:t>s</w:t>
      </w:r>
      <w:r w:rsidR="00C13FA2" w:rsidRPr="00681285">
        <w:rPr>
          <w:rFonts w:cs="Arial"/>
          <w:color w:val="002F5D"/>
        </w:rPr>
        <w:t xml:space="preserve">. </w:t>
      </w:r>
    </w:p>
    <w:p w14:paraId="01CA2D8A" w14:textId="77777777" w:rsidR="00172F39" w:rsidRPr="00681285" w:rsidRDefault="00172F39" w:rsidP="0043274F">
      <w:pPr>
        <w:pStyle w:val="ListParagraph"/>
        <w:numPr>
          <w:ilvl w:val="0"/>
          <w:numId w:val="13"/>
        </w:numPr>
        <w:spacing w:line="240" w:lineRule="auto"/>
        <w:rPr>
          <w:rFonts w:cs="Arial"/>
          <w:color w:val="002F5D"/>
        </w:rPr>
      </w:pPr>
      <w:r w:rsidRPr="00681285">
        <w:rPr>
          <w:rFonts w:cs="Arial"/>
          <w:color w:val="002F5D"/>
        </w:rPr>
        <w:t xml:space="preserve">The recorded </w:t>
      </w:r>
      <w:r w:rsidR="0064080C" w:rsidRPr="00681285">
        <w:rPr>
          <w:rFonts w:cs="Arial"/>
          <w:color w:val="002F5D"/>
        </w:rPr>
        <w:t>prevalence</w:t>
      </w:r>
      <w:r w:rsidRPr="00681285">
        <w:rPr>
          <w:rFonts w:cs="Arial"/>
          <w:color w:val="002F5D"/>
        </w:rPr>
        <w:t xml:space="preserve"> of coronary heart disease, high blood pressure and stroke are statistically significantly higher than the national averages among patients of general practices in Fenland.</w:t>
      </w:r>
    </w:p>
    <w:p w14:paraId="4441C852" w14:textId="6360C6A7" w:rsidR="00172F39" w:rsidRPr="00681285" w:rsidRDefault="00172F39" w:rsidP="0043274F">
      <w:pPr>
        <w:pStyle w:val="ListParagraph"/>
        <w:numPr>
          <w:ilvl w:val="0"/>
          <w:numId w:val="13"/>
        </w:numPr>
        <w:spacing w:line="240" w:lineRule="auto"/>
        <w:rPr>
          <w:rFonts w:cs="Arial"/>
          <w:color w:val="002F5D"/>
        </w:rPr>
      </w:pPr>
      <w:r w:rsidRPr="00681285">
        <w:rPr>
          <w:rFonts w:cs="Arial"/>
          <w:color w:val="002F5D"/>
        </w:rPr>
        <w:t xml:space="preserve">The recorded prevalence of high blood pressure is also statistically significantly higher than the national average among patients of </w:t>
      </w:r>
      <w:r w:rsidR="00681285" w:rsidRPr="00681285">
        <w:rPr>
          <w:rFonts w:cs="Arial"/>
          <w:color w:val="002F5D"/>
        </w:rPr>
        <w:t xml:space="preserve">East Cambridgeshire and </w:t>
      </w:r>
      <w:r w:rsidRPr="00681285">
        <w:rPr>
          <w:rFonts w:cs="Arial"/>
          <w:color w:val="002F5D"/>
        </w:rPr>
        <w:t>Huntingdonshire practices.</w:t>
      </w:r>
    </w:p>
    <w:p w14:paraId="61C95386" w14:textId="77777777" w:rsidR="00681285" w:rsidRPr="0037351D" w:rsidRDefault="00681285" w:rsidP="00681285">
      <w:pPr>
        <w:pStyle w:val="ListParagraph"/>
        <w:spacing w:line="240" w:lineRule="auto"/>
        <w:rPr>
          <w:rFonts w:cs="Arial"/>
          <w:color w:val="FF0000"/>
        </w:rPr>
      </w:pPr>
    </w:p>
    <w:p w14:paraId="0EEF065B" w14:textId="1C9B8EA8" w:rsidR="000F6257" w:rsidRDefault="00B654F0" w:rsidP="0043274F">
      <w:pPr>
        <w:pStyle w:val="Caption"/>
        <w:rPr>
          <w:rFonts w:cs="Arial"/>
          <w:color w:val="002F5D"/>
        </w:rPr>
      </w:pPr>
      <w:r w:rsidRPr="00681285">
        <w:rPr>
          <w:b/>
          <w:color w:val="002F5D"/>
        </w:rPr>
        <w:t xml:space="preserve">Table </w:t>
      </w:r>
      <w:r w:rsidR="00A5114D">
        <w:rPr>
          <w:b/>
          <w:color w:val="002F5D"/>
        </w:rPr>
        <w:t>56</w:t>
      </w:r>
      <w:r w:rsidR="000F6257" w:rsidRPr="00681285">
        <w:rPr>
          <w:rFonts w:cs="Arial"/>
          <w:b/>
          <w:color w:val="002F5D"/>
        </w:rPr>
        <w:t>.</w:t>
      </w:r>
      <w:r w:rsidR="000F6257" w:rsidRPr="00681285">
        <w:rPr>
          <w:rFonts w:cs="Arial"/>
          <w:color w:val="002F5D"/>
        </w:rPr>
        <w:t xml:space="preserve"> Estimated prevalence of cardiovascular conditions, Cambridgeshire</w:t>
      </w:r>
      <w:r w:rsidR="0086778C" w:rsidRPr="00681285">
        <w:rPr>
          <w:rFonts w:cs="Arial"/>
          <w:color w:val="002F5D"/>
        </w:rPr>
        <w:t xml:space="preserve"> and Peterborough</w:t>
      </w:r>
      <w:r w:rsidR="000F6257" w:rsidRPr="00681285">
        <w:rPr>
          <w:rFonts w:cs="Arial"/>
          <w:color w:val="002F5D"/>
        </w:rPr>
        <w:t>, 2015</w:t>
      </w:r>
    </w:p>
    <w:p w14:paraId="2EB9AC1E" w14:textId="77777777" w:rsidR="00F37CA2" w:rsidRPr="009A2AB3" w:rsidRDefault="00F37CA2" w:rsidP="00E61D24"/>
    <w:p w14:paraId="08FD5D05" w14:textId="4BB931DC" w:rsidR="00675F21" w:rsidRPr="0037351D" w:rsidRDefault="00F37CA2">
      <w:pPr>
        <w:rPr>
          <w:color w:val="FF0000"/>
        </w:rPr>
      </w:pPr>
      <w:r w:rsidRPr="00F37CA2">
        <w:rPr>
          <w:noProof/>
          <w:lang w:eastAsia="en-GB"/>
        </w:rPr>
        <w:drawing>
          <wp:inline distT="0" distB="0" distL="0" distR="0" wp14:anchorId="318317AB" wp14:editId="4AD689D1">
            <wp:extent cx="6152698" cy="2015067"/>
            <wp:effectExtent l="0" t="0" r="635" b="444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71509" cy="2021228"/>
                    </a:xfrm>
                    <a:prstGeom prst="rect">
                      <a:avLst/>
                    </a:prstGeom>
                    <a:noFill/>
                    <a:ln>
                      <a:noFill/>
                    </a:ln>
                  </pic:spPr>
                </pic:pic>
              </a:graphicData>
            </a:graphic>
          </wp:inline>
        </w:drawing>
      </w:r>
    </w:p>
    <w:p w14:paraId="7AE6498E" w14:textId="77777777" w:rsidR="000B4D0D" w:rsidRPr="0037351D" w:rsidRDefault="000B4D0D" w:rsidP="00E367D0">
      <w:pPr>
        <w:spacing w:line="240" w:lineRule="auto"/>
        <w:rPr>
          <w:rFonts w:cs="Arial"/>
          <w:color w:val="FF0000"/>
          <w:sz w:val="20"/>
          <w:szCs w:val="20"/>
        </w:rPr>
      </w:pPr>
    </w:p>
    <w:p w14:paraId="6FA0BB05" w14:textId="74245F6B" w:rsidR="00E367D0" w:rsidRPr="00681285" w:rsidRDefault="00E367D0" w:rsidP="00E367D0">
      <w:pPr>
        <w:spacing w:line="240" w:lineRule="auto"/>
        <w:rPr>
          <w:rFonts w:cs="Arial"/>
          <w:color w:val="002F5D"/>
          <w:sz w:val="20"/>
          <w:szCs w:val="20"/>
        </w:rPr>
      </w:pPr>
      <w:r w:rsidRPr="00681285">
        <w:rPr>
          <w:rFonts w:cs="Arial"/>
          <w:color w:val="002F5D"/>
          <w:sz w:val="20"/>
          <w:szCs w:val="20"/>
        </w:rPr>
        <w:t>Data w</w:t>
      </w:r>
      <w:r w:rsidR="00FE3708">
        <w:rPr>
          <w:rFonts w:cs="Arial"/>
          <w:color w:val="002F5D"/>
          <w:sz w:val="20"/>
          <w:szCs w:val="20"/>
        </w:rPr>
        <w:t>ere</w:t>
      </w:r>
      <w:r w:rsidRPr="00681285">
        <w:rPr>
          <w:rFonts w:cs="Arial"/>
          <w:color w:val="002F5D"/>
          <w:sz w:val="20"/>
          <w:szCs w:val="20"/>
        </w:rPr>
        <w:t xml:space="preserve"> not available for Cambridgeshire, or Cambridgeshire and Peterborough combined</w:t>
      </w:r>
    </w:p>
    <w:p w14:paraId="043395D9" w14:textId="77777777" w:rsidR="00675F21" w:rsidRPr="0037351D" w:rsidRDefault="00675F21" w:rsidP="00675F21">
      <w:pPr>
        <w:rPr>
          <w:color w:val="FF0000"/>
        </w:rPr>
      </w:pPr>
    </w:p>
    <w:p w14:paraId="4A085004" w14:textId="77777777" w:rsidR="000F6257" w:rsidRPr="0037351D" w:rsidRDefault="00F87293" w:rsidP="000F6257">
      <w:pPr>
        <w:spacing w:line="240" w:lineRule="auto"/>
        <w:rPr>
          <w:rFonts w:cs="Arial"/>
          <w:color w:val="FF0000"/>
        </w:rPr>
      </w:pPr>
      <w:r w:rsidRPr="0037351D">
        <w:rPr>
          <w:noProof/>
          <w:color w:val="FF0000"/>
          <w:lang w:eastAsia="en-GB"/>
        </w:rPr>
        <w:drawing>
          <wp:inline distT="0" distB="0" distL="0" distR="0" wp14:anchorId="02539903" wp14:editId="5C21C202">
            <wp:extent cx="4123690" cy="46609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3BF28D68" w14:textId="77777777" w:rsidR="000F6257" w:rsidRPr="0037351D" w:rsidRDefault="000F6257" w:rsidP="000F6257">
      <w:pPr>
        <w:spacing w:line="240" w:lineRule="auto"/>
        <w:rPr>
          <w:rFonts w:cs="Arial"/>
          <w:color w:val="FF0000"/>
        </w:rPr>
      </w:pPr>
    </w:p>
    <w:p w14:paraId="6327B475" w14:textId="77777777" w:rsidR="000F6257" w:rsidRPr="00681285" w:rsidRDefault="000F6257" w:rsidP="000F6257">
      <w:pPr>
        <w:spacing w:line="240" w:lineRule="auto"/>
        <w:rPr>
          <w:rFonts w:cs="Arial"/>
          <w:color w:val="002F5D"/>
        </w:rPr>
      </w:pPr>
      <w:r w:rsidRPr="00681285">
        <w:rPr>
          <w:rFonts w:cs="Arial"/>
          <w:b/>
          <w:color w:val="002F5D"/>
        </w:rPr>
        <w:t>Sources:</w:t>
      </w:r>
      <w:r w:rsidRPr="00681285">
        <w:rPr>
          <w:rFonts w:cs="Arial"/>
          <w:color w:val="002F5D"/>
        </w:rPr>
        <w:t xml:space="preserve"> Public Health England Disease and risk factor prevalence profiles (Whitehall II study - CHD and Stroke; Imperial College, London - High blood pressure)</w:t>
      </w:r>
    </w:p>
    <w:p w14:paraId="0542D901" w14:textId="77777777" w:rsidR="000F6257" w:rsidRPr="0037351D" w:rsidRDefault="000F6257" w:rsidP="000F6257">
      <w:pPr>
        <w:spacing w:line="240" w:lineRule="auto"/>
        <w:rPr>
          <w:rFonts w:cs="Arial"/>
          <w:color w:val="FF0000"/>
        </w:rPr>
      </w:pPr>
    </w:p>
    <w:p w14:paraId="708BAF70" w14:textId="77777777" w:rsidR="000F6257" w:rsidRPr="00681285" w:rsidRDefault="000F6257" w:rsidP="000F6257">
      <w:pPr>
        <w:spacing w:line="240" w:lineRule="auto"/>
        <w:rPr>
          <w:rFonts w:cs="Arial"/>
          <w:b/>
          <w:color w:val="002F5D"/>
        </w:rPr>
      </w:pPr>
      <w:r w:rsidRPr="00681285">
        <w:rPr>
          <w:rFonts w:cs="Arial"/>
          <w:b/>
          <w:color w:val="002F5D"/>
        </w:rPr>
        <w:t>Key points:</w:t>
      </w:r>
    </w:p>
    <w:p w14:paraId="39D63EBE" w14:textId="77777777" w:rsidR="000F6257" w:rsidRPr="00681285" w:rsidRDefault="000F6257" w:rsidP="00A938F7">
      <w:pPr>
        <w:pStyle w:val="ListParagraph"/>
        <w:numPr>
          <w:ilvl w:val="0"/>
          <w:numId w:val="14"/>
        </w:numPr>
        <w:spacing w:line="240" w:lineRule="auto"/>
        <w:rPr>
          <w:rFonts w:cs="Arial"/>
          <w:color w:val="002F5D"/>
        </w:rPr>
      </w:pPr>
      <w:r w:rsidRPr="00681285">
        <w:rPr>
          <w:rFonts w:cs="Arial"/>
          <w:color w:val="002F5D"/>
        </w:rPr>
        <w:t xml:space="preserve">The estimated </w:t>
      </w:r>
      <w:r w:rsidR="0064080C" w:rsidRPr="00681285">
        <w:rPr>
          <w:rFonts w:cs="Arial"/>
          <w:color w:val="002F5D"/>
        </w:rPr>
        <w:t>prevalence</w:t>
      </w:r>
      <w:r w:rsidRPr="00681285">
        <w:rPr>
          <w:rFonts w:cs="Arial"/>
          <w:color w:val="002F5D"/>
        </w:rPr>
        <w:t xml:space="preserve"> of CHD, diagnosed and undiagnosed high blood pressure are statistically significantly higher than the England average in Fenland.</w:t>
      </w:r>
    </w:p>
    <w:p w14:paraId="6B31DDF5" w14:textId="77777777" w:rsidR="0064080C" w:rsidRPr="00681285" w:rsidRDefault="0064080C" w:rsidP="00A938F7">
      <w:pPr>
        <w:pStyle w:val="ListParagraph"/>
        <w:numPr>
          <w:ilvl w:val="0"/>
          <w:numId w:val="14"/>
        </w:numPr>
        <w:spacing w:line="240" w:lineRule="auto"/>
        <w:rPr>
          <w:rFonts w:cs="Arial"/>
          <w:color w:val="002F5D"/>
        </w:rPr>
      </w:pPr>
      <w:r w:rsidRPr="00681285">
        <w:rPr>
          <w:rFonts w:cs="Arial"/>
          <w:color w:val="002F5D"/>
        </w:rPr>
        <w:t>The estimated prevalence of CHD is also statistically significantly higher than the England average in Peterborough.</w:t>
      </w:r>
    </w:p>
    <w:p w14:paraId="731CDF29" w14:textId="77777777" w:rsidR="000F6257" w:rsidRPr="00681285" w:rsidRDefault="000F6257" w:rsidP="00A938F7">
      <w:pPr>
        <w:pStyle w:val="ListParagraph"/>
        <w:numPr>
          <w:ilvl w:val="0"/>
          <w:numId w:val="14"/>
        </w:numPr>
        <w:spacing w:line="240" w:lineRule="auto"/>
        <w:rPr>
          <w:rFonts w:cs="Arial"/>
          <w:color w:val="002F5D"/>
        </w:rPr>
      </w:pPr>
      <w:r w:rsidRPr="00681285">
        <w:rPr>
          <w:rFonts w:cs="Arial"/>
          <w:color w:val="002F5D"/>
        </w:rPr>
        <w:t>Although these modelled estimates are not comparable to recorded prevalence data due to differences in age definitions, the patter</w:t>
      </w:r>
      <w:r w:rsidR="003021A1" w:rsidRPr="00681285">
        <w:rPr>
          <w:rFonts w:cs="Arial"/>
          <w:color w:val="002F5D"/>
        </w:rPr>
        <w:t>n</w:t>
      </w:r>
      <w:r w:rsidRPr="00681285">
        <w:rPr>
          <w:rFonts w:cs="Arial"/>
          <w:color w:val="002F5D"/>
        </w:rPr>
        <w:t>s by district are similar.</w:t>
      </w:r>
    </w:p>
    <w:p w14:paraId="35AA1C1C" w14:textId="77777777" w:rsidR="000F6257" w:rsidRPr="00681285" w:rsidRDefault="000F6257" w:rsidP="000F6257">
      <w:pPr>
        <w:spacing w:line="240" w:lineRule="auto"/>
        <w:rPr>
          <w:rFonts w:cs="Arial"/>
          <w:color w:val="002F5D"/>
        </w:rPr>
      </w:pPr>
    </w:p>
    <w:p w14:paraId="5A052D85" w14:textId="77777777" w:rsidR="000F6257" w:rsidRPr="00681285" w:rsidRDefault="000F6257" w:rsidP="000F6257">
      <w:pPr>
        <w:spacing w:line="240" w:lineRule="auto"/>
        <w:rPr>
          <w:rFonts w:cs="Arial"/>
          <w:color w:val="002F5D"/>
        </w:rPr>
      </w:pPr>
    </w:p>
    <w:p w14:paraId="13B02EDF" w14:textId="77777777" w:rsidR="000F6257" w:rsidRPr="00681285" w:rsidRDefault="000F6257" w:rsidP="000F6257">
      <w:pPr>
        <w:spacing w:line="240" w:lineRule="auto"/>
        <w:rPr>
          <w:rFonts w:cs="Arial"/>
          <w:color w:val="002F5D"/>
        </w:rPr>
      </w:pPr>
    </w:p>
    <w:p w14:paraId="6902D589" w14:textId="77777777" w:rsidR="000F6257" w:rsidRPr="00681285" w:rsidRDefault="000F6257" w:rsidP="000F6257">
      <w:pPr>
        <w:spacing w:line="240" w:lineRule="auto"/>
        <w:rPr>
          <w:rFonts w:cs="Arial"/>
          <w:color w:val="002F5D"/>
        </w:rPr>
      </w:pPr>
    </w:p>
    <w:p w14:paraId="2CC6CF46" w14:textId="77777777" w:rsidR="000F6257" w:rsidRPr="00681285" w:rsidRDefault="000F6257" w:rsidP="000F6257">
      <w:pPr>
        <w:spacing w:line="240" w:lineRule="auto"/>
        <w:rPr>
          <w:rFonts w:cs="Arial"/>
          <w:color w:val="002F5D"/>
        </w:rPr>
      </w:pPr>
    </w:p>
    <w:p w14:paraId="620A767C" w14:textId="77777777" w:rsidR="000F6257" w:rsidRPr="00681285" w:rsidRDefault="000F6257" w:rsidP="000F6257">
      <w:pPr>
        <w:spacing w:line="240" w:lineRule="auto"/>
        <w:rPr>
          <w:rFonts w:cs="Arial"/>
          <w:color w:val="002F5D"/>
        </w:rPr>
      </w:pPr>
    </w:p>
    <w:p w14:paraId="46706CE1" w14:textId="77777777" w:rsidR="000F6257" w:rsidRPr="00681285" w:rsidRDefault="000F6257" w:rsidP="000F6257">
      <w:pPr>
        <w:spacing w:line="240" w:lineRule="auto"/>
        <w:rPr>
          <w:rFonts w:cs="Arial"/>
          <w:color w:val="002F5D"/>
        </w:rPr>
      </w:pPr>
    </w:p>
    <w:p w14:paraId="620DDAEA" w14:textId="77777777" w:rsidR="000F6257" w:rsidRPr="00681285" w:rsidRDefault="000F6257" w:rsidP="000F6257">
      <w:pPr>
        <w:spacing w:line="240" w:lineRule="auto"/>
        <w:rPr>
          <w:rFonts w:cs="Arial"/>
          <w:color w:val="002F5D"/>
        </w:rPr>
      </w:pPr>
    </w:p>
    <w:p w14:paraId="4894216B" w14:textId="77777777" w:rsidR="000F6257" w:rsidRPr="00681285" w:rsidRDefault="000F6257" w:rsidP="000F6257">
      <w:pPr>
        <w:spacing w:line="240" w:lineRule="auto"/>
        <w:rPr>
          <w:rFonts w:cs="Arial"/>
          <w:b/>
          <w:color w:val="002F5D"/>
        </w:rPr>
      </w:pPr>
      <w:r w:rsidRPr="00681285">
        <w:rPr>
          <w:rFonts w:cs="Arial"/>
          <w:b/>
          <w:color w:val="002F5D"/>
        </w:rPr>
        <w:br w:type="page"/>
      </w:r>
    </w:p>
    <w:p w14:paraId="26769B5E" w14:textId="677DAA53" w:rsidR="00F2274F" w:rsidRDefault="00B654F0" w:rsidP="00B654F0">
      <w:pPr>
        <w:pStyle w:val="Caption"/>
        <w:rPr>
          <w:rFonts w:cs="Arial"/>
          <w:color w:val="002F5D"/>
        </w:rPr>
      </w:pPr>
      <w:r w:rsidRPr="008C5D67">
        <w:rPr>
          <w:b/>
          <w:color w:val="002F5D"/>
        </w:rPr>
        <w:lastRenderedPageBreak/>
        <w:t>Table</w:t>
      </w:r>
      <w:r w:rsidR="00A5114D">
        <w:rPr>
          <w:b/>
          <w:color w:val="002F5D"/>
        </w:rPr>
        <w:t xml:space="preserve"> 57</w:t>
      </w:r>
      <w:r w:rsidR="00724528" w:rsidRPr="008C5D67">
        <w:rPr>
          <w:rFonts w:cs="Arial"/>
          <w:b/>
          <w:color w:val="002F5D"/>
        </w:rPr>
        <w:t>.</w:t>
      </w:r>
      <w:r w:rsidR="00724528" w:rsidRPr="008C5D67">
        <w:rPr>
          <w:rFonts w:cs="Arial"/>
          <w:color w:val="002F5D"/>
        </w:rPr>
        <w:t xml:space="preserve"> General practices with statistically significantly higher than national average rates of recorded CHD, Cambridgeshire</w:t>
      </w:r>
      <w:r w:rsidR="00582585" w:rsidRPr="008C5D67">
        <w:rPr>
          <w:rFonts w:cs="Arial"/>
          <w:color w:val="002F5D"/>
        </w:rPr>
        <w:t xml:space="preserve"> and Peterborough</w:t>
      </w:r>
      <w:r w:rsidR="008C5D67">
        <w:rPr>
          <w:rFonts w:cs="Arial"/>
          <w:color w:val="002F5D"/>
        </w:rPr>
        <w:t>, 2017/18</w:t>
      </w:r>
    </w:p>
    <w:p w14:paraId="70BCCA0E" w14:textId="3703C3AD" w:rsidR="006610FF" w:rsidRDefault="006610FF" w:rsidP="00B654F0">
      <w:pPr>
        <w:pStyle w:val="Caption"/>
        <w:rPr>
          <w:rFonts w:cs="Arial"/>
          <w:color w:val="002F5D"/>
        </w:rPr>
      </w:pPr>
    </w:p>
    <w:p w14:paraId="392E0044" w14:textId="50350FDC" w:rsidR="00E16416" w:rsidRPr="00E16416" w:rsidRDefault="00F2274F" w:rsidP="00E16416">
      <w:r w:rsidRPr="00F2274F">
        <w:rPr>
          <w:noProof/>
          <w:lang w:eastAsia="en-GB"/>
        </w:rPr>
        <w:drawing>
          <wp:inline distT="0" distB="0" distL="0" distR="0" wp14:anchorId="0E076B6A" wp14:editId="5EE7797E">
            <wp:extent cx="5569613" cy="4131733"/>
            <wp:effectExtent l="0" t="0" r="0" b="254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74774" cy="4135561"/>
                    </a:xfrm>
                    <a:prstGeom prst="rect">
                      <a:avLst/>
                    </a:prstGeom>
                    <a:noFill/>
                    <a:ln>
                      <a:noFill/>
                    </a:ln>
                  </pic:spPr>
                </pic:pic>
              </a:graphicData>
            </a:graphic>
          </wp:inline>
        </w:drawing>
      </w:r>
    </w:p>
    <w:p w14:paraId="2F93894C" w14:textId="3705BB29" w:rsidR="00FE41B6" w:rsidRPr="006610FF" w:rsidRDefault="00FE41B6" w:rsidP="00E16416">
      <w:pPr>
        <w:rPr>
          <w:rFonts w:cs="Arial"/>
          <w:color w:val="002F5D"/>
        </w:rPr>
      </w:pPr>
    </w:p>
    <w:p w14:paraId="5D019356" w14:textId="193A29A6" w:rsidR="00724528" w:rsidRPr="00E16416" w:rsidRDefault="00724528" w:rsidP="00E16416"/>
    <w:p w14:paraId="207E4520" w14:textId="77777777" w:rsidR="00724528" w:rsidRPr="00FE41B6" w:rsidRDefault="00724528" w:rsidP="0038179C">
      <w:pPr>
        <w:spacing w:line="240" w:lineRule="auto"/>
        <w:rPr>
          <w:rFonts w:cs="Arial"/>
          <w:color w:val="002F5D"/>
        </w:rPr>
      </w:pPr>
      <w:r w:rsidRPr="00FE41B6">
        <w:rPr>
          <w:rFonts w:cs="Arial"/>
          <w:b/>
          <w:color w:val="002F5D"/>
        </w:rPr>
        <w:t>Sources:</w:t>
      </w:r>
      <w:r w:rsidRPr="00FE41B6">
        <w:rPr>
          <w:rFonts w:cs="Arial"/>
          <w:color w:val="002F5D"/>
        </w:rPr>
        <w:t xml:space="preserve"> NHS Digital, Quality and Outcomes Framework, Cambridgeshire County Council Public Health Intelligence</w:t>
      </w:r>
    </w:p>
    <w:p w14:paraId="272EB245" w14:textId="77777777" w:rsidR="00724528" w:rsidRPr="0037351D" w:rsidRDefault="00724528" w:rsidP="0038179C">
      <w:pPr>
        <w:spacing w:line="240" w:lineRule="auto"/>
        <w:rPr>
          <w:rFonts w:cs="Arial"/>
          <w:color w:val="FF0000"/>
        </w:rPr>
      </w:pPr>
    </w:p>
    <w:p w14:paraId="4579CC25" w14:textId="77777777" w:rsidR="00724528" w:rsidRPr="00FE41B6" w:rsidRDefault="00724528" w:rsidP="0038179C">
      <w:pPr>
        <w:spacing w:line="240" w:lineRule="auto"/>
        <w:rPr>
          <w:rFonts w:cs="Arial"/>
          <w:b/>
          <w:color w:val="002F5D"/>
        </w:rPr>
      </w:pPr>
      <w:r w:rsidRPr="00FE41B6">
        <w:rPr>
          <w:rFonts w:cs="Arial"/>
          <w:b/>
          <w:color w:val="002F5D"/>
        </w:rPr>
        <w:t>Key point:</w:t>
      </w:r>
    </w:p>
    <w:p w14:paraId="6C99816E" w14:textId="3958555C" w:rsidR="00724528" w:rsidRPr="00FE41B6" w:rsidRDefault="00724528" w:rsidP="00A938F7">
      <w:pPr>
        <w:pStyle w:val="ListParagraph"/>
        <w:numPr>
          <w:ilvl w:val="0"/>
          <w:numId w:val="14"/>
        </w:numPr>
        <w:spacing w:line="240" w:lineRule="auto"/>
        <w:rPr>
          <w:rFonts w:cs="Arial"/>
          <w:color w:val="002F5D"/>
        </w:rPr>
      </w:pPr>
      <w:r w:rsidRPr="00FE41B6">
        <w:rPr>
          <w:rFonts w:cs="Arial"/>
          <w:color w:val="002F5D"/>
        </w:rPr>
        <w:t xml:space="preserve">Many practices </w:t>
      </w:r>
      <w:r w:rsidR="00582585" w:rsidRPr="00FE41B6">
        <w:rPr>
          <w:rFonts w:cs="Arial"/>
          <w:color w:val="002F5D"/>
        </w:rPr>
        <w:t>across</w:t>
      </w:r>
      <w:r w:rsidRPr="00FE41B6">
        <w:rPr>
          <w:rFonts w:cs="Arial"/>
          <w:color w:val="002F5D"/>
        </w:rPr>
        <w:t xml:space="preserve"> Cambridgeshire</w:t>
      </w:r>
      <w:r w:rsidR="00582585" w:rsidRPr="00FE41B6">
        <w:rPr>
          <w:rFonts w:cs="Arial"/>
          <w:color w:val="002F5D"/>
        </w:rPr>
        <w:t xml:space="preserve"> and Peterborough</w:t>
      </w:r>
      <w:r w:rsidRPr="00FE41B6">
        <w:rPr>
          <w:rFonts w:cs="Arial"/>
          <w:color w:val="002F5D"/>
        </w:rPr>
        <w:t xml:space="preserve"> with statistically significantly higher than national average rates of record</w:t>
      </w:r>
      <w:r w:rsidR="00FE41B6" w:rsidRPr="00FE41B6">
        <w:rPr>
          <w:rFonts w:cs="Arial"/>
          <w:color w:val="002F5D"/>
        </w:rPr>
        <w:t>ed CHD are located in Fenland (8</w:t>
      </w:r>
      <w:r w:rsidRPr="00FE41B6">
        <w:rPr>
          <w:rFonts w:cs="Arial"/>
          <w:color w:val="002F5D"/>
        </w:rPr>
        <w:t>), but other practices are</w:t>
      </w:r>
      <w:r w:rsidR="00582585" w:rsidRPr="00FE41B6">
        <w:rPr>
          <w:rFonts w:cs="Arial"/>
          <w:color w:val="002F5D"/>
        </w:rPr>
        <w:t xml:space="preserve"> located in Hunt</w:t>
      </w:r>
      <w:r w:rsidR="00FE41B6" w:rsidRPr="00FE41B6">
        <w:rPr>
          <w:rFonts w:cs="Arial"/>
          <w:color w:val="002F5D"/>
        </w:rPr>
        <w:t>ingdonshire (</w:t>
      </w:r>
      <w:r w:rsidR="003579E4">
        <w:rPr>
          <w:rFonts w:cs="Arial"/>
          <w:color w:val="002F5D"/>
        </w:rPr>
        <w:t>7</w:t>
      </w:r>
      <w:r w:rsidR="00FE41B6" w:rsidRPr="00FE41B6">
        <w:rPr>
          <w:rFonts w:cs="Arial"/>
          <w:color w:val="002F5D"/>
        </w:rPr>
        <w:t xml:space="preserve">), </w:t>
      </w:r>
      <w:r w:rsidR="00461547">
        <w:rPr>
          <w:rFonts w:cs="Arial"/>
          <w:color w:val="002F5D"/>
        </w:rPr>
        <w:t>E</w:t>
      </w:r>
      <w:r w:rsidR="00461547" w:rsidRPr="00FE41B6">
        <w:rPr>
          <w:rFonts w:cs="Arial"/>
          <w:color w:val="002F5D"/>
        </w:rPr>
        <w:t>ast Cambridgeshire (3</w:t>
      </w:r>
      <w:r w:rsidR="00461547">
        <w:rPr>
          <w:rFonts w:cs="Arial"/>
          <w:color w:val="002F5D"/>
        </w:rPr>
        <w:t xml:space="preserve">) and </w:t>
      </w:r>
      <w:r w:rsidR="00FE41B6" w:rsidRPr="00FE41B6">
        <w:rPr>
          <w:rFonts w:cs="Arial"/>
          <w:color w:val="002F5D"/>
        </w:rPr>
        <w:t>Peterborough (1</w:t>
      </w:r>
      <w:r w:rsidRPr="00FE41B6">
        <w:rPr>
          <w:rFonts w:cs="Arial"/>
          <w:color w:val="002F5D"/>
        </w:rPr>
        <w:t>)</w:t>
      </w:r>
      <w:r w:rsidR="00FE41B6" w:rsidRPr="00FE41B6">
        <w:rPr>
          <w:rFonts w:cs="Arial"/>
          <w:color w:val="002F5D"/>
        </w:rPr>
        <w:t>.  Although Oundle Practice is not physically located in Cambridgeshire and Peterborough it does sit within the Cambridgeshire and Peterborough CCG</w:t>
      </w:r>
      <w:r w:rsidRPr="00FE41B6">
        <w:rPr>
          <w:rFonts w:cs="Arial"/>
          <w:color w:val="002F5D"/>
        </w:rPr>
        <w:t>.</w:t>
      </w:r>
    </w:p>
    <w:p w14:paraId="58073891" w14:textId="77777777" w:rsidR="00724528" w:rsidRPr="0037351D" w:rsidRDefault="00724528" w:rsidP="0038179C">
      <w:pPr>
        <w:spacing w:line="240" w:lineRule="auto"/>
        <w:rPr>
          <w:rFonts w:cs="Arial"/>
          <w:b/>
          <w:color w:val="FF0000"/>
        </w:rPr>
      </w:pPr>
    </w:p>
    <w:p w14:paraId="28120A30" w14:textId="77777777" w:rsidR="00F80DEA" w:rsidRPr="0037351D" w:rsidRDefault="00F80DEA" w:rsidP="0038179C">
      <w:pPr>
        <w:spacing w:line="240" w:lineRule="auto"/>
        <w:rPr>
          <w:rFonts w:cs="Arial"/>
          <w:b/>
          <w:color w:val="FF0000"/>
        </w:rPr>
      </w:pPr>
    </w:p>
    <w:p w14:paraId="571DA269" w14:textId="77777777" w:rsidR="00F80DEA" w:rsidRPr="0037351D" w:rsidRDefault="00F80DEA" w:rsidP="0038179C">
      <w:pPr>
        <w:spacing w:line="240" w:lineRule="auto"/>
        <w:rPr>
          <w:rFonts w:cs="Arial"/>
          <w:b/>
          <w:color w:val="FF0000"/>
        </w:rPr>
      </w:pPr>
    </w:p>
    <w:p w14:paraId="26EC8138" w14:textId="77777777" w:rsidR="00C60A25" w:rsidRPr="0037351D" w:rsidRDefault="00C60A25" w:rsidP="0038179C">
      <w:pPr>
        <w:spacing w:line="240" w:lineRule="auto"/>
        <w:rPr>
          <w:rFonts w:cs="Arial"/>
          <w:b/>
          <w:color w:val="FF0000"/>
        </w:rPr>
      </w:pPr>
    </w:p>
    <w:p w14:paraId="5A260A79" w14:textId="77777777" w:rsidR="00F80DEA" w:rsidRPr="0037351D" w:rsidRDefault="00F80DEA" w:rsidP="0038179C">
      <w:pPr>
        <w:spacing w:line="240" w:lineRule="auto"/>
        <w:rPr>
          <w:rFonts w:cs="Arial"/>
          <w:b/>
          <w:color w:val="FF0000"/>
        </w:rPr>
      </w:pPr>
    </w:p>
    <w:p w14:paraId="006CA897" w14:textId="77777777" w:rsidR="00F80DEA" w:rsidRPr="0037351D" w:rsidRDefault="00F80DEA" w:rsidP="0038179C">
      <w:pPr>
        <w:spacing w:line="240" w:lineRule="auto"/>
        <w:rPr>
          <w:rFonts w:cs="Arial"/>
          <w:b/>
          <w:color w:val="FF0000"/>
        </w:rPr>
      </w:pPr>
    </w:p>
    <w:p w14:paraId="638C5A28" w14:textId="77777777" w:rsidR="00F80DEA" w:rsidRPr="0037351D" w:rsidRDefault="00F80DEA" w:rsidP="0038179C">
      <w:pPr>
        <w:spacing w:line="240" w:lineRule="auto"/>
        <w:rPr>
          <w:rFonts w:cs="Arial"/>
          <w:b/>
          <w:color w:val="FF0000"/>
        </w:rPr>
      </w:pPr>
    </w:p>
    <w:p w14:paraId="1A6B9E4E" w14:textId="77777777" w:rsidR="00F80DEA" w:rsidRPr="0037351D" w:rsidRDefault="00F80DEA" w:rsidP="0038179C">
      <w:pPr>
        <w:spacing w:line="240" w:lineRule="auto"/>
        <w:rPr>
          <w:rFonts w:cs="Arial"/>
          <w:b/>
          <w:color w:val="FF0000"/>
        </w:rPr>
      </w:pPr>
    </w:p>
    <w:p w14:paraId="2DA4D940" w14:textId="77777777" w:rsidR="00F80DEA" w:rsidRPr="0037351D" w:rsidRDefault="00F80DEA" w:rsidP="0038179C">
      <w:pPr>
        <w:spacing w:line="240" w:lineRule="auto"/>
        <w:rPr>
          <w:rFonts w:cs="Arial"/>
          <w:b/>
          <w:color w:val="FF0000"/>
        </w:rPr>
      </w:pPr>
    </w:p>
    <w:p w14:paraId="282F2798" w14:textId="77777777" w:rsidR="00F80DEA" w:rsidRPr="0037351D" w:rsidRDefault="00F80DEA" w:rsidP="0038179C">
      <w:pPr>
        <w:spacing w:line="240" w:lineRule="auto"/>
        <w:rPr>
          <w:rFonts w:cs="Arial"/>
          <w:b/>
          <w:color w:val="FF0000"/>
        </w:rPr>
      </w:pPr>
    </w:p>
    <w:p w14:paraId="340EC6AA" w14:textId="77777777" w:rsidR="00F80DEA" w:rsidRPr="0037351D" w:rsidRDefault="00F80DEA" w:rsidP="0038179C">
      <w:pPr>
        <w:spacing w:line="240" w:lineRule="auto"/>
        <w:rPr>
          <w:rFonts w:cs="Arial"/>
          <w:b/>
          <w:color w:val="FF0000"/>
        </w:rPr>
      </w:pPr>
    </w:p>
    <w:p w14:paraId="35E8366F" w14:textId="77777777" w:rsidR="00F80DEA" w:rsidRPr="0037351D" w:rsidRDefault="00F80DEA" w:rsidP="0038179C">
      <w:pPr>
        <w:spacing w:line="240" w:lineRule="auto"/>
        <w:rPr>
          <w:rFonts w:cs="Arial"/>
          <w:b/>
          <w:color w:val="FF0000"/>
        </w:rPr>
      </w:pPr>
    </w:p>
    <w:p w14:paraId="115911A1" w14:textId="77777777" w:rsidR="00F80DEA" w:rsidRPr="00FE41B6" w:rsidRDefault="00F80DEA" w:rsidP="0038179C">
      <w:pPr>
        <w:spacing w:line="240" w:lineRule="auto"/>
        <w:rPr>
          <w:rFonts w:cs="Arial"/>
          <w:b/>
          <w:color w:val="002F5D"/>
        </w:rPr>
      </w:pPr>
    </w:p>
    <w:p w14:paraId="760F4781" w14:textId="0C60DA88" w:rsidR="00F2274F" w:rsidRDefault="00E610FB" w:rsidP="00E610FB">
      <w:pPr>
        <w:pStyle w:val="Caption"/>
        <w:rPr>
          <w:rFonts w:cs="Arial"/>
          <w:color w:val="002F5D"/>
        </w:rPr>
      </w:pPr>
      <w:r w:rsidRPr="00FE41B6">
        <w:rPr>
          <w:b/>
          <w:color w:val="002F5D"/>
        </w:rPr>
        <w:lastRenderedPageBreak/>
        <w:t xml:space="preserve">Table </w:t>
      </w:r>
      <w:r w:rsidR="00A5114D">
        <w:rPr>
          <w:b/>
          <w:color w:val="002F5D"/>
        </w:rPr>
        <w:t>58</w:t>
      </w:r>
      <w:r w:rsidRPr="00FE41B6">
        <w:rPr>
          <w:rFonts w:cs="Arial"/>
          <w:b/>
          <w:color w:val="002F5D"/>
        </w:rPr>
        <w:t>.</w:t>
      </w:r>
      <w:r w:rsidR="00C60A25" w:rsidRPr="00FE41B6">
        <w:rPr>
          <w:rFonts w:cs="Arial"/>
          <w:b/>
          <w:color w:val="002F5D"/>
        </w:rPr>
        <w:t xml:space="preserve"> </w:t>
      </w:r>
      <w:r w:rsidR="00C60A25" w:rsidRPr="00FE41B6">
        <w:rPr>
          <w:rFonts w:cs="Arial"/>
          <w:color w:val="002F5D"/>
        </w:rPr>
        <w:t>General practices with statistically significantly higher than national average rates of recorded high blood pressure (hypertension), Cambr</w:t>
      </w:r>
      <w:r w:rsidR="00FE41B6" w:rsidRPr="00FE41B6">
        <w:rPr>
          <w:rFonts w:cs="Arial"/>
          <w:color w:val="002F5D"/>
        </w:rPr>
        <w:t>idgeshire and Peterborough, 2017/18</w:t>
      </w:r>
    </w:p>
    <w:p w14:paraId="21061A97" w14:textId="6FF71C8D" w:rsidR="00AB7A66" w:rsidRDefault="00AB7A66" w:rsidP="00E610FB">
      <w:pPr>
        <w:pStyle w:val="Caption"/>
        <w:rPr>
          <w:rFonts w:cs="Arial"/>
          <w:color w:val="002F5D"/>
        </w:rPr>
      </w:pPr>
    </w:p>
    <w:p w14:paraId="43FE45F8" w14:textId="6DD46A7D" w:rsidR="00E16416" w:rsidRPr="00E16416" w:rsidRDefault="00F2274F" w:rsidP="00E16416">
      <w:r w:rsidRPr="00F2274F">
        <w:rPr>
          <w:noProof/>
          <w:lang w:eastAsia="en-GB"/>
        </w:rPr>
        <w:drawing>
          <wp:inline distT="0" distB="0" distL="0" distR="0" wp14:anchorId="6FF2CA17" wp14:editId="25878CE2">
            <wp:extent cx="5173133" cy="5841319"/>
            <wp:effectExtent l="0" t="0" r="8890"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77285" cy="5846007"/>
                    </a:xfrm>
                    <a:prstGeom prst="rect">
                      <a:avLst/>
                    </a:prstGeom>
                    <a:noFill/>
                    <a:ln>
                      <a:noFill/>
                    </a:ln>
                  </pic:spPr>
                </pic:pic>
              </a:graphicData>
            </a:graphic>
          </wp:inline>
        </w:drawing>
      </w:r>
    </w:p>
    <w:p w14:paraId="739217F8" w14:textId="77777777" w:rsidR="00E610FB" w:rsidRPr="00FE41B6" w:rsidRDefault="00E610FB" w:rsidP="009A2AB3">
      <w:pPr>
        <w:spacing w:line="276" w:lineRule="auto"/>
        <w:rPr>
          <w:rFonts w:cs="Arial"/>
          <w:b/>
          <w:color w:val="002F5D"/>
        </w:rPr>
      </w:pPr>
    </w:p>
    <w:p w14:paraId="16768F05" w14:textId="5016115E" w:rsidR="001A4055" w:rsidRPr="00FE41B6" w:rsidRDefault="00E610FB" w:rsidP="0043274F">
      <w:pPr>
        <w:spacing w:line="240" w:lineRule="auto"/>
        <w:rPr>
          <w:rFonts w:cs="Arial"/>
          <w:color w:val="002F5D"/>
        </w:rPr>
      </w:pPr>
      <w:r w:rsidRPr="00FE41B6">
        <w:rPr>
          <w:rFonts w:cs="Arial"/>
          <w:b/>
          <w:color w:val="002F5D"/>
        </w:rPr>
        <w:t>Sources:</w:t>
      </w:r>
      <w:r w:rsidRPr="00FE41B6">
        <w:rPr>
          <w:rFonts w:cs="Arial"/>
          <w:color w:val="002F5D"/>
        </w:rPr>
        <w:t xml:space="preserve"> NHS Digital, Quality and Outcomes Framework, Cambridgeshire County Council Public Health Intelligence</w:t>
      </w:r>
    </w:p>
    <w:p w14:paraId="61A2F132" w14:textId="77777777" w:rsidR="00FE41B6" w:rsidRDefault="00FE41B6" w:rsidP="0043274F">
      <w:pPr>
        <w:spacing w:line="240" w:lineRule="auto"/>
        <w:rPr>
          <w:rFonts w:cs="Arial"/>
          <w:b/>
          <w:color w:val="FF0000"/>
        </w:rPr>
      </w:pPr>
    </w:p>
    <w:p w14:paraId="1A14127F" w14:textId="1BDF90C5" w:rsidR="006064FA" w:rsidRDefault="00C60A25" w:rsidP="0043274F">
      <w:pPr>
        <w:spacing w:line="240" w:lineRule="auto"/>
        <w:rPr>
          <w:rFonts w:cs="Arial"/>
          <w:b/>
          <w:color w:val="002F5D"/>
        </w:rPr>
      </w:pPr>
      <w:r w:rsidRPr="00FE41B6">
        <w:rPr>
          <w:rFonts w:cs="Arial"/>
          <w:b/>
          <w:color w:val="002F5D"/>
        </w:rPr>
        <w:t>Key point:</w:t>
      </w:r>
    </w:p>
    <w:p w14:paraId="6713D6FA" w14:textId="56670EDD" w:rsidR="006064FA" w:rsidRPr="00FE41B6" w:rsidRDefault="006064FA" w:rsidP="006064FA">
      <w:pPr>
        <w:pStyle w:val="ListParagraph"/>
        <w:numPr>
          <w:ilvl w:val="0"/>
          <w:numId w:val="14"/>
        </w:numPr>
        <w:spacing w:line="240" w:lineRule="auto"/>
        <w:rPr>
          <w:rFonts w:cs="Arial"/>
          <w:color w:val="002F5D"/>
        </w:rPr>
      </w:pPr>
      <w:r w:rsidRPr="009B744C">
        <w:rPr>
          <w:rFonts w:cs="Arial"/>
          <w:color w:val="002F5D"/>
        </w:rPr>
        <w:t>Many practices across Cambridgeshire and Peterborough with statistically significantly higher than national average rates of recorded high blood pressure are located in Huntingdonshire (12), Fenland (9), East Cambridgeshire (4),  South Cambridgeshire (2) and Peterborough (2). Although Oundle Practice, Wansford Practice and Roysia Surgery are not physically located in Cambridgeshire and Peterborough they sit within the Cambridgeshire and Peterborough CCG.</w:t>
      </w:r>
    </w:p>
    <w:p w14:paraId="21D859E1" w14:textId="77777777" w:rsidR="00F2274F" w:rsidRPr="00FE41B6" w:rsidRDefault="00F2274F" w:rsidP="00E61D24">
      <w:pPr>
        <w:pStyle w:val="ListParagraph"/>
      </w:pPr>
    </w:p>
    <w:p w14:paraId="4E079B02" w14:textId="0202EA5C" w:rsidR="00F2274F" w:rsidRDefault="00F2274F" w:rsidP="009A2AB3">
      <w:pPr>
        <w:pStyle w:val="ListParagraph"/>
        <w:spacing w:line="240" w:lineRule="auto"/>
        <w:rPr>
          <w:rFonts w:cs="Arial"/>
          <w:b/>
          <w:color w:val="FF0000"/>
        </w:rPr>
      </w:pPr>
    </w:p>
    <w:p w14:paraId="44E58DCF" w14:textId="168CE035" w:rsidR="00F2274F" w:rsidRDefault="00F2274F" w:rsidP="009A2AB3">
      <w:pPr>
        <w:pStyle w:val="ListParagraph"/>
        <w:spacing w:line="240" w:lineRule="auto"/>
        <w:rPr>
          <w:rFonts w:cs="Arial"/>
          <w:b/>
          <w:color w:val="FF0000"/>
        </w:rPr>
      </w:pPr>
    </w:p>
    <w:p w14:paraId="358206C1" w14:textId="77777777" w:rsidR="00F2274F" w:rsidRPr="009A2AB3" w:rsidRDefault="00F2274F" w:rsidP="009A2AB3">
      <w:pPr>
        <w:pStyle w:val="ListParagraph"/>
        <w:spacing w:line="240" w:lineRule="auto"/>
        <w:rPr>
          <w:rFonts w:cs="Arial"/>
          <w:b/>
          <w:color w:val="FF0000"/>
        </w:rPr>
      </w:pPr>
    </w:p>
    <w:p w14:paraId="3DC01D12" w14:textId="0A9EB7D7" w:rsidR="00DE2910" w:rsidRPr="0037351D" w:rsidRDefault="00DE2910" w:rsidP="009A2AB3">
      <w:pPr>
        <w:pStyle w:val="ListParagraph"/>
        <w:spacing w:line="240" w:lineRule="auto"/>
        <w:rPr>
          <w:iCs/>
          <w:szCs w:val="18"/>
        </w:rPr>
      </w:pPr>
    </w:p>
    <w:p w14:paraId="096FB149" w14:textId="7070F9C8" w:rsidR="006129E0" w:rsidRDefault="00B654F0" w:rsidP="006129E0">
      <w:pPr>
        <w:pStyle w:val="Caption"/>
        <w:rPr>
          <w:rFonts w:cs="Arial"/>
          <w:color w:val="002F5D"/>
        </w:rPr>
      </w:pPr>
      <w:r w:rsidRPr="006129E0">
        <w:rPr>
          <w:b/>
          <w:color w:val="002F5D"/>
        </w:rPr>
        <w:lastRenderedPageBreak/>
        <w:t xml:space="preserve">Table </w:t>
      </w:r>
      <w:r w:rsidR="00A5114D">
        <w:rPr>
          <w:b/>
          <w:color w:val="002F5D"/>
        </w:rPr>
        <w:t>59</w:t>
      </w:r>
      <w:r w:rsidR="009C2A14" w:rsidRPr="006129E0">
        <w:rPr>
          <w:rFonts w:cs="Arial"/>
          <w:b/>
          <w:color w:val="002F5D"/>
        </w:rPr>
        <w:t>.</w:t>
      </w:r>
      <w:r w:rsidR="009C2A14" w:rsidRPr="006129E0">
        <w:rPr>
          <w:rFonts w:cs="Arial"/>
          <w:color w:val="002F5D"/>
        </w:rPr>
        <w:t xml:space="preserve"> General practices with statistically significantly higher than national average rates of recorded stroke, Cambridgeshire</w:t>
      </w:r>
      <w:r w:rsidR="00582585" w:rsidRPr="006129E0">
        <w:rPr>
          <w:rFonts w:cs="Arial"/>
          <w:color w:val="002F5D"/>
        </w:rPr>
        <w:t xml:space="preserve"> and Peterborough</w:t>
      </w:r>
      <w:r w:rsidR="006129E0" w:rsidRPr="006129E0">
        <w:rPr>
          <w:rFonts w:cs="Arial"/>
          <w:color w:val="002F5D"/>
        </w:rPr>
        <w:t>, 2017/18</w:t>
      </w:r>
    </w:p>
    <w:p w14:paraId="796CD0C6" w14:textId="77777777" w:rsidR="00F2274F" w:rsidRPr="009A2AB3" w:rsidRDefault="00F2274F" w:rsidP="00E61D24"/>
    <w:p w14:paraId="63D5A73C" w14:textId="31890142" w:rsidR="006129E0" w:rsidRPr="006129E0" w:rsidRDefault="00F2274F" w:rsidP="006129E0">
      <w:r w:rsidRPr="00F2274F">
        <w:rPr>
          <w:noProof/>
          <w:lang w:eastAsia="en-GB"/>
        </w:rPr>
        <w:drawing>
          <wp:inline distT="0" distB="0" distL="0" distR="0" wp14:anchorId="5030A47B" wp14:editId="3EC270CD">
            <wp:extent cx="5671992" cy="3115733"/>
            <wp:effectExtent l="0" t="0" r="5080" b="889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81893" cy="3121172"/>
                    </a:xfrm>
                    <a:prstGeom prst="rect">
                      <a:avLst/>
                    </a:prstGeom>
                    <a:noFill/>
                    <a:ln>
                      <a:noFill/>
                    </a:ln>
                  </pic:spPr>
                </pic:pic>
              </a:graphicData>
            </a:graphic>
          </wp:inline>
        </w:drawing>
      </w:r>
    </w:p>
    <w:p w14:paraId="07E0A759" w14:textId="77777777" w:rsidR="009C2A14" w:rsidRPr="006129E0" w:rsidRDefault="009C2A14" w:rsidP="0043274F">
      <w:pPr>
        <w:spacing w:line="240" w:lineRule="auto"/>
        <w:rPr>
          <w:rFonts w:cs="Arial"/>
          <w:b/>
          <w:color w:val="002F5D"/>
        </w:rPr>
      </w:pPr>
    </w:p>
    <w:p w14:paraId="5080B46F" w14:textId="77777777" w:rsidR="009C2A14" w:rsidRPr="006129E0" w:rsidRDefault="009C2A14" w:rsidP="0043274F">
      <w:pPr>
        <w:spacing w:line="240" w:lineRule="auto"/>
        <w:rPr>
          <w:rFonts w:cs="Arial"/>
          <w:color w:val="002F5D"/>
        </w:rPr>
      </w:pPr>
      <w:r w:rsidRPr="006129E0">
        <w:rPr>
          <w:rFonts w:cs="Arial"/>
          <w:b/>
          <w:color w:val="002F5D"/>
        </w:rPr>
        <w:t>Sources:</w:t>
      </w:r>
      <w:r w:rsidRPr="006129E0">
        <w:rPr>
          <w:rFonts w:cs="Arial"/>
          <w:color w:val="002F5D"/>
        </w:rPr>
        <w:t xml:space="preserve"> NHS Digital, Quality and Outcomes Framework, Cambridgeshire County Council Public Health Intelligence</w:t>
      </w:r>
    </w:p>
    <w:p w14:paraId="7496DB84" w14:textId="77777777" w:rsidR="009C2A14" w:rsidRPr="006129E0" w:rsidRDefault="009C2A14" w:rsidP="0043274F">
      <w:pPr>
        <w:spacing w:line="240" w:lineRule="auto"/>
        <w:rPr>
          <w:rFonts w:cs="Arial"/>
          <w:color w:val="002F5D"/>
        </w:rPr>
      </w:pPr>
    </w:p>
    <w:p w14:paraId="5A7044F2" w14:textId="77777777" w:rsidR="009C2A14" w:rsidRPr="006129E0" w:rsidRDefault="009C2A14" w:rsidP="0043274F">
      <w:pPr>
        <w:spacing w:line="240" w:lineRule="auto"/>
        <w:rPr>
          <w:rFonts w:cs="Arial"/>
          <w:b/>
          <w:color w:val="002F5D"/>
        </w:rPr>
      </w:pPr>
      <w:r w:rsidRPr="006129E0">
        <w:rPr>
          <w:rFonts w:cs="Arial"/>
          <w:b/>
          <w:color w:val="002F5D"/>
        </w:rPr>
        <w:t>Key point:</w:t>
      </w:r>
    </w:p>
    <w:p w14:paraId="11137EA2" w14:textId="0C0E0CFE" w:rsidR="006129E0" w:rsidRPr="00FE41B6" w:rsidRDefault="009C2A14" w:rsidP="006129E0">
      <w:pPr>
        <w:pStyle w:val="ListParagraph"/>
        <w:numPr>
          <w:ilvl w:val="0"/>
          <w:numId w:val="14"/>
        </w:numPr>
        <w:spacing w:line="240" w:lineRule="auto"/>
        <w:rPr>
          <w:rFonts w:cs="Arial"/>
          <w:color w:val="002F5D"/>
        </w:rPr>
      </w:pPr>
      <w:r w:rsidRPr="006129E0">
        <w:rPr>
          <w:rFonts w:cs="Arial"/>
          <w:color w:val="002F5D"/>
        </w:rPr>
        <w:t>Many practices</w:t>
      </w:r>
      <w:r w:rsidR="00582585" w:rsidRPr="006129E0">
        <w:rPr>
          <w:rFonts w:cs="Arial"/>
          <w:color w:val="002F5D"/>
        </w:rPr>
        <w:t xml:space="preserve"> across</w:t>
      </w:r>
      <w:r w:rsidRPr="006129E0">
        <w:rPr>
          <w:rFonts w:cs="Arial"/>
          <w:color w:val="002F5D"/>
        </w:rPr>
        <w:t xml:space="preserve"> Cambridgeshire</w:t>
      </w:r>
      <w:r w:rsidR="00582585" w:rsidRPr="006129E0">
        <w:rPr>
          <w:rFonts w:cs="Arial"/>
          <w:color w:val="002F5D"/>
        </w:rPr>
        <w:t xml:space="preserve"> and Peterborough</w:t>
      </w:r>
      <w:r w:rsidRPr="006129E0">
        <w:rPr>
          <w:rFonts w:cs="Arial"/>
          <w:color w:val="002F5D"/>
        </w:rPr>
        <w:t xml:space="preserve"> with statistically significantly higher than national average rates of recorded stroke are located in Fenland (6), but other practices are located </w:t>
      </w:r>
      <w:r w:rsidR="00E16416">
        <w:rPr>
          <w:rFonts w:cs="Arial"/>
          <w:color w:val="002F5D"/>
        </w:rPr>
        <w:t>in Huntingdonshire (4</w:t>
      </w:r>
      <w:r w:rsidR="00E16416" w:rsidRPr="006129E0">
        <w:rPr>
          <w:rFonts w:cs="Arial"/>
          <w:color w:val="002F5D"/>
        </w:rPr>
        <w:t>) and East Cambridgeshire (1)</w:t>
      </w:r>
      <w:r w:rsidR="00E16416">
        <w:rPr>
          <w:rFonts w:cs="Arial"/>
          <w:color w:val="002F5D"/>
        </w:rPr>
        <w:t xml:space="preserve"> and </w:t>
      </w:r>
      <w:r w:rsidR="006129E0">
        <w:rPr>
          <w:rFonts w:cs="Arial"/>
          <w:color w:val="002F5D"/>
        </w:rPr>
        <w:t>Peterborough (1</w:t>
      </w:r>
      <w:r w:rsidR="00E16416">
        <w:rPr>
          <w:rFonts w:cs="Arial"/>
          <w:color w:val="002F5D"/>
        </w:rPr>
        <w:t xml:space="preserve">). </w:t>
      </w:r>
      <w:r w:rsidR="006129E0" w:rsidRPr="00FE41B6">
        <w:rPr>
          <w:rFonts w:cs="Arial"/>
          <w:color w:val="002F5D"/>
        </w:rPr>
        <w:t xml:space="preserve">Although </w:t>
      </w:r>
      <w:r w:rsidR="006129E0">
        <w:rPr>
          <w:rFonts w:cs="Arial"/>
          <w:color w:val="002F5D"/>
        </w:rPr>
        <w:t xml:space="preserve">Wansford </w:t>
      </w:r>
      <w:r w:rsidR="006129E0" w:rsidRPr="00FE41B6">
        <w:rPr>
          <w:rFonts w:cs="Arial"/>
          <w:color w:val="002F5D"/>
        </w:rPr>
        <w:t>Practice is not physically located in Cambridgeshire and Peterborough it does sit within the Cambridgeshire and Peterborough CCG.</w:t>
      </w:r>
    </w:p>
    <w:p w14:paraId="2011EAA2" w14:textId="7E5EACAE" w:rsidR="009C2A14" w:rsidRPr="006129E0" w:rsidRDefault="009C2A14" w:rsidP="006129E0">
      <w:pPr>
        <w:spacing w:line="240" w:lineRule="auto"/>
        <w:ind w:left="360"/>
        <w:rPr>
          <w:rFonts w:cs="Arial"/>
          <w:color w:val="002F5D"/>
        </w:rPr>
      </w:pPr>
    </w:p>
    <w:p w14:paraId="6A62FFD9" w14:textId="77777777" w:rsidR="006D0498" w:rsidRPr="006129E0" w:rsidRDefault="006D0498" w:rsidP="0038179C">
      <w:pPr>
        <w:spacing w:line="240" w:lineRule="auto"/>
        <w:rPr>
          <w:rFonts w:cs="Arial"/>
          <w:b/>
          <w:color w:val="002F5D"/>
        </w:rPr>
      </w:pPr>
    </w:p>
    <w:p w14:paraId="72FE0E1B" w14:textId="77777777" w:rsidR="00FB10F5" w:rsidRPr="006129E0" w:rsidRDefault="00FB10F5" w:rsidP="0038179C">
      <w:pPr>
        <w:spacing w:line="240" w:lineRule="auto"/>
        <w:rPr>
          <w:rFonts w:cs="Arial"/>
          <w:b/>
          <w:color w:val="002F5D"/>
        </w:rPr>
      </w:pPr>
      <w:r w:rsidRPr="006129E0">
        <w:rPr>
          <w:rFonts w:cs="Arial"/>
          <w:b/>
          <w:color w:val="002F5D"/>
        </w:rPr>
        <w:br w:type="page"/>
      </w:r>
    </w:p>
    <w:p w14:paraId="17701FB1" w14:textId="77777777" w:rsidR="001B5CAB" w:rsidRPr="00BB6D46" w:rsidRDefault="001B5CAB" w:rsidP="000F6257">
      <w:pPr>
        <w:pStyle w:val="JSNA2"/>
      </w:pPr>
      <w:bookmarkStart w:id="800" w:name="_Toc4407874"/>
      <w:r w:rsidRPr="00BB6D46">
        <w:lastRenderedPageBreak/>
        <w:t>Respiratory conditions</w:t>
      </w:r>
      <w:r w:rsidR="008B018D" w:rsidRPr="00BB6D46">
        <w:t xml:space="preserve"> (asthma and chronic obstructive pulmonary disease)</w:t>
      </w:r>
      <w:bookmarkEnd w:id="800"/>
    </w:p>
    <w:p w14:paraId="437C82C5" w14:textId="77777777" w:rsidR="001B5CAB" w:rsidRPr="0037351D" w:rsidRDefault="001B5CAB" w:rsidP="0038179C">
      <w:pPr>
        <w:spacing w:line="240" w:lineRule="auto"/>
        <w:rPr>
          <w:rFonts w:cs="Arial"/>
          <w:b/>
          <w:color w:val="FF0000"/>
        </w:rPr>
      </w:pPr>
    </w:p>
    <w:p w14:paraId="1AB1A59F" w14:textId="7E53F074" w:rsidR="000F6257" w:rsidRPr="0037351D" w:rsidRDefault="000C40EA" w:rsidP="00A3568F">
      <w:pPr>
        <w:pStyle w:val="JSNA3"/>
      </w:pPr>
      <w:bookmarkStart w:id="801" w:name="_Toc4407875"/>
      <w:r w:rsidRPr="0037351D">
        <w:t>P</w:t>
      </w:r>
      <w:r w:rsidR="00386CC7" w:rsidRPr="0037351D">
        <w:t>revalence</w:t>
      </w:r>
      <w:bookmarkEnd w:id="801"/>
    </w:p>
    <w:p w14:paraId="2C2B8760" w14:textId="77777777" w:rsidR="000F6257" w:rsidRPr="0037351D" w:rsidRDefault="000F6257" w:rsidP="0038179C">
      <w:pPr>
        <w:spacing w:line="240" w:lineRule="auto"/>
        <w:rPr>
          <w:rFonts w:cs="Arial"/>
          <w:b/>
          <w:color w:val="FF0000"/>
        </w:rPr>
      </w:pPr>
    </w:p>
    <w:p w14:paraId="1CF533B6" w14:textId="1FE8CCB1" w:rsidR="000F152A" w:rsidRPr="00BB6D46" w:rsidRDefault="00B654F0" w:rsidP="0043274F">
      <w:pPr>
        <w:pStyle w:val="Caption"/>
        <w:rPr>
          <w:rFonts w:cs="Arial"/>
          <w:color w:val="002F5D"/>
        </w:rPr>
      </w:pPr>
      <w:r w:rsidRPr="00BB6D46">
        <w:rPr>
          <w:b/>
          <w:color w:val="002F5D"/>
        </w:rPr>
        <w:t>Table</w:t>
      </w:r>
      <w:r w:rsidR="00A5114D">
        <w:rPr>
          <w:b/>
          <w:color w:val="002F5D"/>
        </w:rPr>
        <w:t xml:space="preserve"> 60</w:t>
      </w:r>
      <w:r w:rsidR="001B5CAB" w:rsidRPr="00BB6D46">
        <w:rPr>
          <w:rFonts w:cs="Arial"/>
          <w:b/>
          <w:color w:val="002F5D"/>
        </w:rPr>
        <w:t>.</w:t>
      </w:r>
      <w:r w:rsidR="001B5CAB" w:rsidRPr="00BB6D46">
        <w:rPr>
          <w:rFonts w:cs="Arial"/>
          <w:color w:val="002F5D"/>
        </w:rPr>
        <w:t xml:space="preserve"> Prevalence of respiratory conditions by district of general practice location, Cambridgeshire</w:t>
      </w:r>
      <w:r w:rsidR="006A577B" w:rsidRPr="00BB6D46">
        <w:rPr>
          <w:rFonts w:cs="Arial"/>
          <w:color w:val="002F5D"/>
        </w:rPr>
        <w:t xml:space="preserve"> and Peterborough</w:t>
      </w:r>
      <w:r w:rsidR="00BB6D46">
        <w:rPr>
          <w:rFonts w:cs="Arial"/>
          <w:color w:val="002F5D"/>
        </w:rPr>
        <w:t>, 2017/18</w:t>
      </w:r>
    </w:p>
    <w:p w14:paraId="05CD8BB0" w14:textId="77777777" w:rsidR="00DE2910" w:rsidRDefault="00DE2910" w:rsidP="0043274F">
      <w:pPr>
        <w:spacing w:line="240" w:lineRule="auto"/>
        <w:rPr>
          <w:color w:val="FF0000"/>
        </w:rPr>
      </w:pPr>
    </w:p>
    <w:p w14:paraId="0A21EC77" w14:textId="6E08E707" w:rsidR="00BB6D46" w:rsidRDefault="00BB6D46" w:rsidP="0043274F">
      <w:pPr>
        <w:spacing w:line="240" w:lineRule="auto"/>
        <w:rPr>
          <w:color w:val="FF0000"/>
        </w:rPr>
      </w:pPr>
      <w:r w:rsidRPr="00BB6D46">
        <w:rPr>
          <w:noProof/>
          <w:lang w:eastAsia="en-GB"/>
        </w:rPr>
        <w:drawing>
          <wp:inline distT="0" distB="0" distL="0" distR="0" wp14:anchorId="67DD7478" wp14:editId="65A109FC">
            <wp:extent cx="5514975" cy="2562225"/>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14975" cy="2562225"/>
                    </a:xfrm>
                    <a:prstGeom prst="rect">
                      <a:avLst/>
                    </a:prstGeom>
                    <a:noFill/>
                    <a:ln>
                      <a:noFill/>
                    </a:ln>
                  </pic:spPr>
                </pic:pic>
              </a:graphicData>
            </a:graphic>
          </wp:inline>
        </w:drawing>
      </w:r>
    </w:p>
    <w:p w14:paraId="397485C0" w14:textId="4CE472EE" w:rsidR="007968EE" w:rsidRPr="0037351D" w:rsidRDefault="007968EE" w:rsidP="0043274F">
      <w:pPr>
        <w:spacing w:line="240" w:lineRule="auto"/>
        <w:rPr>
          <w:color w:val="FF0000"/>
        </w:rPr>
      </w:pPr>
    </w:p>
    <w:p w14:paraId="463BF409" w14:textId="77777777" w:rsidR="001B5CAB" w:rsidRPr="0037351D" w:rsidRDefault="001B5CAB" w:rsidP="0043274F">
      <w:pPr>
        <w:spacing w:line="240" w:lineRule="auto"/>
        <w:rPr>
          <w:rFonts w:cs="Arial"/>
          <w:color w:val="FF0000"/>
        </w:rPr>
      </w:pPr>
    </w:p>
    <w:p w14:paraId="050DDC95" w14:textId="77777777" w:rsidR="001B5CAB" w:rsidRPr="0037351D" w:rsidRDefault="00F87293" w:rsidP="0043274F">
      <w:pPr>
        <w:spacing w:line="240" w:lineRule="auto"/>
        <w:rPr>
          <w:rFonts w:cs="Arial"/>
          <w:color w:val="FF0000"/>
        </w:rPr>
      </w:pPr>
      <w:r w:rsidRPr="0037351D">
        <w:rPr>
          <w:noProof/>
          <w:color w:val="FF0000"/>
          <w:lang w:eastAsia="en-GB"/>
        </w:rPr>
        <w:drawing>
          <wp:inline distT="0" distB="0" distL="0" distR="0" wp14:anchorId="42A17A13" wp14:editId="47D50AA9">
            <wp:extent cx="4123690" cy="46609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7FD3F566" w14:textId="77777777" w:rsidR="001B5CAB" w:rsidRPr="0037351D" w:rsidRDefault="001B5CAB" w:rsidP="0043274F">
      <w:pPr>
        <w:spacing w:line="240" w:lineRule="auto"/>
        <w:rPr>
          <w:rFonts w:cs="Arial"/>
          <w:color w:val="FF0000"/>
        </w:rPr>
      </w:pPr>
    </w:p>
    <w:p w14:paraId="017A4FE1" w14:textId="77777777" w:rsidR="001B5CAB" w:rsidRPr="006C1098" w:rsidRDefault="001B5CAB" w:rsidP="0043274F">
      <w:pPr>
        <w:spacing w:line="240" w:lineRule="auto"/>
        <w:rPr>
          <w:rFonts w:cs="Arial"/>
          <w:color w:val="002F5D"/>
        </w:rPr>
      </w:pPr>
      <w:r w:rsidRPr="006C1098">
        <w:rPr>
          <w:rFonts w:cs="Arial"/>
          <w:b/>
          <w:color w:val="002F5D"/>
        </w:rPr>
        <w:t>Sources:</w:t>
      </w:r>
      <w:r w:rsidRPr="006C1098">
        <w:rPr>
          <w:rFonts w:cs="Arial"/>
          <w:color w:val="002F5D"/>
        </w:rPr>
        <w:t xml:space="preserve"> NHS Digital, Quality and Outcomes Framework, Cambridgeshire County Council Public Health Intelligence</w:t>
      </w:r>
    </w:p>
    <w:p w14:paraId="4C572E19" w14:textId="77777777" w:rsidR="001B5CAB" w:rsidRPr="0037351D" w:rsidRDefault="001B5CAB" w:rsidP="0043274F">
      <w:pPr>
        <w:spacing w:line="240" w:lineRule="auto"/>
        <w:rPr>
          <w:rFonts w:cs="Arial"/>
          <w:color w:val="FF0000"/>
        </w:rPr>
      </w:pPr>
    </w:p>
    <w:p w14:paraId="47905A3C" w14:textId="77777777" w:rsidR="001B5CAB" w:rsidRPr="006C1098" w:rsidRDefault="001B5CAB" w:rsidP="0043274F">
      <w:pPr>
        <w:spacing w:line="240" w:lineRule="auto"/>
        <w:rPr>
          <w:rFonts w:cs="Arial"/>
          <w:b/>
          <w:color w:val="002F5D"/>
        </w:rPr>
      </w:pPr>
      <w:r w:rsidRPr="006C1098">
        <w:rPr>
          <w:rFonts w:cs="Arial"/>
          <w:b/>
          <w:color w:val="002F5D"/>
        </w:rPr>
        <w:t>Key points:</w:t>
      </w:r>
    </w:p>
    <w:p w14:paraId="07E29D59" w14:textId="04513353" w:rsidR="005E0C2F" w:rsidRPr="006C1098" w:rsidRDefault="005E0C2F" w:rsidP="002F0658">
      <w:pPr>
        <w:pStyle w:val="ListParagraph"/>
        <w:numPr>
          <w:ilvl w:val="0"/>
          <w:numId w:val="14"/>
        </w:numPr>
        <w:spacing w:line="240" w:lineRule="auto"/>
        <w:rPr>
          <w:rFonts w:cs="Arial"/>
          <w:color w:val="002F5D"/>
        </w:rPr>
      </w:pPr>
      <w:r w:rsidRPr="006C1098">
        <w:rPr>
          <w:rFonts w:cs="Arial"/>
          <w:color w:val="002F5D"/>
        </w:rPr>
        <w:t>The recorded prevalence of asthma is statistically s</w:t>
      </w:r>
      <w:r w:rsidR="006C1098" w:rsidRPr="006C1098">
        <w:rPr>
          <w:rFonts w:cs="Arial"/>
          <w:color w:val="002F5D"/>
        </w:rPr>
        <w:t>imilar to</w:t>
      </w:r>
      <w:r w:rsidRPr="006C1098">
        <w:rPr>
          <w:rFonts w:cs="Arial"/>
          <w:color w:val="002F5D"/>
        </w:rPr>
        <w:t xml:space="preserve"> the national average for Cambridgeshire</w:t>
      </w:r>
      <w:r w:rsidR="006C1098" w:rsidRPr="006C1098">
        <w:rPr>
          <w:rFonts w:cs="Arial"/>
          <w:color w:val="002F5D"/>
        </w:rPr>
        <w:t xml:space="preserve"> and Peterborough</w:t>
      </w:r>
      <w:r w:rsidRPr="006C1098">
        <w:rPr>
          <w:rFonts w:cs="Arial"/>
          <w:color w:val="002F5D"/>
        </w:rPr>
        <w:t xml:space="preserve"> as a whole.</w:t>
      </w:r>
    </w:p>
    <w:p w14:paraId="1BBB01E0" w14:textId="292E0217" w:rsidR="001B5CAB" w:rsidRPr="006C1098" w:rsidRDefault="001B5CAB" w:rsidP="002F0658">
      <w:pPr>
        <w:pStyle w:val="ListParagraph"/>
        <w:numPr>
          <w:ilvl w:val="0"/>
          <w:numId w:val="14"/>
        </w:numPr>
        <w:spacing w:line="240" w:lineRule="auto"/>
        <w:rPr>
          <w:rFonts w:cs="Arial"/>
          <w:color w:val="002F5D"/>
        </w:rPr>
      </w:pPr>
      <w:r w:rsidRPr="006C1098">
        <w:rPr>
          <w:rFonts w:cs="Arial"/>
          <w:color w:val="002F5D"/>
        </w:rPr>
        <w:t>The recorded prevalence of asthma is</w:t>
      </w:r>
      <w:r w:rsidR="005E0C2F" w:rsidRPr="006C1098">
        <w:rPr>
          <w:rFonts w:cs="Arial"/>
          <w:color w:val="002F5D"/>
        </w:rPr>
        <w:t xml:space="preserve"> </w:t>
      </w:r>
      <w:r w:rsidRPr="006C1098">
        <w:rPr>
          <w:rFonts w:cs="Arial"/>
          <w:color w:val="002F5D"/>
        </w:rPr>
        <w:t xml:space="preserve">statistically significantly higher than the national average </w:t>
      </w:r>
      <w:r w:rsidR="005E0C2F" w:rsidRPr="006C1098">
        <w:rPr>
          <w:rFonts w:cs="Arial"/>
          <w:color w:val="002F5D"/>
        </w:rPr>
        <w:t>across</w:t>
      </w:r>
      <w:r w:rsidRPr="006C1098">
        <w:rPr>
          <w:rFonts w:cs="Arial"/>
          <w:color w:val="002F5D"/>
        </w:rPr>
        <w:t xml:space="preserve"> </w:t>
      </w:r>
      <w:r w:rsidR="005E0C2F" w:rsidRPr="006C1098">
        <w:rPr>
          <w:rFonts w:cs="Arial"/>
          <w:color w:val="002F5D"/>
        </w:rPr>
        <w:t>Cambridgeshire</w:t>
      </w:r>
      <w:r w:rsidRPr="006C1098">
        <w:rPr>
          <w:rFonts w:cs="Arial"/>
          <w:color w:val="002F5D"/>
        </w:rPr>
        <w:t xml:space="preserve"> and in </w:t>
      </w:r>
      <w:r w:rsidR="005E0C2F" w:rsidRPr="006C1098">
        <w:rPr>
          <w:rFonts w:cs="Arial"/>
          <w:color w:val="002F5D"/>
        </w:rPr>
        <w:t>each</w:t>
      </w:r>
      <w:r w:rsidRPr="006C1098">
        <w:rPr>
          <w:rFonts w:cs="Arial"/>
          <w:color w:val="002F5D"/>
        </w:rPr>
        <w:t xml:space="preserve"> district except for Cambridge</w:t>
      </w:r>
      <w:r w:rsidR="00FE3708">
        <w:rPr>
          <w:rFonts w:cs="Arial"/>
          <w:color w:val="002F5D"/>
        </w:rPr>
        <w:t>, where it is statistically significantly lower</w:t>
      </w:r>
      <w:r w:rsidRPr="006C1098">
        <w:rPr>
          <w:rFonts w:cs="Arial"/>
          <w:color w:val="002F5D"/>
        </w:rPr>
        <w:t>.</w:t>
      </w:r>
    </w:p>
    <w:p w14:paraId="7043BE19" w14:textId="2532BD3A" w:rsidR="005E0C2F" w:rsidRPr="006C1098" w:rsidRDefault="006C1098" w:rsidP="002F0658">
      <w:pPr>
        <w:pStyle w:val="ListParagraph"/>
        <w:numPr>
          <w:ilvl w:val="0"/>
          <w:numId w:val="14"/>
        </w:numPr>
        <w:spacing w:line="240" w:lineRule="auto"/>
        <w:rPr>
          <w:rFonts w:cs="Arial"/>
          <w:color w:val="002F5D"/>
        </w:rPr>
      </w:pPr>
      <w:r w:rsidRPr="006C1098">
        <w:rPr>
          <w:rFonts w:cs="Arial"/>
          <w:color w:val="002F5D"/>
        </w:rPr>
        <w:t>In Peterborough</w:t>
      </w:r>
      <w:r w:rsidR="00FE3708">
        <w:rPr>
          <w:rFonts w:cs="Arial"/>
          <w:color w:val="002F5D"/>
        </w:rPr>
        <w:t>,</w:t>
      </w:r>
      <w:r w:rsidRPr="006C1098">
        <w:rPr>
          <w:rFonts w:cs="Arial"/>
          <w:color w:val="002F5D"/>
        </w:rPr>
        <w:t xml:space="preserve"> the recorded prevalence of asthma is s</w:t>
      </w:r>
      <w:r w:rsidR="005E0C2F" w:rsidRPr="006C1098">
        <w:rPr>
          <w:rFonts w:cs="Arial"/>
          <w:color w:val="002F5D"/>
        </w:rPr>
        <w:t xml:space="preserve">tatistically significantly lower than </w:t>
      </w:r>
      <w:r w:rsidR="002F0658" w:rsidRPr="006C1098">
        <w:rPr>
          <w:rFonts w:cs="Arial"/>
          <w:color w:val="002F5D"/>
        </w:rPr>
        <w:t xml:space="preserve">national </w:t>
      </w:r>
      <w:r w:rsidRPr="006C1098">
        <w:rPr>
          <w:rFonts w:cs="Arial"/>
          <w:color w:val="002F5D"/>
        </w:rPr>
        <w:t>average.</w:t>
      </w:r>
    </w:p>
    <w:p w14:paraId="71E0A91C" w14:textId="77777777" w:rsidR="005E0C2F" w:rsidRPr="006C1098" w:rsidRDefault="005E0C2F" w:rsidP="002F0658">
      <w:pPr>
        <w:pStyle w:val="ListParagraph"/>
        <w:numPr>
          <w:ilvl w:val="0"/>
          <w:numId w:val="14"/>
        </w:numPr>
        <w:spacing w:line="240" w:lineRule="auto"/>
        <w:rPr>
          <w:rFonts w:cs="Arial"/>
          <w:color w:val="002F5D"/>
        </w:rPr>
      </w:pPr>
      <w:r w:rsidRPr="006C1098">
        <w:rPr>
          <w:rFonts w:cs="Arial"/>
          <w:color w:val="002F5D"/>
        </w:rPr>
        <w:t>The recorded prevalence of chronic obstructive pulmonary disease (COPD) is statistically significantly lower than the England average in Cambridgeshire, Peterborough, and for the combined area.</w:t>
      </w:r>
    </w:p>
    <w:p w14:paraId="52C483E4" w14:textId="77777777" w:rsidR="001B5CAB" w:rsidRDefault="001B5CAB" w:rsidP="002F0658">
      <w:pPr>
        <w:pStyle w:val="ListParagraph"/>
        <w:numPr>
          <w:ilvl w:val="0"/>
          <w:numId w:val="14"/>
        </w:numPr>
        <w:spacing w:line="240" w:lineRule="auto"/>
        <w:rPr>
          <w:rFonts w:cs="Arial"/>
          <w:color w:val="002F5D"/>
        </w:rPr>
      </w:pPr>
      <w:r w:rsidRPr="006C1098">
        <w:rPr>
          <w:rFonts w:cs="Arial"/>
          <w:color w:val="002F5D"/>
        </w:rPr>
        <w:t>The recorded prevalence of chronic obstructive pulmonary dis</w:t>
      </w:r>
      <w:r w:rsidR="008B018D" w:rsidRPr="006C1098">
        <w:rPr>
          <w:rFonts w:cs="Arial"/>
          <w:color w:val="002F5D"/>
        </w:rPr>
        <w:t>ease</w:t>
      </w:r>
      <w:r w:rsidRPr="006C1098">
        <w:rPr>
          <w:rFonts w:cs="Arial"/>
          <w:color w:val="002F5D"/>
        </w:rPr>
        <w:t xml:space="preserve"> (COPD) is statistically significantly higher than the England average in Fenland.</w:t>
      </w:r>
    </w:p>
    <w:p w14:paraId="067C7410" w14:textId="7A5DE7AA" w:rsidR="006C1098" w:rsidRPr="006C1098" w:rsidRDefault="006C1098" w:rsidP="006C1098">
      <w:pPr>
        <w:pStyle w:val="ListParagraph"/>
        <w:numPr>
          <w:ilvl w:val="0"/>
          <w:numId w:val="14"/>
        </w:numPr>
        <w:spacing w:line="240" w:lineRule="auto"/>
        <w:rPr>
          <w:rFonts w:cs="Arial"/>
          <w:color w:val="002F5D"/>
        </w:rPr>
      </w:pPr>
      <w:r w:rsidRPr="006C1098">
        <w:rPr>
          <w:rFonts w:cs="Arial"/>
          <w:color w:val="002F5D"/>
        </w:rPr>
        <w:t>The recorded prevalence of chronic obstructive pulmonary disease (COPD) is st</w:t>
      </w:r>
      <w:r>
        <w:rPr>
          <w:rFonts w:cs="Arial"/>
          <w:color w:val="002F5D"/>
        </w:rPr>
        <w:t>atistically significantly lower</w:t>
      </w:r>
      <w:r w:rsidRPr="006C1098">
        <w:rPr>
          <w:rFonts w:cs="Arial"/>
          <w:color w:val="002F5D"/>
        </w:rPr>
        <w:t xml:space="preserve"> tha</w:t>
      </w:r>
      <w:r>
        <w:rPr>
          <w:rFonts w:cs="Arial"/>
          <w:color w:val="002F5D"/>
        </w:rPr>
        <w:t>n the England average in Cambridge and South Cambridgeshire</w:t>
      </w:r>
      <w:r w:rsidRPr="006C1098">
        <w:rPr>
          <w:rFonts w:cs="Arial"/>
          <w:color w:val="002F5D"/>
        </w:rPr>
        <w:t>.</w:t>
      </w:r>
    </w:p>
    <w:p w14:paraId="47109B8C" w14:textId="77777777" w:rsidR="001B5CAB" w:rsidRPr="0037351D" w:rsidRDefault="001B5CAB" w:rsidP="0038179C">
      <w:pPr>
        <w:spacing w:line="240" w:lineRule="auto"/>
        <w:rPr>
          <w:rFonts w:cs="Arial"/>
          <w:color w:val="FF0000"/>
        </w:rPr>
      </w:pPr>
    </w:p>
    <w:p w14:paraId="632C25A5" w14:textId="77777777" w:rsidR="00386CC7" w:rsidRPr="0037351D" w:rsidRDefault="00386CC7">
      <w:pPr>
        <w:rPr>
          <w:rFonts w:cs="Arial"/>
          <w:b/>
          <w:color w:val="FF0000"/>
        </w:rPr>
      </w:pPr>
      <w:r w:rsidRPr="0037351D">
        <w:rPr>
          <w:rFonts w:cs="Arial"/>
          <w:b/>
          <w:color w:val="FF0000"/>
        </w:rPr>
        <w:br w:type="page"/>
      </w:r>
    </w:p>
    <w:p w14:paraId="7C6F4233" w14:textId="15F7FFBF" w:rsidR="00396610" w:rsidRDefault="00B654F0" w:rsidP="009C3222">
      <w:pPr>
        <w:spacing w:line="240" w:lineRule="auto"/>
        <w:rPr>
          <w:rFonts w:cs="Arial"/>
          <w:color w:val="002F5D"/>
        </w:rPr>
      </w:pPr>
      <w:r w:rsidRPr="006C1098">
        <w:rPr>
          <w:b/>
          <w:color w:val="002F5D"/>
        </w:rPr>
        <w:lastRenderedPageBreak/>
        <w:t>Table</w:t>
      </w:r>
      <w:r w:rsidR="00A5114D">
        <w:rPr>
          <w:b/>
          <w:color w:val="002F5D"/>
        </w:rPr>
        <w:t xml:space="preserve"> 61</w:t>
      </w:r>
      <w:r w:rsidR="0089512A" w:rsidRPr="006C1098">
        <w:rPr>
          <w:rFonts w:cs="Arial"/>
          <w:b/>
          <w:color w:val="002F5D"/>
        </w:rPr>
        <w:t>.</w:t>
      </w:r>
      <w:r w:rsidR="0089512A" w:rsidRPr="006C1098">
        <w:rPr>
          <w:rFonts w:cs="Arial"/>
          <w:color w:val="002F5D"/>
        </w:rPr>
        <w:t xml:space="preserve"> General practices with statistically significantly higher than national average rates of recorded asthma, Cambridgeshire</w:t>
      </w:r>
      <w:r w:rsidR="00F70427" w:rsidRPr="006C1098">
        <w:rPr>
          <w:rFonts w:cs="Arial"/>
          <w:color w:val="002F5D"/>
        </w:rPr>
        <w:t xml:space="preserve"> and Peterborough</w:t>
      </w:r>
      <w:r w:rsidR="00396610">
        <w:rPr>
          <w:rFonts w:cs="Arial"/>
          <w:color w:val="002F5D"/>
        </w:rPr>
        <w:t>, 2017/18</w:t>
      </w:r>
    </w:p>
    <w:p w14:paraId="17633AF0" w14:textId="77777777" w:rsidR="00F2274F" w:rsidRDefault="00F2274F" w:rsidP="009C3222">
      <w:pPr>
        <w:spacing w:line="240" w:lineRule="auto"/>
        <w:rPr>
          <w:rFonts w:cs="Arial"/>
          <w:color w:val="002F5D"/>
        </w:rPr>
      </w:pPr>
    </w:p>
    <w:p w14:paraId="61C08429" w14:textId="58D05EEE" w:rsidR="00E16416" w:rsidRDefault="00F2274F" w:rsidP="009C3222">
      <w:pPr>
        <w:spacing w:line="240" w:lineRule="auto"/>
        <w:rPr>
          <w:rFonts w:cs="Arial"/>
          <w:color w:val="002F5D"/>
        </w:rPr>
      </w:pPr>
      <w:r w:rsidRPr="00F2274F">
        <w:rPr>
          <w:noProof/>
          <w:lang w:eastAsia="en-GB"/>
        </w:rPr>
        <w:drawing>
          <wp:inline distT="0" distB="0" distL="0" distR="0" wp14:anchorId="283EA0E8" wp14:editId="4F5B88F8">
            <wp:extent cx="5459415" cy="7501466"/>
            <wp:effectExtent l="0" t="0" r="8255" b="444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68581" cy="7514060"/>
                    </a:xfrm>
                    <a:prstGeom prst="rect">
                      <a:avLst/>
                    </a:prstGeom>
                    <a:noFill/>
                    <a:ln>
                      <a:noFill/>
                    </a:ln>
                  </pic:spPr>
                </pic:pic>
              </a:graphicData>
            </a:graphic>
          </wp:inline>
        </w:drawing>
      </w:r>
    </w:p>
    <w:p w14:paraId="69C63984" w14:textId="77777777" w:rsidR="001A4055" w:rsidRDefault="001A4055">
      <w:pPr>
        <w:spacing w:line="240" w:lineRule="auto"/>
        <w:rPr>
          <w:rFonts w:cs="Arial"/>
          <w:color w:val="002F5D"/>
        </w:rPr>
      </w:pPr>
    </w:p>
    <w:p w14:paraId="1DF0586E" w14:textId="77777777" w:rsidR="0043274F" w:rsidRPr="0037351D" w:rsidRDefault="0043274F">
      <w:pPr>
        <w:spacing w:line="240" w:lineRule="auto"/>
        <w:rPr>
          <w:rFonts w:cs="Arial"/>
          <w:color w:val="FF0000"/>
          <w:sz w:val="18"/>
        </w:rPr>
      </w:pPr>
    </w:p>
    <w:p w14:paraId="66273941" w14:textId="4114138F" w:rsidR="001A4055" w:rsidRPr="006C1098" w:rsidRDefault="00CF47BA" w:rsidP="0043274F">
      <w:pPr>
        <w:spacing w:line="240" w:lineRule="auto"/>
        <w:rPr>
          <w:rFonts w:cs="Arial"/>
          <w:color w:val="002F5D"/>
          <w:sz w:val="18"/>
        </w:rPr>
      </w:pPr>
      <w:r w:rsidRPr="006C1098">
        <w:rPr>
          <w:rFonts w:cs="Arial"/>
          <w:color w:val="002F5D"/>
          <w:sz w:val="18"/>
        </w:rPr>
        <w:t xml:space="preserve">* Dedicated surgery for </w:t>
      </w:r>
      <w:r w:rsidR="00E9468A" w:rsidRPr="006C1098">
        <w:rPr>
          <w:rFonts w:cs="Arial"/>
          <w:color w:val="002F5D"/>
          <w:sz w:val="18"/>
        </w:rPr>
        <w:t xml:space="preserve">the </w:t>
      </w:r>
      <w:r w:rsidRPr="006C1098">
        <w:rPr>
          <w:rFonts w:cs="Arial"/>
          <w:color w:val="002F5D"/>
          <w:sz w:val="18"/>
        </w:rPr>
        <w:t>h</w:t>
      </w:r>
      <w:r w:rsidR="00C5588B" w:rsidRPr="006C1098">
        <w:rPr>
          <w:rFonts w:cs="Arial"/>
          <w:color w:val="002F5D"/>
          <w:sz w:val="18"/>
        </w:rPr>
        <w:t xml:space="preserve">omeless, </w:t>
      </w:r>
      <w:r w:rsidR="00E9468A" w:rsidRPr="006C1098">
        <w:rPr>
          <w:rFonts w:cs="Arial"/>
          <w:color w:val="002F5D"/>
          <w:sz w:val="18"/>
        </w:rPr>
        <w:t xml:space="preserve">people </w:t>
      </w:r>
      <w:r w:rsidR="00C5588B" w:rsidRPr="006C1098">
        <w:rPr>
          <w:rFonts w:cs="Arial"/>
          <w:color w:val="002F5D"/>
          <w:sz w:val="18"/>
        </w:rPr>
        <w:t xml:space="preserve">in sheltered accommodation or </w:t>
      </w:r>
      <w:r w:rsidR="00D26014" w:rsidRPr="006C1098">
        <w:rPr>
          <w:rFonts w:cs="Arial"/>
          <w:color w:val="002F5D"/>
          <w:sz w:val="18"/>
        </w:rPr>
        <w:t xml:space="preserve">people </w:t>
      </w:r>
      <w:r w:rsidR="00C5588B" w:rsidRPr="006C1098">
        <w:rPr>
          <w:rFonts w:cs="Arial"/>
          <w:color w:val="002F5D"/>
          <w:sz w:val="18"/>
        </w:rPr>
        <w:t>at risk of homelessness</w:t>
      </w:r>
    </w:p>
    <w:p w14:paraId="3FAAE817" w14:textId="77777777" w:rsidR="00F70427" w:rsidRPr="0037351D" w:rsidRDefault="00F70427" w:rsidP="0043274F">
      <w:pPr>
        <w:spacing w:line="240" w:lineRule="auto"/>
        <w:rPr>
          <w:rFonts w:cs="Arial"/>
          <w:color w:val="FF0000"/>
          <w:sz w:val="18"/>
        </w:rPr>
      </w:pPr>
    </w:p>
    <w:p w14:paraId="1A9696BF" w14:textId="77777777" w:rsidR="0089512A" w:rsidRPr="006C1098" w:rsidRDefault="0089512A" w:rsidP="0043274F">
      <w:pPr>
        <w:spacing w:line="240" w:lineRule="auto"/>
        <w:rPr>
          <w:rFonts w:cs="Arial"/>
          <w:color w:val="002F5D"/>
        </w:rPr>
      </w:pPr>
      <w:r w:rsidRPr="006C1098">
        <w:rPr>
          <w:rFonts w:cs="Arial"/>
          <w:b/>
          <w:color w:val="002F5D"/>
        </w:rPr>
        <w:t>Sources:</w:t>
      </w:r>
      <w:r w:rsidRPr="006C1098">
        <w:rPr>
          <w:rFonts w:cs="Arial"/>
          <w:color w:val="002F5D"/>
        </w:rPr>
        <w:t xml:space="preserve"> NHS Digital, Quality and Outcomes Framework, Cambridgeshire County Council Public Health Intelligence</w:t>
      </w:r>
    </w:p>
    <w:p w14:paraId="1E21CF71" w14:textId="77777777" w:rsidR="0089512A" w:rsidRPr="0037351D" w:rsidRDefault="0089512A" w:rsidP="0038179C">
      <w:pPr>
        <w:spacing w:line="240" w:lineRule="auto"/>
        <w:rPr>
          <w:rFonts w:cs="Arial"/>
          <w:b/>
          <w:color w:val="FF0000"/>
        </w:rPr>
      </w:pPr>
    </w:p>
    <w:p w14:paraId="121FE26B" w14:textId="77777777" w:rsidR="0089512A" w:rsidRPr="00396610" w:rsidRDefault="0089512A" w:rsidP="0038179C">
      <w:pPr>
        <w:spacing w:line="240" w:lineRule="auto"/>
        <w:rPr>
          <w:rFonts w:cs="Arial"/>
          <w:b/>
          <w:color w:val="002F5D"/>
        </w:rPr>
      </w:pPr>
      <w:r w:rsidRPr="00396610">
        <w:rPr>
          <w:rFonts w:cs="Arial"/>
          <w:b/>
          <w:color w:val="002F5D"/>
        </w:rPr>
        <w:t>Key point:</w:t>
      </w:r>
    </w:p>
    <w:p w14:paraId="6C3DD778" w14:textId="5B005AAA" w:rsidR="0089512A" w:rsidRPr="00C50CDF" w:rsidRDefault="0089512A" w:rsidP="00C50CDF">
      <w:pPr>
        <w:pStyle w:val="ListParagraph"/>
        <w:numPr>
          <w:ilvl w:val="0"/>
          <w:numId w:val="14"/>
        </w:numPr>
        <w:spacing w:line="240" w:lineRule="auto"/>
        <w:rPr>
          <w:rFonts w:cs="Arial"/>
          <w:color w:val="002F5D"/>
        </w:rPr>
      </w:pPr>
      <w:r w:rsidRPr="00396610">
        <w:rPr>
          <w:rFonts w:cs="Arial"/>
          <w:color w:val="002F5D"/>
        </w:rPr>
        <w:t>Practices with statistically significantly higher than average rates</w:t>
      </w:r>
      <w:r w:rsidR="00CE49F7" w:rsidRPr="00396610">
        <w:rPr>
          <w:rFonts w:cs="Arial"/>
          <w:color w:val="002F5D"/>
        </w:rPr>
        <w:t xml:space="preserve"> of asthma</w:t>
      </w:r>
      <w:r w:rsidRPr="00396610">
        <w:rPr>
          <w:rFonts w:cs="Arial"/>
          <w:color w:val="002F5D"/>
        </w:rPr>
        <w:t xml:space="preserve"> are located throughout </w:t>
      </w:r>
      <w:r w:rsidR="00FF44A4" w:rsidRPr="00396610">
        <w:rPr>
          <w:rFonts w:cs="Arial"/>
          <w:color w:val="002F5D"/>
        </w:rPr>
        <w:t>Cambridgeshire and Peterborough</w:t>
      </w:r>
      <w:r w:rsidRPr="00396610">
        <w:rPr>
          <w:rFonts w:cs="Arial"/>
          <w:color w:val="002F5D"/>
        </w:rPr>
        <w:t xml:space="preserve">: </w:t>
      </w:r>
      <w:r w:rsidR="00C50CDF">
        <w:rPr>
          <w:rFonts w:cs="Arial"/>
          <w:color w:val="002F5D"/>
        </w:rPr>
        <w:t>Huntingd</w:t>
      </w:r>
      <w:r w:rsidR="00E16416">
        <w:rPr>
          <w:rFonts w:cs="Arial"/>
          <w:color w:val="002F5D"/>
        </w:rPr>
        <w:t>onshire (</w:t>
      </w:r>
      <w:r w:rsidR="00C50CDF">
        <w:rPr>
          <w:rFonts w:cs="Arial"/>
          <w:color w:val="002F5D"/>
        </w:rPr>
        <w:t>1</w:t>
      </w:r>
      <w:r w:rsidR="007B570E">
        <w:rPr>
          <w:rFonts w:cs="Arial"/>
          <w:color w:val="002F5D"/>
        </w:rPr>
        <w:t>1</w:t>
      </w:r>
      <w:r w:rsidR="00E16416">
        <w:rPr>
          <w:rFonts w:cs="Arial"/>
          <w:color w:val="002F5D"/>
        </w:rPr>
        <w:t>), South Cambridgeshire (</w:t>
      </w:r>
      <w:r w:rsidR="00FF44A4" w:rsidRPr="00396610">
        <w:rPr>
          <w:rFonts w:cs="Arial"/>
          <w:color w:val="002F5D"/>
        </w:rPr>
        <w:t>9</w:t>
      </w:r>
      <w:r w:rsidR="00A83D0F">
        <w:rPr>
          <w:rFonts w:cs="Arial"/>
          <w:color w:val="002F5D"/>
        </w:rPr>
        <w:t>),</w:t>
      </w:r>
      <w:r w:rsidR="00E16416">
        <w:rPr>
          <w:rFonts w:cs="Arial"/>
          <w:color w:val="002F5D"/>
        </w:rPr>
        <w:t xml:space="preserve"> East Cambridgeshire (</w:t>
      </w:r>
      <w:r w:rsidR="00FF44A4" w:rsidRPr="00396610">
        <w:rPr>
          <w:rFonts w:cs="Arial"/>
          <w:color w:val="002F5D"/>
        </w:rPr>
        <w:t>7</w:t>
      </w:r>
      <w:r w:rsidR="00E16416">
        <w:rPr>
          <w:rFonts w:cs="Arial"/>
          <w:color w:val="002F5D"/>
        </w:rPr>
        <w:t>)</w:t>
      </w:r>
      <w:r w:rsidR="00FF44A4" w:rsidRPr="00396610">
        <w:rPr>
          <w:rFonts w:cs="Arial"/>
          <w:color w:val="002F5D"/>
        </w:rPr>
        <w:t xml:space="preserve">, </w:t>
      </w:r>
      <w:r w:rsidR="00E16416">
        <w:rPr>
          <w:rFonts w:cs="Arial"/>
          <w:color w:val="002F5D"/>
        </w:rPr>
        <w:t>Fenland  (</w:t>
      </w:r>
      <w:r w:rsidR="00C50CDF">
        <w:rPr>
          <w:rFonts w:cs="Arial"/>
          <w:color w:val="002F5D"/>
        </w:rPr>
        <w:t>7</w:t>
      </w:r>
      <w:r w:rsidR="00E16416">
        <w:rPr>
          <w:rFonts w:cs="Arial"/>
          <w:color w:val="002F5D"/>
        </w:rPr>
        <w:t>)</w:t>
      </w:r>
      <w:r w:rsidR="00C50CDF">
        <w:rPr>
          <w:rFonts w:cs="Arial"/>
          <w:color w:val="002F5D"/>
        </w:rPr>
        <w:t>,</w:t>
      </w:r>
      <w:r w:rsidR="00E16416" w:rsidRPr="00E16416">
        <w:rPr>
          <w:rFonts w:cs="Arial"/>
          <w:color w:val="002F5D"/>
        </w:rPr>
        <w:t xml:space="preserve"> </w:t>
      </w:r>
      <w:r w:rsidR="00E16416">
        <w:rPr>
          <w:rFonts w:cs="Arial"/>
          <w:color w:val="002F5D"/>
        </w:rPr>
        <w:t xml:space="preserve">Cambridge (3) and </w:t>
      </w:r>
      <w:r w:rsidR="00C50CDF">
        <w:rPr>
          <w:rFonts w:cs="Arial"/>
          <w:color w:val="002F5D"/>
        </w:rPr>
        <w:t xml:space="preserve"> </w:t>
      </w:r>
      <w:r w:rsidR="00E16416">
        <w:rPr>
          <w:rFonts w:cs="Arial"/>
          <w:color w:val="002F5D"/>
        </w:rPr>
        <w:t>Peterborough (</w:t>
      </w:r>
      <w:r w:rsidR="00C50CDF">
        <w:rPr>
          <w:rFonts w:cs="Arial"/>
          <w:color w:val="002F5D"/>
        </w:rPr>
        <w:t>1</w:t>
      </w:r>
      <w:r w:rsidR="00E16416">
        <w:rPr>
          <w:rFonts w:cs="Arial"/>
          <w:color w:val="002F5D"/>
        </w:rPr>
        <w:t>)</w:t>
      </w:r>
      <w:r w:rsidR="00C50CDF">
        <w:rPr>
          <w:rFonts w:cs="Arial"/>
          <w:color w:val="002F5D"/>
        </w:rPr>
        <w:t>.</w:t>
      </w:r>
      <w:r w:rsidR="00C50CDF" w:rsidRPr="00FE41B6">
        <w:rPr>
          <w:rFonts w:cs="Arial"/>
          <w:color w:val="002F5D"/>
        </w:rPr>
        <w:t xml:space="preserve"> Although </w:t>
      </w:r>
      <w:r w:rsidR="00C50CDF">
        <w:rPr>
          <w:rFonts w:cs="Arial"/>
          <w:color w:val="002F5D"/>
        </w:rPr>
        <w:t>Royston Health Centre</w:t>
      </w:r>
      <w:r w:rsidR="00C50CDF" w:rsidRPr="00FE41B6">
        <w:rPr>
          <w:rFonts w:cs="Arial"/>
          <w:color w:val="002F5D"/>
        </w:rPr>
        <w:t xml:space="preserve"> and Roysia Surgery are not physically located in Cambridgeshire and Peterborough they sit within the Cambridgeshire and Peterborough CCG.</w:t>
      </w:r>
    </w:p>
    <w:p w14:paraId="1B800411" w14:textId="77777777" w:rsidR="00F70427" w:rsidRPr="008F2F69" w:rsidRDefault="00F70427" w:rsidP="00F70427">
      <w:pPr>
        <w:spacing w:line="240" w:lineRule="auto"/>
        <w:rPr>
          <w:rFonts w:cs="Arial"/>
          <w:color w:val="002F5D"/>
        </w:rPr>
      </w:pPr>
    </w:p>
    <w:p w14:paraId="1928C231" w14:textId="4AB9AFE8" w:rsidR="00CE49F7" w:rsidRDefault="00B654F0" w:rsidP="00B654F0">
      <w:pPr>
        <w:pStyle w:val="Caption"/>
        <w:rPr>
          <w:rFonts w:cs="Arial"/>
          <w:color w:val="002F5D"/>
        </w:rPr>
      </w:pPr>
      <w:r w:rsidRPr="008F2F69">
        <w:rPr>
          <w:b/>
          <w:color w:val="002F5D"/>
        </w:rPr>
        <w:t>Table</w:t>
      </w:r>
      <w:r w:rsidR="00A5114D">
        <w:rPr>
          <w:b/>
          <w:color w:val="002F5D"/>
        </w:rPr>
        <w:t xml:space="preserve"> 62</w:t>
      </w:r>
      <w:r w:rsidR="00CE49F7" w:rsidRPr="008F2F69">
        <w:rPr>
          <w:rFonts w:cs="Arial"/>
          <w:b/>
          <w:color w:val="002F5D"/>
        </w:rPr>
        <w:t>.</w:t>
      </w:r>
      <w:r w:rsidR="00CE49F7" w:rsidRPr="008F2F69">
        <w:rPr>
          <w:rFonts w:cs="Arial"/>
          <w:color w:val="002F5D"/>
        </w:rPr>
        <w:t xml:space="preserve"> General practices with statistically significantly higher than national average rates of rec</w:t>
      </w:r>
      <w:r w:rsidR="008F2F69">
        <w:rPr>
          <w:rFonts w:cs="Arial"/>
          <w:color w:val="002F5D"/>
        </w:rPr>
        <w:t>orded COPD, Cambridgeshire, 2017/18</w:t>
      </w:r>
    </w:p>
    <w:p w14:paraId="2E18EF76" w14:textId="77777777" w:rsidR="00F2274F" w:rsidRPr="009A2AB3" w:rsidRDefault="00F2274F" w:rsidP="00E61D24"/>
    <w:p w14:paraId="4A94C950" w14:textId="41206167" w:rsidR="00BB319B" w:rsidRPr="00BB319B" w:rsidRDefault="00F2274F" w:rsidP="00BB319B">
      <w:r w:rsidRPr="00F2274F">
        <w:rPr>
          <w:noProof/>
          <w:lang w:eastAsia="en-GB"/>
        </w:rPr>
        <w:drawing>
          <wp:inline distT="0" distB="0" distL="0" distR="0" wp14:anchorId="1521C92B" wp14:editId="15F5F111">
            <wp:extent cx="5943600" cy="4949285"/>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56231" cy="4959803"/>
                    </a:xfrm>
                    <a:prstGeom prst="rect">
                      <a:avLst/>
                    </a:prstGeom>
                    <a:noFill/>
                    <a:ln>
                      <a:noFill/>
                    </a:ln>
                  </pic:spPr>
                </pic:pic>
              </a:graphicData>
            </a:graphic>
          </wp:inline>
        </w:drawing>
      </w:r>
    </w:p>
    <w:p w14:paraId="06CCFD34" w14:textId="77777777" w:rsidR="003A021F" w:rsidRPr="008F2F69" w:rsidRDefault="003A021F" w:rsidP="009A2AB3">
      <w:pPr>
        <w:spacing w:line="276" w:lineRule="auto"/>
        <w:rPr>
          <w:rFonts w:cs="Arial"/>
          <w:color w:val="002F5D"/>
          <w:sz w:val="18"/>
        </w:rPr>
      </w:pPr>
    </w:p>
    <w:p w14:paraId="011A60A1" w14:textId="77777777" w:rsidR="00CE49F7" w:rsidRPr="008F2F69" w:rsidRDefault="00C5588B" w:rsidP="0043274F">
      <w:pPr>
        <w:spacing w:line="240" w:lineRule="auto"/>
        <w:rPr>
          <w:rFonts w:cs="Arial"/>
          <w:color w:val="002F5D"/>
          <w:sz w:val="18"/>
        </w:rPr>
      </w:pPr>
      <w:r w:rsidRPr="008F2F69">
        <w:rPr>
          <w:rFonts w:cs="Arial"/>
          <w:color w:val="002F5D"/>
          <w:sz w:val="18"/>
        </w:rPr>
        <w:t xml:space="preserve">* Dedicated surgery for </w:t>
      </w:r>
      <w:r w:rsidR="00D26014" w:rsidRPr="008F2F69">
        <w:rPr>
          <w:rFonts w:cs="Arial"/>
          <w:color w:val="002F5D"/>
          <w:sz w:val="18"/>
        </w:rPr>
        <w:t xml:space="preserve">the </w:t>
      </w:r>
      <w:r w:rsidRPr="008F2F69">
        <w:rPr>
          <w:rFonts w:cs="Arial"/>
          <w:color w:val="002F5D"/>
          <w:sz w:val="18"/>
        </w:rPr>
        <w:t xml:space="preserve">homeless, </w:t>
      </w:r>
      <w:r w:rsidR="00D26014" w:rsidRPr="008F2F69">
        <w:rPr>
          <w:rFonts w:cs="Arial"/>
          <w:color w:val="002F5D"/>
          <w:sz w:val="18"/>
        </w:rPr>
        <w:t xml:space="preserve">people </w:t>
      </w:r>
      <w:r w:rsidRPr="008F2F69">
        <w:rPr>
          <w:rFonts w:cs="Arial"/>
          <w:color w:val="002F5D"/>
          <w:sz w:val="18"/>
        </w:rPr>
        <w:t xml:space="preserve">in sheltered accommodation or </w:t>
      </w:r>
      <w:r w:rsidR="00D26014" w:rsidRPr="008F2F69">
        <w:rPr>
          <w:rFonts w:cs="Arial"/>
          <w:color w:val="002F5D"/>
          <w:sz w:val="18"/>
        </w:rPr>
        <w:t xml:space="preserve">people </w:t>
      </w:r>
      <w:r w:rsidRPr="008F2F69">
        <w:rPr>
          <w:rFonts w:cs="Arial"/>
          <w:color w:val="002F5D"/>
          <w:sz w:val="18"/>
        </w:rPr>
        <w:t>at risk of homelessness</w:t>
      </w:r>
    </w:p>
    <w:p w14:paraId="63FA1DAB" w14:textId="77777777" w:rsidR="00C5588B" w:rsidRPr="008F2F69" w:rsidRDefault="00C5588B" w:rsidP="0043274F">
      <w:pPr>
        <w:spacing w:line="240" w:lineRule="auto"/>
        <w:rPr>
          <w:rFonts w:cs="Arial"/>
          <w:color w:val="002F5D"/>
        </w:rPr>
      </w:pPr>
    </w:p>
    <w:p w14:paraId="0D5107E9" w14:textId="77777777" w:rsidR="00CE49F7" w:rsidRPr="008F2F69" w:rsidRDefault="00CE49F7" w:rsidP="0043274F">
      <w:pPr>
        <w:spacing w:line="240" w:lineRule="auto"/>
        <w:rPr>
          <w:rFonts w:cs="Arial"/>
          <w:color w:val="002F5D"/>
        </w:rPr>
      </w:pPr>
      <w:r w:rsidRPr="008F2F69">
        <w:rPr>
          <w:rFonts w:cs="Arial"/>
          <w:b/>
          <w:color w:val="002F5D"/>
        </w:rPr>
        <w:t>Sources:</w:t>
      </w:r>
      <w:r w:rsidRPr="008F2F69">
        <w:rPr>
          <w:rFonts w:cs="Arial"/>
          <w:color w:val="002F5D"/>
        </w:rPr>
        <w:t xml:space="preserve"> NHS Digital, Quality and Outcomes Framework, Cambridgeshire County Council Public Health Intelligence</w:t>
      </w:r>
    </w:p>
    <w:p w14:paraId="60DE489E" w14:textId="77777777" w:rsidR="00BB319B" w:rsidRPr="0037351D" w:rsidRDefault="00BB319B" w:rsidP="0043274F">
      <w:pPr>
        <w:spacing w:line="240" w:lineRule="auto"/>
        <w:rPr>
          <w:rFonts w:cs="Arial"/>
          <w:b/>
          <w:color w:val="FF0000"/>
        </w:rPr>
      </w:pPr>
    </w:p>
    <w:p w14:paraId="0B50CACF" w14:textId="77777777" w:rsidR="00CE49F7" w:rsidRPr="008F2F69" w:rsidRDefault="00CE49F7" w:rsidP="0043274F">
      <w:pPr>
        <w:spacing w:line="240" w:lineRule="auto"/>
        <w:rPr>
          <w:rFonts w:cs="Arial"/>
          <w:b/>
          <w:color w:val="002F5D"/>
        </w:rPr>
      </w:pPr>
      <w:r w:rsidRPr="008F2F69">
        <w:rPr>
          <w:rFonts w:cs="Arial"/>
          <w:b/>
          <w:color w:val="002F5D"/>
        </w:rPr>
        <w:t>Key point:</w:t>
      </w:r>
    </w:p>
    <w:p w14:paraId="7BC17FA4" w14:textId="0424B59A" w:rsidR="0043274F" w:rsidRPr="009A2AB3" w:rsidRDefault="00CE49F7" w:rsidP="009A2AB3">
      <w:pPr>
        <w:pStyle w:val="ListParagraph"/>
        <w:numPr>
          <w:ilvl w:val="0"/>
          <w:numId w:val="14"/>
        </w:numPr>
        <w:spacing w:line="240" w:lineRule="auto"/>
        <w:rPr>
          <w:rFonts w:eastAsiaTheme="majorEastAsia" w:cs="Arial"/>
          <w:b/>
          <w:color w:val="FF0000"/>
          <w:sz w:val="24"/>
          <w:szCs w:val="26"/>
        </w:rPr>
      </w:pPr>
      <w:r w:rsidRPr="006064FA">
        <w:rPr>
          <w:rFonts w:cs="Arial"/>
          <w:color w:val="002F5D"/>
        </w:rPr>
        <w:t xml:space="preserve">Many of the practices </w:t>
      </w:r>
      <w:r w:rsidR="00FF44A4" w:rsidRPr="006064FA">
        <w:rPr>
          <w:rFonts w:cs="Arial"/>
          <w:color w:val="002F5D"/>
        </w:rPr>
        <w:t xml:space="preserve">across </w:t>
      </w:r>
      <w:r w:rsidRPr="006064FA">
        <w:rPr>
          <w:rFonts w:cs="Arial"/>
          <w:color w:val="002F5D"/>
        </w:rPr>
        <w:t>Cambridgeshire</w:t>
      </w:r>
      <w:r w:rsidR="00FF44A4" w:rsidRPr="006064FA">
        <w:rPr>
          <w:rFonts w:cs="Arial"/>
          <w:color w:val="002F5D"/>
        </w:rPr>
        <w:t xml:space="preserve"> and Peterborough</w:t>
      </w:r>
      <w:r w:rsidRPr="006064FA">
        <w:rPr>
          <w:rFonts w:cs="Arial"/>
          <w:color w:val="002F5D"/>
        </w:rPr>
        <w:t xml:space="preserve"> with statistically significantly higher than </w:t>
      </w:r>
      <w:r w:rsidRPr="008F2F69">
        <w:rPr>
          <w:rFonts w:cs="Arial"/>
          <w:color w:val="002F5D"/>
        </w:rPr>
        <w:t>national average prevalence of</w:t>
      </w:r>
      <w:r w:rsidR="008F2F69">
        <w:rPr>
          <w:rFonts w:cs="Arial"/>
          <w:color w:val="002F5D"/>
        </w:rPr>
        <w:t xml:space="preserve"> COPD are located in Fenland (9</w:t>
      </w:r>
      <w:r w:rsidRPr="008F2F69">
        <w:rPr>
          <w:rFonts w:cs="Arial"/>
          <w:color w:val="002F5D"/>
        </w:rPr>
        <w:t>), but other</w:t>
      </w:r>
      <w:r w:rsidR="00FF44A4" w:rsidRPr="008F2F69">
        <w:rPr>
          <w:rFonts w:cs="Arial"/>
          <w:color w:val="002F5D"/>
        </w:rPr>
        <w:t>s</w:t>
      </w:r>
      <w:r w:rsidRPr="008F2F69">
        <w:rPr>
          <w:rFonts w:cs="Arial"/>
          <w:color w:val="002F5D"/>
        </w:rPr>
        <w:t xml:space="preserve"> are located in </w:t>
      </w:r>
      <w:r w:rsidR="00BB319B" w:rsidRPr="008F2F69">
        <w:rPr>
          <w:rFonts w:cs="Arial"/>
          <w:color w:val="002F5D"/>
        </w:rPr>
        <w:t>Huntingdonshire (</w:t>
      </w:r>
      <w:r w:rsidR="00BB319B">
        <w:rPr>
          <w:rFonts w:cs="Arial"/>
          <w:color w:val="002F5D"/>
        </w:rPr>
        <w:t>6</w:t>
      </w:r>
      <w:r w:rsidR="00BB319B" w:rsidRPr="008F2F69">
        <w:rPr>
          <w:rFonts w:cs="Arial"/>
          <w:color w:val="002F5D"/>
        </w:rPr>
        <w:t>)</w:t>
      </w:r>
      <w:r w:rsidR="00BB319B">
        <w:rPr>
          <w:rFonts w:cs="Arial"/>
          <w:color w:val="002F5D"/>
        </w:rPr>
        <w:t>, East Cambridgeshire (4</w:t>
      </w:r>
      <w:r w:rsidR="00BB319B" w:rsidRPr="008F2F69">
        <w:rPr>
          <w:rFonts w:cs="Arial"/>
          <w:color w:val="002F5D"/>
        </w:rPr>
        <w:t>)</w:t>
      </w:r>
      <w:r w:rsidR="00BB319B">
        <w:rPr>
          <w:rFonts w:cs="Arial"/>
          <w:color w:val="002F5D"/>
        </w:rPr>
        <w:t>, Peterborough (2</w:t>
      </w:r>
      <w:r w:rsidR="00BB319B" w:rsidRPr="008F2F69">
        <w:rPr>
          <w:rFonts w:cs="Arial"/>
          <w:color w:val="002F5D"/>
        </w:rPr>
        <w:t>)</w:t>
      </w:r>
      <w:r w:rsidR="00BB319B">
        <w:rPr>
          <w:rFonts w:cs="Arial"/>
          <w:color w:val="002F5D"/>
        </w:rPr>
        <w:t xml:space="preserve"> and </w:t>
      </w:r>
      <w:r w:rsidRPr="008F2F69">
        <w:rPr>
          <w:rFonts w:cs="Arial"/>
          <w:color w:val="002F5D"/>
        </w:rPr>
        <w:t>Cambr</w:t>
      </w:r>
      <w:r w:rsidR="00BB319B">
        <w:rPr>
          <w:rFonts w:cs="Arial"/>
          <w:color w:val="002F5D"/>
        </w:rPr>
        <w:t xml:space="preserve">idge (1). </w:t>
      </w:r>
      <w:r w:rsidR="008F2F69">
        <w:rPr>
          <w:rFonts w:cs="Arial"/>
          <w:color w:val="002F5D"/>
        </w:rPr>
        <w:t xml:space="preserve"> </w:t>
      </w:r>
      <w:r w:rsidR="008F2F69" w:rsidRPr="00FE41B6">
        <w:rPr>
          <w:rFonts w:cs="Arial"/>
          <w:color w:val="002F5D"/>
        </w:rPr>
        <w:t xml:space="preserve">Although </w:t>
      </w:r>
      <w:r w:rsidR="008F2F69">
        <w:rPr>
          <w:rFonts w:cs="Arial"/>
          <w:color w:val="002F5D"/>
        </w:rPr>
        <w:t xml:space="preserve">Wansford </w:t>
      </w:r>
      <w:r w:rsidR="008F2F69" w:rsidRPr="00FE41B6">
        <w:rPr>
          <w:rFonts w:cs="Arial"/>
          <w:color w:val="002F5D"/>
        </w:rPr>
        <w:t>Practice is not physically located in Cambridgeshire and Peterborough it does sit within the Cambridgeshire and Peterborough CCG.</w:t>
      </w:r>
      <w:r w:rsidR="0043274F" w:rsidRPr="009A2AB3">
        <w:rPr>
          <w:color w:val="FF0000"/>
        </w:rPr>
        <w:br w:type="page"/>
      </w:r>
    </w:p>
    <w:p w14:paraId="494AA6D2" w14:textId="77777777" w:rsidR="00E2075F" w:rsidRPr="00E72E44" w:rsidRDefault="00E2075F" w:rsidP="00386CC7">
      <w:pPr>
        <w:pStyle w:val="JSNA2"/>
      </w:pPr>
      <w:bookmarkStart w:id="802" w:name="_Toc4407876"/>
      <w:r w:rsidRPr="00E72E44">
        <w:lastRenderedPageBreak/>
        <w:t>Long term and high dependency conditions</w:t>
      </w:r>
      <w:r w:rsidR="008B018D" w:rsidRPr="00E72E44">
        <w:t xml:space="preserve"> (cancer and diabetes)</w:t>
      </w:r>
      <w:bookmarkEnd w:id="802"/>
    </w:p>
    <w:p w14:paraId="4FEEA406" w14:textId="77777777" w:rsidR="00E2075F" w:rsidRPr="0037351D" w:rsidRDefault="00E2075F" w:rsidP="0038179C">
      <w:pPr>
        <w:spacing w:line="240" w:lineRule="auto"/>
        <w:rPr>
          <w:rFonts w:cs="Arial"/>
          <w:color w:val="FF0000"/>
        </w:rPr>
      </w:pPr>
    </w:p>
    <w:p w14:paraId="11175CF0" w14:textId="2EB70040" w:rsidR="00386CC7" w:rsidRPr="0037351D" w:rsidRDefault="000C40EA" w:rsidP="00A3568F">
      <w:pPr>
        <w:pStyle w:val="JSNA3"/>
      </w:pPr>
      <w:bookmarkStart w:id="803" w:name="_Toc4407877"/>
      <w:r w:rsidRPr="0037351D">
        <w:t>P</w:t>
      </w:r>
      <w:r w:rsidR="00386CC7" w:rsidRPr="0037351D">
        <w:t>revalence</w:t>
      </w:r>
      <w:bookmarkEnd w:id="803"/>
    </w:p>
    <w:p w14:paraId="48552619" w14:textId="77777777" w:rsidR="00386CC7" w:rsidRPr="0037351D" w:rsidRDefault="00386CC7" w:rsidP="0038179C">
      <w:pPr>
        <w:spacing w:line="240" w:lineRule="auto"/>
        <w:rPr>
          <w:rFonts w:cs="Arial"/>
          <w:color w:val="FF0000"/>
        </w:rPr>
      </w:pPr>
    </w:p>
    <w:p w14:paraId="05A36ECB" w14:textId="4C1546D8" w:rsidR="00E2075F" w:rsidRDefault="00B654F0" w:rsidP="00B654F0">
      <w:pPr>
        <w:pStyle w:val="Caption"/>
        <w:rPr>
          <w:rFonts w:cs="Arial"/>
          <w:color w:val="002F5D"/>
        </w:rPr>
      </w:pPr>
      <w:r w:rsidRPr="00961500">
        <w:rPr>
          <w:b/>
          <w:color w:val="002F5D"/>
        </w:rPr>
        <w:t>Table</w:t>
      </w:r>
      <w:r w:rsidR="00A5114D">
        <w:rPr>
          <w:b/>
          <w:color w:val="002F5D"/>
        </w:rPr>
        <w:t xml:space="preserve"> 63</w:t>
      </w:r>
      <w:r w:rsidR="003A1CD6" w:rsidRPr="00961500">
        <w:rPr>
          <w:rFonts w:cs="Arial"/>
          <w:b/>
          <w:color w:val="002F5D"/>
        </w:rPr>
        <w:t>.</w:t>
      </w:r>
      <w:r w:rsidR="003A1CD6" w:rsidRPr="00961500">
        <w:rPr>
          <w:rFonts w:cs="Arial"/>
          <w:color w:val="002F5D"/>
        </w:rPr>
        <w:t xml:space="preserve"> Prevalence of long-term and high dependency conditions by district of general practice location, Cambridgeshire</w:t>
      </w:r>
      <w:r w:rsidR="00E4198A" w:rsidRPr="00961500">
        <w:rPr>
          <w:rFonts w:cs="Arial"/>
          <w:color w:val="002F5D"/>
        </w:rPr>
        <w:t xml:space="preserve"> and Peterborough</w:t>
      </w:r>
      <w:r w:rsidR="00E72E44" w:rsidRPr="00961500">
        <w:rPr>
          <w:rFonts w:cs="Arial"/>
          <w:color w:val="002F5D"/>
        </w:rPr>
        <w:t>, 2017/18</w:t>
      </w:r>
    </w:p>
    <w:p w14:paraId="7A1B538C" w14:textId="77777777" w:rsidR="000D36B6" w:rsidRPr="000D36B6" w:rsidRDefault="000D36B6" w:rsidP="000D36B6"/>
    <w:p w14:paraId="559EDB36" w14:textId="4F729718" w:rsidR="00961500" w:rsidRPr="00961500" w:rsidRDefault="000D36B6" w:rsidP="00961500">
      <w:r w:rsidRPr="000D36B6">
        <w:rPr>
          <w:noProof/>
          <w:lang w:eastAsia="en-GB"/>
        </w:rPr>
        <w:drawing>
          <wp:inline distT="0" distB="0" distL="0" distR="0" wp14:anchorId="7252326E" wp14:editId="58D71CA4">
            <wp:extent cx="5067300" cy="23526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67300" cy="2352675"/>
                    </a:xfrm>
                    <a:prstGeom prst="rect">
                      <a:avLst/>
                    </a:prstGeom>
                    <a:noFill/>
                    <a:ln>
                      <a:noFill/>
                    </a:ln>
                  </pic:spPr>
                </pic:pic>
              </a:graphicData>
            </a:graphic>
          </wp:inline>
        </w:drawing>
      </w:r>
    </w:p>
    <w:p w14:paraId="071206B2" w14:textId="4A4C8CE5" w:rsidR="007216BC" w:rsidRPr="0037351D" w:rsidRDefault="007216BC" w:rsidP="007216BC">
      <w:pPr>
        <w:rPr>
          <w:color w:val="FF0000"/>
        </w:rPr>
      </w:pPr>
    </w:p>
    <w:p w14:paraId="59978380" w14:textId="77777777" w:rsidR="003A1CD6" w:rsidRPr="00961500" w:rsidRDefault="003A1CD6" w:rsidP="0038179C">
      <w:pPr>
        <w:spacing w:line="240" w:lineRule="auto"/>
        <w:rPr>
          <w:rFonts w:cs="Arial"/>
          <w:color w:val="002F5D"/>
          <w:sz w:val="18"/>
        </w:rPr>
      </w:pPr>
      <w:r w:rsidRPr="00961500">
        <w:rPr>
          <w:rFonts w:cs="Arial"/>
          <w:color w:val="002F5D"/>
          <w:sz w:val="18"/>
        </w:rPr>
        <w:t>* Patients diagnosed with cancer (excluding non-melanotic skin cancer) on or after 01/04/2003</w:t>
      </w:r>
    </w:p>
    <w:p w14:paraId="249C9F1E" w14:textId="77777777" w:rsidR="00FF5BC8" w:rsidRPr="0037351D" w:rsidRDefault="00FF5BC8" w:rsidP="0038179C">
      <w:pPr>
        <w:spacing w:line="240" w:lineRule="auto"/>
        <w:rPr>
          <w:rFonts w:cs="Arial"/>
          <w:color w:val="FF0000"/>
        </w:rPr>
      </w:pPr>
    </w:p>
    <w:p w14:paraId="2790FEAB" w14:textId="77777777" w:rsidR="003A1CD6" w:rsidRPr="0037351D" w:rsidRDefault="00F87293" w:rsidP="0038179C">
      <w:pPr>
        <w:spacing w:line="240" w:lineRule="auto"/>
        <w:rPr>
          <w:rFonts w:cs="Arial"/>
          <w:color w:val="FF0000"/>
        </w:rPr>
      </w:pPr>
      <w:r w:rsidRPr="0037351D">
        <w:rPr>
          <w:noProof/>
          <w:color w:val="FF0000"/>
          <w:lang w:eastAsia="en-GB"/>
        </w:rPr>
        <w:drawing>
          <wp:inline distT="0" distB="0" distL="0" distR="0" wp14:anchorId="4E4363B3" wp14:editId="0A549A5B">
            <wp:extent cx="4123690" cy="46609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0086A584" w14:textId="77777777" w:rsidR="00FF5BC8" w:rsidRPr="0037351D" w:rsidRDefault="00FF5BC8" w:rsidP="0038179C">
      <w:pPr>
        <w:spacing w:line="240" w:lineRule="auto"/>
        <w:rPr>
          <w:rFonts w:cs="Arial"/>
          <w:color w:val="FF0000"/>
        </w:rPr>
      </w:pPr>
    </w:p>
    <w:p w14:paraId="48885FB1" w14:textId="77777777" w:rsidR="00E2075F" w:rsidRPr="00961500" w:rsidRDefault="003A1CD6" w:rsidP="0038179C">
      <w:pPr>
        <w:spacing w:line="240" w:lineRule="auto"/>
        <w:rPr>
          <w:rFonts w:cs="Arial"/>
          <w:color w:val="002F5D"/>
        </w:rPr>
      </w:pPr>
      <w:r w:rsidRPr="00961500">
        <w:rPr>
          <w:rFonts w:cs="Arial"/>
          <w:b/>
          <w:color w:val="002F5D"/>
        </w:rPr>
        <w:t>Sources:</w:t>
      </w:r>
      <w:r w:rsidRPr="00961500">
        <w:rPr>
          <w:rFonts w:cs="Arial"/>
          <w:color w:val="002F5D"/>
        </w:rPr>
        <w:t xml:space="preserve"> NHS Digital, Quality and Outcomes Framework, Cambridgeshire County Council Public Health Intelligence</w:t>
      </w:r>
    </w:p>
    <w:p w14:paraId="32CBDF9F" w14:textId="77777777" w:rsidR="00E2075F" w:rsidRPr="0037351D" w:rsidRDefault="00E440FE" w:rsidP="00E440FE">
      <w:pPr>
        <w:tabs>
          <w:tab w:val="left" w:pos="4365"/>
        </w:tabs>
        <w:spacing w:line="240" w:lineRule="auto"/>
        <w:rPr>
          <w:rFonts w:cs="Arial"/>
          <w:color w:val="FF0000"/>
        </w:rPr>
      </w:pPr>
      <w:r w:rsidRPr="0037351D">
        <w:rPr>
          <w:rFonts w:cs="Arial"/>
          <w:color w:val="FF0000"/>
        </w:rPr>
        <w:tab/>
      </w:r>
    </w:p>
    <w:p w14:paraId="524E9F4B" w14:textId="77777777" w:rsidR="003A1CD6" w:rsidRPr="00961500" w:rsidRDefault="003A1CD6" w:rsidP="0038179C">
      <w:pPr>
        <w:spacing w:line="240" w:lineRule="auto"/>
        <w:rPr>
          <w:rFonts w:cs="Arial"/>
          <w:b/>
          <w:color w:val="002F5D"/>
        </w:rPr>
      </w:pPr>
      <w:r w:rsidRPr="00961500">
        <w:rPr>
          <w:rFonts w:cs="Arial"/>
          <w:b/>
          <w:color w:val="002F5D"/>
        </w:rPr>
        <w:t>Key points:</w:t>
      </w:r>
    </w:p>
    <w:p w14:paraId="2D41D37E" w14:textId="61348D83" w:rsidR="005E0C2F" w:rsidRPr="00961500" w:rsidRDefault="005E0C2F" w:rsidP="00A938F7">
      <w:pPr>
        <w:pStyle w:val="ListParagraph"/>
        <w:numPr>
          <w:ilvl w:val="0"/>
          <w:numId w:val="14"/>
        </w:numPr>
        <w:spacing w:line="240" w:lineRule="auto"/>
        <w:rPr>
          <w:rFonts w:cs="Arial"/>
          <w:color w:val="002F5D"/>
        </w:rPr>
      </w:pPr>
      <w:r w:rsidRPr="00961500">
        <w:rPr>
          <w:rFonts w:cs="Arial"/>
          <w:color w:val="002F5D"/>
        </w:rPr>
        <w:t>The recorded prevalence o</w:t>
      </w:r>
      <w:r w:rsidR="00961500" w:rsidRPr="00961500">
        <w:rPr>
          <w:rFonts w:cs="Arial"/>
          <w:color w:val="002F5D"/>
        </w:rPr>
        <w:t>f cancer is statistically significantly lower than</w:t>
      </w:r>
      <w:r w:rsidRPr="00961500">
        <w:rPr>
          <w:rFonts w:cs="Arial"/>
          <w:color w:val="002F5D"/>
        </w:rPr>
        <w:t xml:space="preserve"> the national average among patients of general practices for Cambridgeshire and Peterborough as a whole. </w:t>
      </w:r>
    </w:p>
    <w:p w14:paraId="515B5B0B" w14:textId="77777777" w:rsidR="00BB6296" w:rsidRPr="00961500" w:rsidRDefault="005E0C2F" w:rsidP="00A938F7">
      <w:pPr>
        <w:pStyle w:val="ListParagraph"/>
        <w:numPr>
          <w:ilvl w:val="0"/>
          <w:numId w:val="14"/>
        </w:numPr>
        <w:spacing w:line="240" w:lineRule="auto"/>
        <w:rPr>
          <w:rFonts w:cs="Arial"/>
          <w:color w:val="002F5D"/>
        </w:rPr>
      </w:pPr>
      <w:r w:rsidRPr="00961500">
        <w:rPr>
          <w:rFonts w:cs="Arial"/>
          <w:color w:val="002F5D"/>
        </w:rPr>
        <w:t xml:space="preserve">Peterborough’s prevalence of cancer is </w:t>
      </w:r>
      <w:r w:rsidR="00BB6296" w:rsidRPr="00961500">
        <w:rPr>
          <w:rFonts w:cs="Arial"/>
          <w:color w:val="002F5D"/>
        </w:rPr>
        <w:t>statistically significantly lower than the national average.</w:t>
      </w:r>
    </w:p>
    <w:p w14:paraId="38C09FC5" w14:textId="77777777" w:rsidR="00BB6296" w:rsidRPr="00961500" w:rsidRDefault="00BB6296" w:rsidP="00A938F7">
      <w:pPr>
        <w:pStyle w:val="ListParagraph"/>
        <w:numPr>
          <w:ilvl w:val="0"/>
          <w:numId w:val="14"/>
        </w:numPr>
        <w:spacing w:line="240" w:lineRule="auto"/>
        <w:rPr>
          <w:rFonts w:cs="Arial"/>
          <w:color w:val="002F5D"/>
        </w:rPr>
      </w:pPr>
      <w:r w:rsidRPr="00961500">
        <w:rPr>
          <w:rFonts w:cs="Arial"/>
          <w:color w:val="002F5D"/>
        </w:rPr>
        <w:t>Cambridgeshire’s prevalence of cancer is statistically significantly higher tha</w:t>
      </w:r>
      <w:r w:rsidR="0075742C" w:rsidRPr="00961500">
        <w:rPr>
          <w:rFonts w:cs="Arial"/>
          <w:color w:val="002F5D"/>
        </w:rPr>
        <w:t>n</w:t>
      </w:r>
      <w:r w:rsidRPr="00961500">
        <w:rPr>
          <w:rFonts w:cs="Arial"/>
          <w:color w:val="002F5D"/>
        </w:rPr>
        <w:t xml:space="preserve"> the national average. </w:t>
      </w:r>
    </w:p>
    <w:p w14:paraId="50BE1C30" w14:textId="77777777" w:rsidR="003A1CD6" w:rsidRPr="00961500" w:rsidRDefault="003A1CD6" w:rsidP="00A938F7">
      <w:pPr>
        <w:pStyle w:val="ListParagraph"/>
        <w:numPr>
          <w:ilvl w:val="0"/>
          <w:numId w:val="14"/>
        </w:numPr>
        <w:spacing w:line="240" w:lineRule="auto"/>
        <w:rPr>
          <w:rFonts w:cs="Arial"/>
          <w:color w:val="002F5D"/>
        </w:rPr>
      </w:pPr>
      <w:r w:rsidRPr="00961500">
        <w:rPr>
          <w:rFonts w:cs="Arial"/>
          <w:color w:val="002F5D"/>
        </w:rPr>
        <w:t>The recorded prevalence of cancer is statistically significantly higher than the national average among patients of general practices in all districts except for Cambridge.  It should be noted that this is a cumulative measure of new cancer diagnosis since 01/04/2003 and not the prevalence of existing cancers in the population.</w:t>
      </w:r>
    </w:p>
    <w:p w14:paraId="284C2C30" w14:textId="749CFEA3" w:rsidR="00BB6296" w:rsidRPr="000D36B6" w:rsidRDefault="00BB6296" w:rsidP="000D36B6">
      <w:pPr>
        <w:pStyle w:val="ListParagraph"/>
        <w:numPr>
          <w:ilvl w:val="0"/>
          <w:numId w:val="14"/>
        </w:numPr>
        <w:spacing w:line="240" w:lineRule="auto"/>
        <w:rPr>
          <w:rFonts w:cs="Arial"/>
          <w:color w:val="002F5D"/>
        </w:rPr>
      </w:pPr>
      <w:r w:rsidRPr="000D36B6">
        <w:rPr>
          <w:rFonts w:cs="Arial"/>
          <w:color w:val="002F5D"/>
        </w:rPr>
        <w:t xml:space="preserve">The recorded prevalence of diabetes in people aged 17 years and over is statistically significantly lower </w:t>
      </w:r>
      <w:r w:rsidR="00A63EF6" w:rsidRPr="000D36B6">
        <w:rPr>
          <w:rFonts w:cs="Arial"/>
          <w:color w:val="002F5D"/>
        </w:rPr>
        <w:t>than</w:t>
      </w:r>
      <w:r w:rsidRPr="000D36B6">
        <w:rPr>
          <w:rFonts w:cs="Arial"/>
          <w:color w:val="002F5D"/>
        </w:rPr>
        <w:t xml:space="preserve"> the England average in Cambridgesh</w:t>
      </w:r>
      <w:r w:rsidR="00A63EF6" w:rsidRPr="000D36B6">
        <w:rPr>
          <w:rFonts w:cs="Arial"/>
          <w:color w:val="002F5D"/>
        </w:rPr>
        <w:t>ire and Peterborough as a who</w:t>
      </w:r>
      <w:r w:rsidR="00961500" w:rsidRPr="000D36B6">
        <w:rPr>
          <w:rFonts w:cs="Arial"/>
          <w:color w:val="002F5D"/>
        </w:rPr>
        <w:t xml:space="preserve">le, as well as in </w:t>
      </w:r>
      <w:r w:rsidR="000D36B6" w:rsidRPr="000D36B6">
        <w:rPr>
          <w:rFonts w:cs="Arial"/>
          <w:color w:val="002F5D"/>
        </w:rPr>
        <w:t xml:space="preserve">Cambridgeshire. </w:t>
      </w:r>
      <w:r w:rsidR="00961500" w:rsidRPr="000D36B6">
        <w:rPr>
          <w:rFonts w:cs="Arial"/>
          <w:color w:val="002F5D"/>
        </w:rPr>
        <w:t>Peterb</w:t>
      </w:r>
      <w:r w:rsidR="000D36B6" w:rsidRPr="000D36B6">
        <w:rPr>
          <w:rFonts w:cs="Arial"/>
          <w:color w:val="002F5D"/>
        </w:rPr>
        <w:t>o</w:t>
      </w:r>
      <w:r w:rsidR="00961500" w:rsidRPr="000D36B6">
        <w:rPr>
          <w:rFonts w:cs="Arial"/>
          <w:color w:val="002F5D"/>
        </w:rPr>
        <w:t>rough</w:t>
      </w:r>
      <w:r w:rsidR="000D36B6" w:rsidRPr="000D36B6">
        <w:rPr>
          <w:rFonts w:cs="Arial"/>
          <w:color w:val="002F5D"/>
        </w:rPr>
        <w:t>’s prevalence of diabetes in people aged 17 years and over is statistically significantly higher than the England average.</w:t>
      </w:r>
    </w:p>
    <w:p w14:paraId="0D48039C" w14:textId="77777777" w:rsidR="003A1CD6" w:rsidRPr="000D36B6" w:rsidRDefault="003A1CD6" w:rsidP="00A938F7">
      <w:pPr>
        <w:pStyle w:val="ListParagraph"/>
        <w:numPr>
          <w:ilvl w:val="0"/>
          <w:numId w:val="14"/>
        </w:numPr>
        <w:spacing w:line="240" w:lineRule="auto"/>
        <w:rPr>
          <w:rFonts w:cs="Arial"/>
          <w:color w:val="002F5D"/>
        </w:rPr>
      </w:pPr>
      <w:r w:rsidRPr="000D36B6">
        <w:rPr>
          <w:rFonts w:cs="Arial"/>
          <w:color w:val="002F5D"/>
        </w:rPr>
        <w:t>The recorded prevalence of diabetes in people aged 17 years and over is statistically significantly higher than the England average in Fenland.</w:t>
      </w:r>
      <w:r w:rsidR="00BB6296" w:rsidRPr="000D36B6">
        <w:rPr>
          <w:rFonts w:cs="Arial"/>
          <w:color w:val="002F5D"/>
          <w:sz w:val="18"/>
        </w:rPr>
        <w:t xml:space="preserve"> </w:t>
      </w:r>
    </w:p>
    <w:p w14:paraId="1EBF26CE" w14:textId="16B84E91" w:rsidR="003A1CD6" w:rsidRPr="000D36B6" w:rsidRDefault="000D36B6" w:rsidP="0038179C">
      <w:pPr>
        <w:pStyle w:val="ListParagraph"/>
        <w:numPr>
          <w:ilvl w:val="0"/>
          <w:numId w:val="14"/>
        </w:numPr>
        <w:spacing w:line="240" w:lineRule="auto"/>
        <w:rPr>
          <w:rFonts w:cs="Arial"/>
          <w:color w:val="002F5D"/>
        </w:rPr>
      </w:pPr>
      <w:r w:rsidRPr="000D36B6">
        <w:rPr>
          <w:rFonts w:cs="Arial"/>
          <w:color w:val="002F5D"/>
        </w:rPr>
        <w:t>The recorded prevalence of diabetes in people aged 17 years and over is sta</w:t>
      </w:r>
      <w:r>
        <w:rPr>
          <w:rFonts w:cs="Arial"/>
          <w:color w:val="002F5D"/>
        </w:rPr>
        <w:t xml:space="preserve">tistically significantly lower </w:t>
      </w:r>
      <w:r w:rsidRPr="000D36B6">
        <w:rPr>
          <w:rFonts w:cs="Arial"/>
          <w:color w:val="002F5D"/>
        </w:rPr>
        <w:t>tha</w:t>
      </w:r>
      <w:r>
        <w:rPr>
          <w:rFonts w:cs="Arial"/>
          <w:color w:val="002F5D"/>
        </w:rPr>
        <w:t>n the England average in Cambridge, Huntingdonshire and South Cambridgeshire</w:t>
      </w:r>
      <w:r w:rsidRPr="000D36B6">
        <w:rPr>
          <w:rFonts w:cs="Arial"/>
          <w:color w:val="002F5D"/>
        </w:rPr>
        <w:t>.</w:t>
      </w:r>
      <w:r w:rsidRPr="000D36B6">
        <w:rPr>
          <w:rFonts w:cs="Arial"/>
          <w:color w:val="002F5D"/>
          <w:sz w:val="18"/>
        </w:rPr>
        <w:t xml:space="preserve"> </w:t>
      </w:r>
    </w:p>
    <w:p w14:paraId="264069FB" w14:textId="77777777" w:rsidR="007E4C50" w:rsidRPr="0037351D" w:rsidRDefault="007E4C50" w:rsidP="0038179C">
      <w:pPr>
        <w:spacing w:line="240" w:lineRule="auto"/>
        <w:rPr>
          <w:rFonts w:cs="Arial"/>
          <w:color w:val="FF0000"/>
        </w:rPr>
      </w:pPr>
    </w:p>
    <w:p w14:paraId="102E7E0E" w14:textId="77777777" w:rsidR="007E4C50" w:rsidRPr="0037351D" w:rsidRDefault="007E4C50" w:rsidP="0038179C">
      <w:pPr>
        <w:spacing w:line="240" w:lineRule="auto"/>
        <w:rPr>
          <w:rFonts w:cs="Arial"/>
          <w:color w:val="FF0000"/>
        </w:rPr>
      </w:pPr>
    </w:p>
    <w:p w14:paraId="62A69795" w14:textId="77777777" w:rsidR="007E4C50" w:rsidRPr="0037351D" w:rsidRDefault="007E4C50" w:rsidP="0038179C">
      <w:pPr>
        <w:spacing w:line="240" w:lineRule="auto"/>
        <w:rPr>
          <w:rFonts w:cs="Arial"/>
          <w:color w:val="FF0000"/>
        </w:rPr>
      </w:pPr>
    </w:p>
    <w:p w14:paraId="056243FD" w14:textId="77777777" w:rsidR="00F87293" w:rsidRPr="0037351D" w:rsidRDefault="00F87293" w:rsidP="0038179C">
      <w:pPr>
        <w:spacing w:line="240" w:lineRule="auto"/>
        <w:rPr>
          <w:rFonts w:cs="Arial"/>
          <w:color w:val="FF0000"/>
        </w:rPr>
      </w:pPr>
    </w:p>
    <w:p w14:paraId="55EEE511" w14:textId="3A7CABDE" w:rsidR="00E2075F" w:rsidRDefault="00B654F0" w:rsidP="00B654F0">
      <w:pPr>
        <w:pStyle w:val="Caption"/>
        <w:rPr>
          <w:rFonts w:cs="Arial"/>
          <w:color w:val="002F5D"/>
        </w:rPr>
      </w:pPr>
      <w:r w:rsidRPr="000D36B6">
        <w:rPr>
          <w:b/>
          <w:color w:val="002F5D"/>
        </w:rPr>
        <w:lastRenderedPageBreak/>
        <w:t xml:space="preserve">Table </w:t>
      </w:r>
      <w:r w:rsidR="00A5114D">
        <w:rPr>
          <w:b/>
          <w:color w:val="002F5D"/>
        </w:rPr>
        <w:t>64</w:t>
      </w:r>
      <w:r w:rsidR="00195E0F" w:rsidRPr="000D36B6">
        <w:rPr>
          <w:rFonts w:cs="Arial"/>
          <w:b/>
          <w:color w:val="002F5D"/>
        </w:rPr>
        <w:t>.</w:t>
      </w:r>
      <w:r w:rsidR="00195E0F" w:rsidRPr="000D36B6">
        <w:rPr>
          <w:rFonts w:cs="Arial"/>
          <w:color w:val="002F5D"/>
        </w:rPr>
        <w:t xml:space="preserve"> General practices with statistically significantly higher than national average rates of recorded cancer*, Cambridgeshire</w:t>
      </w:r>
      <w:r w:rsidR="00665E10" w:rsidRPr="000D36B6">
        <w:rPr>
          <w:rFonts w:cs="Arial"/>
          <w:color w:val="002F5D"/>
        </w:rPr>
        <w:t xml:space="preserve"> and Peterborough</w:t>
      </w:r>
      <w:r w:rsidR="000D36B6" w:rsidRPr="000D36B6">
        <w:rPr>
          <w:rFonts w:cs="Arial"/>
          <w:color w:val="002F5D"/>
        </w:rPr>
        <w:t>, 2017/18</w:t>
      </w:r>
    </w:p>
    <w:p w14:paraId="59D560D6" w14:textId="77777777" w:rsidR="00AF7C51" w:rsidRPr="009A2AB3" w:rsidRDefault="00AF7C51" w:rsidP="00E61D24"/>
    <w:p w14:paraId="2410186D" w14:textId="57C731B1" w:rsidR="00470EB8" w:rsidRDefault="00AF7C51" w:rsidP="00470EB8">
      <w:r w:rsidRPr="00AF7C51">
        <w:rPr>
          <w:noProof/>
          <w:lang w:eastAsia="en-GB"/>
        </w:rPr>
        <w:drawing>
          <wp:inline distT="0" distB="0" distL="0" distR="0" wp14:anchorId="35A19980" wp14:editId="067872D3">
            <wp:extent cx="5765800" cy="6298094"/>
            <wp:effectExtent l="0" t="0" r="635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74844" cy="6307973"/>
                    </a:xfrm>
                    <a:prstGeom prst="rect">
                      <a:avLst/>
                    </a:prstGeom>
                    <a:noFill/>
                    <a:ln>
                      <a:noFill/>
                    </a:ln>
                  </pic:spPr>
                </pic:pic>
              </a:graphicData>
            </a:graphic>
          </wp:inline>
        </w:drawing>
      </w:r>
    </w:p>
    <w:p w14:paraId="28046350" w14:textId="77777777" w:rsidR="000B4D0D" w:rsidRPr="000D36B6" w:rsidRDefault="000B4D0D" w:rsidP="009A2AB3">
      <w:pPr>
        <w:rPr>
          <w:rFonts w:cs="Arial"/>
          <w:color w:val="002F5D"/>
          <w:sz w:val="16"/>
          <w:szCs w:val="16"/>
        </w:rPr>
      </w:pPr>
    </w:p>
    <w:p w14:paraId="25968A37" w14:textId="64C76E11" w:rsidR="00EA11A1" w:rsidRPr="000D36B6" w:rsidRDefault="00195E0F" w:rsidP="00EA11A1">
      <w:pPr>
        <w:spacing w:line="240" w:lineRule="auto"/>
        <w:rPr>
          <w:rFonts w:cs="Arial"/>
          <w:color w:val="002F5D"/>
          <w:sz w:val="18"/>
        </w:rPr>
      </w:pPr>
      <w:r w:rsidRPr="000D36B6">
        <w:rPr>
          <w:rFonts w:cs="Arial"/>
          <w:color w:val="002F5D"/>
          <w:sz w:val="18"/>
        </w:rPr>
        <w:t>* Patients diagnosed with cancer (excluding non-melanotic skin</w:t>
      </w:r>
      <w:r w:rsidR="00470EB8">
        <w:rPr>
          <w:rFonts w:cs="Arial"/>
          <w:color w:val="002F5D"/>
          <w:sz w:val="18"/>
        </w:rPr>
        <w:t xml:space="preserve"> cancer) on or after 01/04/2003</w:t>
      </w:r>
    </w:p>
    <w:p w14:paraId="1B4136AD" w14:textId="77777777" w:rsidR="00FF5BC8" w:rsidRPr="000D36B6" w:rsidRDefault="00FF5BC8" w:rsidP="0038179C">
      <w:pPr>
        <w:spacing w:line="240" w:lineRule="auto"/>
        <w:rPr>
          <w:rFonts w:cs="Arial"/>
          <w:b/>
          <w:color w:val="002F5D"/>
          <w:sz w:val="16"/>
          <w:szCs w:val="16"/>
        </w:rPr>
      </w:pPr>
    </w:p>
    <w:p w14:paraId="2FDB4465" w14:textId="77777777" w:rsidR="00E2075F" w:rsidRPr="000D36B6" w:rsidRDefault="00195E0F" w:rsidP="0038179C">
      <w:pPr>
        <w:spacing w:line="240" w:lineRule="auto"/>
        <w:rPr>
          <w:rFonts w:cs="Arial"/>
          <w:color w:val="002F5D"/>
        </w:rPr>
      </w:pPr>
      <w:r w:rsidRPr="000D36B6">
        <w:rPr>
          <w:rFonts w:cs="Arial"/>
          <w:b/>
          <w:color w:val="002F5D"/>
        </w:rPr>
        <w:t>Sources:</w:t>
      </w:r>
      <w:r w:rsidRPr="000D36B6">
        <w:rPr>
          <w:rFonts w:cs="Arial"/>
          <w:color w:val="002F5D"/>
        </w:rPr>
        <w:t xml:space="preserve"> NHS Digital, Quality and Outcomes Framework, Cambridgeshire County Council Public Health Intelligence</w:t>
      </w:r>
    </w:p>
    <w:p w14:paraId="11F85307" w14:textId="77777777" w:rsidR="000D36B6" w:rsidRDefault="000D36B6" w:rsidP="0038179C">
      <w:pPr>
        <w:spacing w:line="240" w:lineRule="auto"/>
        <w:rPr>
          <w:rFonts w:cs="Arial"/>
          <w:color w:val="FF0000"/>
          <w:sz w:val="16"/>
          <w:szCs w:val="16"/>
        </w:rPr>
      </w:pPr>
    </w:p>
    <w:p w14:paraId="23BA476F" w14:textId="77777777" w:rsidR="000D36B6" w:rsidRPr="0037351D" w:rsidRDefault="000D36B6" w:rsidP="0038179C">
      <w:pPr>
        <w:spacing w:line="240" w:lineRule="auto"/>
        <w:rPr>
          <w:rFonts w:cs="Arial"/>
          <w:color w:val="FF0000"/>
          <w:sz w:val="16"/>
          <w:szCs w:val="16"/>
        </w:rPr>
      </w:pPr>
    </w:p>
    <w:p w14:paraId="4930442F" w14:textId="77777777" w:rsidR="00195E0F" w:rsidRPr="00FC4A83" w:rsidRDefault="00195E0F" w:rsidP="0038179C">
      <w:pPr>
        <w:spacing w:line="240" w:lineRule="auto"/>
        <w:rPr>
          <w:rFonts w:cs="Arial"/>
          <w:b/>
          <w:color w:val="002060"/>
        </w:rPr>
      </w:pPr>
      <w:r w:rsidRPr="00FC4A83">
        <w:rPr>
          <w:rFonts w:cs="Arial"/>
          <w:b/>
          <w:color w:val="002060"/>
        </w:rPr>
        <w:t>Key point:</w:t>
      </w:r>
    </w:p>
    <w:p w14:paraId="5BB4ABA5" w14:textId="50D55D73" w:rsidR="00195E0F" w:rsidRPr="009A2AB3" w:rsidRDefault="00195E0F" w:rsidP="009A2AB3">
      <w:pPr>
        <w:pStyle w:val="ListParagraph"/>
        <w:numPr>
          <w:ilvl w:val="0"/>
          <w:numId w:val="14"/>
        </w:numPr>
        <w:spacing w:line="240" w:lineRule="auto"/>
        <w:rPr>
          <w:rFonts w:cs="Arial"/>
          <w:color w:val="FF0000"/>
        </w:rPr>
      </w:pPr>
      <w:r w:rsidRPr="00FC4A83">
        <w:rPr>
          <w:rFonts w:cs="Arial"/>
          <w:color w:val="002060"/>
        </w:rPr>
        <w:t xml:space="preserve">Practices with statistically significantly higher than average rates of recorded cancer are spread throughout </w:t>
      </w:r>
      <w:r w:rsidR="00665E10" w:rsidRPr="00FC4A83">
        <w:rPr>
          <w:rFonts w:cs="Arial"/>
          <w:color w:val="002060"/>
        </w:rPr>
        <w:t>Cambridgeshire and Peterborough</w:t>
      </w:r>
      <w:r w:rsidR="00FC4A83" w:rsidRPr="00FC4A83">
        <w:rPr>
          <w:rFonts w:cs="Arial"/>
          <w:color w:val="002060"/>
        </w:rPr>
        <w:t>: Huntingdonshire (10),</w:t>
      </w:r>
      <w:r w:rsidR="00470EB8" w:rsidRPr="00470EB8">
        <w:rPr>
          <w:rFonts w:cs="Arial"/>
          <w:color w:val="002060"/>
        </w:rPr>
        <w:t xml:space="preserve"> </w:t>
      </w:r>
      <w:r w:rsidR="00470EB8" w:rsidRPr="00FC4A83">
        <w:rPr>
          <w:rFonts w:cs="Arial"/>
          <w:color w:val="002060"/>
        </w:rPr>
        <w:t>South Cambridgeshi</w:t>
      </w:r>
      <w:r w:rsidR="00470EB8">
        <w:rPr>
          <w:rFonts w:cs="Arial"/>
          <w:color w:val="002060"/>
        </w:rPr>
        <w:t>re (9</w:t>
      </w:r>
      <w:r w:rsidR="00470EB8" w:rsidRPr="00FC4A83">
        <w:rPr>
          <w:rFonts w:cs="Arial"/>
          <w:color w:val="002060"/>
        </w:rPr>
        <w:t xml:space="preserve">), </w:t>
      </w:r>
      <w:r w:rsidR="00FC4A83" w:rsidRPr="00FC4A83">
        <w:rPr>
          <w:rFonts w:cs="Arial"/>
          <w:color w:val="002060"/>
        </w:rPr>
        <w:t xml:space="preserve"> Fenland (7</w:t>
      </w:r>
      <w:r w:rsidRPr="00FC4A83">
        <w:rPr>
          <w:rFonts w:cs="Arial"/>
          <w:color w:val="002060"/>
        </w:rPr>
        <w:t xml:space="preserve">), </w:t>
      </w:r>
      <w:r w:rsidR="00FC4A83" w:rsidRPr="00FC4A83">
        <w:rPr>
          <w:rFonts w:cs="Arial"/>
          <w:color w:val="002060"/>
        </w:rPr>
        <w:t>East Cambridgeshire (</w:t>
      </w:r>
      <w:r w:rsidR="00A83D0F">
        <w:rPr>
          <w:rFonts w:cs="Arial"/>
          <w:color w:val="002060"/>
        </w:rPr>
        <w:t>4</w:t>
      </w:r>
      <w:r w:rsidR="00FC4A83" w:rsidRPr="00FC4A83">
        <w:rPr>
          <w:rFonts w:cs="Arial"/>
          <w:color w:val="002060"/>
        </w:rPr>
        <w:t xml:space="preserve">), </w:t>
      </w:r>
      <w:r w:rsidR="00470EB8" w:rsidRPr="00FC4A83">
        <w:rPr>
          <w:rFonts w:cs="Arial"/>
          <w:color w:val="002060"/>
        </w:rPr>
        <w:t>Cambridge (1</w:t>
      </w:r>
      <w:r w:rsidR="00470EB8">
        <w:rPr>
          <w:rFonts w:cs="Arial"/>
          <w:color w:val="002060"/>
        </w:rPr>
        <w:t>) and</w:t>
      </w:r>
      <w:r w:rsidR="00470EB8" w:rsidRPr="00FC4A83">
        <w:rPr>
          <w:rFonts w:cs="Arial"/>
          <w:color w:val="002060"/>
        </w:rPr>
        <w:t xml:space="preserve"> </w:t>
      </w:r>
      <w:r w:rsidR="00FC4A83" w:rsidRPr="00FC4A83">
        <w:rPr>
          <w:rFonts w:cs="Arial"/>
          <w:color w:val="002060"/>
        </w:rPr>
        <w:t>Peterborough (1</w:t>
      </w:r>
      <w:r w:rsidR="00470EB8">
        <w:rPr>
          <w:rFonts w:cs="Arial"/>
          <w:color w:val="002060"/>
        </w:rPr>
        <w:t xml:space="preserve">).  </w:t>
      </w:r>
      <w:r w:rsidR="00FC4A83" w:rsidRPr="00FE41B6">
        <w:rPr>
          <w:rFonts w:cs="Arial"/>
          <w:color w:val="002F5D"/>
        </w:rPr>
        <w:t>Although Oundle Practice, Wansford Practice and Roysia Surgery are not physically located in Cambridgeshire and Peterborough they sit within the Cambridgeshire and Peterborough CC</w:t>
      </w:r>
      <w:r w:rsidR="009A53D2">
        <w:rPr>
          <w:rFonts w:cs="Arial"/>
          <w:color w:val="002F5D"/>
        </w:rPr>
        <w:t>G.</w:t>
      </w:r>
    </w:p>
    <w:p w14:paraId="3D29BA59" w14:textId="77777777" w:rsidR="00E4198A" w:rsidRPr="0037351D" w:rsidRDefault="00E4198A" w:rsidP="00B654F0">
      <w:pPr>
        <w:pStyle w:val="Caption"/>
        <w:rPr>
          <w:b/>
          <w:color w:val="FF0000"/>
        </w:rPr>
      </w:pPr>
    </w:p>
    <w:p w14:paraId="64BA73D8" w14:textId="3AFE5FEB" w:rsidR="000C40EA" w:rsidRPr="0037351D" w:rsidRDefault="000C40EA">
      <w:pPr>
        <w:rPr>
          <w:b/>
          <w:iCs/>
          <w:color w:val="FF0000"/>
          <w:szCs w:val="18"/>
        </w:rPr>
      </w:pPr>
    </w:p>
    <w:p w14:paraId="37D100B1" w14:textId="5EDA75C9" w:rsidR="00FC4A83" w:rsidRDefault="00B654F0" w:rsidP="00FC4A83">
      <w:pPr>
        <w:pStyle w:val="Caption"/>
        <w:rPr>
          <w:rFonts w:cs="Arial"/>
          <w:color w:val="002060"/>
        </w:rPr>
      </w:pPr>
      <w:r w:rsidRPr="00FC4A83">
        <w:rPr>
          <w:b/>
          <w:color w:val="002060"/>
        </w:rPr>
        <w:t>Table</w:t>
      </w:r>
      <w:r w:rsidR="00A5114D">
        <w:rPr>
          <w:b/>
          <w:color w:val="002060"/>
        </w:rPr>
        <w:t xml:space="preserve"> 65</w:t>
      </w:r>
      <w:r w:rsidR="00AF0622" w:rsidRPr="00FC4A83">
        <w:rPr>
          <w:rFonts w:cs="Arial"/>
          <w:b/>
          <w:color w:val="002060"/>
        </w:rPr>
        <w:t>.</w:t>
      </w:r>
      <w:r w:rsidR="00AF0622" w:rsidRPr="00FC4A83">
        <w:rPr>
          <w:rFonts w:cs="Arial"/>
          <w:color w:val="002060"/>
        </w:rPr>
        <w:t xml:space="preserve"> General practices with statistically significantly higher than national average rates of recorded diabete</w:t>
      </w:r>
      <w:r w:rsidR="00FC4A83" w:rsidRPr="00FC4A83">
        <w:rPr>
          <w:rFonts w:cs="Arial"/>
          <w:color w:val="002060"/>
        </w:rPr>
        <w:t>s (17+), Cambridgeshire, 2017/18</w:t>
      </w:r>
    </w:p>
    <w:p w14:paraId="50DAA675" w14:textId="77777777" w:rsidR="00470EB8" w:rsidRPr="00470EB8" w:rsidRDefault="00470EB8" w:rsidP="00470EB8"/>
    <w:p w14:paraId="3870D00C" w14:textId="27325459" w:rsidR="00D723CD" w:rsidRPr="00D723CD" w:rsidRDefault="00470EB8" w:rsidP="00D723CD">
      <w:r w:rsidRPr="00470EB8">
        <w:rPr>
          <w:noProof/>
          <w:lang w:eastAsia="en-GB"/>
        </w:rPr>
        <w:drawing>
          <wp:inline distT="0" distB="0" distL="0" distR="0" wp14:anchorId="363DB18A" wp14:editId="22C2D356">
            <wp:extent cx="6076950" cy="46101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76950" cy="4610100"/>
                    </a:xfrm>
                    <a:prstGeom prst="rect">
                      <a:avLst/>
                    </a:prstGeom>
                    <a:noFill/>
                    <a:ln>
                      <a:noFill/>
                    </a:ln>
                  </pic:spPr>
                </pic:pic>
              </a:graphicData>
            </a:graphic>
          </wp:inline>
        </w:drawing>
      </w:r>
    </w:p>
    <w:p w14:paraId="45863745" w14:textId="77777777" w:rsidR="00AF0622" w:rsidRPr="00FC4A83" w:rsidRDefault="00AF0622" w:rsidP="0043274F">
      <w:pPr>
        <w:spacing w:line="240" w:lineRule="auto"/>
        <w:rPr>
          <w:rFonts w:cs="Arial"/>
          <w:color w:val="002060"/>
        </w:rPr>
      </w:pPr>
    </w:p>
    <w:p w14:paraId="49031953" w14:textId="77777777" w:rsidR="00AF0622" w:rsidRPr="00FC4A83" w:rsidRDefault="00AF0622" w:rsidP="0043274F">
      <w:pPr>
        <w:spacing w:line="240" w:lineRule="auto"/>
        <w:rPr>
          <w:rFonts w:cs="Arial"/>
          <w:color w:val="002060"/>
        </w:rPr>
      </w:pPr>
      <w:r w:rsidRPr="00FC4A83">
        <w:rPr>
          <w:rFonts w:cs="Arial"/>
          <w:b/>
          <w:color w:val="002060"/>
        </w:rPr>
        <w:t>Sources:</w:t>
      </w:r>
      <w:r w:rsidRPr="00FC4A83">
        <w:rPr>
          <w:rFonts w:cs="Arial"/>
          <w:color w:val="002060"/>
        </w:rPr>
        <w:t xml:space="preserve"> NHS Digital, Quality and Outcomes Framework, Cambridgeshire County Council Public Health Intelligence</w:t>
      </w:r>
    </w:p>
    <w:p w14:paraId="16EF5507" w14:textId="77777777" w:rsidR="00AF0622" w:rsidRPr="0037351D" w:rsidRDefault="00AF0622" w:rsidP="0043274F">
      <w:pPr>
        <w:spacing w:line="240" w:lineRule="auto"/>
        <w:rPr>
          <w:rFonts w:cs="Arial"/>
          <w:color w:val="FF0000"/>
        </w:rPr>
      </w:pPr>
    </w:p>
    <w:p w14:paraId="769DB925" w14:textId="77777777" w:rsidR="00AF0622" w:rsidRPr="00D723CD" w:rsidRDefault="00AF0622" w:rsidP="0043274F">
      <w:pPr>
        <w:spacing w:line="240" w:lineRule="auto"/>
        <w:rPr>
          <w:rFonts w:cs="Arial"/>
          <w:b/>
          <w:color w:val="002F5D"/>
        </w:rPr>
      </w:pPr>
      <w:r w:rsidRPr="00D723CD">
        <w:rPr>
          <w:rFonts w:cs="Arial"/>
          <w:b/>
          <w:color w:val="002F5D"/>
        </w:rPr>
        <w:t>Key point:</w:t>
      </w:r>
    </w:p>
    <w:p w14:paraId="1BD4A4D9" w14:textId="5F9EBF16" w:rsidR="00F17AE5" w:rsidRPr="00D723CD" w:rsidRDefault="00AF0622" w:rsidP="0043274F">
      <w:pPr>
        <w:pStyle w:val="ListParagraph"/>
        <w:numPr>
          <w:ilvl w:val="0"/>
          <w:numId w:val="14"/>
        </w:numPr>
        <w:spacing w:line="240" w:lineRule="auto"/>
        <w:rPr>
          <w:rFonts w:cs="Arial"/>
          <w:color w:val="002F5D"/>
        </w:rPr>
      </w:pPr>
      <w:r w:rsidRPr="00D723CD">
        <w:rPr>
          <w:rFonts w:cs="Arial"/>
          <w:color w:val="002F5D"/>
        </w:rPr>
        <w:t>Most practices with statistically significantly higher than national average rates of recorded diabetes are located in Fenla</w:t>
      </w:r>
      <w:r w:rsidR="00D723CD" w:rsidRPr="00D723CD">
        <w:rPr>
          <w:rFonts w:cs="Arial"/>
          <w:color w:val="002F5D"/>
        </w:rPr>
        <w:t>nd (9</w:t>
      </w:r>
      <w:r w:rsidR="006503BA" w:rsidRPr="00D723CD">
        <w:rPr>
          <w:rFonts w:cs="Arial"/>
          <w:color w:val="002F5D"/>
        </w:rPr>
        <w:t xml:space="preserve">) </w:t>
      </w:r>
      <w:r w:rsidR="00BD1C3C">
        <w:rPr>
          <w:rFonts w:cs="Arial"/>
          <w:color w:val="002F5D"/>
        </w:rPr>
        <w:t>and Peterborough (8) with two</w:t>
      </w:r>
      <w:r w:rsidRPr="00D723CD">
        <w:rPr>
          <w:rFonts w:cs="Arial"/>
          <w:color w:val="002F5D"/>
        </w:rPr>
        <w:t xml:space="preserve"> loc</w:t>
      </w:r>
      <w:r w:rsidR="00D723CD" w:rsidRPr="00D723CD">
        <w:rPr>
          <w:rFonts w:cs="Arial"/>
          <w:color w:val="002F5D"/>
        </w:rPr>
        <w:t xml:space="preserve">ated in Huntingdonshire and two </w:t>
      </w:r>
      <w:r w:rsidRPr="00D723CD">
        <w:rPr>
          <w:rFonts w:cs="Arial"/>
          <w:color w:val="002F5D"/>
        </w:rPr>
        <w:t>in East Cambridgeshire.</w:t>
      </w:r>
    </w:p>
    <w:p w14:paraId="47C4DB98" w14:textId="77777777" w:rsidR="00F17AE5" w:rsidRPr="0037351D" w:rsidRDefault="00F17AE5" w:rsidP="0043274F">
      <w:pPr>
        <w:spacing w:line="240" w:lineRule="auto"/>
        <w:rPr>
          <w:rFonts w:cs="Arial"/>
          <w:color w:val="FF0000"/>
        </w:rPr>
      </w:pPr>
    </w:p>
    <w:p w14:paraId="662929FD" w14:textId="77777777" w:rsidR="002D381A" w:rsidRPr="0037351D" w:rsidRDefault="002D381A">
      <w:pPr>
        <w:rPr>
          <w:rFonts w:cs="Arial"/>
          <w:color w:val="FF0000"/>
        </w:rPr>
      </w:pPr>
      <w:r w:rsidRPr="0037351D">
        <w:rPr>
          <w:rFonts w:cs="Arial"/>
          <w:color w:val="FF0000"/>
        </w:rPr>
        <w:br w:type="page"/>
      </w:r>
    </w:p>
    <w:p w14:paraId="543CAB98" w14:textId="77777777" w:rsidR="002D381A" w:rsidRPr="005A0544" w:rsidRDefault="002D381A" w:rsidP="00386CC7">
      <w:pPr>
        <w:pStyle w:val="JSNA2"/>
      </w:pPr>
      <w:bookmarkStart w:id="804" w:name="_Toc4407878"/>
      <w:r w:rsidRPr="005A0544">
        <w:lastRenderedPageBreak/>
        <w:t>Mental health</w:t>
      </w:r>
      <w:r w:rsidR="008B018D" w:rsidRPr="005A0544">
        <w:t xml:space="preserve"> (psychoses, depression, dementia and learning disability)</w:t>
      </w:r>
      <w:bookmarkEnd w:id="804"/>
    </w:p>
    <w:p w14:paraId="368FDA82" w14:textId="77777777" w:rsidR="002D381A" w:rsidRPr="0037351D" w:rsidRDefault="002D381A" w:rsidP="00F17AE5">
      <w:pPr>
        <w:spacing w:line="240" w:lineRule="auto"/>
        <w:rPr>
          <w:rFonts w:cs="Arial"/>
          <w:color w:val="FF0000"/>
        </w:rPr>
      </w:pPr>
    </w:p>
    <w:p w14:paraId="47BE8378" w14:textId="6E9B85B1" w:rsidR="00386CC7" w:rsidRPr="0037351D" w:rsidRDefault="000C40EA" w:rsidP="00A3568F">
      <w:pPr>
        <w:pStyle w:val="JSNA3"/>
      </w:pPr>
      <w:bookmarkStart w:id="805" w:name="_Toc4407879"/>
      <w:r w:rsidRPr="0037351D">
        <w:t>P</w:t>
      </w:r>
      <w:r w:rsidR="00386CC7" w:rsidRPr="0037351D">
        <w:t>revalence</w:t>
      </w:r>
      <w:bookmarkEnd w:id="805"/>
    </w:p>
    <w:p w14:paraId="72C66F0D" w14:textId="77777777" w:rsidR="00386CC7" w:rsidRPr="005A0544" w:rsidRDefault="00386CC7" w:rsidP="0043274F">
      <w:pPr>
        <w:spacing w:line="240" w:lineRule="auto"/>
        <w:rPr>
          <w:rFonts w:cs="Arial"/>
          <w:color w:val="002F5D"/>
        </w:rPr>
      </w:pPr>
    </w:p>
    <w:p w14:paraId="419F4B78" w14:textId="42E570E2" w:rsidR="002D381A" w:rsidRDefault="00B654F0" w:rsidP="0043274F">
      <w:pPr>
        <w:pStyle w:val="Caption"/>
        <w:rPr>
          <w:rFonts w:cs="Arial"/>
          <w:color w:val="002F5D"/>
        </w:rPr>
      </w:pPr>
      <w:r w:rsidRPr="005A0544">
        <w:rPr>
          <w:b/>
          <w:color w:val="002F5D"/>
        </w:rPr>
        <w:t xml:space="preserve">Table </w:t>
      </w:r>
      <w:r w:rsidR="00A5114D">
        <w:rPr>
          <w:b/>
          <w:color w:val="002F5D"/>
        </w:rPr>
        <w:t>66</w:t>
      </w:r>
      <w:r w:rsidR="002D381A" w:rsidRPr="005A0544">
        <w:rPr>
          <w:rFonts w:cs="Arial"/>
          <w:b/>
          <w:color w:val="002F5D"/>
        </w:rPr>
        <w:t>.</w:t>
      </w:r>
      <w:r w:rsidR="002D381A" w:rsidRPr="005A0544">
        <w:rPr>
          <w:rFonts w:cs="Arial"/>
          <w:color w:val="002F5D"/>
        </w:rPr>
        <w:t xml:space="preserve"> Prevalence of mental health conditions by district of general practice location, Cambridgeshire</w:t>
      </w:r>
      <w:r w:rsidR="00F74382" w:rsidRPr="005A0544">
        <w:rPr>
          <w:rFonts w:cs="Arial"/>
          <w:color w:val="002F5D"/>
        </w:rPr>
        <w:t xml:space="preserve"> and Peterborough,</w:t>
      </w:r>
      <w:r w:rsidR="005A0544">
        <w:rPr>
          <w:rFonts w:cs="Arial"/>
          <w:color w:val="002F5D"/>
        </w:rPr>
        <w:t xml:space="preserve"> 2017/18</w:t>
      </w:r>
    </w:p>
    <w:p w14:paraId="16E1D8DA" w14:textId="77777777" w:rsidR="005A0544" w:rsidRPr="005A0544" w:rsidRDefault="005A0544" w:rsidP="005A0544"/>
    <w:p w14:paraId="1FB2E8BD" w14:textId="1A8A27EB" w:rsidR="00AB7A66" w:rsidRPr="005A0544" w:rsidRDefault="005A0544" w:rsidP="005A0544">
      <w:r w:rsidRPr="005A0544">
        <w:rPr>
          <w:noProof/>
          <w:lang w:eastAsia="en-GB"/>
        </w:rPr>
        <w:drawing>
          <wp:inline distT="0" distB="0" distL="0" distR="0" wp14:anchorId="34467AA5" wp14:editId="15F0BBC7">
            <wp:extent cx="6120130" cy="2130985"/>
            <wp:effectExtent l="0" t="0" r="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0130" cy="2130985"/>
                    </a:xfrm>
                    <a:prstGeom prst="rect">
                      <a:avLst/>
                    </a:prstGeom>
                    <a:noFill/>
                    <a:ln>
                      <a:noFill/>
                    </a:ln>
                  </pic:spPr>
                </pic:pic>
              </a:graphicData>
            </a:graphic>
          </wp:inline>
        </w:drawing>
      </w:r>
    </w:p>
    <w:p w14:paraId="2D975A20" w14:textId="77777777" w:rsidR="003A021F" w:rsidRPr="0037351D" w:rsidRDefault="003A021F" w:rsidP="0043274F">
      <w:pPr>
        <w:spacing w:line="240" w:lineRule="auto"/>
        <w:rPr>
          <w:color w:val="FF0000"/>
        </w:rPr>
      </w:pPr>
    </w:p>
    <w:p w14:paraId="226951B2" w14:textId="77777777" w:rsidR="002D381A" w:rsidRPr="005A0544" w:rsidRDefault="002D381A" w:rsidP="0043274F">
      <w:pPr>
        <w:spacing w:line="240" w:lineRule="auto"/>
        <w:rPr>
          <w:color w:val="002F5D"/>
          <w:sz w:val="18"/>
        </w:rPr>
      </w:pPr>
      <w:r w:rsidRPr="005A0544">
        <w:rPr>
          <w:color w:val="002F5D"/>
          <w:sz w:val="18"/>
        </w:rPr>
        <w:t>* Patients with a record of unresolved depression since April 2006</w:t>
      </w:r>
    </w:p>
    <w:p w14:paraId="3D6FEBDC" w14:textId="77777777" w:rsidR="002D381A" w:rsidRPr="0037351D" w:rsidRDefault="002D381A" w:rsidP="0043274F">
      <w:pPr>
        <w:spacing w:line="240" w:lineRule="auto"/>
        <w:rPr>
          <w:color w:val="FF0000"/>
        </w:rPr>
      </w:pPr>
    </w:p>
    <w:p w14:paraId="09B83ABB" w14:textId="77777777" w:rsidR="00897A50" w:rsidRPr="0037351D" w:rsidRDefault="00F87293" w:rsidP="0043274F">
      <w:pPr>
        <w:spacing w:line="240" w:lineRule="auto"/>
        <w:rPr>
          <w:b/>
          <w:color w:val="FF0000"/>
        </w:rPr>
      </w:pPr>
      <w:r w:rsidRPr="0037351D">
        <w:rPr>
          <w:noProof/>
          <w:color w:val="FF0000"/>
          <w:lang w:eastAsia="en-GB"/>
        </w:rPr>
        <w:drawing>
          <wp:inline distT="0" distB="0" distL="0" distR="0" wp14:anchorId="11AC5763" wp14:editId="1BA122CB">
            <wp:extent cx="4123690" cy="46609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7BB1C94F" w14:textId="77777777" w:rsidR="00897A50" w:rsidRPr="0037351D" w:rsidRDefault="00897A50" w:rsidP="0043274F">
      <w:pPr>
        <w:spacing w:line="240" w:lineRule="auto"/>
        <w:rPr>
          <w:b/>
          <w:color w:val="FF0000"/>
        </w:rPr>
      </w:pPr>
    </w:p>
    <w:p w14:paraId="6E84D06F" w14:textId="77777777" w:rsidR="002D381A" w:rsidRPr="005A0544" w:rsidRDefault="002D381A" w:rsidP="0043274F">
      <w:pPr>
        <w:spacing w:line="240" w:lineRule="auto"/>
        <w:rPr>
          <w:color w:val="002F5D"/>
        </w:rPr>
      </w:pPr>
      <w:r w:rsidRPr="005A0544">
        <w:rPr>
          <w:b/>
          <w:color w:val="002F5D"/>
        </w:rPr>
        <w:t>Sources:</w:t>
      </w:r>
      <w:r w:rsidRPr="005A0544">
        <w:rPr>
          <w:color w:val="002F5D"/>
        </w:rPr>
        <w:t xml:space="preserve"> NHS Digital, Quality and Outcomes Framework, Cambridgeshire County Council Public Health Intelligence</w:t>
      </w:r>
    </w:p>
    <w:p w14:paraId="783D3286" w14:textId="77777777" w:rsidR="002D381A" w:rsidRPr="0037351D" w:rsidRDefault="002D381A" w:rsidP="0043274F">
      <w:pPr>
        <w:spacing w:line="240" w:lineRule="auto"/>
        <w:rPr>
          <w:rFonts w:cs="Arial"/>
          <w:color w:val="FF0000"/>
        </w:rPr>
      </w:pPr>
    </w:p>
    <w:p w14:paraId="5EC836CA" w14:textId="77777777" w:rsidR="002D381A" w:rsidRPr="005A0544" w:rsidRDefault="002D381A" w:rsidP="0043274F">
      <w:pPr>
        <w:spacing w:line="240" w:lineRule="auto"/>
        <w:rPr>
          <w:rFonts w:cs="Arial"/>
          <w:b/>
          <w:color w:val="002F5D"/>
        </w:rPr>
      </w:pPr>
      <w:r w:rsidRPr="005A0544">
        <w:rPr>
          <w:rFonts w:cs="Arial"/>
          <w:b/>
          <w:color w:val="002F5D"/>
        </w:rPr>
        <w:t>Key points:</w:t>
      </w:r>
    </w:p>
    <w:p w14:paraId="41EAC3D1" w14:textId="77777777" w:rsidR="000748D7" w:rsidRPr="005A0544" w:rsidRDefault="000748D7" w:rsidP="0043274F">
      <w:pPr>
        <w:pStyle w:val="ListParagraph"/>
        <w:numPr>
          <w:ilvl w:val="0"/>
          <w:numId w:val="14"/>
        </w:numPr>
        <w:spacing w:line="240" w:lineRule="auto"/>
        <w:ind w:left="714" w:hanging="357"/>
        <w:rPr>
          <w:rFonts w:cs="Arial"/>
          <w:color w:val="002F5D"/>
        </w:rPr>
      </w:pPr>
      <w:r w:rsidRPr="005A0544">
        <w:rPr>
          <w:rFonts w:cs="Arial"/>
          <w:color w:val="002F5D"/>
        </w:rPr>
        <w:t>The p</w:t>
      </w:r>
      <w:r w:rsidR="00BF4953" w:rsidRPr="005A0544">
        <w:rPr>
          <w:rFonts w:cs="Arial"/>
          <w:color w:val="002F5D"/>
        </w:rPr>
        <w:t xml:space="preserve">revalence </w:t>
      </w:r>
      <w:r w:rsidRPr="005A0544">
        <w:rPr>
          <w:rFonts w:cs="Arial"/>
          <w:color w:val="002F5D"/>
        </w:rPr>
        <w:t xml:space="preserve">rates </w:t>
      </w:r>
      <w:r w:rsidR="00BF4953" w:rsidRPr="005A0544">
        <w:rPr>
          <w:rFonts w:cs="Arial"/>
          <w:color w:val="002F5D"/>
        </w:rPr>
        <w:t xml:space="preserve">of mental health </w:t>
      </w:r>
      <w:r w:rsidRPr="005A0544">
        <w:rPr>
          <w:rFonts w:cs="Arial"/>
          <w:color w:val="002F5D"/>
        </w:rPr>
        <w:t xml:space="preserve">conditions, dementia and learning disabilities </w:t>
      </w:r>
      <w:r w:rsidR="009248B9" w:rsidRPr="005A0544">
        <w:rPr>
          <w:rFonts w:cs="Arial"/>
          <w:color w:val="002F5D"/>
        </w:rPr>
        <w:t>across</w:t>
      </w:r>
      <w:r w:rsidR="00BF4953" w:rsidRPr="005A0544">
        <w:rPr>
          <w:rFonts w:cs="Arial"/>
          <w:color w:val="002F5D"/>
        </w:rPr>
        <w:t xml:space="preserve"> Cambridgeshire and Peterborough as a whole are statistically significantly lower than the England average</w:t>
      </w:r>
      <w:r w:rsidRPr="005A0544">
        <w:rPr>
          <w:rFonts w:cs="Arial"/>
          <w:color w:val="002F5D"/>
        </w:rPr>
        <w:t>s</w:t>
      </w:r>
      <w:r w:rsidR="00A413A6" w:rsidRPr="005A0544">
        <w:rPr>
          <w:rFonts w:cs="Arial"/>
          <w:color w:val="002F5D"/>
        </w:rPr>
        <w:t xml:space="preserve">, as they are in Cambridgeshire. </w:t>
      </w:r>
    </w:p>
    <w:p w14:paraId="6666F9FF" w14:textId="412A2F66" w:rsidR="00A413A6" w:rsidRPr="005A0544" w:rsidRDefault="00A413A6" w:rsidP="00A413A6">
      <w:pPr>
        <w:pStyle w:val="ListParagraph"/>
        <w:numPr>
          <w:ilvl w:val="0"/>
          <w:numId w:val="14"/>
        </w:numPr>
        <w:spacing w:line="240" w:lineRule="auto"/>
        <w:ind w:left="714" w:hanging="357"/>
        <w:rPr>
          <w:rFonts w:cs="Arial"/>
          <w:color w:val="002F5D"/>
        </w:rPr>
      </w:pPr>
      <w:r w:rsidRPr="005A0544">
        <w:rPr>
          <w:rFonts w:cs="Arial"/>
          <w:color w:val="002F5D"/>
        </w:rPr>
        <w:t>The proportion of people with a recorded learning disability is statistically significantly higher than the England average in Fenland.</w:t>
      </w:r>
    </w:p>
    <w:p w14:paraId="17919A02" w14:textId="77777777" w:rsidR="00897A50" w:rsidRPr="005A0544" w:rsidRDefault="00897A50" w:rsidP="0043274F">
      <w:pPr>
        <w:pStyle w:val="ListParagraph"/>
        <w:numPr>
          <w:ilvl w:val="0"/>
          <w:numId w:val="14"/>
        </w:numPr>
        <w:spacing w:line="240" w:lineRule="auto"/>
        <w:ind w:left="714" w:hanging="357"/>
        <w:rPr>
          <w:rFonts w:cs="Arial"/>
          <w:color w:val="002F5D"/>
        </w:rPr>
      </w:pPr>
      <w:r w:rsidRPr="005A0544">
        <w:rPr>
          <w:rFonts w:cs="Arial"/>
          <w:color w:val="002F5D"/>
        </w:rPr>
        <w:t>The recorded prevalence of schizophrenia, bipolar affective disorder and other psychoses is statistically significantly higher than the England average in Cambridge.</w:t>
      </w:r>
    </w:p>
    <w:p w14:paraId="47CE078F" w14:textId="7FB2F5F7" w:rsidR="00897A50" w:rsidRPr="005A0544" w:rsidRDefault="00897A50" w:rsidP="0043274F">
      <w:pPr>
        <w:pStyle w:val="ListParagraph"/>
        <w:numPr>
          <w:ilvl w:val="0"/>
          <w:numId w:val="14"/>
        </w:numPr>
        <w:spacing w:line="240" w:lineRule="auto"/>
        <w:ind w:left="714" w:hanging="357"/>
        <w:rPr>
          <w:rFonts w:cs="Arial"/>
          <w:color w:val="002F5D"/>
        </w:rPr>
      </w:pPr>
      <w:r w:rsidRPr="005A0544">
        <w:rPr>
          <w:rFonts w:cs="Arial"/>
          <w:color w:val="002F5D"/>
        </w:rPr>
        <w:t>Rates of recorded depression are statistically significantly higher than the national averag</w:t>
      </w:r>
      <w:r w:rsidR="005A0544" w:rsidRPr="005A0544">
        <w:rPr>
          <w:rFonts w:cs="Arial"/>
          <w:color w:val="002F5D"/>
        </w:rPr>
        <w:t>e in Fenland</w:t>
      </w:r>
      <w:r w:rsidRPr="005A0544">
        <w:rPr>
          <w:rFonts w:cs="Arial"/>
          <w:color w:val="002F5D"/>
        </w:rPr>
        <w:t>.</w:t>
      </w:r>
    </w:p>
    <w:p w14:paraId="4604C1B4" w14:textId="5D2551D1" w:rsidR="00897A50" w:rsidRPr="005A0544" w:rsidRDefault="00897A50" w:rsidP="0043274F">
      <w:pPr>
        <w:pStyle w:val="ListParagraph"/>
        <w:numPr>
          <w:ilvl w:val="0"/>
          <w:numId w:val="14"/>
        </w:numPr>
        <w:spacing w:line="240" w:lineRule="auto"/>
        <w:ind w:left="714" w:hanging="357"/>
        <w:rPr>
          <w:rFonts w:cs="Arial"/>
          <w:color w:val="002F5D"/>
        </w:rPr>
      </w:pPr>
      <w:r w:rsidRPr="005A0544">
        <w:rPr>
          <w:rFonts w:cs="Arial"/>
          <w:color w:val="002F5D"/>
        </w:rPr>
        <w:t>Levels of recorded dementia across the county are statistically significantly lower or similar to the national average.</w:t>
      </w:r>
      <w:r w:rsidR="009523A1" w:rsidRPr="005A0544">
        <w:rPr>
          <w:rFonts w:cs="Arial"/>
          <w:color w:val="002F5D"/>
        </w:rPr>
        <w:t xml:space="preserve">  The recorded prevalence of dementia among people aged 65+ in Cambridgeshire is 3.9%, statistically significantly lower than the England average</w:t>
      </w:r>
      <w:r w:rsidR="00470EB8">
        <w:rPr>
          <w:rFonts w:cs="Arial"/>
          <w:color w:val="002F5D"/>
        </w:rPr>
        <w:t xml:space="preserve"> (4.3</w:t>
      </w:r>
      <w:r w:rsidR="00660DB6">
        <w:rPr>
          <w:rFonts w:cs="Arial"/>
          <w:color w:val="002F5D"/>
        </w:rPr>
        <w:t>%</w:t>
      </w:r>
      <w:r w:rsidR="00470EB8">
        <w:rPr>
          <w:rFonts w:cs="Arial"/>
          <w:color w:val="002F5D"/>
        </w:rPr>
        <w:t>)</w:t>
      </w:r>
      <w:r w:rsidR="00660DB6">
        <w:rPr>
          <w:rFonts w:cs="Arial"/>
          <w:color w:val="002F5D"/>
        </w:rPr>
        <w:t xml:space="preserve"> and in Peterborough the recorded prevalence of dementia is statistically significantly higher at 5.1%, </w:t>
      </w:r>
      <w:r w:rsidR="009523A1" w:rsidRPr="005A0544">
        <w:rPr>
          <w:rFonts w:cs="Arial"/>
          <w:color w:val="002F5D"/>
        </w:rPr>
        <w:t>[data not shown].</w:t>
      </w:r>
      <w:r w:rsidR="009523A1" w:rsidRPr="005A0544">
        <w:rPr>
          <w:rStyle w:val="FootnoteReference"/>
          <w:rFonts w:cs="Arial"/>
          <w:color w:val="002F5D"/>
        </w:rPr>
        <w:footnoteReference w:id="14"/>
      </w:r>
    </w:p>
    <w:p w14:paraId="3F87FE8B" w14:textId="77777777" w:rsidR="00BD5ECB" w:rsidRPr="0037351D" w:rsidRDefault="00BD5ECB">
      <w:pPr>
        <w:rPr>
          <w:rFonts w:cs="Arial"/>
          <w:b/>
          <w:color w:val="FF0000"/>
        </w:rPr>
      </w:pPr>
    </w:p>
    <w:p w14:paraId="5F3CE067" w14:textId="77777777" w:rsidR="007216BC" w:rsidRPr="0037351D" w:rsidRDefault="007216BC">
      <w:pPr>
        <w:rPr>
          <w:rFonts w:cs="Arial"/>
          <w:b/>
          <w:color w:val="FF0000"/>
        </w:rPr>
      </w:pPr>
    </w:p>
    <w:p w14:paraId="3D79BB51" w14:textId="77777777" w:rsidR="007216BC" w:rsidRPr="0037351D" w:rsidRDefault="007216BC" w:rsidP="00945427">
      <w:pPr>
        <w:pStyle w:val="Caption"/>
        <w:rPr>
          <w:b/>
          <w:color w:val="FF0000"/>
        </w:rPr>
      </w:pPr>
    </w:p>
    <w:p w14:paraId="0213DB7C" w14:textId="77777777" w:rsidR="007216BC" w:rsidRPr="0037351D" w:rsidRDefault="007216BC" w:rsidP="00945427">
      <w:pPr>
        <w:pStyle w:val="Caption"/>
        <w:rPr>
          <w:b/>
          <w:color w:val="FF0000"/>
        </w:rPr>
      </w:pPr>
    </w:p>
    <w:p w14:paraId="4ED7DB58" w14:textId="77777777" w:rsidR="007216BC" w:rsidRPr="0037351D" w:rsidRDefault="007216BC" w:rsidP="00945427">
      <w:pPr>
        <w:pStyle w:val="Caption"/>
        <w:rPr>
          <w:b/>
          <w:color w:val="FF0000"/>
        </w:rPr>
      </w:pPr>
    </w:p>
    <w:p w14:paraId="4A069AC2" w14:textId="77777777" w:rsidR="007216BC" w:rsidRPr="0037351D" w:rsidRDefault="007216BC" w:rsidP="00945427">
      <w:pPr>
        <w:pStyle w:val="Caption"/>
        <w:rPr>
          <w:b/>
          <w:color w:val="FF0000"/>
        </w:rPr>
      </w:pPr>
    </w:p>
    <w:p w14:paraId="7A6BE282" w14:textId="77777777" w:rsidR="007216BC" w:rsidRPr="0037351D" w:rsidRDefault="007216BC" w:rsidP="00945427">
      <w:pPr>
        <w:pStyle w:val="Caption"/>
        <w:rPr>
          <w:b/>
          <w:color w:val="FF0000"/>
        </w:rPr>
      </w:pPr>
    </w:p>
    <w:p w14:paraId="17DD93DC" w14:textId="303C5C3F" w:rsidR="002D381A" w:rsidRDefault="00B654F0" w:rsidP="0043274F">
      <w:pPr>
        <w:pStyle w:val="Caption"/>
        <w:rPr>
          <w:rFonts w:cs="Arial"/>
          <w:color w:val="002F5D"/>
        </w:rPr>
      </w:pPr>
      <w:r w:rsidRPr="00FE4F60">
        <w:rPr>
          <w:b/>
          <w:color w:val="002F5D"/>
        </w:rPr>
        <w:lastRenderedPageBreak/>
        <w:t xml:space="preserve">Table </w:t>
      </w:r>
      <w:r w:rsidR="00A5114D">
        <w:rPr>
          <w:b/>
          <w:color w:val="002F5D"/>
        </w:rPr>
        <w:t>67</w:t>
      </w:r>
      <w:r w:rsidR="00BD5ECB" w:rsidRPr="00FE4F60">
        <w:rPr>
          <w:rFonts w:cs="Arial"/>
          <w:b/>
          <w:color w:val="002F5D"/>
        </w:rPr>
        <w:t xml:space="preserve">. </w:t>
      </w:r>
      <w:r w:rsidR="002D381A" w:rsidRPr="00FE4F60">
        <w:rPr>
          <w:rFonts w:cs="Arial"/>
          <w:color w:val="002F5D"/>
        </w:rPr>
        <w:t>General practices with statistically significantly higher than national average rates of recorded schizophrenia, bipolar affective disorder and other psychoses, Cambridgeshire</w:t>
      </w:r>
      <w:r w:rsidR="00E11418" w:rsidRPr="00FE4F60">
        <w:rPr>
          <w:rFonts w:cs="Arial"/>
          <w:color w:val="002F5D"/>
        </w:rPr>
        <w:t xml:space="preserve"> and Peterborough</w:t>
      </w:r>
      <w:r w:rsidR="00FE4F60" w:rsidRPr="00FE4F60">
        <w:rPr>
          <w:rFonts w:cs="Arial"/>
          <w:color w:val="002F5D"/>
        </w:rPr>
        <w:t>, 2017/18</w:t>
      </w:r>
    </w:p>
    <w:p w14:paraId="50BA9FFF" w14:textId="77777777" w:rsidR="00132EFE" w:rsidRPr="00132EFE" w:rsidRDefault="00132EFE" w:rsidP="00132EFE"/>
    <w:p w14:paraId="37E5813A" w14:textId="5EA1E236" w:rsidR="00FE4F60" w:rsidRPr="00FE4F60" w:rsidRDefault="00132EFE" w:rsidP="00FE4F60">
      <w:r w:rsidRPr="00132EFE">
        <w:rPr>
          <w:noProof/>
          <w:lang w:eastAsia="en-GB"/>
        </w:rPr>
        <w:drawing>
          <wp:inline distT="0" distB="0" distL="0" distR="0" wp14:anchorId="71F0C946" wp14:editId="2B59C82A">
            <wp:extent cx="6086475" cy="30765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86475" cy="3076575"/>
                    </a:xfrm>
                    <a:prstGeom prst="rect">
                      <a:avLst/>
                    </a:prstGeom>
                    <a:noFill/>
                    <a:ln>
                      <a:noFill/>
                    </a:ln>
                  </pic:spPr>
                </pic:pic>
              </a:graphicData>
            </a:graphic>
          </wp:inline>
        </w:drawing>
      </w:r>
    </w:p>
    <w:p w14:paraId="41722647" w14:textId="48829346" w:rsidR="00552378" w:rsidRPr="00FE4F60" w:rsidRDefault="00552378" w:rsidP="0043274F">
      <w:pPr>
        <w:spacing w:line="240" w:lineRule="auto"/>
        <w:rPr>
          <w:color w:val="002F5D"/>
        </w:rPr>
      </w:pPr>
    </w:p>
    <w:p w14:paraId="73818528" w14:textId="77777777" w:rsidR="00BD5ECB" w:rsidRPr="00FE4F60" w:rsidRDefault="00BD5ECB" w:rsidP="0043274F">
      <w:pPr>
        <w:spacing w:line="240" w:lineRule="auto"/>
        <w:rPr>
          <w:rFonts w:cs="Arial"/>
          <w:color w:val="002F5D"/>
          <w:sz w:val="18"/>
        </w:rPr>
      </w:pPr>
      <w:r w:rsidRPr="00FE4F60">
        <w:rPr>
          <w:rFonts w:cs="Arial"/>
          <w:color w:val="002F5D"/>
          <w:sz w:val="18"/>
        </w:rPr>
        <w:t xml:space="preserve">* Dedicated surgery for </w:t>
      </w:r>
      <w:r w:rsidR="00524518" w:rsidRPr="00FE4F60">
        <w:rPr>
          <w:rFonts w:cs="Arial"/>
          <w:color w:val="002F5D"/>
          <w:sz w:val="18"/>
        </w:rPr>
        <w:t xml:space="preserve">the </w:t>
      </w:r>
      <w:r w:rsidRPr="00FE4F60">
        <w:rPr>
          <w:rFonts w:cs="Arial"/>
          <w:color w:val="002F5D"/>
          <w:sz w:val="18"/>
        </w:rPr>
        <w:t xml:space="preserve">homeless, </w:t>
      </w:r>
      <w:r w:rsidR="00524518" w:rsidRPr="00FE4F60">
        <w:rPr>
          <w:rFonts w:cs="Arial"/>
          <w:color w:val="002F5D"/>
          <w:sz w:val="18"/>
        </w:rPr>
        <w:t xml:space="preserve">people </w:t>
      </w:r>
      <w:r w:rsidRPr="00FE4F60">
        <w:rPr>
          <w:rFonts w:cs="Arial"/>
          <w:color w:val="002F5D"/>
          <w:sz w:val="18"/>
        </w:rPr>
        <w:t xml:space="preserve">in sheltered accommodation or </w:t>
      </w:r>
      <w:r w:rsidR="00524518" w:rsidRPr="00FE4F60">
        <w:rPr>
          <w:rFonts w:cs="Arial"/>
          <w:color w:val="002F5D"/>
          <w:sz w:val="18"/>
        </w:rPr>
        <w:t xml:space="preserve">people </w:t>
      </w:r>
      <w:r w:rsidRPr="00FE4F60">
        <w:rPr>
          <w:rFonts w:cs="Arial"/>
          <w:color w:val="002F5D"/>
          <w:sz w:val="18"/>
        </w:rPr>
        <w:t>at risk of homelessness</w:t>
      </w:r>
    </w:p>
    <w:p w14:paraId="4C1EC2A2" w14:textId="77777777" w:rsidR="00BD5ECB" w:rsidRPr="0037351D" w:rsidRDefault="00BD5ECB" w:rsidP="0043274F">
      <w:pPr>
        <w:spacing w:line="240" w:lineRule="auto"/>
        <w:rPr>
          <w:rFonts w:cs="Arial"/>
          <w:color w:val="FF0000"/>
        </w:rPr>
      </w:pPr>
    </w:p>
    <w:p w14:paraId="531D9239" w14:textId="77777777" w:rsidR="00BD5ECB" w:rsidRPr="00BD1C3C" w:rsidRDefault="00BD5ECB" w:rsidP="0043274F">
      <w:pPr>
        <w:spacing w:line="240" w:lineRule="auto"/>
        <w:rPr>
          <w:color w:val="002F5D"/>
        </w:rPr>
      </w:pPr>
      <w:r w:rsidRPr="00FE4F60">
        <w:rPr>
          <w:b/>
          <w:color w:val="002F5D"/>
        </w:rPr>
        <w:t>Sources:</w:t>
      </w:r>
      <w:r w:rsidRPr="00FE4F60">
        <w:rPr>
          <w:color w:val="002F5D"/>
        </w:rPr>
        <w:t xml:space="preserve"> NHS Digital, Quality and Outcomes Framework, Cambridgeshire County Council Public Health Intelligence</w:t>
      </w:r>
    </w:p>
    <w:p w14:paraId="307F7896" w14:textId="77777777" w:rsidR="00BD5ECB" w:rsidRPr="00BD1C3C" w:rsidRDefault="00BD5ECB" w:rsidP="0043274F">
      <w:pPr>
        <w:spacing w:line="240" w:lineRule="auto"/>
        <w:rPr>
          <w:rFonts w:cs="Arial"/>
          <w:b/>
          <w:color w:val="002F5D"/>
        </w:rPr>
      </w:pPr>
    </w:p>
    <w:p w14:paraId="2541F134" w14:textId="0180A03D" w:rsidR="00BD5ECB" w:rsidRPr="00BD1C3C" w:rsidRDefault="00BD5ECB" w:rsidP="0043274F">
      <w:pPr>
        <w:spacing w:line="240" w:lineRule="auto"/>
        <w:rPr>
          <w:rFonts w:cs="Arial"/>
          <w:b/>
          <w:color w:val="002F5D"/>
        </w:rPr>
      </w:pPr>
      <w:r w:rsidRPr="00BD1C3C">
        <w:rPr>
          <w:rFonts w:cs="Arial"/>
          <w:b/>
          <w:color w:val="002F5D"/>
        </w:rPr>
        <w:t>Key point:</w:t>
      </w:r>
    </w:p>
    <w:p w14:paraId="6DCF2224" w14:textId="3B1437F2" w:rsidR="00BD5ECB" w:rsidRPr="00BD1C3C" w:rsidRDefault="00E11418" w:rsidP="0043274F">
      <w:pPr>
        <w:pStyle w:val="ListParagraph"/>
        <w:numPr>
          <w:ilvl w:val="0"/>
          <w:numId w:val="40"/>
        </w:numPr>
        <w:spacing w:line="240" w:lineRule="auto"/>
        <w:rPr>
          <w:rFonts w:cs="Arial"/>
          <w:color w:val="002F5D"/>
        </w:rPr>
      </w:pPr>
      <w:r w:rsidRPr="00BD1C3C">
        <w:rPr>
          <w:rFonts w:cs="Arial"/>
          <w:color w:val="002F5D"/>
        </w:rPr>
        <w:t>Most</w:t>
      </w:r>
      <w:r w:rsidR="00BD5ECB" w:rsidRPr="00BD1C3C">
        <w:rPr>
          <w:rFonts w:cs="Arial"/>
          <w:color w:val="002F5D"/>
        </w:rPr>
        <w:t xml:space="preserve"> practices with statistically significantly higher than national average rates of recorded schizophrenia, bipolar affective disorder and other psycho</w:t>
      </w:r>
      <w:r w:rsidR="00FE4F60" w:rsidRPr="00BD1C3C">
        <w:rPr>
          <w:rFonts w:cs="Arial"/>
          <w:color w:val="002F5D"/>
        </w:rPr>
        <w:t>ses are located in Cambridge (9</w:t>
      </w:r>
      <w:r w:rsidR="00BD5ECB" w:rsidRPr="00BD1C3C">
        <w:rPr>
          <w:rFonts w:cs="Arial"/>
          <w:color w:val="002F5D"/>
        </w:rPr>
        <w:t>)</w:t>
      </w:r>
      <w:r w:rsidR="00BD1C3C" w:rsidRPr="00BD1C3C">
        <w:rPr>
          <w:rFonts w:cs="Arial"/>
          <w:color w:val="002F5D"/>
        </w:rPr>
        <w:t xml:space="preserve"> or Peterborough (3</w:t>
      </w:r>
      <w:r w:rsidRPr="00BD1C3C">
        <w:rPr>
          <w:rFonts w:cs="Arial"/>
          <w:color w:val="002F5D"/>
        </w:rPr>
        <w:t>)</w:t>
      </w:r>
      <w:r w:rsidR="00BD5ECB" w:rsidRPr="00BD1C3C">
        <w:rPr>
          <w:rFonts w:cs="Arial"/>
          <w:color w:val="002F5D"/>
        </w:rPr>
        <w:t>, with one other practice in Huntingdon</w:t>
      </w:r>
      <w:r w:rsidRPr="00BD1C3C">
        <w:rPr>
          <w:rFonts w:cs="Arial"/>
          <w:color w:val="002F5D"/>
        </w:rPr>
        <w:t>, Huntingdonshire</w:t>
      </w:r>
      <w:r w:rsidR="00BD5ECB" w:rsidRPr="00BD1C3C">
        <w:rPr>
          <w:rFonts w:cs="Arial"/>
          <w:color w:val="002F5D"/>
        </w:rPr>
        <w:t>.</w:t>
      </w:r>
    </w:p>
    <w:p w14:paraId="3E5DBF81" w14:textId="77777777" w:rsidR="00BD5ECB" w:rsidRPr="0037351D" w:rsidRDefault="00BD5ECB" w:rsidP="00BD5ECB">
      <w:pPr>
        <w:rPr>
          <w:rFonts w:cs="Arial"/>
          <w:color w:val="FF0000"/>
        </w:rPr>
      </w:pPr>
    </w:p>
    <w:p w14:paraId="2D889E97" w14:textId="77777777" w:rsidR="002D381A" w:rsidRPr="0037351D" w:rsidRDefault="002D381A" w:rsidP="00BD5ECB">
      <w:pPr>
        <w:rPr>
          <w:rFonts w:cs="Arial"/>
          <w:color w:val="FF0000"/>
        </w:rPr>
      </w:pPr>
      <w:r w:rsidRPr="0037351D">
        <w:rPr>
          <w:rFonts w:cs="Arial"/>
          <w:color w:val="FF0000"/>
        </w:rPr>
        <w:br w:type="page"/>
      </w:r>
    </w:p>
    <w:p w14:paraId="6D38E1D1" w14:textId="3B07B27C" w:rsidR="00CF6437" w:rsidRDefault="00B654F0" w:rsidP="0043274F">
      <w:pPr>
        <w:pStyle w:val="Caption"/>
        <w:rPr>
          <w:rFonts w:cs="Arial"/>
          <w:color w:val="002F5D"/>
        </w:rPr>
      </w:pPr>
      <w:r w:rsidRPr="00BD1C3C">
        <w:rPr>
          <w:b/>
          <w:color w:val="002F5D"/>
        </w:rPr>
        <w:lastRenderedPageBreak/>
        <w:t xml:space="preserve">Table </w:t>
      </w:r>
      <w:r w:rsidR="00A5114D">
        <w:rPr>
          <w:b/>
          <w:color w:val="002F5D"/>
        </w:rPr>
        <w:t>68</w:t>
      </w:r>
      <w:r w:rsidR="00BD5ECB" w:rsidRPr="00BD1C3C">
        <w:rPr>
          <w:rFonts w:cs="Arial"/>
          <w:b/>
          <w:color w:val="002F5D"/>
        </w:rPr>
        <w:t xml:space="preserve">. </w:t>
      </w:r>
      <w:r w:rsidR="002D381A" w:rsidRPr="00BD1C3C">
        <w:rPr>
          <w:rFonts w:cs="Arial"/>
          <w:color w:val="002F5D"/>
        </w:rPr>
        <w:t>General practices with statistically significantly higher than national average rates of recorded depression (18+)</w:t>
      </w:r>
      <w:r w:rsidR="00632141" w:rsidRPr="00BD1C3C">
        <w:rPr>
          <w:rFonts w:cs="Arial"/>
          <w:color w:val="002F5D"/>
        </w:rPr>
        <w:t xml:space="preserve"> </w:t>
      </w:r>
      <w:r w:rsidR="002D381A" w:rsidRPr="00BD1C3C">
        <w:rPr>
          <w:rFonts w:cs="Arial"/>
          <w:color w:val="002F5D"/>
        </w:rPr>
        <w:t>*</w:t>
      </w:r>
      <w:r w:rsidR="00CF6437" w:rsidRPr="00BD1C3C">
        <w:rPr>
          <w:rFonts w:cs="Arial"/>
          <w:color w:val="002F5D"/>
        </w:rPr>
        <w:t>*</w:t>
      </w:r>
      <w:r w:rsidR="002D381A" w:rsidRPr="00BD1C3C">
        <w:rPr>
          <w:rFonts w:cs="Arial"/>
          <w:color w:val="002F5D"/>
        </w:rPr>
        <w:t>, Cambridgeshir</w:t>
      </w:r>
      <w:r w:rsidR="00445D2C" w:rsidRPr="00BD1C3C">
        <w:rPr>
          <w:rFonts w:cs="Arial"/>
          <w:color w:val="002F5D"/>
        </w:rPr>
        <w:t>e and Peterborough</w:t>
      </w:r>
      <w:r w:rsidR="00BD1C3C" w:rsidRPr="00BD1C3C">
        <w:rPr>
          <w:rFonts w:cs="Arial"/>
          <w:color w:val="002F5D"/>
        </w:rPr>
        <w:t>, 2017/18</w:t>
      </w:r>
    </w:p>
    <w:p w14:paraId="7B5199C8" w14:textId="77777777" w:rsidR="00AF7C51" w:rsidRPr="009A2AB3" w:rsidRDefault="00AF7C51" w:rsidP="00E61D24"/>
    <w:p w14:paraId="5B9D4D0A" w14:textId="307203FA" w:rsidR="00132EFE" w:rsidRPr="00132EFE" w:rsidRDefault="00AF7C51" w:rsidP="00132EFE">
      <w:r w:rsidRPr="00AF7C51">
        <w:rPr>
          <w:noProof/>
          <w:lang w:eastAsia="en-GB"/>
        </w:rPr>
        <w:drawing>
          <wp:inline distT="0" distB="0" distL="0" distR="0" wp14:anchorId="7F1402A5" wp14:editId="7EE8A567">
            <wp:extent cx="6177518" cy="5427134"/>
            <wp:effectExtent l="0" t="0" r="0" b="254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80710" cy="5429938"/>
                    </a:xfrm>
                    <a:prstGeom prst="rect">
                      <a:avLst/>
                    </a:prstGeom>
                    <a:noFill/>
                    <a:ln>
                      <a:noFill/>
                    </a:ln>
                  </pic:spPr>
                </pic:pic>
              </a:graphicData>
            </a:graphic>
          </wp:inline>
        </w:drawing>
      </w:r>
    </w:p>
    <w:p w14:paraId="197AE60D" w14:textId="77777777" w:rsidR="00132EFE" w:rsidRDefault="00132EFE" w:rsidP="009A2AB3">
      <w:pPr>
        <w:rPr>
          <w:noProof/>
          <w:lang w:eastAsia="en-GB"/>
        </w:rPr>
      </w:pPr>
    </w:p>
    <w:p w14:paraId="1F1E6672" w14:textId="77777777" w:rsidR="00BD5ECB" w:rsidRPr="00BD1C3C" w:rsidRDefault="003021A1" w:rsidP="0043274F">
      <w:pPr>
        <w:spacing w:line="240" w:lineRule="auto"/>
        <w:rPr>
          <w:rFonts w:cs="Arial"/>
          <w:color w:val="002F5D"/>
          <w:sz w:val="18"/>
        </w:rPr>
      </w:pPr>
      <w:r w:rsidRPr="00BD1C3C">
        <w:rPr>
          <w:rFonts w:cs="Arial"/>
          <w:color w:val="002F5D"/>
          <w:sz w:val="18"/>
        </w:rPr>
        <w:t>*</w:t>
      </w:r>
      <w:r w:rsidR="00BD5ECB" w:rsidRPr="00BD1C3C">
        <w:rPr>
          <w:rFonts w:cs="Arial"/>
          <w:color w:val="002F5D"/>
          <w:sz w:val="18"/>
        </w:rPr>
        <w:t xml:space="preserve">Dedicated surgery for </w:t>
      </w:r>
      <w:r w:rsidR="00BB759E" w:rsidRPr="00BD1C3C">
        <w:rPr>
          <w:rFonts w:cs="Arial"/>
          <w:color w:val="002F5D"/>
          <w:sz w:val="18"/>
        </w:rPr>
        <w:t xml:space="preserve">the </w:t>
      </w:r>
      <w:r w:rsidR="00BD5ECB" w:rsidRPr="00BD1C3C">
        <w:rPr>
          <w:rFonts w:cs="Arial"/>
          <w:color w:val="002F5D"/>
          <w:sz w:val="18"/>
        </w:rPr>
        <w:t xml:space="preserve">homeless, </w:t>
      </w:r>
      <w:r w:rsidR="00BB759E" w:rsidRPr="00BD1C3C">
        <w:rPr>
          <w:rFonts w:cs="Arial"/>
          <w:color w:val="002F5D"/>
          <w:sz w:val="18"/>
        </w:rPr>
        <w:t xml:space="preserve">people </w:t>
      </w:r>
      <w:r w:rsidR="00BD5ECB" w:rsidRPr="00BD1C3C">
        <w:rPr>
          <w:rFonts w:cs="Arial"/>
          <w:color w:val="002F5D"/>
          <w:sz w:val="18"/>
        </w:rPr>
        <w:t xml:space="preserve">in sheltered accommodation or </w:t>
      </w:r>
      <w:r w:rsidR="00BB759E" w:rsidRPr="00BD1C3C">
        <w:rPr>
          <w:rFonts w:cs="Arial"/>
          <w:color w:val="002F5D"/>
          <w:sz w:val="18"/>
        </w:rPr>
        <w:t xml:space="preserve">people </w:t>
      </w:r>
      <w:r w:rsidR="00BD5ECB" w:rsidRPr="00BD1C3C">
        <w:rPr>
          <w:rFonts w:cs="Arial"/>
          <w:color w:val="002F5D"/>
          <w:sz w:val="18"/>
        </w:rPr>
        <w:t>at risk of homelessness</w:t>
      </w:r>
    </w:p>
    <w:p w14:paraId="6C4CED97" w14:textId="77777777" w:rsidR="00BB759E" w:rsidRPr="00BD1C3C" w:rsidRDefault="00BB759E" w:rsidP="0043274F">
      <w:pPr>
        <w:spacing w:line="240" w:lineRule="auto"/>
        <w:rPr>
          <w:rFonts w:cs="Arial"/>
          <w:color w:val="002F5D"/>
          <w:sz w:val="18"/>
        </w:rPr>
      </w:pPr>
      <w:r w:rsidRPr="00BD1C3C">
        <w:rPr>
          <w:rFonts w:cs="Arial"/>
          <w:color w:val="002F5D"/>
          <w:sz w:val="18"/>
        </w:rPr>
        <w:t>** Patients with a record of unresolved depression since April 2006</w:t>
      </w:r>
    </w:p>
    <w:p w14:paraId="6642EED5" w14:textId="77777777" w:rsidR="00BD5ECB" w:rsidRPr="0037351D" w:rsidRDefault="00BD5ECB" w:rsidP="0043274F">
      <w:pPr>
        <w:spacing w:line="240" w:lineRule="auto"/>
        <w:rPr>
          <w:rFonts w:cs="Arial"/>
          <w:color w:val="FF0000"/>
        </w:rPr>
      </w:pPr>
    </w:p>
    <w:p w14:paraId="30D15B5D" w14:textId="77777777" w:rsidR="00BD5ECB" w:rsidRPr="00BD1C3C" w:rsidRDefault="00BD5ECB" w:rsidP="0043274F">
      <w:pPr>
        <w:spacing w:line="240" w:lineRule="auto"/>
        <w:rPr>
          <w:color w:val="002F5D"/>
        </w:rPr>
      </w:pPr>
      <w:r w:rsidRPr="00BD1C3C">
        <w:rPr>
          <w:b/>
          <w:color w:val="002F5D"/>
        </w:rPr>
        <w:t>Sources:</w:t>
      </w:r>
      <w:r w:rsidRPr="00BD1C3C">
        <w:rPr>
          <w:color w:val="002F5D"/>
        </w:rPr>
        <w:t xml:space="preserve"> NHS Digital, Quality and Outcomes Framework, Cambridgeshire County Council Public Health Intelligence</w:t>
      </w:r>
    </w:p>
    <w:p w14:paraId="6AAACD88" w14:textId="77777777" w:rsidR="00BD5ECB" w:rsidRPr="00BD1C3C" w:rsidRDefault="00BD5ECB" w:rsidP="0043274F">
      <w:pPr>
        <w:spacing w:line="240" w:lineRule="auto"/>
        <w:rPr>
          <w:rFonts w:cs="Arial"/>
          <w:b/>
          <w:color w:val="002F5D"/>
        </w:rPr>
      </w:pPr>
    </w:p>
    <w:p w14:paraId="359BD6F0" w14:textId="4454B428" w:rsidR="00BD5ECB" w:rsidRPr="00BD1C3C" w:rsidRDefault="00BD5ECB" w:rsidP="0043274F">
      <w:pPr>
        <w:spacing w:line="240" w:lineRule="auto"/>
        <w:rPr>
          <w:rFonts w:cs="Arial"/>
          <w:b/>
          <w:color w:val="002F5D"/>
        </w:rPr>
      </w:pPr>
      <w:r w:rsidRPr="00BD1C3C">
        <w:rPr>
          <w:rFonts w:cs="Arial"/>
          <w:b/>
          <w:color w:val="002F5D"/>
        </w:rPr>
        <w:t>Key point:</w:t>
      </w:r>
    </w:p>
    <w:p w14:paraId="04AA2594" w14:textId="49F23BF1" w:rsidR="00BD1C3C" w:rsidRPr="00FE41B6" w:rsidRDefault="00EA11A1" w:rsidP="00BD1C3C">
      <w:pPr>
        <w:pStyle w:val="ListParagraph"/>
        <w:numPr>
          <w:ilvl w:val="0"/>
          <w:numId w:val="14"/>
        </w:numPr>
        <w:spacing w:line="240" w:lineRule="auto"/>
        <w:rPr>
          <w:rFonts w:cs="Arial"/>
          <w:color w:val="002F5D"/>
        </w:rPr>
      </w:pPr>
      <w:r w:rsidRPr="00BD1C3C">
        <w:rPr>
          <w:rFonts w:cs="Arial"/>
          <w:color w:val="002F5D"/>
        </w:rPr>
        <w:t xml:space="preserve">Practices with statistically significantly higher than average rates of depression are located throughout </w:t>
      </w:r>
      <w:r w:rsidR="001B0C9F" w:rsidRPr="00BD1C3C">
        <w:rPr>
          <w:rFonts w:cs="Arial"/>
          <w:color w:val="002F5D"/>
        </w:rPr>
        <w:t>Cambridgeshire and Peterborough</w:t>
      </w:r>
      <w:r w:rsidRPr="00BD1C3C">
        <w:rPr>
          <w:rFonts w:cs="Arial"/>
          <w:color w:val="002F5D"/>
        </w:rPr>
        <w:t xml:space="preserve">: </w:t>
      </w:r>
      <w:r w:rsidR="00BD1C3C" w:rsidRPr="00BD1C3C">
        <w:rPr>
          <w:rFonts w:cs="Arial"/>
          <w:color w:val="002F5D"/>
        </w:rPr>
        <w:t xml:space="preserve"> Huntingdonshire </w:t>
      </w:r>
      <w:r w:rsidR="00DE344F">
        <w:rPr>
          <w:rFonts w:cs="Arial"/>
          <w:color w:val="002F5D"/>
        </w:rPr>
        <w:t xml:space="preserve">(8), Fenland (7), Peterborough </w:t>
      </w:r>
      <w:r w:rsidR="00BD1C3C" w:rsidRPr="00BD1C3C">
        <w:rPr>
          <w:rFonts w:cs="Arial"/>
          <w:color w:val="002F5D"/>
        </w:rPr>
        <w:t>(4), Cambridge (3)</w:t>
      </w:r>
      <w:r w:rsidRPr="00BD1C3C">
        <w:rPr>
          <w:rFonts w:cs="Arial"/>
          <w:color w:val="002F5D"/>
        </w:rPr>
        <w:t xml:space="preserve">, </w:t>
      </w:r>
      <w:r w:rsidR="00BD1C3C" w:rsidRPr="00BD1C3C">
        <w:rPr>
          <w:rFonts w:cs="Arial"/>
          <w:color w:val="002F5D"/>
        </w:rPr>
        <w:t>East Cambridgeshire (</w:t>
      </w:r>
      <w:r w:rsidRPr="00BD1C3C">
        <w:rPr>
          <w:rFonts w:cs="Arial"/>
          <w:color w:val="002F5D"/>
        </w:rPr>
        <w:t>2</w:t>
      </w:r>
      <w:r w:rsidR="00BD1C3C" w:rsidRPr="00BD1C3C">
        <w:rPr>
          <w:rFonts w:cs="Arial"/>
          <w:color w:val="002F5D"/>
        </w:rPr>
        <w:t>)</w:t>
      </w:r>
      <w:r w:rsidRPr="00BD1C3C">
        <w:rPr>
          <w:rFonts w:cs="Arial"/>
          <w:color w:val="002F5D"/>
        </w:rPr>
        <w:t>,</w:t>
      </w:r>
      <w:r w:rsidR="00164655">
        <w:rPr>
          <w:rFonts w:cs="Arial"/>
          <w:color w:val="002F5D"/>
        </w:rPr>
        <w:t xml:space="preserve"> South </w:t>
      </w:r>
      <w:r w:rsidR="00BD1C3C" w:rsidRPr="00BD1C3C">
        <w:rPr>
          <w:rFonts w:cs="Arial"/>
          <w:color w:val="002F5D"/>
        </w:rPr>
        <w:t>Cambridgeshire (</w:t>
      </w:r>
      <w:r w:rsidRPr="00BD1C3C">
        <w:rPr>
          <w:rFonts w:cs="Arial"/>
          <w:color w:val="002F5D"/>
        </w:rPr>
        <w:t>2</w:t>
      </w:r>
      <w:r w:rsidR="00BD1C3C" w:rsidRPr="00BD1C3C">
        <w:rPr>
          <w:rFonts w:cs="Arial"/>
          <w:color w:val="002F5D"/>
        </w:rPr>
        <w:t>)</w:t>
      </w:r>
      <w:r w:rsidRPr="00BD1C3C">
        <w:rPr>
          <w:rFonts w:cs="Arial"/>
          <w:color w:val="002F5D"/>
        </w:rPr>
        <w:t>.</w:t>
      </w:r>
      <w:r w:rsidR="00BD1C3C" w:rsidRPr="00BD1C3C">
        <w:rPr>
          <w:rFonts w:cs="Arial"/>
          <w:color w:val="002F5D"/>
        </w:rPr>
        <w:t xml:space="preserve"> </w:t>
      </w:r>
      <w:r w:rsidR="00BD1C3C">
        <w:rPr>
          <w:rFonts w:cs="Arial"/>
          <w:color w:val="002F5D"/>
        </w:rPr>
        <w:t>Although Roysia Surgery is</w:t>
      </w:r>
      <w:r w:rsidR="00BD1C3C" w:rsidRPr="00FE41B6">
        <w:rPr>
          <w:rFonts w:cs="Arial"/>
          <w:color w:val="002F5D"/>
        </w:rPr>
        <w:t xml:space="preserve"> not physically located in Cambridgeshire and Peterborough</w:t>
      </w:r>
      <w:r w:rsidR="0055252D">
        <w:rPr>
          <w:rFonts w:cs="Arial"/>
          <w:color w:val="002F5D"/>
        </w:rPr>
        <w:t>, it</w:t>
      </w:r>
      <w:r w:rsidR="00BD1C3C" w:rsidRPr="00FE41B6">
        <w:rPr>
          <w:rFonts w:cs="Arial"/>
          <w:color w:val="002F5D"/>
        </w:rPr>
        <w:t xml:space="preserve"> sit</w:t>
      </w:r>
      <w:r w:rsidR="0055252D">
        <w:rPr>
          <w:rFonts w:cs="Arial"/>
          <w:color w:val="002F5D"/>
        </w:rPr>
        <w:t>s</w:t>
      </w:r>
      <w:r w:rsidR="00BD1C3C" w:rsidRPr="00FE41B6">
        <w:rPr>
          <w:rFonts w:cs="Arial"/>
          <w:color w:val="002F5D"/>
        </w:rPr>
        <w:t xml:space="preserve"> within the Cambridgeshire and Peterborough CCG.</w:t>
      </w:r>
    </w:p>
    <w:p w14:paraId="0E704AD4" w14:textId="77777777" w:rsidR="00BD1C3C" w:rsidRPr="0037351D" w:rsidRDefault="00BD1C3C" w:rsidP="00BD1C3C">
      <w:pPr>
        <w:spacing w:line="240" w:lineRule="auto"/>
        <w:rPr>
          <w:rFonts w:cs="Arial"/>
          <w:b/>
          <w:color w:val="FF0000"/>
        </w:rPr>
      </w:pPr>
    </w:p>
    <w:p w14:paraId="088218B8" w14:textId="19CE327C" w:rsidR="00552378" w:rsidRDefault="00552378" w:rsidP="00BD1C3C">
      <w:pPr>
        <w:spacing w:line="240" w:lineRule="auto"/>
        <w:rPr>
          <w:rFonts w:cs="Arial"/>
          <w:color w:val="FF0000"/>
        </w:rPr>
      </w:pPr>
    </w:p>
    <w:p w14:paraId="16738BB4" w14:textId="77777777" w:rsidR="00AF7C51" w:rsidRPr="00BD1C3C" w:rsidRDefault="00AF7C51" w:rsidP="00BD1C3C">
      <w:pPr>
        <w:spacing w:line="240" w:lineRule="auto"/>
        <w:rPr>
          <w:rFonts w:cs="Arial"/>
          <w:color w:val="FF0000"/>
        </w:rPr>
      </w:pPr>
    </w:p>
    <w:p w14:paraId="01FB06B7" w14:textId="77777777" w:rsidR="00552378" w:rsidRPr="0037351D" w:rsidRDefault="00552378" w:rsidP="00552378">
      <w:pPr>
        <w:spacing w:line="240" w:lineRule="auto"/>
        <w:rPr>
          <w:rFonts w:cs="Arial"/>
          <w:color w:val="FF0000"/>
        </w:rPr>
      </w:pPr>
    </w:p>
    <w:p w14:paraId="163D52FB" w14:textId="76FD8356" w:rsidR="00AE2578" w:rsidRDefault="00B654F0" w:rsidP="00761A96">
      <w:pPr>
        <w:pStyle w:val="Caption"/>
        <w:rPr>
          <w:rFonts w:cs="Arial"/>
          <w:color w:val="002F5D"/>
        </w:rPr>
      </w:pPr>
      <w:r w:rsidRPr="00BD1C3C">
        <w:rPr>
          <w:b/>
          <w:color w:val="002F5D"/>
        </w:rPr>
        <w:lastRenderedPageBreak/>
        <w:t xml:space="preserve">Table </w:t>
      </w:r>
      <w:r w:rsidR="00B81E4B">
        <w:rPr>
          <w:b/>
          <w:color w:val="002F5D"/>
        </w:rPr>
        <w:t>69</w:t>
      </w:r>
      <w:r w:rsidR="002B0356" w:rsidRPr="00BD1C3C">
        <w:rPr>
          <w:rFonts w:cs="Arial"/>
          <w:b/>
          <w:color w:val="002F5D"/>
        </w:rPr>
        <w:t xml:space="preserve">. </w:t>
      </w:r>
      <w:r w:rsidR="00AE2578" w:rsidRPr="00BD1C3C">
        <w:rPr>
          <w:rFonts w:cs="Arial"/>
          <w:color w:val="002F5D"/>
        </w:rPr>
        <w:t>General practices with statistically significantly higher than national ave</w:t>
      </w:r>
      <w:r w:rsidR="009523A1" w:rsidRPr="00BD1C3C">
        <w:rPr>
          <w:rFonts w:cs="Arial"/>
          <w:color w:val="002F5D"/>
        </w:rPr>
        <w:t>rage rates of recorded dementia</w:t>
      </w:r>
      <w:r w:rsidR="00AE2578" w:rsidRPr="00BD1C3C">
        <w:rPr>
          <w:rFonts w:cs="Arial"/>
          <w:color w:val="002F5D"/>
        </w:rPr>
        <w:t>, Cambridgeshire</w:t>
      </w:r>
      <w:r w:rsidR="00FE0CA1" w:rsidRPr="00BD1C3C">
        <w:rPr>
          <w:rFonts w:cs="Arial"/>
          <w:color w:val="002F5D"/>
        </w:rPr>
        <w:t xml:space="preserve"> and Peterborough</w:t>
      </w:r>
      <w:r w:rsidR="00BD1C3C">
        <w:rPr>
          <w:rFonts w:cs="Arial"/>
          <w:color w:val="002F5D"/>
        </w:rPr>
        <w:t>, 2017/18</w:t>
      </w:r>
    </w:p>
    <w:p w14:paraId="55E3A496" w14:textId="77777777" w:rsidR="00601E6F" w:rsidRPr="009A2AB3" w:rsidRDefault="00601E6F" w:rsidP="00E61D24"/>
    <w:p w14:paraId="7D1C5AE8" w14:textId="0DF1E49A" w:rsidR="00132EFE" w:rsidRDefault="00AF7C51" w:rsidP="00E61D24">
      <w:pPr>
        <w:spacing w:line="240" w:lineRule="auto"/>
      </w:pPr>
      <w:r w:rsidRPr="00AF7C51">
        <w:rPr>
          <w:noProof/>
          <w:lang w:eastAsia="en-GB"/>
        </w:rPr>
        <w:drawing>
          <wp:inline distT="0" distB="0" distL="0" distR="0" wp14:anchorId="53BF227D" wp14:editId="10E34764">
            <wp:extent cx="6111033" cy="3225800"/>
            <wp:effectExtent l="0" t="0" r="444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9362" cy="3230196"/>
                    </a:xfrm>
                    <a:prstGeom prst="rect">
                      <a:avLst/>
                    </a:prstGeom>
                    <a:noFill/>
                    <a:ln>
                      <a:noFill/>
                    </a:ln>
                  </pic:spPr>
                </pic:pic>
              </a:graphicData>
            </a:graphic>
          </wp:inline>
        </w:drawing>
      </w:r>
    </w:p>
    <w:p w14:paraId="122ABDCE" w14:textId="77777777" w:rsidR="009523A1" w:rsidRPr="00BD1C3C" w:rsidRDefault="009523A1" w:rsidP="009A2AB3">
      <w:pPr>
        <w:rPr>
          <w:rFonts w:cs="Arial"/>
          <w:color w:val="002F5D"/>
        </w:rPr>
      </w:pPr>
    </w:p>
    <w:p w14:paraId="0CC045CE" w14:textId="77777777" w:rsidR="009523A1" w:rsidRPr="00BD1C3C" w:rsidRDefault="009523A1" w:rsidP="0043274F">
      <w:pPr>
        <w:spacing w:line="240" w:lineRule="auto"/>
        <w:rPr>
          <w:color w:val="002F5D"/>
        </w:rPr>
      </w:pPr>
      <w:r w:rsidRPr="00BD1C3C">
        <w:rPr>
          <w:b/>
          <w:color w:val="002F5D"/>
        </w:rPr>
        <w:t>Sources:</w:t>
      </w:r>
      <w:r w:rsidRPr="00BD1C3C">
        <w:rPr>
          <w:color w:val="002F5D"/>
        </w:rPr>
        <w:t xml:space="preserve"> NHS Digital, Quality and Outcomes Framework, Cambridgeshire County Council Public Health Intelligence</w:t>
      </w:r>
    </w:p>
    <w:p w14:paraId="4742ABA1" w14:textId="77777777" w:rsidR="009523A1" w:rsidRPr="00BD1C3C" w:rsidRDefault="009523A1" w:rsidP="0043274F">
      <w:pPr>
        <w:spacing w:line="240" w:lineRule="auto"/>
        <w:rPr>
          <w:rFonts w:cs="Arial"/>
          <w:b/>
          <w:color w:val="002F5D"/>
        </w:rPr>
      </w:pPr>
    </w:p>
    <w:p w14:paraId="63BF1761" w14:textId="77777777" w:rsidR="009523A1" w:rsidRPr="00BD1C3C" w:rsidRDefault="007E4C50" w:rsidP="0043274F">
      <w:pPr>
        <w:spacing w:line="240" w:lineRule="auto"/>
        <w:rPr>
          <w:rFonts w:cs="Arial"/>
          <w:b/>
          <w:color w:val="002F5D"/>
        </w:rPr>
      </w:pPr>
      <w:r w:rsidRPr="00BD1C3C">
        <w:rPr>
          <w:rFonts w:cs="Arial"/>
          <w:b/>
          <w:color w:val="002F5D"/>
        </w:rPr>
        <w:t>Key point</w:t>
      </w:r>
      <w:r w:rsidR="009523A1" w:rsidRPr="00BD1C3C">
        <w:rPr>
          <w:rFonts w:cs="Arial"/>
          <w:b/>
          <w:color w:val="002F5D"/>
        </w:rPr>
        <w:t>:</w:t>
      </w:r>
    </w:p>
    <w:p w14:paraId="68724B6F" w14:textId="010D63D1" w:rsidR="00BD1C3C" w:rsidRPr="00BD1C3C" w:rsidRDefault="009523A1" w:rsidP="00BD1C3C">
      <w:pPr>
        <w:pStyle w:val="ListParagraph"/>
        <w:numPr>
          <w:ilvl w:val="0"/>
          <w:numId w:val="14"/>
        </w:numPr>
        <w:spacing w:line="240" w:lineRule="auto"/>
        <w:rPr>
          <w:rFonts w:cs="Arial"/>
          <w:color w:val="002F5D"/>
        </w:rPr>
      </w:pPr>
      <w:r w:rsidRPr="00BD1C3C">
        <w:rPr>
          <w:rFonts w:cs="Arial"/>
          <w:color w:val="002F5D"/>
        </w:rPr>
        <w:t>Practices with statistically significantly higher than average rates of</w:t>
      </w:r>
      <w:r w:rsidR="00F43331" w:rsidRPr="00BD1C3C">
        <w:rPr>
          <w:rFonts w:cs="Arial"/>
          <w:color w:val="002F5D"/>
        </w:rPr>
        <w:t xml:space="preserve"> recorded </w:t>
      </w:r>
      <w:r w:rsidR="00351E69" w:rsidRPr="00BD1C3C">
        <w:rPr>
          <w:rFonts w:cs="Arial"/>
          <w:color w:val="002F5D"/>
        </w:rPr>
        <w:t>dementia are</w:t>
      </w:r>
      <w:r w:rsidRPr="00BD1C3C">
        <w:rPr>
          <w:rFonts w:cs="Arial"/>
          <w:color w:val="002F5D"/>
        </w:rPr>
        <w:t xml:space="preserve"> located throughout </w:t>
      </w:r>
      <w:r w:rsidR="0055252D">
        <w:rPr>
          <w:rFonts w:cs="Arial"/>
          <w:color w:val="002F5D"/>
        </w:rPr>
        <w:t>Cambridgeshire &amp; Peterborough</w:t>
      </w:r>
      <w:r w:rsidRPr="00BD1C3C">
        <w:rPr>
          <w:rFonts w:cs="Arial"/>
          <w:color w:val="002F5D"/>
        </w:rPr>
        <w:t xml:space="preserve">: </w:t>
      </w:r>
      <w:r w:rsidR="00BD1C3C" w:rsidRPr="00BD1C3C">
        <w:rPr>
          <w:rFonts w:cs="Arial"/>
          <w:color w:val="002F5D"/>
        </w:rPr>
        <w:t>Huntingdonshire (5), Peterborough (3)</w:t>
      </w:r>
      <w:r w:rsidR="00573D9A" w:rsidRPr="00BD1C3C">
        <w:rPr>
          <w:rFonts w:cs="Arial"/>
          <w:color w:val="002F5D"/>
        </w:rPr>
        <w:t xml:space="preserve">, </w:t>
      </w:r>
      <w:r w:rsidR="00BD1C3C" w:rsidRPr="00BD1C3C">
        <w:rPr>
          <w:rFonts w:cs="Arial"/>
          <w:color w:val="002F5D"/>
        </w:rPr>
        <w:t>Fenland (2)</w:t>
      </w:r>
      <w:r w:rsidRPr="00BD1C3C">
        <w:rPr>
          <w:rFonts w:cs="Arial"/>
          <w:color w:val="002F5D"/>
        </w:rPr>
        <w:t xml:space="preserve">, </w:t>
      </w:r>
      <w:r w:rsidR="00BD1C3C" w:rsidRPr="00BD1C3C">
        <w:rPr>
          <w:rFonts w:cs="Arial"/>
          <w:color w:val="002F5D"/>
        </w:rPr>
        <w:t>Cambridge (</w:t>
      </w:r>
      <w:r w:rsidR="00573D9A" w:rsidRPr="00BD1C3C">
        <w:rPr>
          <w:rFonts w:cs="Arial"/>
          <w:color w:val="002F5D"/>
        </w:rPr>
        <w:t>1</w:t>
      </w:r>
      <w:r w:rsidR="00BD1C3C" w:rsidRPr="00BD1C3C">
        <w:rPr>
          <w:rFonts w:cs="Arial"/>
          <w:color w:val="002F5D"/>
        </w:rPr>
        <w:t>), East Cambridgeshire (</w:t>
      </w:r>
      <w:r w:rsidR="00573D9A" w:rsidRPr="00BD1C3C">
        <w:rPr>
          <w:rFonts w:cs="Arial"/>
          <w:color w:val="002F5D"/>
        </w:rPr>
        <w:t>1</w:t>
      </w:r>
      <w:r w:rsidR="00BD1C3C" w:rsidRPr="00BD1C3C">
        <w:rPr>
          <w:rFonts w:cs="Arial"/>
          <w:color w:val="002F5D"/>
        </w:rPr>
        <w:t>) and South Cambridgeshire (</w:t>
      </w:r>
      <w:r w:rsidR="00573D9A" w:rsidRPr="00BD1C3C">
        <w:rPr>
          <w:rFonts w:cs="Arial"/>
          <w:color w:val="002F5D"/>
        </w:rPr>
        <w:t>1</w:t>
      </w:r>
      <w:r w:rsidR="00BD1C3C" w:rsidRPr="00BD1C3C">
        <w:rPr>
          <w:rFonts w:cs="Arial"/>
          <w:color w:val="002F5D"/>
        </w:rPr>
        <w:t>)</w:t>
      </w:r>
      <w:r w:rsidR="00573D9A" w:rsidRPr="00BD1C3C">
        <w:rPr>
          <w:rFonts w:cs="Arial"/>
          <w:color w:val="002F5D"/>
        </w:rPr>
        <w:t>.</w:t>
      </w:r>
      <w:r w:rsidR="00BD1C3C" w:rsidRPr="00BD1C3C">
        <w:rPr>
          <w:rFonts w:cs="Arial"/>
          <w:color w:val="002F5D"/>
        </w:rPr>
        <w:t xml:space="preserve">  </w:t>
      </w:r>
      <w:r w:rsidR="0007776C">
        <w:rPr>
          <w:rFonts w:cs="Arial"/>
          <w:color w:val="002F5D"/>
        </w:rPr>
        <w:t>Although Oundle Practice and</w:t>
      </w:r>
      <w:r w:rsidR="00BD1C3C">
        <w:rPr>
          <w:rFonts w:cs="Arial"/>
          <w:color w:val="002F5D"/>
        </w:rPr>
        <w:t xml:space="preserve"> Wansford Practices</w:t>
      </w:r>
      <w:r w:rsidR="00BD1C3C" w:rsidRPr="00BD1C3C">
        <w:rPr>
          <w:rFonts w:cs="Arial"/>
          <w:color w:val="002F5D"/>
        </w:rPr>
        <w:t xml:space="preserve"> are not physically located in Cambridgeshire and Peterborough they sit within the Cambridgeshire and Peterborough CCG.</w:t>
      </w:r>
    </w:p>
    <w:p w14:paraId="03C4D0E5" w14:textId="77777777" w:rsidR="00BD1C3C" w:rsidRPr="00BD1C3C" w:rsidRDefault="00BD1C3C" w:rsidP="00BD1C3C">
      <w:pPr>
        <w:spacing w:line="240" w:lineRule="auto"/>
        <w:ind w:left="720"/>
        <w:contextualSpacing/>
        <w:rPr>
          <w:rFonts w:cs="Arial"/>
          <w:color w:val="FF0000"/>
        </w:rPr>
      </w:pPr>
    </w:p>
    <w:p w14:paraId="308EA66D" w14:textId="77777777" w:rsidR="00BD1C3C" w:rsidRPr="00BD1C3C" w:rsidRDefault="00BD1C3C" w:rsidP="00BD1C3C">
      <w:pPr>
        <w:spacing w:line="240" w:lineRule="auto"/>
        <w:rPr>
          <w:b/>
          <w:iCs/>
          <w:color w:val="FF0000"/>
          <w:szCs w:val="18"/>
        </w:rPr>
      </w:pPr>
    </w:p>
    <w:p w14:paraId="1317B2AC" w14:textId="771AE7F8" w:rsidR="002D381A" w:rsidRPr="00BD1C3C" w:rsidRDefault="002D381A" w:rsidP="00BD1C3C">
      <w:pPr>
        <w:rPr>
          <w:b/>
          <w:iCs/>
          <w:color w:val="FF0000"/>
          <w:szCs w:val="18"/>
        </w:rPr>
      </w:pPr>
    </w:p>
    <w:p w14:paraId="0F2E34F9" w14:textId="3836D702" w:rsidR="00AE2578" w:rsidRDefault="008E5AF6" w:rsidP="0043274F">
      <w:pPr>
        <w:spacing w:line="240" w:lineRule="auto"/>
        <w:rPr>
          <w:rFonts w:cs="Arial"/>
          <w:color w:val="002F5D"/>
        </w:rPr>
      </w:pPr>
      <w:r w:rsidRPr="0037351D">
        <w:rPr>
          <w:rFonts w:cs="Arial"/>
          <w:color w:val="FF0000"/>
        </w:rPr>
        <w:br w:type="page"/>
      </w:r>
      <w:r w:rsidR="00B654F0" w:rsidRPr="007B6B91">
        <w:rPr>
          <w:b/>
          <w:color w:val="002F5D"/>
        </w:rPr>
        <w:lastRenderedPageBreak/>
        <w:t xml:space="preserve">Table </w:t>
      </w:r>
      <w:r w:rsidR="00B81E4B">
        <w:rPr>
          <w:b/>
          <w:color w:val="002F5D"/>
        </w:rPr>
        <w:t>70</w:t>
      </w:r>
      <w:r w:rsidR="00385D70" w:rsidRPr="007B6B91">
        <w:rPr>
          <w:rFonts w:cs="Arial"/>
          <w:b/>
          <w:color w:val="002F5D"/>
        </w:rPr>
        <w:t xml:space="preserve">. </w:t>
      </w:r>
      <w:r w:rsidR="00AE2578" w:rsidRPr="007B6B91">
        <w:rPr>
          <w:rFonts w:cs="Arial"/>
          <w:color w:val="002F5D"/>
        </w:rPr>
        <w:t>General practices with statistically significantly higher than national average rates of recorded learning disabilities, Cambridgeshire</w:t>
      </w:r>
      <w:r w:rsidR="00FE0CA1" w:rsidRPr="007B6B91">
        <w:rPr>
          <w:rFonts w:cs="Arial"/>
          <w:color w:val="002F5D"/>
        </w:rPr>
        <w:t xml:space="preserve"> and Peterborough</w:t>
      </w:r>
      <w:r w:rsidR="00AE2578" w:rsidRPr="007B6B91">
        <w:rPr>
          <w:rFonts w:cs="Arial"/>
          <w:color w:val="002F5D"/>
        </w:rPr>
        <w:t>, 2</w:t>
      </w:r>
      <w:r w:rsidR="007B6B91" w:rsidRPr="007B6B91">
        <w:rPr>
          <w:rFonts w:cs="Arial"/>
          <w:color w:val="002F5D"/>
        </w:rPr>
        <w:t>017/18</w:t>
      </w:r>
    </w:p>
    <w:p w14:paraId="041F1E8D" w14:textId="77777777" w:rsidR="00132EFE" w:rsidRDefault="00132EFE" w:rsidP="0043274F">
      <w:pPr>
        <w:spacing w:line="240" w:lineRule="auto"/>
        <w:rPr>
          <w:rFonts w:cs="Arial"/>
          <w:color w:val="FF0000"/>
        </w:rPr>
      </w:pPr>
    </w:p>
    <w:p w14:paraId="3C954C34" w14:textId="251EF1FB" w:rsidR="00F749F7" w:rsidRPr="00132EFE" w:rsidRDefault="00132EFE" w:rsidP="009C3222">
      <w:pPr>
        <w:spacing w:line="240" w:lineRule="auto"/>
        <w:rPr>
          <w:rFonts w:cs="Arial"/>
          <w:color w:val="FF0000"/>
        </w:rPr>
      </w:pPr>
      <w:r w:rsidRPr="00132EFE">
        <w:rPr>
          <w:noProof/>
          <w:lang w:eastAsia="en-GB"/>
        </w:rPr>
        <w:drawing>
          <wp:inline distT="0" distB="0" distL="0" distR="0" wp14:anchorId="1C0001BA" wp14:editId="44D646BB">
            <wp:extent cx="6120130" cy="3022747"/>
            <wp:effectExtent l="0" t="0" r="0" b="63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0130" cy="3022747"/>
                    </a:xfrm>
                    <a:prstGeom prst="rect">
                      <a:avLst/>
                    </a:prstGeom>
                    <a:noFill/>
                    <a:ln>
                      <a:noFill/>
                    </a:ln>
                  </pic:spPr>
                </pic:pic>
              </a:graphicData>
            </a:graphic>
          </wp:inline>
        </w:drawing>
      </w:r>
    </w:p>
    <w:p w14:paraId="46993D6F" w14:textId="77777777" w:rsidR="00385D70" w:rsidRPr="007B6B91" w:rsidRDefault="00385D70" w:rsidP="00F17AE5">
      <w:pPr>
        <w:spacing w:line="240" w:lineRule="auto"/>
        <w:rPr>
          <w:rFonts w:cs="Arial"/>
          <w:color w:val="002F5D"/>
        </w:rPr>
      </w:pPr>
    </w:p>
    <w:p w14:paraId="7FD69D4B" w14:textId="77777777" w:rsidR="00385D70" w:rsidRPr="007B6B91" w:rsidRDefault="00385D70" w:rsidP="0043274F">
      <w:pPr>
        <w:spacing w:line="240" w:lineRule="auto"/>
        <w:rPr>
          <w:rFonts w:cs="Arial"/>
          <w:color w:val="002F5D"/>
          <w:sz w:val="18"/>
        </w:rPr>
      </w:pPr>
      <w:r w:rsidRPr="007B6B91">
        <w:rPr>
          <w:rFonts w:cs="Arial"/>
          <w:color w:val="002F5D"/>
          <w:sz w:val="18"/>
        </w:rPr>
        <w:t xml:space="preserve">* Dedicated surgery for </w:t>
      </w:r>
      <w:r w:rsidR="00350B42" w:rsidRPr="007B6B91">
        <w:rPr>
          <w:rFonts w:cs="Arial"/>
          <w:color w:val="002F5D"/>
          <w:sz w:val="18"/>
        </w:rPr>
        <w:t xml:space="preserve">the </w:t>
      </w:r>
      <w:r w:rsidRPr="007B6B91">
        <w:rPr>
          <w:rFonts w:cs="Arial"/>
          <w:color w:val="002F5D"/>
          <w:sz w:val="18"/>
        </w:rPr>
        <w:t xml:space="preserve">homeless, </w:t>
      </w:r>
      <w:r w:rsidR="00350B42" w:rsidRPr="007B6B91">
        <w:rPr>
          <w:rFonts w:cs="Arial"/>
          <w:color w:val="002F5D"/>
          <w:sz w:val="18"/>
        </w:rPr>
        <w:t xml:space="preserve">people </w:t>
      </w:r>
      <w:r w:rsidRPr="007B6B91">
        <w:rPr>
          <w:rFonts w:cs="Arial"/>
          <w:color w:val="002F5D"/>
          <w:sz w:val="18"/>
        </w:rPr>
        <w:t xml:space="preserve">in sheltered accommodation or </w:t>
      </w:r>
      <w:r w:rsidR="00350B42" w:rsidRPr="007B6B91">
        <w:rPr>
          <w:rFonts w:cs="Arial"/>
          <w:color w:val="002F5D"/>
          <w:sz w:val="18"/>
        </w:rPr>
        <w:t xml:space="preserve">people </w:t>
      </w:r>
      <w:r w:rsidRPr="007B6B91">
        <w:rPr>
          <w:rFonts w:cs="Arial"/>
          <w:color w:val="002F5D"/>
          <w:sz w:val="18"/>
        </w:rPr>
        <w:t>at risk of homelessness</w:t>
      </w:r>
    </w:p>
    <w:p w14:paraId="7EC0CE67" w14:textId="77777777" w:rsidR="00AE2578" w:rsidRPr="007B6B91" w:rsidRDefault="00AE2578" w:rsidP="0043274F">
      <w:pPr>
        <w:spacing w:line="240" w:lineRule="auto"/>
        <w:rPr>
          <w:rFonts w:cs="Arial"/>
          <w:color w:val="002F5D"/>
        </w:rPr>
      </w:pPr>
    </w:p>
    <w:p w14:paraId="45BB4000" w14:textId="77777777" w:rsidR="00385D70" w:rsidRPr="007B6B91" w:rsidRDefault="00385D70" w:rsidP="0043274F">
      <w:pPr>
        <w:spacing w:line="240" w:lineRule="auto"/>
        <w:rPr>
          <w:color w:val="002F5D"/>
        </w:rPr>
      </w:pPr>
      <w:r w:rsidRPr="007B6B91">
        <w:rPr>
          <w:b/>
          <w:color w:val="002F5D"/>
        </w:rPr>
        <w:t>Sources:</w:t>
      </w:r>
      <w:r w:rsidRPr="007B6B91">
        <w:rPr>
          <w:color w:val="002F5D"/>
        </w:rPr>
        <w:t xml:space="preserve"> NHS Digital, Quality and Outcomes Framework, Cambridgeshire County Council Public Health Intelligence</w:t>
      </w:r>
    </w:p>
    <w:p w14:paraId="3B932022" w14:textId="77777777" w:rsidR="00AE2578" w:rsidRPr="007B6B91" w:rsidRDefault="00AE2578" w:rsidP="0043274F">
      <w:pPr>
        <w:spacing w:line="240" w:lineRule="auto"/>
        <w:rPr>
          <w:rFonts w:cs="Arial"/>
          <w:color w:val="002F5D"/>
        </w:rPr>
      </w:pPr>
    </w:p>
    <w:p w14:paraId="164493EB" w14:textId="77777777" w:rsidR="008076C2" w:rsidRPr="007B6B91" w:rsidRDefault="008076C2" w:rsidP="0043274F">
      <w:pPr>
        <w:spacing w:line="240" w:lineRule="auto"/>
        <w:rPr>
          <w:rFonts w:cs="Arial"/>
          <w:b/>
          <w:color w:val="002F5D"/>
        </w:rPr>
      </w:pPr>
      <w:r w:rsidRPr="007B6B91">
        <w:rPr>
          <w:rFonts w:cs="Arial"/>
          <w:b/>
          <w:color w:val="002F5D"/>
        </w:rPr>
        <w:t>Key point:</w:t>
      </w:r>
    </w:p>
    <w:p w14:paraId="5FEB507F" w14:textId="2F35F9E9" w:rsidR="00385D70" w:rsidRPr="007B6B91" w:rsidRDefault="00FE0CA1" w:rsidP="0043274F">
      <w:pPr>
        <w:pStyle w:val="ListParagraph"/>
        <w:numPr>
          <w:ilvl w:val="0"/>
          <w:numId w:val="40"/>
        </w:numPr>
        <w:spacing w:line="240" w:lineRule="auto"/>
        <w:rPr>
          <w:rFonts w:cs="Arial"/>
          <w:color w:val="002F5D"/>
        </w:rPr>
      </w:pPr>
      <w:r w:rsidRPr="007B6B91">
        <w:rPr>
          <w:rFonts w:cs="Arial"/>
          <w:color w:val="002F5D"/>
        </w:rPr>
        <w:t>P</w:t>
      </w:r>
      <w:r w:rsidR="00385D70" w:rsidRPr="007B6B91">
        <w:rPr>
          <w:rFonts w:cs="Arial"/>
          <w:color w:val="002F5D"/>
        </w:rPr>
        <w:t xml:space="preserve">ractices with statistically significantly higher than average rates of </w:t>
      </w:r>
      <w:r w:rsidR="00F43331" w:rsidRPr="007B6B91">
        <w:rPr>
          <w:rFonts w:cs="Arial"/>
          <w:color w:val="002F5D"/>
        </w:rPr>
        <w:t>recorded learning disabilities</w:t>
      </w:r>
      <w:r w:rsidR="0007776C">
        <w:rPr>
          <w:rFonts w:cs="Arial"/>
          <w:color w:val="002F5D"/>
        </w:rPr>
        <w:t xml:space="preserve"> </w:t>
      </w:r>
      <w:r w:rsidR="00385D70" w:rsidRPr="007B6B91">
        <w:rPr>
          <w:rFonts w:cs="Arial"/>
          <w:color w:val="002F5D"/>
        </w:rPr>
        <w:t>are located thr</w:t>
      </w:r>
      <w:r w:rsidR="007B6B91" w:rsidRPr="007B6B91">
        <w:rPr>
          <w:rFonts w:cs="Arial"/>
          <w:color w:val="002F5D"/>
        </w:rPr>
        <w:t xml:space="preserve">oughout the </w:t>
      </w:r>
      <w:r w:rsidR="00164655">
        <w:rPr>
          <w:rFonts w:cs="Arial"/>
          <w:color w:val="002F5D"/>
        </w:rPr>
        <w:t xml:space="preserve">county: Cambridge (3), Fenland </w:t>
      </w:r>
      <w:r w:rsidR="007B6B91" w:rsidRPr="007B6B91">
        <w:rPr>
          <w:rFonts w:cs="Arial"/>
          <w:color w:val="002F5D"/>
        </w:rPr>
        <w:t>(</w:t>
      </w:r>
      <w:r w:rsidR="008076C2" w:rsidRPr="007B6B91">
        <w:rPr>
          <w:rFonts w:cs="Arial"/>
          <w:color w:val="002F5D"/>
        </w:rPr>
        <w:t>3</w:t>
      </w:r>
      <w:r w:rsidR="007B6B91" w:rsidRPr="007B6B91">
        <w:rPr>
          <w:rFonts w:cs="Arial"/>
          <w:color w:val="002F5D"/>
        </w:rPr>
        <w:t>), Huntingdonshire (3)</w:t>
      </w:r>
      <w:r w:rsidR="00385D70" w:rsidRPr="007B6B91">
        <w:rPr>
          <w:rFonts w:cs="Arial"/>
          <w:color w:val="002F5D"/>
        </w:rPr>
        <w:t>,</w:t>
      </w:r>
      <w:r w:rsidR="007B6B91" w:rsidRPr="007B6B91">
        <w:rPr>
          <w:rFonts w:cs="Arial"/>
          <w:color w:val="002F5D"/>
        </w:rPr>
        <w:t xml:space="preserve"> Peterborough (2),</w:t>
      </w:r>
      <w:r w:rsidR="00385D70" w:rsidRPr="007B6B91">
        <w:rPr>
          <w:rFonts w:cs="Arial"/>
          <w:color w:val="002F5D"/>
        </w:rPr>
        <w:t xml:space="preserve"> </w:t>
      </w:r>
      <w:r w:rsidR="007B6B91" w:rsidRPr="007B6B91">
        <w:rPr>
          <w:rFonts w:cs="Arial"/>
          <w:color w:val="002F5D"/>
        </w:rPr>
        <w:t xml:space="preserve">East Cambridgeshire (1) and </w:t>
      </w:r>
      <w:r w:rsidR="00385D70" w:rsidRPr="007B6B91">
        <w:rPr>
          <w:rFonts w:cs="Arial"/>
          <w:color w:val="002F5D"/>
        </w:rPr>
        <w:t>S</w:t>
      </w:r>
      <w:r w:rsidR="007B6B91" w:rsidRPr="007B6B91">
        <w:rPr>
          <w:rFonts w:cs="Arial"/>
          <w:color w:val="002F5D"/>
        </w:rPr>
        <w:t>outh Cambridgeshire (</w:t>
      </w:r>
      <w:r w:rsidR="00385D70" w:rsidRPr="007B6B91">
        <w:rPr>
          <w:rFonts w:cs="Arial"/>
          <w:color w:val="002F5D"/>
        </w:rPr>
        <w:t>1</w:t>
      </w:r>
      <w:r w:rsidR="007B6B91" w:rsidRPr="007B6B91">
        <w:rPr>
          <w:rFonts w:cs="Arial"/>
          <w:color w:val="002F5D"/>
        </w:rPr>
        <w:t>)</w:t>
      </w:r>
      <w:r w:rsidR="00385D70" w:rsidRPr="007B6B91">
        <w:rPr>
          <w:rFonts w:cs="Arial"/>
          <w:color w:val="002F5D"/>
        </w:rPr>
        <w:t>.</w:t>
      </w:r>
    </w:p>
    <w:p w14:paraId="617C05D4" w14:textId="77777777" w:rsidR="00385D70" w:rsidRPr="0037351D" w:rsidRDefault="00385D70" w:rsidP="00F17AE5">
      <w:pPr>
        <w:spacing w:line="240" w:lineRule="auto"/>
        <w:rPr>
          <w:rFonts w:cs="Arial"/>
          <w:color w:val="FF0000"/>
        </w:rPr>
      </w:pPr>
    </w:p>
    <w:p w14:paraId="6DF89338" w14:textId="77777777" w:rsidR="00AE2578" w:rsidRPr="0037351D" w:rsidRDefault="00AE2578" w:rsidP="00F17AE5">
      <w:pPr>
        <w:spacing w:line="240" w:lineRule="auto"/>
        <w:rPr>
          <w:rFonts w:cs="Arial"/>
          <w:color w:val="FF0000"/>
        </w:rPr>
      </w:pPr>
    </w:p>
    <w:p w14:paraId="7434B930" w14:textId="77777777" w:rsidR="00AE2578" w:rsidRPr="0037351D" w:rsidRDefault="00AE2578" w:rsidP="00F17AE5">
      <w:pPr>
        <w:spacing w:line="240" w:lineRule="auto"/>
        <w:rPr>
          <w:rFonts w:cs="Arial"/>
          <w:color w:val="FF0000"/>
        </w:rPr>
      </w:pPr>
    </w:p>
    <w:p w14:paraId="25B14B5E" w14:textId="77777777" w:rsidR="009927C4" w:rsidRPr="0037351D" w:rsidRDefault="009927C4">
      <w:pPr>
        <w:rPr>
          <w:rFonts w:eastAsiaTheme="majorEastAsia" w:cstheme="majorBidi"/>
          <w:b/>
          <w:color w:val="FF0000"/>
        </w:rPr>
      </w:pPr>
      <w:r w:rsidRPr="0037351D">
        <w:rPr>
          <w:color w:val="FF0000"/>
        </w:rPr>
        <w:br w:type="page"/>
      </w:r>
    </w:p>
    <w:p w14:paraId="1DA52267" w14:textId="77777777" w:rsidR="00FD71E3" w:rsidRPr="0037351D" w:rsidRDefault="008F3B29" w:rsidP="00A3568F">
      <w:pPr>
        <w:pStyle w:val="JSNA3"/>
      </w:pPr>
      <w:bookmarkStart w:id="806" w:name="_Toc4407880"/>
      <w:r w:rsidRPr="0037351D">
        <w:lastRenderedPageBreak/>
        <w:t>Self-</w:t>
      </w:r>
      <w:r w:rsidR="00FD71E3" w:rsidRPr="0037351D">
        <w:t>harm</w:t>
      </w:r>
      <w:bookmarkEnd w:id="806"/>
    </w:p>
    <w:p w14:paraId="6325874F" w14:textId="77777777" w:rsidR="00386CC7" w:rsidRPr="009A2AB3" w:rsidRDefault="00386CC7" w:rsidP="00386CC7">
      <w:pPr>
        <w:rPr>
          <w:color w:val="002F5D"/>
        </w:rPr>
      </w:pPr>
    </w:p>
    <w:p w14:paraId="31C4BCE3" w14:textId="62A2CD33" w:rsidR="00514B56" w:rsidRPr="009A2AB3" w:rsidRDefault="00B654F0" w:rsidP="0043274F">
      <w:pPr>
        <w:pStyle w:val="Caption"/>
        <w:rPr>
          <w:color w:val="002F5D"/>
        </w:rPr>
      </w:pPr>
      <w:r w:rsidRPr="009A2AB3">
        <w:rPr>
          <w:b/>
          <w:color w:val="002F5D"/>
        </w:rPr>
        <w:t xml:space="preserve">Table </w:t>
      </w:r>
      <w:r w:rsidR="00B81E4B">
        <w:rPr>
          <w:b/>
          <w:color w:val="002F5D"/>
        </w:rPr>
        <w:t>71</w:t>
      </w:r>
      <w:r w:rsidR="00D14644" w:rsidRPr="009A2AB3">
        <w:rPr>
          <w:b/>
          <w:color w:val="002F5D"/>
        </w:rPr>
        <w:t>.</w:t>
      </w:r>
      <w:r w:rsidR="00D14644" w:rsidRPr="009A2AB3">
        <w:rPr>
          <w:color w:val="002F5D"/>
        </w:rPr>
        <w:t xml:space="preserve"> Emergency hospital admission episodes for intentional self-harm, Cambridgeshire</w:t>
      </w:r>
      <w:r w:rsidR="00362E87" w:rsidRPr="009A2AB3">
        <w:rPr>
          <w:color w:val="002F5D"/>
        </w:rPr>
        <w:t xml:space="preserve"> and Peterborough</w:t>
      </w:r>
      <w:r w:rsidR="001F69E9" w:rsidRPr="009A2AB3">
        <w:rPr>
          <w:color w:val="002F5D"/>
        </w:rPr>
        <w:t>, 2017</w:t>
      </w:r>
      <w:r w:rsidR="00D14644" w:rsidRPr="009A2AB3">
        <w:rPr>
          <w:color w:val="002F5D"/>
        </w:rPr>
        <w:t>/1</w:t>
      </w:r>
      <w:r w:rsidR="001F69E9" w:rsidRPr="009A2AB3">
        <w:rPr>
          <w:color w:val="002F5D"/>
        </w:rPr>
        <w:t>8</w:t>
      </w:r>
    </w:p>
    <w:p w14:paraId="50D519EC" w14:textId="77777777" w:rsidR="00D61039" w:rsidRPr="009A2AB3" w:rsidRDefault="00D61039" w:rsidP="00E61D24"/>
    <w:p w14:paraId="06AA2043" w14:textId="1F426E4A" w:rsidR="00E95DD5" w:rsidRPr="0037351D" w:rsidRDefault="0055252D" w:rsidP="0043274F">
      <w:pPr>
        <w:pStyle w:val="Caption"/>
        <w:rPr>
          <w:color w:val="FF0000"/>
        </w:rPr>
      </w:pPr>
      <w:r w:rsidRPr="0041347C">
        <w:rPr>
          <w:noProof/>
          <w:color w:val="002B61"/>
          <w:lang w:eastAsia="en-GB"/>
        </w:rPr>
        <w:drawing>
          <wp:inline distT="0" distB="0" distL="0" distR="0" wp14:anchorId="245B6C2B" wp14:editId="2D56E2A8">
            <wp:extent cx="6120130" cy="244602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0130" cy="2446020"/>
                    </a:xfrm>
                    <a:prstGeom prst="rect">
                      <a:avLst/>
                    </a:prstGeom>
                    <a:noFill/>
                    <a:ln>
                      <a:noFill/>
                    </a:ln>
                  </pic:spPr>
                </pic:pic>
              </a:graphicData>
            </a:graphic>
          </wp:inline>
        </w:drawing>
      </w:r>
    </w:p>
    <w:p w14:paraId="2BB71BFE" w14:textId="36B7C4A2" w:rsidR="00D61039" w:rsidRDefault="00D61039" w:rsidP="00D61039">
      <w:pPr>
        <w:spacing w:line="240" w:lineRule="auto"/>
        <w:rPr>
          <w:color w:val="002B61"/>
          <w:sz w:val="18"/>
        </w:rPr>
      </w:pPr>
    </w:p>
    <w:p w14:paraId="2AB9A8A1" w14:textId="77777777" w:rsidR="00D61039" w:rsidRPr="00B42411" w:rsidRDefault="00D61039" w:rsidP="00D61039">
      <w:pPr>
        <w:spacing w:line="240" w:lineRule="auto"/>
        <w:rPr>
          <w:color w:val="002B61"/>
          <w:sz w:val="18"/>
        </w:rPr>
      </w:pPr>
      <w:r w:rsidRPr="0041347C">
        <w:rPr>
          <w:color w:val="002B61"/>
          <w:sz w:val="18"/>
        </w:rPr>
        <w:t>DASR – Directly age-standardised rate</w:t>
      </w:r>
    </w:p>
    <w:p w14:paraId="2F86FBA9" w14:textId="77777777" w:rsidR="00D61039" w:rsidRPr="0041347C" w:rsidRDefault="00D61039" w:rsidP="00D61039">
      <w:pPr>
        <w:spacing w:line="240" w:lineRule="auto"/>
        <w:rPr>
          <w:color w:val="002B61"/>
          <w:sz w:val="18"/>
        </w:rPr>
      </w:pPr>
    </w:p>
    <w:p w14:paraId="68714DB2" w14:textId="77777777" w:rsidR="00D61039" w:rsidRPr="0041347C" w:rsidRDefault="00D61039" w:rsidP="00D61039">
      <w:pPr>
        <w:spacing w:line="240" w:lineRule="auto"/>
        <w:rPr>
          <w:color w:val="002B61"/>
        </w:rPr>
      </w:pPr>
      <w:r w:rsidRPr="0041347C">
        <w:rPr>
          <w:noProof/>
          <w:color w:val="002B61"/>
          <w:lang w:eastAsia="en-GB"/>
        </w:rPr>
        <w:drawing>
          <wp:inline distT="0" distB="0" distL="0" distR="0" wp14:anchorId="600B8F8E" wp14:editId="368F2090">
            <wp:extent cx="4123690" cy="46609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5DBE948E" w14:textId="77777777" w:rsidR="00D61039" w:rsidRPr="0041347C" w:rsidRDefault="00D61039" w:rsidP="00D61039">
      <w:pPr>
        <w:spacing w:line="240" w:lineRule="auto"/>
        <w:rPr>
          <w:color w:val="002B61"/>
        </w:rPr>
      </w:pPr>
    </w:p>
    <w:p w14:paraId="73560531" w14:textId="77777777" w:rsidR="00D61039" w:rsidRPr="0041347C" w:rsidRDefault="00D61039" w:rsidP="00D61039">
      <w:pPr>
        <w:spacing w:line="240" w:lineRule="auto"/>
        <w:rPr>
          <w:color w:val="002B61"/>
        </w:rPr>
      </w:pPr>
      <w:r w:rsidRPr="0041347C">
        <w:rPr>
          <w:b/>
          <w:color w:val="002B61"/>
        </w:rPr>
        <w:t>Source:</w:t>
      </w:r>
      <w:r w:rsidRPr="0041347C">
        <w:rPr>
          <w:color w:val="002B61"/>
        </w:rPr>
        <w:t xml:space="preserve"> Public Health England Public Health Outcomes Framework indicator 2.10ii</w:t>
      </w:r>
    </w:p>
    <w:p w14:paraId="4612216F" w14:textId="77777777" w:rsidR="00D61039" w:rsidRPr="0041347C" w:rsidRDefault="00D61039" w:rsidP="00D61039">
      <w:pPr>
        <w:spacing w:line="240" w:lineRule="auto"/>
        <w:rPr>
          <w:color w:val="002B61"/>
        </w:rPr>
      </w:pPr>
    </w:p>
    <w:p w14:paraId="40998A3F" w14:textId="77777777" w:rsidR="00D61039" w:rsidRPr="0041347C" w:rsidRDefault="00D61039" w:rsidP="00D61039">
      <w:pPr>
        <w:spacing w:line="240" w:lineRule="auto"/>
        <w:rPr>
          <w:b/>
          <w:color w:val="002B61"/>
        </w:rPr>
      </w:pPr>
      <w:r w:rsidRPr="0041347C">
        <w:rPr>
          <w:b/>
          <w:color w:val="002B61"/>
        </w:rPr>
        <w:t>Key points:</w:t>
      </w:r>
    </w:p>
    <w:p w14:paraId="5D597471" w14:textId="77777777" w:rsidR="00D61039" w:rsidRPr="0041347C" w:rsidRDefault="00D61039" w:rsidP="00D61039">
      <w:pPr>
        <w:pStyle w:val="ListParagraph"/>
        <w:numPr>
          <w:ilvl w:val="0"/>
          <w:numId w:val="40"/>
        </w:numPr>
        <w:spacing w:line="240" w:lineRule="auto"/>
        <w:ind w:left="714" w:hanging="357"/>
        <w:rPr>
          <w:rFonts w:eastAsiaTheme="majorEastAsia" w:cs="Arial"/>
          <w:color w:val="002B61"/>
          <w:sz w:val="24"/>
          <w:szCs w:val="26"/>
        </w:rPr>
      </w:pPr>
      <w:r w:rsidRPr="0041347C">
        <w:rPr>
          <w:color w:val="002B61"/>
        </w:rPr>
        <w:t>For all persons, rates of emergency admissions to hospital for self-harm are statistically significantly higher than the national average for Cambridgeshire, Peterborough, and all Cambridgeshire districts except for Huntingdonshire.</w:t>
      </w:r>
    </w:p>
    <w:p w14:paraId="4BD4FFEC" w14:textId="77777777" w:rsidR="00D61039" w:rsidRPr="0041347C" w:rsidRDefault="00D61039" w:rsidP="00D61039">
      <w:pPr>
        <w:pStyle w:val="ListParagraph"/>
        <w:numPr>
          <w:ilvl w:val="0"/>
          <w:numId w:val="40"/>
        </w:numPr>
        <w:spacing w:line="240" w:lineRule="auto"/>
        <w:ind w:left="714" w:hanging="357"/>
        <w:rPr>
          <w:rFonts w:eastAsiaTheme="majorEastAsia" w:cs="Arial"/>
          <w:color w:val="002B61"/>
          <w:sz w:val="24"/>
          <w:szCs w:val="26"/>
        </w:rPr>
      </w:pPr>
      <w:r w:rsidRPr="0041347C">
        <w:rPr>
          <w:color w:val="002B61"/>
        </w:rPr>
        <w:t>Rates are higher in females, accounting for slightly under two-thirds of admissions.</w:t>
      </w:r>
    </w:p>
    <w:p w14:paraId="456AD7A7" w14:textId="77777777" w:rsidR="00D61039" w:rsidRPr="0041347C" w:rsidRDefault="00D61039" w:rsidP="00D61039">
      <w:pPr>
        <w:pStyle w:val="ListParagraph"/>
        <w:numPr>
          <w:ilvl w:val="0"/>
          <w:numId w:val="40"/>
        </w:numPr>
        <w:spacing w:line="240" w:lineRule="auto"/>
        <w:ind w:left="714" w:hanging="357"/>
        <w:rPr>
          <w:rFonts w:eastAsiaTheme="majorEastAsia" w:cs="Arial"/>
          <w:color w:val="002B61"/>
          <w:sz w:val="24"/>
          <w:szCs w:val="26"/>
        </w:rPr>
      </w:pPr>
      <w:r w:rsidRPr="0041347C">
        <w:rPr>
          <w:color w:val="002B61"/>
        </w:rPr>
        <w:t xml:space="preserve">Rates of emergency admissions for males in East Cambridgeshire, Huntingdonshire and South Cambridgeshire are statistically similar to England. </w:t>
      </w:r>
    </w:p>
    <w:p w14:paraId="2EDFF01F" w14:textId="77777777" w:rsidR="00D61039" w:rsidRPr="0041347C" w:rsidRDefault="00D61039" w:rsidP="00D61039">
      <w:pPr>
        <w:pStyle w:val="ListParagraph"/>
        <w:numPr>
          <w:ilvl w:val="0"/>
          <w:numId w:val="40"/>
        </w:numPr>
        <w:spacing w:line="240" w:lineRule="auto"/>
        <w:ind w:left="714" w:hanging="357"/>
        <w:rPr>
          <w:rFonts w:eastAsiaTheme="majorEastAsia" w:cs="Arial"/>
          <w:color w:val="002B61"/>
          <w:sz w:val="24"/>
          <w:szCs w:val="26"/>
        </w:rPr>
      </w:pPr>
      <w:r w:rsidRPr="0041347C">
        <w:rPr>
          <w:color w:val="002B61"/>
        </w:rPr>
        <w:t>All hospital admissions (emergency or elective) as a result of self-harm are known to be statistically significantly higher than the England average in young people aged 10-24 in Cambridgeshire and Peterborough [data not shown].</w:t>
      </w:r>
      <w:r w:rsidRPr="0041347C">
        <w:rPr>
          <w:rStyle w:val="FootnoteReference"/>
          <w:color w:val="002B61"/>
        </w:rPr>
        <w:footnoteReference w:id="15"/>
      </w:r>
    </w:p>
    <w:p w14:paraId="4B076093" w14:textId="77777777" w:rsidR="00D362BA" w:rsidRPr="0037351D" w:rsidRDefault="00D362BA">
      <w:pPr>
        <w:rPr>
          <w:color w:val="FF0000"/>
        </w:rPr>
      </w:pPr>
      <w:r w:rsidRPr="0037351D">
        <w:rPr>
          <w:color w:val="FF0000"/>
        </w:rPr>
        <w:br w:type="page"/>
      </w:r>
    </w:p>
    <w:p w14:paraId="7510D7A4" w14:textId="77777777" w:rsidR="008277A0" w:rsidRPr="0037351D" w:rsidRDefault="008277A0" w:rsidP="00A3568F">
      <w:pPr>
        <w:pStyle w:val="JSNA3"/>
      </w:pPr>
      <w:bookmarkStart w:id="807" w:name="_Toc4407881"/>
      <w:r w:rsidRPr="0037351D">
        <w:lastRenderedPageBreak/>
        <w:t>Suicide and injury of undetermined intent</w:t>
      </w:r>
      <w:bookmarkEnd w:id="807"/>
    </w:p>
    <w:p w14:paraId="222DB287" w14:textId="77777777" w:rsidR="008277A0" w:rsidRPr="00B65123" w:rsidRDefault="008277A0">
      <w:pPr>
        <w:rPr>
          <w:color w:val="002F5D"/>
        </w:rPr>
      </w:pPr>
    </w:p>
    <w:p w14:paraId="0D2B74E7" w14:textId="13413400" w:rsidR="00C10CA3" w:rsidRDefault="00644A04" w:rsidP="00644A04">
      <w:pPr>
        <w:pStyle w:val="Caption"/>
        <w:rPr>
          <w:color w:val="002F5D"/>
        </w:rPr>
      </w:pPr>
      <w:r w:rsidRPr="00B65123">
        <w:rPr>
          <w:b/>
          <w:color w:val="002F5D"/>
        </w:rPr>
        <w:t>Table</w:t>
      </w:r>
      <w:r w:rsidR="00B81E4B">
        <w:rPr>
          <w:b/>
          <w:color w:val="002F5D"/>
        </w:rPr>
        <w:t xml:space="preserve"> 72</w:t>
      </w:r>
      <w:r w:rsidR="008277A0" w:rsidRPr="00B65123">
        <w:rPr>
          <w:color w:val="002F5D"/>
        </w:rPr>
        <w:t>: Suicide and injury of und</w:t>
      </w:r>
      <w:r w:rsidR="00A45A15" w:rsidRPr="00B65123">
        <w:rPr>
          <w:color w:val="002F5D"/>
        </w:rPr>
        <w:t xml:space="preserve">etermined intent for persons, </w:t>
      </w:r>
      <w:r w:rsidR="008277A0" w:rsidRPr="00B65123">
        <w:rPr>
          <w:color w:val="002F5D"/>
        </w:rPr>
        <w:t xml:space="preserve">Cambridgeshire </w:t>
      </w:r>
      <w:r w:rsidR="002A1B3E" w:rsidRPr="00B65123">
        <w:rPr>
          <w:color w:val="002F5D"/>
        </w:rPr>
        <w:t xml:space="preserve">and Peterborough, </w:t>
      </w:r>
    </w:p>
    <w:p w14:paraId="4E26B9F0" w14:textId="674EF5A2" w:rsidR="008277A0" w:rsidRDefault="008277A0" w:rsidP="00644A04">
      <w:pPr>
        <w:pStyle w:val="Caption"/>
        <w:rPr>
          <w:color w:val="002F5D"/>
        </w:rPr>
      </w:pPr>
      <w:r w:rsidRPr="00B65123">
        <w:rPr>
          <w:color w:val="002F5D"/>
        </w:rPr>
        <w:t>201</w:t>
      </w:r>
      <w:r w:rsidR="00B65123" w:rsidRPr="00B65123">
        <w:rPr>
          <w:color w:val="002F5D"/>
        </w:rPr>
        <w:t>5-17</w:t>
      </w:r>
      <w:r w:rsidRPr="00B65123">
        <w:rPr>
          <w:color w:val="002F5D"/>
        </w:rPr>
        <w:t xml:space="preserve"> </w:t>
      </w:r>
    </w:p>
    <w:p w14:paraId="5B323924" w14:textId="77777777" w:rsidR="00C10CA3" w:rsidRPr="009A2AB3" w:rsidRDefault="00C10CA3" w:rsidP="009A2AB3"/>
    <w:p w14:paraId="65ECB9AF" w14:textId="7F6E570F" w:rsidR="002D6911" w:rsidRPr="009A2AB3" w:rsidRDefault="008235CC" w:rsidP="009A2AB3">
      <w:r w:rsidRPr="008235CC">
        <w:rPr>
          <w:noProof/>
          <w:lang w:eastAsia="en-GB"/>
        </w:rPr>
        <w:drawing>
          <wp:inline distT="0" distB="0" distL="0" distR="0" wp14:anchorId="3434C685" wp14:editId="496D4149">
            <wp:extent cx="3533775" cy="2162175"/>
            <wp:effectExtent l="0" t="0" r="952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33775" cy="2162175"/>
                    </a:xfrm>
                    <a:prstGeom prst="rect">
                      <a:avLst/>
                    </a:prstGeom>
                    <a:noFill/>
                    <a:ln>
                      <a:noFill/>
                    </a:ln>
                  </pic:spPr>
                </pic:pic>
              </a:graphicData>
            </a:graphic>
          </wp:inline>
        </w:drawing>
      </w:r>
    </w:p>
    <w:p w14:paraId="1F2B3D17" w14:textId="77777777" w:rsidR="00C10CA3" w:rsidRDefault="00C10CA3" w:rsidP="0043274F">
      <w:pPr>
        <w:spacing w:line="240" w:lineRule="auto"/>
      </w:pPr>
    </w:p>
    <w:p w14:paraId="4C8B8CDA" w14:textId="153808AC" w:rsidR="00A938F7" w:rsidRDefault="00A938F7" w:rsidP="0043274F">
      <w:pPr>
        <w:spacing w:line="240" w:lineRule="auto"/>
        <w:rPr>
          <w:color w:val="002F5D"/>
          <w:sz w:val="18"/>
        </w:rPr>
      </w:pPr>
      <w:r w:rsidRPr="00B65123">
        <w:rPr>
          <w:color w:val="002F5D"/>
          <w:sz w:val="18"/>
        </w:rPr>
        <w:t>DASR - Directly age-standardised rate</w:t>
      </w:r>
    </w:p>
    <w:p w14:paraId="21B17512" w14:textId="77777777" w:rsidR="002D6911" w:rsidRPr="00B65123" w:rsidRDefault="002D6911" w:rsidP="0043274F">
      <w:pPr>
        <w:spacing w:line="240" w:lineRule="auto"/>
        <w:rPr>
          <w:color w:val="002F5D"/>
          <w:sz w:val="18"/>
        </w:rPr>
      </w:pPr>
    </w:p>
    <w:p w14:paraId="20A76469" w14:textId="6220451C" w:rsidR="002A1B3E" w:rsidRPr="0037351D" w:rsidRDefault="002D6911" w:rsidP="0043274F">
      <w:pPr>
        <w:spacing w:line="240" w:lineRule="auto"/>
        <w:rPr>
          <w:color w:val="FF0000"/>
        </w:rPr>
      </w:pPr>
      <w:r w:rsidRPr="002D6911">
        <w:rPr>
          <w:noProof/>
          <w:lang w:eastAsia="en-GB"/>
        </w:rPr>
        <w:drawing>
          <wp:inline distT="0" distB="0" distL="0" distR="0" wp14:anchorId="71E1499B" wp14:editId="34E50D6D">
            <wp:extent cx="4057650" cy="551262"/>
            <wp:effectExtent l="0" t="0" r="0" b="127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68722" cy="552766"/>
                    </a:xfrm>
                    <a:prstGeom prst="rect">
                      <a:avLst/>
                    </a:prstGeom>
                    <a:noFill/>
                    <a:ln>
                      <a:noFill/>
                    </a:ln>
                  </pic:spPr>
                </pic:pic>
              </a:graphicData>
            </a:graphic>
          </wp:inline>
        </w:drawing>
      </w:r>
    </w:p>
    <w:p w14:paraId="00FAFF06" w14:textId="77777777" w:rsidR="00A21D50" w:rsidRPr="00B65123" w:rsidRDefault="00A21D50" w:rsidP="0043274F">
      <w:pPr>
        <w:spacing w:line="240" w:lineRule="auto"/>
        <w:rPr>
          <w:color w:val="002F5D"/>
        </w:rPr>
      </w:pPr>
    </w:p>
    <w:p w14:paraId="381641E7" w14:textId="77777777" w:rsidR="00A21D50" w:rsidRPr="00B65123" w:rsidRDefault="00A21D50" w:rsidP="0043274F">
      <w:pPr>
        <w:spacing w:line="240" w:lineRule="auto"/>
        <w:rPr>
          <w:color w:val="002F5D"/>
        </w:rPr>
      </w:pPr>
      <w:r w:rsidRPr="00B65123">
        <w:rPr>
          <w:b/>
          <w:color w:val="002F5D"/>
        </w:rPr>
        <w:t>Source:</w:t>
      </w:r>
      <w:r w:rsidRPr="00B65123">
        <w:rPr>
          <w:color w:val="002F5D"/>
        </w:rPr>
        <w:t xml:space="preserve"> Public Health England Public Health Outcomes Framework indicator 4.10</w:t>
      </w:r>
    </w:p>
    <w:p w14:paraId="48EB01A7" w14:textId="77777777" w:rsidR="00A21D50" w:rsidRPr="0037351D" w:rsidRDefault="00A21D50" w:rsidP="0043274F">
      <w:pPr>
        <w:spacing w:line="240" w:lineRule="auto"/>
        <w:rPr>
          <w:color w:val="FF0000"/>
        </w:rPr>
      </w:pPr>
    </w:p>
    <w:p w14:paraId="7AAB3496" w14:textId="77777777" w:rsidR="00A21D50" w:rsidRPr="0059096E" w:rsidRDefault="00A45A15" w:rsidP="0043274F">
      <w:pPr>
        <w:spacing w:line="240" w:lineRule="auto"/>
        <w:rPr>
          <w:b/>
          <w:color w:val="002F5D"/>
        </w:rPr>
      </w:pPr>
      <w:r w:rsidRPr="0059096E">
        <w:rPr>
          <w:b/>
          <w:color w:val="002F5D"/>
        </w:rPr>
        <w:t>Key points</w:t>
      </w:r>
      <w:r w:rsidR="00A21D50" w:rsidRPr="0059096E">
        <w:rPr>
          <w:b/>
          <w:color w:val="002F5D"/>
        </w:rPr>
        <w:t>:</w:t>
      </w:r>
    </w:p>
    <w:p w14:paraId="150D654B" w14:textId="1204EBB4" w:rsidR="00E667E4" w:rsidRPr="0059096E" w:rsidRDefault="00A45A15" w:rsidP="0043274F">
      <w:pPr>
        <w:pStyle w:val="ListParagraph"/>
        <w:numPr>
          <w:ilvl w:val="0"/>
          <w:numId w:val="62"/>
        </w:numPr>
        <w:spacing w:line="240" w:lineRule="auto"/>
        <w:rPr>
          <w:color w:val="002F5D"/>
        </w:rPr>
      </w:pPr>
      <w:r w:rsidRPr="0059096E">
        <w:rPr>
          <w:color w:val="002F5D"/>
        </w:rPr>
        <w:t>The rates</w:t>
      </w:r>
      <w:r w:rsidR="00DE69D0">
        <w:rPr>
          <w:color w:val="002F5D"/>
        </w:rPr>
        <w:t xml:space="preserve"> for this indicator</w:t>
      </w:r>
      <w:r w:rsidRPr="0059096E">
        <w:rPr>
          <w:color w:val="002F5D"/>
        </w:rPr>
        <w:t xml:space="preserve"> for Cambridgeshire</w:t>
      </w:r>
      <w:r w:rsidR="00E667E4" w:rsidRPr="0059096E">
        <w:rPr>
          <w:color w:val="002F5D"/>
        </w:rPr>
        <w:t xml:space="preserve"> and Peterborough</w:t>
      </w:r>
      <w:r w:rsidR="00E42A1D" w:rsidRPr="0059096E">
        <w:rPr>
          <w:color w:val="002F5D"/>
        </w:rPr>
        <w:t xml:space="preserve"> as a whole, as well as </w:t>
      </w:r>
      <w:r w:rsidR="009248B9" w:rsidRPr="0059096E">
        <w:rPr>
          <w:color w:val="002F5D"/>
        </w:rPr>
        <w:t>Peterborough,</w:t>
      </w:r>
      <w:r w:rsidR="00E667E4" w:rsidRPr="0059096E">
        <w:rPr>
          <w:color w:val="002F5D"/>
        </w:rPr>
        <w:t xml:space="preserve"> do not differ significantly from the rate for England.</w:t>
      </w:r>
      <w:r w:rsidR="007B599A" w:rsidRPr="0059096E">
        <w:rPr>
          <w:color w:val="002F5D"/>
        </w:rPr>
        <w:t xml:space="preserve"> </w:t>
      </w:r>
    </w:p>
    <w:p w14:paraId="3DF39908" w14:textId="77777777" w:rsidR="00E42A1D" w:rsidRPr="0059096E" w:rsidRDefault="00E42A1D" w:rsidP="0043274F">
      <w:pPr>
        <w:pStyle w:val="ListParagraph"/>
        <w:numPr>
          <w:ilvl w:val="0"/>
          <w:numId w:val="62"/>
        </w:numPr>
        <w:spacing w:line="240" w:lineRule="auto"/>
        <w:rPr>
          <w:color w:val="002F5D"/>
        </w:rPr>
      </w:pPr>
      <w:r w:rsidRPr="0059096E">
        <w:rPr>
          <w:color w:val="002F5D"/>
        </w:rPr>
        <w:t>Cambridgeshire’s suicide rate is statistically significantly lower than the national rate.</w:t>
      </w:r>
    </w:p>
    <w:p w14:paraId="454296E1" w14:textId="46C8F9A9" w:rsidR="00A21D50" w:rsidRPr="0059096E" w:rsidRDefault="00E667E4" w:rsidP="0043274F">
      <w:pPr>
        <w:pStyle w:val="ListParagraph"/>
        <w:numPr>
          <w:ilvl w:val="0"/>
          <w:numId w:val="62"/>
        </w:numPr>
        <w:spacing w:line="240" w:lineRule="auto"/>
        <w:rPr>
          <w:color w:val="002F5D"/>
        </w:rPr>
      </w:pPr>
      <w:r w:rsidRPr="0059096E">
        <w:rPr>
          <w:color w:val="002F5D"/>
        </w:rPr>
        <w:t>The rates for Cambridgeshire districts</w:t>
      </w:r>
      <w:r w:rsidR="00A45A15" w:rsidRPr="0059096E">
        <w:rPr>
          <w:color w:val="002F5D"/>
        </w:rPr>
        <w:t xml:space="preserve"> do not differ significantly from the rate for England</w:t>
      </w:r>
      <w:r w:rsidRPr="0059096E">
        <w:rPr>
          <w:color w:val="002F5D"/>
        </w:rPr>
        <w:t xml:space="preserve"> except f</w:t>
      </w:r>
      <w:r w:rsidR="00DE69D0">
        <w:rPr>
          <w:color w:val="002F5D"/>
        </w:rPr>
        <w:t>or</w:t>
      </w:r>
      <w:r w:rsidRPr="0059096E">
        <w:rPr>
          <w:color w:val="002F5D"/>
        </w:rPr>
        <w:t xml:space="preserve"> East Cambridgeshire</w:t>
      </w:r>
      <w:r w:rsidR="0059096E" w:rsidRPr="0059096E">
        <w:rPr>
          <w:color w:val="002F5D"/>
        </w:rPr>
        <w:t xml:space="preserve"> and Huntingdonshire</w:t>
      </w:r>
      <w:r w:rsidRPr="0059096E">
        <w:rPr>
          <w:color w:val="002F5D"/>
        </w:rPr>
        <w:t>, where the rate is statistically better than the England average</w:t>
      </w:r>
      <w:r w:rsidR="00A45A15" w:rsidRPr="0059096E">
        <w:rPr>
          <w:color w:val="002F5D"/>
        </w:rPr>
        <w:t xml:space="preserve">. </w:t>
      </w:r>
    </w:p>
    <w:p w14:paraId="26A320D0" w14:textId="7C076C73" w:rsidR="00A45A15" w:rsidRPr="0059096E" w:rsidRDefault="00E42A1D" w:rsidP="0043274F">
      <w:pPr>
        <w:pStyle w:val="ListParagraph"/>
        <w:numPr>
          <w:ilvl w:val="0"/>
          <w:numId w:val="62"/>
        </w:numPr>
        <w:spacing w:line="240" w:lineRule="auto"/>
        <w:rPr>
          <w:color w:val="002F5D"/>
        </w:rPr>
      </w:pPr>
      <w:r w:rsidRPr="0059096E">
        <w:rPr>
          <w:color w:val="002F5D"/>
        </w:rPr>
        <w:t>R</w:t>
      </w:r>
      <w:r w:rsidR="00A45A15" w:rsidRPr="0059096E">
        <w:rPr>
          <w:color w:val="002F5D"/>
        </w:rPr>
        <w:t>ates in males are higher than in females</w:t>
      </w:r>
      <w:r w:rsidR="00DE69D0">
        <w:rPr>
          <w:color w:val="002F5D"/>
        </w:rPr>
        <w:t xml:space="preserve"> (data not shown)</w:t>
      </w:r>
      <w:r w:rsidR="00A45A15" w:rsidRPr="0059096E">
        <w:rPr>
          <w:color w:val="002F5D"/>
        </w:rPr>
        <w:t>.</w:t>
      </w:r>
    </w:p>
    <w:p w14:paraId="250B2EEE" w14:textId="77777777" w:rsidR="007E4C50" w:rsidRDefault="007E4C50" w:rsidP="002A1B3E">
      <w:pPr>
        <w:spacing w:line="240" w:lineRule="auto"/>
        <w:rPr>
          <w:color w:val="FF0000"/>
        </w:rPr>
      </w:pPr>
    </w:p>
    <w:p w14:paraId="09100BEA" w14:textId="77777777" w:rsidR="008B5BA7" w:rsidRDefault="008B5BA7" w:rsidP="002A1B3E">
      <w:pPr>
        <w:spacing w:line="240" w:lineRule="auto"/>
        <w:rPr>
          <w:color w:val="FF0000"/>
        </w:rPr>
      </w:pPr>
    </w:p>
    <w:p w14:paraId="47A5D22B" w14:textId="77777777" w:rsidR="008B5BA7" w:rsidRDefault="008B5BA7" w:rsidP="002A1B3E">
      <w:pPr>
        <w:spacing w:line="240" w:lineRule="auto"/>
        <w:rPr>
          <w:color w:val="FF0000"/>
        </w:rPr>
      </w:pPr>
    </w:p>
    <w:p w14:paraId="3F7CA45F" w14:textId="77777777" w:rsidR="008B5BA7" w:rsidRDefault="008B5BA7" w:rsidP="002A1B3E">
      <w:pPr>
        <w:spacing w:line="240" w:lineRule="auto"/>
        <w:rPr>
          <w:color w:val="FF0000"/>
        </w:rPr>
      </w:pPr>
    </w:p>
    <w:p w14:paraId="2BBAA7CE" w14:textId="77777777" w:rsidR="008B5BA7" w:rsidRDefault="008B5BA7" w:rsidP="002A1B3E">
      <w:pPr>
        <w:spacing w:line="240" w:lineRule="auto"/>
        <w:rPr>
          <w:color w:val="FF0000"/>
        </w:rPr>
      </w:pPr>
    </w:p>
    <w:p w14:paraId="32C454C4" w14:textId="77777777" w:rsidR="008B5BA7" w:rsidRDefault="008B5BA7" w:rsidP="002A1B3E">
      <w:pPr>
        <w:spacing w:line="240" w:lineRule="auto"/>
        <w:rPr>
          <w:color w:val="FF0000"/>
        </w:rPr>
      </w:pPr>
    </w:p>
    <w:p w14:paraId="30F4AF42" w14:textId="77777777" w:rsidR="008B5BA7" w:rsidRDefault="008B5BA7" w:rsidP="002A1B3E">
      <w:pPr>
        <w:spacing w:line="240" w:lineRule="auto"/>
        <w:rPr>
          <w:color w:val="FF0000"/>
        </w:rPr>
      </w:pPr>
    </w:p>
    <w:p w14:paraId="35F43877" w14:textId="77777777" w:rsidR="008B5BA7" w:rsidRDefault="008B5BA7" w:rsidP="002A1B3E">
      <w:pPr>
        <w:spacing w:line="240" w:lineRule="auto"/>
        <w:rPr>
          <w:color w:val="FF0000"/>
        </w:rPr>
      </w:pPr>
    </w:p>
    <w:p w14:paraId="7526FDA0" w14:textId="77777777" w:rsidR="008B5BA7" w:rsidRDefault="008B5BA7" w:rsidP="002A1B3E">
      <w:pPr>
        <w:spacing w:line="240" w:lineRule="auto"/>
        <w:rPr>
          <w:color w:val="FF0000"/>
        </w:rPr>
      </w:pPr>
    </w:p>
    <w:p w14:paraId="4F42F5DA" w14:textId="77777777" w:rsidR="005F726E" w:rsidRDefault="005F726E" w:rsidP="002A1B3E">
      <w:pPr>
        <w:spacing w:line="240" w:lineRule="auto"/>
        <w:rPr>
          <w:color w:val="FF0000"/>
        </w:rPr>
        <w:sectPr w:rsidR="005F726E" w:rsidSect="004C7797">
          <w:pgSz w:w="11906" w:h="16838"/>
          <w:pgMar w:top="1134" w:right="1134" w:bottom="1134" w:left="1134" w:header="709" w:footer="709" w:gutter="0"/>
          <w:cols w:space="708"/>
          <w:titlePg/>
          <w:docGrid w:linePitch="360"/>
        </w:sectPr>
      </w:pPr>
    </w:p>
    <w:p w14:paraId="39143821" w14:textId="1CBE655A" w:rsidR="007E4C50" w:rsidRPr="0037351D" w:rsidRDefault="007E4C50" w:rsidP="002A1B3E">
      <w:pPr>
        <w:spacing w:line="240" w:lineRule="auto"/>
        <w:rPr>
          <w:color w:val="FF0000"/>
        </w:rPr>
      </w:pPr>
    </w:p>
    <w:p w14:paraId="151959DB" w14:textId="69BC0C36" w:rsidR="008B5BA7" w:rsidRPr="0037351D" w:rsidRDefault="008B5BA7" w:rsidP="00A3568F">
      <w:pPr>
        <w:pStyle w:val="JSNA3"/>
      </w:pPr>
      <w:bookmarkStart w:id="808" w:name="_Toc4407882"/>
      <w:r w:rsidRPr="008B5BA7">
        <w:t>Estimate</w:t>
      </w:r>
      <w:r w:rsidR="00AF7C51">
        <w:t xml:space="preserve">d behavioural and mental health related prevalence for selected disorders - </w:t>
      </w:r>
      <w:r w:rsidRPr="008B5BA7">
        <w:t>Children and Young</w:t>
      </w:r>
      <w:r w:rsidR="00AF7C51">
        <w:t xml:space="preserve"> People</w:t>
      </w:r>
      <w:bookmarkEnd w:id="808"/>
    </w:p>
    <w:p w14:paraId="0898D7F1" w14:textId="77777777" w:rsidR="008B5BA7" w:rsidRDefault="008B5BA7" w:rsidP="008B5BA7">
      <w:pPr>
        <w:rPr>
          <w:color w:val="002F5D"/>
        </w:rPr>
      </w:pPr>
    </w:p>
    <w:p w14:paraId="29BCF57B" w14:textId="06D650FD" w:rsidR="008B5BA7" w:rsidRPr="008B5BA7" w:rsidRDefault="008B5BA7" w:rsidP="008B5BA7">
      <w:pPr>
        <w:spacing w:after="160" w:line="259" w:lineRule="auto"/>
        <w:rPr>
          <w:rFonts w:ascii="Calibri" w:eastAsia="Calibri" w:hAnsi="Calibri" w:cs="Arial"/>
          <w:color w:val="002F5D"/>
        </w:rPr>
      </w:pPr>
      <w:r w:rsidRPr="008B5BA7">
        <w:rPr>
          <w:rFonts w:ascii="Calibri" w:eastAsia="Calibri" w:hAnsi="Calibri" w:cs="Arial"/>
          <w:color w:val="002F5D"/>
        </w:rPr>
        <w:t xml:space="preserve">Mental Health of Children and Young People in England, 2017, published by NHS Digital, collected information from 9,117 children and young people and combines information from children and young people or their parents and teachers.  </w:t>
      </w:r>
      <w:r w:rsidRPr="008B5BA7">
        <w:rPr>
          <w:rFonts w:ascii="Calibri" w:eastAsia="Calibri" w:hAnsi="Calibri" w:cs="Arial"/>
          <w:color w:val="002F5D"/>
          <w:shd w:val="clear" w:color="auto" w:fill="FFFFFF"/>
        </w:rPr>
        <w:t>Specific mental disorders were grouped into four broad categories: emotional, behavioural, hyperactivity and other less common disorder</w:t>
      </w:r>
      <w:r w:rsidRPr="008B5BA7">
        <w:rPr>
          <w:rFonts w:ascii="Calibri" w:eastAsia="Calibri" w:hAnsi="Calibri" w:cs="Arial"/>
          <w:color w:val="002F5D"/>
        </w:rPr>
        <w:t xml:space="preserve">.  Table </w:t>
      </w:r>
      <w:r w:rsidR="00172365">
        <w:rPr>
          <w:rFonts w:ascii="Calibri" w:eastAsia="Calibri" w:hAnsi="Calibri" w:cs="Arial"/>
          <w:color w:val="002F5D"/>
        </w:rPr>
        <w:t>73</w:t>
      </w:r>
      <w:r w:rsidRPr="008B5BA7">
        <w:rPr>
          <w:rFonts w:ascii="Calibri" w:eastAsia="Calibri" w:hAnsi="Calibri" w:cs="Arial"/>
          <w:color w:val="002F5D"/>
        </w:rPr>
        <w:t xml:space="preserve"> below shows the findings on the prevalence of mental disorder by the four broad categories, pervasive development disorder (PDD)/autism spectrum disorder (ASD) and eating disorders.</w:t>
      </w:r>
    </w:p>
    <w:p w14:paraId="512231D8" w14:textId="77777777" w:rsidR="008B5BA7" w:rsidRPr="008B5BA7" w:rsidRDefault="008B5BA7" w:rsidP="008B5BA7">
      <w:pPr>
        <w:spacing w:after="160" w:line="259" w:lineRule="auto"/>
        <w:rPr>
          <w:rFonts w:ascii="Calibri" w:eastAsia="Calibri" w:hAnsi="Calibri" w:cs="Arial"/>
          <w:color w:val="002F5D"/>
        </w:rPr>
      </w:pPr>
      <w:r w:rsidRPr="008B5BA7">
        <w:rPr>
          <w:rFonts w:ascii="Calibri" w:eastAsia="Calibri" w:hAnsi="Calibri" w:cs="Arial"/>
          <w:color w:val="002F5D"/>
        </w:rPr>
        <w:t xml:space="preserve">The full report can be found here: </w:t>
      </w:r>
      <w:hyperlink r:id="rId206" w:history="1">
        <w:r w:rsidRPr="008B5BA7">
          <w:rPr>
            <w:rFonts w:ascii="Calibri" w:eastAsia="Calibri" w:hAnsi="Calibri" w:cs="Arial"/>
            <w:color w:val="0563C1"/>
            <w:u w:val="single"/>
          </w:rPr>
          <w:t>https://files.digital.nhs.uk/F6/A5706C/MHCYP%202017%20Summary.pdf</w:t>
        </w:r>
      </w:hyperlink>
      <w:r w:rsidRPr="008B5BA7">
        <w:rPr>
          <w:rFonts w:ascii="Calibri" w:eastAsia="Calibri" w:hAnsi="Calibri" w:cs="Arial"/>
          <w:color w:val="002F5D"/>
        </w:rPr>
        <w:t xml:space="preserve">.  </w:t>
      </w:r>
    </w:p>
    <w:p w14:paraId="27DF1438" w14:textId="4A806761" w:rsidR="008B5BA7" w:rsidRPr="009A2AB3" w:rsidRDefault="008B5BA7" w:rsidP="008B5BA7">
      <w:pPr>
        <w:spacing w:line="240" w:lineRule="auto"/>
        <w:rPr>
          <w:rFonts w:ascii="Calibri" w:eastAsia="Times New Roman" w:hAnsi="Calibri" w:cs="Times New Roman"/>
          <w:bCs/>
          <w:color w:val="002F5D"/>
          <w:lang w:eastAsia="en-GB"/>
        </w:rPr>
      </w:pPr>
      <w:r w:rsidRPr="008B5BA7">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73</w:t>
      </w:r>
      <w:r w:rsidRPr="008B5BA7">
        <w:rPr>
          <w:rFonts w:ascii="Calibri" w:eastAsia="Times New Roman" w:hAnsi="Calibri" w:cs="Times New Roman"/>
          <w:b/>
          <w:bCs/>
          <w:color w:val="002F5D"/>
          <w:lang w:eastAsia="en-GB"/>
        </w:rPr>
        <w:t xml:space="preserve">: </w:t>
      </w:r>
      <w:r w:rsidRPr="009A2AB3">
        <w:rPr>
          <w:rFonts w:ascii="Calibri" w:eastAsia="Times New Roman" w:hAnsi="Calibri" w:cs="Times New Roman"/>
          <w:bCs/>
          <w:color w:val="002F5D"/>
          <w:lang w:eastAsia="en-GB"/>
        </w:rPr>
        <w:t>Any mental disorder and specific disorders prevalence by age and sex, 2017</w:t>
      </w:r>
    </w:p>
    <w:p w14:paraId="34177FA3" w14:textId="77777777" w:rsidR="008B5BA7" w:rsidRPr="009A2AB3" w:rsidRDefault="008B5BA7" w:rsidP="008B5BA7">
      <w:pPr>
        <w:spacing w:line="240" w:lineRule="auto"/>
        <w:rPr>
          <w:rFonts w:ascii="Calibri" w:eastAsia="Times New Roman" w:hAnsi="Calibri" w:cs="Times New Roman"/>
          <w:bCs/>
          <w:color w:val="002F5D"/>
          <w:lang w:eastAsia="en-GB"/>
        </w:rPr>
      </w:pPr>
    </w:p>
    <w:p w14:paraId="174F5EAF" w14:textId="2EA06638" w:rsidR="00C163CD" w:rsidRDefault="008B5BA7" w:rsidP="008B5BA7">
      <w:pPr>
        <w:spacing w:after="160" w:line="259" w:lineRule="auto"/>
        <w:rPr>
          <w:rFonts w:ascii="Calibri" w:eastAsia="Times New Roman" w:hAnsi="Calibri" w:cs="Arial"/>
          <w:bCs/>
          <w:color w:val="002F5D"/>
          <w:lang w:eastAsia="en-GB"/>
        </w:rPr>
      </w:pPr>
      <w:r w:rsidRPr="008B5BA7">
        <w:rPr>
          <w:rFonts w:ascii="Calibri" w:eastAsia="Calibri" w:hAnsi="Calibri" w:cs="Times New Roman"/>
          <w:noProof/>
          <w:lang w:eastAsia="en-GB"/>
        </w:rPr>
        <w:drawing>
          <wp:inline distT="0" distB="0" distL="0" distR="0" wp14:anchorId="5EFB2EA9" wp14:editId="6539F72A">
            <wp:extent cx="8863330" cy="1449254"/>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863330" cy="1449254"/>
                    </a:xfrm>
                    <a:prstGeom prst="rect">
                      <a:avLst/>
                    </a:prstGeom>
                    <a:noFill/>
                    <a:ln>
                      <a:noFill/>
                    </a:ln>
                  </pic:spPr>
                </pic:pic>
              </a:graphicData>
            </a:graphic>
          </wp:inline>
        </w:drawing>
      </w:r>
    </w:p>
    <w:p w14:paraId="1CF80DC9" w14:textId="77777777" w:rsidR="00C163CD" w:rsidRPr="009A2AB3" w:rsidDel="00857026" w:rsidRDefault="00C163CD" w:rsidP="009A2AB3">
      <w:pPr>
        <w:pStyle w:val="NoSpacing"/>
        <w:rPr>
          <w:color w:val="002F5D"/>
          <w:sz w:val="18"/>
          <w:szCs w:val="18"/>
        </w:rPr>
      </w:pPr>
      <w:r w:rsidRPr="009A2AB3" w:rsidDel="00857026">
        <w:rPr>
          <w:color w:val="002F5D"/>
          <w:sz w:val="18"/>
          <w:szCs w:val="18"/>
        </w:rPr>
        <w:t>Note: *Other less common disorders, includes PDD, ASD, eating disorders and Tics/other less common disorders</w:t>
      </w:r>
    </w:p>
    <w:p w14:paraId="2C3533F9" w14:textId="606C8EDA" w:rsidR="00996160" w:rsidRPr="009A2AB3" w:rsidRDefault="00C163CD" w:rsidP="009A2AB3">
      <w:pPr>
        <w:pStyle w:val="NoSpacing"/>
        <w:rPr>
          <w:color w:val="002F5D"/>
          <w:sz w:val="18"/>
          <w:szCs w:val="18"/>
        </w:rPr>
      </w:pPr>
      <w:r w:rsidRPr="009A2AB3" w:rsidDel="00857026">
        <w:rPr>
          <w:color w:val="002F5D"/>
          <w:sz w:val="18"/>
          <w:szCs w:val="18"/>
        </w:rPr>
        <w:t>‘-‘ = no observations (zero value)</w:t>
      </w:r>
    </w:p>
    <w:p w14:paraId="63CFC8E9" w14:textId="1333AE60" w:rsidR="00996160" w:rsidRPr="009A2AB3" w:rsidRDefault="00C30853" w:rsidP="009A2AB3">
      <w:pPr>
        <w:pStyle w:val="NoSpacing"/>
        <w:rPr>
          <w:rFonts w:eastAsia="Times New Roman" w:cs="Times New Roman"/>
          <w:color w:val="002F5D"/>
          <w:sz w:val="18"/>
          <w:szCs w:val="18"/>
          <w:lang w:eastAsia="en-GB"/>
        </w:rPr>
      </w:pPr>
      <w:r>
        <w:rPr>
          <w:color w:val="002F5D"/>
          <w:sz w:val="18"/>
          <w:szCs w:val="18"/>
          <w:shd w:val="clear" w:color="auto" w:fill="FFFFFF"/>
        </w:rPr>
        <w:t>Caution is needed</w:t>
      </w:r>
      <w:r w:rsidR="00996160" w:rsidRPr="009A2AB3">
        <w:rPr>
          <w:color w:val="002F5D"/>
          <w:sz w:val="18"/>
          <w:szCs w:val="18"/>
          <w:shd w:val="clear" w:color="auto" w:fill="FFFFFF"/>
        </w:rPr>
        <w:t>, when comparing rates between age groups due to differences in data collection.  For example, teacher reports were only available for 5 to 16 year olds.</w:t>
      </w:r>
      <w:r>
        <w:rPr>
          <w:color w:val="002F5D"/>
          <w:sz w:val="18"/>
          <w:szCs w:val="18"/>
          <w:shd w:val="clear" w:color="auto" w:fill="FFFFFF"/>
        </w:rPr>
        <w:t xml:space="preserve">  For further details see Survey Design and Methods report</w:t>
      </w:r>
      <w:r w:rsidRPr="0041347C">
        <w:rPr>
          <w:rStyle w:val="FootnoteReference"/>
          <w:color w:val="002B61"/>
        </w:rPr>
        <w:footnoteReference w:id="16"/>
      </w:r>
    </w:p>
    <w:p w14:paraId="50E71EA6" w14:textId="77777777" w:rsidR="00C163CD" w:rsidRDefault="00C163CD" w:rsidP="008B5BA7">
      <w:pPr>
        <w:spacing w:after="160" w:line="259" w:lineRule="auto"/>
        <w:rPr>
          <w:rFonts w:ascii="Calibri" w:eastAsia="Times New Roman" w:hAnsi="Calibri" w:cs="Arial"/>
          <w:bCs/>
          <w:color w:val="002F5D"/>
          <w:lang w:eastAsia="en-GB"/>
        </w:rPr>
      </w:pPr>
    </w:p>
    <w:p w14:paraId="7E1D667D" w14:textId="19579B22" w:rsidR="008B5BA7" w:rsidRPr="008B5BA7" w:rsidRDefault="008B5BA7" w:rsidP="008B5BA7">
      <w:pPr>
        <w:spacing w:after="160" w:line="259" w:lineRule="auto"/>
        <w:rPr>
          <w:rFonts w:ascii="Calibri" w:eastAsia="Calibri" w:hAnsi="Calibri" w:cs="Arial"/>
          <w:color w:val="002F5D"/>
        </w:rPr>
      </w:pPr>
      <w:r w:rsidRPr="009A2AB3">
        <w:rPr>
          <w:rFonts w:ascii="Calibri" w:eastAsia="Times New Roman" w:hAnsi="Calibri" w:cs="Arial"/>
          <w:b/>
          <w:bCs/>
          <w:color w:val="002F5D"/>
          <w:lang w:eastAsia="en-GB"/>
        </w:rPr>
        <w:t>Source:</w:t>
      </w:r>
      <w:r w:rsidRPr="008B5BA7">
        <w:rPr>
          <w:rFonts w:ascii="Calibri" w:eastAsia="Times New Roman" w:hAnsi="Calibri" w:cs="Arial"/>
          <w:bCs/>
          <w:color w:val="002F5D"/>
          <w:lang w:eastAsia="en-GB"/>
        </w:rPr>
        <w:t xml:space="preserve"> Mental Health of Children and Young People Survey, NHS Digital</w:t>
      </w:r>
      <w:r w:rsidRPr="008B5BA7">
        <w:rPr>
          <w:rFonts w:ascii="Calibri" w:eastAsia="Calibri" w:hAnsi="Calibri" w:cs="Arial"/>
          <w:color w:val="002F5D"/>
        </w:rPr>
        <w:t xml:space="preserve"> Copyright © 2018 Health and Social Care Information Centre.</w:t>
      </w:r>
    </w:p>
    <w:p w14:paraId="281CDB71" w14:textId="0C22F040" w:rsidR="008B5BA7" w:rsidRPr="009A2AB3" w:rsidRDefault="008B5BA7" w:rsidP="008B5BA7">
      <w:pPr>
        <w:spacing w:line="240" w:lineRule="auto"/>
        <w:rPr>
          <w:rFonts w:ascii="Calibri" w:eastAsia="Calibri" w:hAnsi="Calibri" w:cs="Arial"/>
          <w:b/>
          <w:color w:val="002F5D"/>
          <w:shd w:val="clear" w:color="auto" w:fill="FFFFFF"/>
        </w:rPr>
      </w:pPr>
      <w:r w:rsidRPr="009A2AB3">
        <w:rPr>
          <w:rFonts w:ascii="Calibri" w:eastAsia="Calibri" w:hAnsi="Calibri" w:cs="Arial"/>
          <w:b/>
          <w:color w:val="002F5D"/>
          <w:shd w:val="clear" w:color="auto" w:fill="FFFFFF"/>
        </w:rPr>
        <w:t>Key points</w:t>
      </w:r>
      <w:r w:rsidR="00E07D71">
        <w:rPr>
          <w:rFonts w:ascii="Calibri" w:eastAsia="Calibri" w:hAnsi="Calibri" w:cs="Arial"/>
          <w:b/>
          <w:color w:val="002F5D"/>
          <w:shd w:val="clear" w:color="auto" w:fill="FFFFFF"/>
        </w:rPr>
        <w:t>:</w:t>
      </w:r>
    </w:p>
    <w:p w14:paraId="761B3D5D" w14:textId="66EDAC7C"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t>One in eight (12.8%) 5 to 19 year olds had a</w:t>
      </w:r>
      <w:r w:rsidR="00172365">
        <w:rPr>
          <w:rFonts w:ascii="Calibri" w:eastAsia="Calibri" w:hAnsi="Calibri" w:cs="Arial"/>
          <w:color w:val="002F5D"/>
          <w:shd w:val="clear" w:color="auto" w:fill="FFFFFF"/>
        </w:rPr>
        <w:t>t</w:t>
      </w:r>
      <w:r w:rsidRPr="008B5BA7">
        <w:rPr>
          <w:rFonts w:ascii="Calibri" w:eastAsia="Calibri" w:hAnsi="Calibri" w:cs="Arial"/>
          <w:color w:val="002F5D"/>
          <w:shd w:val="clear" w:color="auto" w:fill="FFFFFF"/>
        </w:rPr>
        <w:t xml:space="preserve"> least one mental disorder when assessed.  </w:t>
      </w:r>
    </w:p>
    <w:p w14:paraId="0E0E10C9" w14:textId="77777777"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t>Emotional disorders were the most prevalent of the disorders experienced by 5 to 19 year olds in 2017 (8.1%).</w:t>
      </w:r>
    </w:p>
    <w:p w14:paraId="4CA6B1C8" w14:textId="3EBEB99E"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t>Rates of mental disorders increased with age</w:t>
      </w:r>
      <w:r w:rsidR="00857026">
        <w:rPr>
          <w:rFonts w:ascii="Calibri" w:eastAsia="Calibri" w:hAnsi="Calibri" w:cs="Arial"/>
          <w:color w:val="002F5D"/>
          <w:shd w:val="clear" w:color="auto" w:fill="FFFFFF"/>
        </w:rPr>
        <w:t>;</w:t>
      </w:r>
      <w:r w:rsidRPr="008B5BA7">
        <w:rPr>
          <w:rFonts w:ascii="Calibri" w:eastAsia="Calibri" w:hAnsi="Calibri" w:cs="Arial"/>
          <w:color w:val="002F5D"/>
          <w:shd w:val="clear" w:color="auto" w:fill="FFFFFF"/>
        </w:rPr>
        <w:t xml:space="preserve"> 9.5% of 5 to 10 year olds experienced a mental disorder, compared to 16.9% of 17 to 19 year olds.  </w:t>
      </w:r>
    </w:p>
    <w:p w14:paraId="31FF196D" w14:textId="6647DFB2"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lastRenderedPageBreak/>
        <w:t>Different disorders were prominent at different stages of childhood.  For example, rates of emotional disorder were highest in 17 to 19 year olds, especially girls at 22.4%</w:t>
      </w:r>
      <w:r w:rsidR="00DE69D0">
        <w:rPr>
          <w:rFonts w:ascii="Calibri" w:eastAsia="Calibri" w:hAnsi="Calibri" w:cs="Arial"/>
          <w:color w:val="002F5D"/>
          <w:shd w:val="clear" w:color="auto" w:fill="FFFFFF"/>
        </w:rPr>
        <w:t>, w</w:t>
      </w:r>
      <w:r w:rsidRPr="008B5BA7">
        <w:rPr>
          <w:rFonts w:ascii="Calibri" w:eastAsia="Calibri" w:hAnsi="Calibri" w:cs="Arial"/>
          <w:color w:val="002F5D"/>
          <w:shd w:val="clear" w:color="auto" w:fill="FFFFFF"/>
        </w:rPr>
        <w:t>hile rates of behavioural and hyperactivity disorders were highest in children aged 5 to 16.</w:t>
      </w:r>
    </w:p>
    <w:p w14:paraId="227F4749" w14:textId="77777777"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t>ASD was identified in 1.2% of 5 to 19 year olds and was more common in boys (1.9%) than girls (0.4%).</w:t>
      </w:r>
    </w:p>
    <w:p w14:paraId="07DE8973" w14:textId="77777777" w:rsidR="008B5BA7" w:rsidRPr="008B5BA7" w:rsidRDefault="008B5BA7" w:rsidP="008B5BA7">
      <w:pPr>
        <w:numPr>
          <w:ilvl w:val="0"/>
          <w:numId w:val="85"/>
        </w:numPr>
        <w:spacing w:after="160" w:line="240" w:lineRule="auto"/>
        <w:contextualSpacing/>
        <w:rPr>
          <w:rFonts w:ascii="Calibri" w:eastAsia="Calibri" w:hAnsi="Calibri" w:cs="Arial"/>
          <w:color w:val="002F5D"/>
          <w:shd w:val="clear" w:color="auto" w:fill="FFFFFF"/>
        </w:rPr>
      </w:pPr>
      <w:r w:rsidRPr="008B5BA7">
        <w:rPr>
          <w:rFonts w:ascii="Calibri" w:eastAsia="Calibri" w:hAnsi="Calibri" w:cs="Arial"/>
          <w:color w:val="002F5D"/>
          <w:shd w:val="clear" w:color="auto" w:fill="FFFFFF"/>
        </w:rPr>
        <w:t>Eating disorders were present in 0.4% of 5 to 19 year olds.  Rates were higher in girls (0.7%) than boys (0.1%).  1.6% of 17 to 19 year old girls had an eating disorder.</w:t>
      </w:r>
    </w:p>
    <w:p w14:paraId="7F4BB0A7" w14:textId="77777777" w:rsidR="008B5BA7" w:rsidRPr="008B5BA7" w:rsidRDefault="008B5BA7" w:rsidP="008B5BA7">
      <w:pPr>
        <w:spacing w:line="240" w:lineRule="auto"/>
        <w:ind w:left="720"/>
        <w:contextualSpacing/>
        <w:rPr>
          <w:rFonts w:ascii="Calibri" w:eastAsia="Calibri" w:hAnsi="Calibri" w:cs="Arial"/>
          <w:color w:val="002F5D"/>
          <w:shd w:val="clear" w:color="auto" w:fill="FFFFFF"/>
        </w:rPr>
      </w:pPr>
    </w:p>
    <w:p w14:paraId="15C4F97F" w14:textId="77777777" w:rsidR="008B5BA7" w:rsidRPr="008B5BA7" w:rsidRDefault="008B5BA7" w:rsidP="008B5BA7">
      <w:pPr>
        <w:spacing w:after="160" w:line="259" w:lineRule="auto"/>
        <w:rPr>
          <w:rFonts w:ascii="Calibri" w:eastAsia="Calibri" w:hAnsi="Calibri" w:cs="Times New Roman"/>
          <w:color w:val="002F5D"/>
        </w:rPr>
      </w:pPr>
      <w:r w:rsidRPr="008B5BA7">
        <w:rPr>
          <w:rFonts w:ascii="Calibri" w:eastAsia="Calibri" w:hAnsi="Calibri" w:cs="Times New Roman"/>
          <w:color w:val="002F5D"/>
        </w:rPr>
        <w:t xml:space="preserve">The tables below are based on these prevalence levels applied to Office for National Statistics (ONS) Mid-2017 population estimates for Cambridgeshire and Peterborough to give estimated numbers for the Cambridgeshire Districts, Cambridgeshire, Peterborough and Cambridgeshire and Peterborough combined broken down by age band.   </w:t>
      </w:r>
    </w:p>
    <w:p w14:paraId="40A4364F" w14:textId="355DC76D"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Arial"/>
          <w:b/>
          <w:color w:val="002F5D"/>
        </w:rPr>
        <w:t xml:space="preserve">Table </w:t>
      </w:r>
      <w:r w:rsidR="00B81E4B">
        <w:rPr>
          <w:rFonts w:ascii="Calibri" w:eastAsia="Calibri" w:hAnsi="Calibri" w:cs="Arial"/>
          <w:b/>
          <w:color w:val="002F5D"/>
        </w:rPr>
        <w:t>74</w:t>
      </w:r>
      <w:r w:rsidRPr="008B5BA7">
        <w:rPr>
          <w:rFonts w:ascii="Calibri" w:eastAsia="Calibri" w:hAnsi="Calibri" w:cs="Arial"/>
          <w:b/>
          <w:color w:val="002F5D"/>
        </w:rPr>
        <w:t xml:space="preserve">: </w:t>
      </w:r>
      <w:r w:rsidRPr="009A2AB3">
        <w:rPr>
          <w:rFonts w:ascii="Calibri" w:eastAsia="Calibri" w:hAnsi="Calibri" w:cs="Arial"/>
          <w:color w:val="002F5D"/>
        </w:rPr>
        <w:t>Estimated numbers of children and young people aged 5-19 years with</w:t>
      </w:r>
      <w:r w:rsidR="00AF7C51">
        <w:rPr>
          <w:rFonts w:ascii="Calibri" w:eastAsia="Calibri" w:hAnsi="Calibri" w:cs="Arial"/>
          <w:color w:val="002F5D"/>
        </w:rPr>
        <w:t xml:space="preserve"> a</w:t>
      </w:r>
      <w:r w:rsidRPr="009A2AB3">
        <w:rPr>
          <w:rFonts w:ascii="Calibri" w:eastAsia="Calibri" w:hAnsi="Calibri" w:cs="Arial"/>
          <w:color w:val="002F5D"/>
        </w:rPr>
        <w:t xml:space="preserve"> Mental Health disorder, 2017, Cambridgeshire Districts, Cambridgeshire, Peterborough and Cambridgeshire and Peterborough combined</w:t>
      </w:r>
    </w:p>
    <w:p w14:paraId="76C43EE0" w14:textId="77777777"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Times New Roman"/>
          <w:noProof/>
          <w:lang w:eastAsia="en-GB"/>
        </w:rPr>
        <w:drawing>
          <wp:inline distT="0" distB="0" distL="0" distR="0" wp14:anchorId="7BCBE411" wp14:editId="57F949E6">
            <wp:extent cx="8863330" cy="2169242"/>
            <wp:effectExtent l="0" t="0" r="0" b="254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63330" cy="2169242"/>
                    </a:xfrm>
                    <a:prstGeom prst="rect">
                      <a:avLst/>
                    </a:prstGeom>
                    <a:noFill/>
                    <a:ln>
                      <a:noFill/>
                    </a:ln>
                  </pic:spPr>
                </pic:pic>
              </a:graphicData>
            </a:graphic>
          </wp:inline>
        </w:drawing>
      </w:r>
    </w:p>
    <w:p w14:paraId="1146616B"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Note: *Other less common disorders, includes PDD, ASD, eating disorders and Tics/other less common disorders</w:t>
      </w:r>
    </w:p>
    <w:p w14:paraId="541405DC"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 = no observations (zero value)</w:t>
      </w:r>
      <w:r w:rsidRPr="009A2AB3">
        <w:rPr>
          <w:rFonts w:ascii="Calibri" w:eastAsia="Calibri" w:hAnsi="Calibri" w:cs="Arial"/>
          <w:color w:val="002F5D"/>
          <w:sz w:val="18"/>
          <w:szCs w:val="18"/>
        </w:rPr>
        <w:tab/>
        <w:t xml:space="preserve"> </w:t>
      </w:r>
    </w:p>
    <w:p w14:paraId="1F31A769" w14:textId="4475EE6C"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Totals may not add up due to rounding</w:t>
      </w:r>
    </w:p>
    <w:p w14:paraId="7B48703C" w14:textId="77777777" w:rsidR="00C163CD" w:rsidRPr="008B5BA7" w:rsidRDefault="00C163CD" w:rsidP="00C163CD">
      <w:pPr>
        <w:spacing w:line="240" w:lineRule="auto"/>
        <w:rPr>
          <w:rFonts w:ascii="Calibri" w:eastAsia="Calibri" w:hAnsi="Calibri" w:cs="Arial"/>
          <w:color w:val="002F5D"/>
        </w:rPr>
      </w:pPr>
    </w:p>
    <w:p w14:paraId="4E61B385" w14:textId="73703C27" w:rsidR="008B5BA7" w:rsidRPr="008B5BA7" w:rsidRDefault="008B5BA7" w:rsidP="009A2AB3">
      <w:pPr>
        <w:spacing w:after="160" w:line="259" w:lineRule="auto"/>
        <w:rPr>
          <w:rFonts w:ascii="Calibri" w:eastAsia="Calibri" w:hAnsi="Calibri" w:cs="Arial"/>
          <w:color w:val="002F5D"/>
        </w:rPr>
      </w:pPr>
      <w:r w:rsidRPr="008B5BA7">
        <w:rPr>
          <w:rFonts w:ascii="Calibri" w:eastAsia="Calibri" w:hAnsi="Calibri" w:cs="Arial"/>
          <w:color w:val="002F5D"/>
        </w:rPr>
        <w:t>Source: Mental Health of Children and Young People Survey, NHS Digital</w:t>
      </w:r>
      <w:r w:rsidRPr="008B5BA7">
        <w:rPr>
          <w:rFonts w:ascii="Calibri" w:eastAsia="Calibri" w:hAnsi="Calibri" w:cs="Arial"/>
          <w:b/>
          <w:color w:val="002F5D"/>
        </w:rPr>
        <w:t xml:space="preserve"> </w:t>
      </w:r>
      <w:r w:rsidRPr="008B5BA7">
        <w:rPr>
          <w:rFonts w:ascii="Calibri" w:eastAsia="Calibri" w:hAnsi="Calibri" w:cs="Arial"/>
          <w:color w:val="002F5D"/>
        </w:rPr>
        <w:t>Copyright © 2018 Health and Social Care Information Centre applied to ONS Mid-2017 Local Authority District and County population estimates</w:t>
      </w:r>
    </w:p>
    <w:p w14:paraId="728A08BA" w14:textId="77777777" w:rsidR="00E07D71" w:rsidRDefault="00E07D71" w:rsidP="008B5BA7">
      <w:pPr>
        <w:spacing w:line="240" w:lineRule="auto"/>
        <w:rPr>
          <w:rFonts w:ascii="Calibri" w:eastAsia="Calibri" w:hAnsi="Calibri" w:cs="Arial"/>
          <w:b/>
          <w:color w:val="002F5D"/>
          <w:shd w:val="clear" w:color="auto" w:fill="FFFFFF"/>
        </w:rPr>
      </w:pPr>
    </w:p>
    <w:p w14:paraId="300AC711" w14:textId="255CC1F8" w:rsidR="00553107" w:rsidRPr="009A2AB3" w:rsidRDefault="00EE4AB3" w:rsidP="008B5BA7">
      <w:pPr>
        <w:spacing w:line="240" w:lineRule="auto"/>
        <w:rPr>
          <w:rFonts w:ascii="Calibri" w:eastAsia="Calibri" w:hAnsi="Calibri" w:cs="Arial"/>
          <w:b/>
          <w:color w:val="002F5D"/>
          <w:shd w:val="clear" w:color="auto" w:fill="FFFFFF"/>
        </w:rPr>
      </w:pPr>
      <w:r w:rsidRPr="009A2AB3">
        <w:rPr>
          <w:rFonts w:ascii="Calibri" w:eastAsia="Calibri" w:hAnsi="Calibri" w:cs="Arial"/>
          <w:b/>
          <w:color w:val="002F5D"/>
          <w:shd w:val="clear" w:color="auto" w:fill="FFFFFF"/>
        </w:rPr>
        <w:lastRenderedPageBreak/>
        <w:t>Key points:</w:t>
      </w:r>
    </w:p>
    <w:p w14:paraId="3E9F883D" w14:textId="77777777" w:rsidR="00553107" w:rsidRDefault="008B5BA7" w:rsidP="009A2AB3">
      <w:pPr>
        <w:pStyle w:val="ListParagraph"/>
        <w:numPr>
          <w:ilvl w:val="0"/>
          <w:numId w:val="98"/>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 xml:space="preserve">One in eight (12.8%) 5 to 19 year olds had a least one mental disorder.  When applied to the ONS Mid 2017 population estimates this is estimated to be around 19,340 children and young people in Cambridgeshire and Peterborough combined with at least one mental disorder.  </w:t>
      </w:r>
    </w:p>
    <w:p w14:paraId="750EC6E6" w14:textId="77777777" w:rsidR="00553107" w:rsidRDefault="008B5BA7" w:rsidP="009A2AB3">
      <w:pPr>
        <w:pStyle w:val="ListParagraph"/>
        <w:numPr>
          <w:ilvl w:val="0"/>
          <w:numId w:val="98"/>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 xml:space="preserve">Emotional disorders were the most prevalent of the disorders experienced by 5 to 19 year olds at 8.1%.  This is estimated to be around 12,240 children and young people aged 5-19 years with emotional disorder in Cambridgeshire and Peterborough combined.  </w:t>
      </w:r>
    </w:p>
    <w:p w14:paraId="3BC3B598" w14:textId="46812CCA" w:rsidR="00553107" w:rsidRDefault="008B5BA7" w:rsidP="009A2AB3">
      <w:pPr>
        <w:pStyle w:val="ListParagraph"/>
        <w:numPr>
          <w:ilvl w:val="0"/>
          <w:numId w:val="98"/>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ASD was identified in 1.2% of 5 to 19 year olds</w:t>
      </w:r>
      <w:r w:rsidR="00DE69D0" w:rsidRPr="009A2AB3">
        <w:rPr>
          <w:rFonts w:ascii="Calibri" w:eastAsia="Calibri" w:hAnsi="Calibri" w:cs="Arial"/>
          <w:color w:val="002F5D"/>
          <w:shd w:val="clear" w:color="auto" w:fill="FFFFFF"/>
        </w:rPr>
        <w:t>;</w:t>
      </w:r>
      <w:r w:rsidRPr="009A2AB3">
        <w:rPr>
          <w:rFonts w:ascii="Calibri" w:eastAsia="Calibri" w:hAnsi="Calibri" w:cs="Arial"/>
          <w:color w:val="002F5D"/>
          <w:shd w:val="clear" w:color="auto" w:fill="FFFFFF"/>
        </w:rPr>
        <w:t xml:space="preserve"> around 3,170 children and young people are estimated to have ASD in Cambridgeshire and Peterborough combined,</w:t>
      </w:r>
      <w:r w:rsidR="00DE69D0" w:rsidRPr="009A2AB3">
        <w:rPr>
          <w:rFonts w:ascii="Calibri" w:eastAsia="Calibri" w:hAnsi="Calibri" w:cs="Arial"/>
          <w:color w:val="002F5D"/>
          <w:shd w:val="clear" w:color="auto" w:fill="FFFFFF"/>
        </w:rPr>
        <w:t xml:space="preserve"> comprised of</w:t>
      </w:r>
      <w:r w:rsidRPr="009A2AB3">
        <w:rPr>
          <w:rFonts w:ascii="Calibri" w:eastAsia="Calibri" w:hAnsi="Calibri" w:cs="Arial"/>
          <w:color w:val="002F5D"/>
          <w:shd w:val="clear" w:color="auto" w:fill="FFFFFF"/>
        </w:rPr>
        <w:t xml:space="preserve"> 2,020 boys and 1,170 girls</w:t>
      </w:r>
      <w:r w:rsidR="00DE69D0" w:rsidRPr="009A2AB3">
        <w:rPr>
          <w:rFonts w:ascii="Calibri" w:eastAsia="Calibri" w:hAnsi="Calibri" w:cs="Arial"/>
          <w:color w:val="002F5D"/>
          <w:shd w:val="clear" w:color="auto" w:fill="FFFFFF"/>
        </w:rPr>
        <w:t xml:space="preserve"> (numbers do not add up due to roundin</w:t>
      </w:r>
      <w:r w:rsidR="007B570E" w:rsidRPr="009A2AB3">
        <w:rPr>
          <w:rFonts w:ascii="Calibri" w:eastAsia="Calibri" w:hAnsi="Calibri" w:cs="Arial"/>
          <w:color w:val="002F5D"/>
          <w:shd w:val="clear" w:color="auto" w:fill="FFFFFF"/>
        </w:rPr>
        <w:t>g)</w:t>
      </w:r>
      <w:r w:rsidRPr="009A2AB3">
        <w:rPr>
          <w:rFonts w:ascii="Calibri" w:eastAsia="Calibri" w:hAnsi="Calibri" w:cs="Arial"/>
          <w:color w:val="002F5D"/>
          <w:shd w:val="clear" w:color="auto" w:fill="FFFFFF"/>
        </w:rPr>
        <w:t xml:space="preserve">.   </w:t>
      </w:r>
    </w:p>
    <w:p w14:paraId="1530CAD0" w14:textId="25AEBE35" w:rsidR="008B5BA7" w:rsidRPr="009A2AB3" w:rsidRDefault="008B5BA7" w:rsidP="009A2AB3">
      <w:pPr>
        <w:pStyle w:val="ListParagraph"/>
        <w:numPr>
          <w:ilvl w:val="0"/>
          <w:numId w:val="98"/>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 xml:space="preserve">Eating disorders were present in 0.4% of 5 to 19 year olds, estimated to be around 600 children and young people aged 5-19 years in Cambridgeshire and Peterborough combined.  </w:t>
      </w:r>
    </w:p>
    <w:p w14:paraId="0BE14AB5" w14:textId="77777777" w:rsidR="008B5BA7" w:rsidRPr="008B5BA7" w:rsidRDefault="008B5BA7" w:rsidP="008B5BA7">
      <w:pPr>
        <w:spacing w:line="240" w:lineRule="auto"/>
        <w:rPr>
          <w:rFonts w:ascii="Calibri" w:eastAsia="Calibri" w:hAnsi="Calibri" w:cs="Arial"/>
          <w:color w:val="002F5D"/>
          <w:shd w:val="clear" w:color="auto" w:fill="FFFFFF"/>
        </w:rPr>
      </w:pPr>
    </w:p>
    <w:p w14:paraId="5CFBBD9F" w14:textId="68DECDD2"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Arial"/>
          <w:b/>
          <w:color w:val="002F5D"/>
        </w:rPr>
        <w:t xml:space="preserve">Table </w:t>
      </w:r>
      <w:r w:rsidR="00B81E4B">
        <w:rPr>
          <w:rFonts w:ascii="Calibri" w:eastAsia="Calibri" w:hAnsi="Calibri" w:cs="Arial"/>
          <w:b/>
          <w:color w:val="002F5D"/>
        </w:rPr>
        <w:t>75</w:t>
      </w:r>
      <w:r w:rsidRPr="008B5BA7">
        <w:rPr>
          <w:rFonts w:ascii="Calibri" w:eastAsia="Calibri" w:hAnsi="Calibri" w:cs="Arial"/>
          <w:b/>
          <w:color w:val="002F5D"/>
        </w:rPr>
        <w:t xml:space="preserve">: </w:t>
      </w:r>
      <w:r w:rsidRPr="009A2AB3">
        <w:rPr>
          <w:rFonts w:ascii="Calibri" w:eastAsia="Calibri" w:hAnsi="Calibri" w:cs="Arial"/>
          <w:color w:val="002F5D"/>
        </w:rPr>
        <w:t>Estimated numbers of children aged 5-10 years with mental health disorder, 2017, Cambridgeshire Districts, Cambridgeshire, Peterborough and Cambridgeshire and Peterborough combined</w:t>
      </w:r>
    </w:p>
    <w:p w14:paraId="40A65B9F" w14:textId="77777777"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Times New Roman"/>
          <w:noProof/>
          <w:lang w:eastAsia="en-GB"/>
        </w:rPr>
        <w:drawing>
          <wp:inline distT="0" distB="0" distL="0" distR="0" wp14:anchorId="1194E1C9" wp14:editId="17A69EB5">
            <wp:extent cx="8863330" cy="215433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63330" cy="2154333"/>
                    </a:xfrm>
                    <a:prstGeom prst="rect">
                      <a:avLst/>
                    </a:prstGeom>
                    <a:noFill/>
                    <a:ln>
                      <a:noFill/>
                    </a:ln>
                  </pic:spPr>
                </pic:pic>
              </a:graphicData>
            </a:graphic>
          </wp:inline>
        </w:drawing>
      </w:r>
    </w:p>
    <w:p w14:paraId="49A2F866"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Note: *Other less common disorders, includes PDD, ASD, eating disorders and Tics/other less common disorders</w:t>
      </w:r>
    </w:p>
    <w:p w14:paraId="0C204E14"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 = no observations (zero value)</w:t>
      </w:r>
      <w:r w:rsidRPr="009A2AB3">
        <w:rPr>
          <w:rFonts w:ascii="Calibri" w:eastAsia="Calibri" w:hAnsi="Calibri" w:cs="Arial"/>
          <w:color w:val="002F5D"/>
          <w:sz w:val="18"/>
          <w:szCs w:val="18"/>
        </w:rPr>
        <w:tab/>
        <w:t xml:space="preserve"> </w:t>
      </w:r>
    </w:p>
    <w:p w14:paraId="4E6013C1" w14:textId="746DFD45"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Totals may not add up due to rounding</w:t>
      </w:r>
    </w:p>
    <w:p w14:paraId="3A9A37E1" w14:textId="77777777" w:rsidR="00C163CD" w:rsidRPr="008B5BA7" w:rsidRDefault="00C163CD" w:rsidP="00C163CD">
      <w:pPr>
        <w:spacing w:line="240" w:lineRule="auto"/>
        <w:rPr>
          <w:rFonts w:ascii="Calibri" w:eastAsia="Calibri" w:hAnsi="Calibri" w:cs="Arial"/>
          <w:color w:val="002F5D"/>
        </w:rPr>
      </w:pPr>
    </w:p>
    <w:p w14:paraId="4862BC4F" w14:textId="14666BAD" w:rsidR="008B5BA7" w:rsidRPr="008B5BA7" w:rsidRDefault="008B5BA7" w:rsidP="009A2AB3">
      <w:pPr>
        <w:spacing w:after="160" w:line="259" w:lineRule="auto"/>
        <w:rPr>
          <w:rFonts w:ascii="Calibri" w:eastAsia="Calibri" w:hAnsi="Calibri" w:cs="Arial"/>
          <w:color w:val="002F5D"/>
          <w:shd w:val="clear" w:color="auto" w:fill="FFFFFF"/>
        </w:rPr>
      </w:pPr>
      <w:r w:rsidRPr="008B5BA7">
        <w:rPr>
          <w:rFonts w:ascii="Calibri" w:eastAsia="Calibri" w:hAnsi="Calibri" w:cs="Arial"/>
          <w:color w:val="002F5D"/>
        </w:rPr>
        <w:t>Source: Mental Health of Children and Young People Survey, NHS Digital</w:t>
      </w:r>
      <w:r w:rsidRPr="008B5BA7">
        <w:rPr>
          <w:rFonts w:ascii="Calibri" w:eastAsia="Calibri" w:hAnsi="Calibri" w:cs="Arial"/>
          <w:b/>
          <w:color w:val="002F5D"/>
        </w:rPr>
        <w:t xml:space="preserve"> </w:t>
      </w:r>
      <w:r w:rsidRPr="008B5BA7">
        <w:rPr>
          <w:rFonts w:ascii="Calibri" w:eastAsia="Calibri" w:hAnsi="Calibri" w:cs="Arial"/>
          <w:color w:val="002F5D"/>
        </w:rPr>
        <w:t>Copyright © 2018 Health and Social Care Information Centre applied to ONS Mid-2017 Local Authority District and County population estimates</w:t>
      </w:r>
    </w:p>
    <w:p w14:paraId="41542BFD" w14:textId="77777777" w:rsidR="00E07D71" w:rsidRDefault="00E07D71" w:rsidP="008B5BA7">
      <w:pPr>
        <w:spacing w:line="240" w:lineRule="auto"/>
        <w:rPr>
          <w:rFonts w:ascii="Calibri" w:eastAsia="Calibri" w:hAnsi="Calibri" w:cs="Arial"/>
          <w:b/>
          <w:color w:val="002F5D"/>
          <w:shd w:val="clear" w:color="auto" w:fill="FFFFFF"/>
        </w:rPr>
      </w:pPr>
    </w:p>
    <w:p w14:paraId="1C069864" w14:textId="11FA1068" w:rsidR="00EE4AB3" w:rsidRPr="00E61D24" w:rsidRDefault="00EE4AB3" w:rsidP="008B5BA7">
      <w:pPr>
        <w:spacing w:line="240" w:lineRule="auto"/>
        <w:rPr>
          <w:rFonts w:ascii="Calibri" w:eastAsia="Calibri" w:hAnsi="Calibri" w:cs="Arial"/>
          <w:b/>
          <w:color w:val="002F5D"/>
          <w:shd w:val="clear" w:color="auto" w:fill="FFFFFF"/>
        </w:rPr>
      </w:pPr>
      <w:r w:rsidRPr="00E61D24">
        <w:rPr>
          <w:rFonts w:ascii="Calibri" w:eastAsia="Calibri" w:hAnsi="Calibri" w:cs="Arial"/>
          <w:b/>
          <w:color w:val="002F5D"/>
          <w:shd w:val="clear" w:color="auto" w:fill="FFFFFF"/>
        </w:rPr>
        <w:lastRenderedPageBreak/>
        <w:t>Key points:</w:t>
      </w:r>
    </w:p>
    <w:p w14:paraId="0EDEFEA4" w14:textId="006DC20A" w:rsidR="008B5BA7" w:rsidRPr="009A2AB3" w:rsidRDefault="008B5BA7" w:rsidP="00E61D24">
      <w:pPr>
        <w:pStyle w:val="ListParagraph"/>
        <w:numPr>
          <w:ilvl w:val="0"/>
          <w:numId w:val="99"/>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In children aged 5 to 10 years, 9.5% experienced a mental disorder</w:t>
      </w:r>
      <w:r w:rsidR="00DE69D0" w:rsidRPr="009A2AB3">
        <w:rPr>
          <w:rFonts w:ascii="Calibri" w:eastAsia="Calibri" w:hAnsi="Calibri" w:cs="Arial"/>
          <w:color w:val="002F5D"/>
          <w:shd w:val="clear" w:color="auto" w:fill="FFFFFF"/>
        </w:rPr>
        <w:t>;</w:t>
      </w:r>
      <w:r w:rsidRPr="009A2AB3">
        <w:rPr>
          <w:rFonts w:ascii="Calibri" w:eastAsia="Calibri" w:hAnsi="Calibri" w:cs="Arial"/>
          <w:color w:val="002F5D"/>
          <w:shd w:val="clear" w:color="auto" w:fill="FFFFFF"/>
        </w:rPr>
        <w:t xml:space="preserve"> this is estimated to be around 6,190 children Cambridgeshire and Peterborough combined.</w:t>
      </w:r>
    </w:p>
    <w:p w14:paraId="7BD38FB1" w14:textId="77777777" w:rsidR="008B5BA7" w:rsidRPr="008B5BA7" w:rsidRDefault="008B5BA7" w:rsidP="008B5BA7">
      <w:pPr>
        <w:spacing w:after="160" w:line="259" w:lineRule="auto"/>
        <w:rPr>
          <w:rFonts w:ascii="Calibri" w:eastAsia="Calibri" w:hAnsi="Calibri" w:cs="Arial"/>
          <w:b/>
          <w:color w:val="002F5D"/>
        </w:rPr>
      </w:pPr>
    </w:p>
    <w:p w14:paraId="7E3C6A24" w14:textId="150B08D6" w:rsidR="008B5BA7" w:rsidRPr="009A2AB3" w:rsidRDefault="008B5BA7" w:rsidP="008B5BA7">
      <w:pPr>
        <w:spacing w:after="160" w:line="259" w:lineRule="auto"/>
        <w:rPr>
          <w:rFonts w:ascii="Calibri" w:eastAsia="Calibri" w:hAnsi="Calibri" w:cs="Arial"/>
          <w:color w:val="002F5D"/>
        </w:rPr>
      </w:pPr>
      <w:r w:rsidRPr="008B5BA7">
        <w:rPr>
          <w:rFonts w:ascii="Calibri" w:eastAsia="Calibri" w:hAnsi="Calibri" w:cs="Arial"/>
          <w:b/>
          <w:color w:val="002F5D"/>
        </w:rPr>
        <w:t xml:space="preserve">Table </w:t>
      </w:r>
      <w:r w:rsidR="00B81E4B">
        <w:rPr>
          <w:rFonts w:ascii="Calibri" w:eastAsia="Calibri" w:hAnsi="Calibri" w:cs="Arial"/>
          <w:b/>
          <w:color w:val="002F5D"/>
        </w:rPr>
        <w:t>76</w:t>
      </w:r>
      <w:r w:rsidRPr="008B5BA7">
        <w:rPr>
          <w:rFonts w:ascii="Calibri" w:eastAsia="Calibri" w:hAnsi="Calibri" w:cs="Arial"/>
          <w:b/>
          <w:color w:val="002F5D"/>
        </w:rPr>
        <w:t xml:space="preserve">: </w:t>
      </w:r>
      <w:r w:rsidRPr="009A2AB3">
        <w:rPr>
          <w:rFonts w:ascii="Calibri" w:eastAsia="Calibri" w:hAnsi="Calibri" w:cs="Arial"/>
          <w:color w:val="002F5D"/>
        </w:rPr>
        <w:t>Estimated numbers of children aged 11-16 years with mental health disorder, 2017, Cambridgeshire Districts, Cambridgeshire, Peterborough and Cambridgeshire and Peterborough combined</w:t>
      </w:r>
    </w:p>
    <w:p w14:paraId="6EC0D632" w14:textId="77777777"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Times New Roman"/>
          <w:noProof/>
          <w:lang w:eastAsia="en-GB"/>
        </w:rPr>
        <w:drawing>
          <wp:inline distT="0" distB="0" distL="0" distR="0" wp14:anchorId="6E23528E" wp14:editId="5C22F264">
            <wp:extent cx="8863330" cy="215433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863330" cy="2154333"/>
                    </a:xfrm>
                    <a:prstGeom prst="rect">
                      <a:avLst/>
                    </a:prstGeom>
                    <a:noFill/>
                    <a:ln>
                      <a:noFill/>
                    </a:ln>
                  </pic:spPr>
                </pic:pic>
              </a:graphicData>
            </a:graphic>
          </wp:inline>
        </w:drawing>
      </w:r>
    </w:p>
    <w:p w14:paraId="5D21941B" w14:textId="77777777" w:rsidR="00553107" w:rsidRPr="009A2AB3" w:rsidRDefault="00553107" w:rsidP="00553107">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Note: *Other less common disorders, includes PDD, ASD, eating disorders and Tics/other less common disorders</w:t>
      </w:r>
    </w:p>
    <w:p w14:paraId="6C3BBF86" w14:textId="77777777" w:rsidR="00553107" w:rsidRPr="009A2AB3" w:rsidRDefault="00553107" w:rsidP="00553107">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 = no observations (zero value)</w:t>
      </w:r>
      <w:r w:rsidRPr="009A2AB3">
        <w:rPr>
          <w:rFonts w:ascii="Calibri" w:eastAsia="Calibri" w:hAnsi="Calibri" w:cs="Arial"/>
          <w:color w:val="002F5D"/>
          <w:sz w:val="18"/>
          <w:szCs w:val="18"/>
        </w:rPr>
        <w:tab/>
        <w:t xml:space="preserve"> </w:t>
      </w:r>
    </w:p>
    <w:p w14:paraId="4B2F7137" w14:textId="3356A01A" w:rsidR="00553107" w:rsidRDefault="00553107" w:rsidP="00553107">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Totals may not add up due to rounding</w:t>
      </w:r>
    </w:p>
    <w:p w14:paraId="1D48C4B0" w14:textId="77777777" w:rsidR="00553107" w:rsidRPr="009A2AB3" w:rsidRDefault="00553107" w:rsidP="00553107">
      <w:pPr>
        <w:spacing w:line="240" w:lineRule="auto"/>
        <w:rPr>
          <w:rFonts w:ascii="Calibri" w:eastAsia="Calibri" w:hAnsi="Calibri" w:cs="Arial"/>
          <w:color w:val="002F5D"/>
          <w:sz w:val="18"/>
          <w:szCs w:val="18"/>
        </w:rPr>
      </w:pPr>
    </w:p>
    <w:p w14:paraId="76E62463" w14:textId="77777777" w:rsidR="008B5BA7" w:rsidRPr="008B5BA7" w:rsidRDefault="008B5BA7" w:rsidP="008B5BA7">
      <w:pPr>
        <w:spacing w:after="160" w:line="259" w:lineRule="auto"/>
        <w:rPr>
          <w:rFonts w:ascii="Calibri" w:eastAsia="Calibri" w:hAnsi="Calibri" w:cs="Arial"/>
          <w:color w:val="002F5D"/>
        </w:rPr>
      </w:pPr>
      <w:r w:rsidRPr="008B5BA7">
        <w:rPr>
          <w:rFonts w:ascii="Calibri" w:eastAsia="Calibri" w:hAnsi="Calibri" w:cs="Arial"/>
          <w:color w:val="002F5D"/>
        </w:rPr>
        <w:t>Source: Mental Health of Children and Young People Survey, NHS Digital</w:t>
      </w:r>
      <w:r w:rsidRPr="008B5BA7">
        <w:rPr>
          <w:rFonts w:ascii="Calibri" w:eastAsia="Calibri" w:hAnsi="Calibri" w:cs="Arial"/>
          <w:b/>
          <w:color w:val="002F5D"/>
        </w:rPr>
        <w:t xml:space="preserve"> </w:t>
      </w:r>
      <w:r w:rsidRPr="008B5BA7">
        <w:rPr>
          <w:rFonts w:ascii="Calibri" w:eastAsia="Calibri" w:hAnsi="Calibri" w:cs="Arial"/>
          <w:color w:val="002F5D"/>
        </w:rPr>
        <w:t>Copyright © 2018 Health and Social Care Information Centre applied to ONS Mid-2017 Local Authority District and County population estimates</w:t>
      </w:r>
    </w:p>
    <w:p w14:paraId="07DDCD54" w14:textId="77777777" w:rsidR="008B5BA7" w:rsidRPr="008B5BA7" w:rsidRDefault="008B5BA7" w:rsidP="008B5BA7">
      <w:pPr>
        <w:spacing w:line="240" w:lineRule="auto"/>
        <w:rPr>
          <w:rFonts w:ascii="Calibri" w:eastAsia="Calibri" w:hAnsi="Calibri" w:cs="Arial"/>
          <w:color w:val="002F5D"/>
        </w:rPr>
      </w:pPr>
    </w:p>
    <w:p w14:paraId="7E104FB7" w14:textId="77777777" w:rsidR="00EE4AB3" w:rsidRPr="00E61D24" w:rsidRDefault="00EE4AB3" w:rsidP="008B5BA7">
      <w:pPr>
        <w:spacing w:line="240" w:lineRule="auto"/>
        <w:rPr>
          <w:rFonts w:ascii="Calibri" w:eastAsia="Times New Roman" w:hAnsi="Calibri" w:cs="Times New Roman"/>
          <w:b/>
          <w:color w:val="002F5D"/>
          <w:lang w:eastAsia="en-GB"/>
        </w:rPr>
      </w:pPr>
      <w:r w:rsidRPr="00E61D24">
        <w:rPr>
          <w:rFonts w:ascii="Calibri" w:eastAsia="Times New Roman" w:hAnsi="Calibri" w:cs="Times New Roman"/>
          <w:b/>
          <w:color w:val="002F5D"/>
          <w:lang w:eastAsia="en-GB"/>
        </w:rPr>
        <w:t>Key points:</w:t>
      </w:r>
    </w:p>
    <w:p w14:paraId="631ACF6E" w14:textId="22CDAA4D" w:rsidR="008B5BA7" w:rsidRPr="009A2AB3" w:rsidRDefault="008B5BA7" w:rsidP="00E61D24">
      <w:pPr>
        <w:pStyle w:val="ListParagraph"/>
        <w:numPr>
          <w:ilvl w:val="0"/>
          <w:numId w:val="99"/>
        </w:numPr>
        <w:spacing w:line="240" w:lineRule="auto"/>
        <w:rPr>
          <w:rFonts w:ascii="Calibri" w:eastAsia="Times New Roman" w:hAnsi="Calibri" w:cs="Times New Roman"/>
          <w:color w:val="002F5D"/>
          <w:lang w:eastAsia="en-GB"/>
        </w:rPr>
      </w:pPr>
      <w:r w:rsidRPr="009A2AB3">
        <w:rPr>
          <w:rFonts w:ascii="Calibri" w:eastAsia="Times New Roman" w:hAnsi="Calibri" w:cs="Times New Roman"/>
          <w:color w:val="002F5D"/>
          <w:lang w:eastAsia="en-GB"/>
        </w:rPr>
        <w:t>6.2% of children aged 11-16 years experienced a behavioural disorder</w:t>
      </w:r>
      <w:r w:rsidR="00DE69D0" w:rsidRPr="009A2AB3">
        <w:rPr>
          <w:rFonts w:ascii="Calibri" w:eastAsia="Times New Roman" w:hAnsi="Calibri" w:cs="Times New Roman"/>
          <w:color w:val="002F5D"/>
          <w:lang w:eastAsia="en-GB"/>
        </w:rPr>
        <w:t>;</w:t>
      </w:r>
      <w:r w:rsidRPr="009A2AB3">
        <w:rPr>
          <w:rFonts w:ascii="Calibri" w:eastAsia="Times New Roman" w:hAnsi="Calibri" w:cs="Times New Roman"/>
          <w:color w:val="002F5D"/>
          <w:lang w:eastAsia="en-GB"/>
        </w:rPr>
        <w:t xml:space="preserve"> when applied to the ONS Mid 2017 population estimates, this is estimated to be around 3,480 children in Cambridgeshire and Peterborough combined.  3.2% of boys aged 11-16 years experienced a Hyperactivity disorder, an estimated 930 boys in Cambridgeshire and Peterborough combined.</w:t>
      </w:r>
    </w:p>
    <w:p w14:paraId="169494DB" w14:textId="77777777" w:rsidR="008B5BA7" w:rsidRPr="008B5BA7" w:rsidRDefault="008B5BA7" w:rsidP="008B5BA7">
      <w:pPr>
        <w:spacing w:line="240" w:lineRule="auto"/>
        <w:rPr>
          <w:rFonts w:ascii="Calibri" w:eastAsia="Times New Roman" w:hAnsi="Calibri" w:cs="Times New Roman"/>
          <w:color w:val="002F5D"/>
          <w:lang w:eastAsia="en-GB"/>
        </w:rPr>
      </w:pPr>
    </w:p>
    <w:p w14:paraId="5D1F614F" w14:textId="77777777" w:rsidR="008B5BA7" w:rsidRPr="008B5BA7" w:rsidRDefault="008B5BA7" w:rsidP="008B5BA7">
      <w:pPr>
        <w:spacing w:line="240" w:lineRule="auto"/>
        <w:rPr>
          <w:rFonts w:ascii="Calibri" w:eastAsia="Times New Roman" w:hAnsi="Calibri" w:cs="Times New Roman"/>
          <w:color w:val="002F5D"/>
          <w:lang w:eastAsia="en-GB"/>
        </w:rPr>
      </w:pPr>
    </w:p>
    <w:p w14:paraId="17E5060B" w14:textId="77777777" w:rsidR="008B5BA7" w:rsidRPr="008B5BA7" w:rsidRDefault="008B5BA7" w:rsidP="008B5BA7">
      <w:pPr>
        <w:spacing w:line="240" w:lineRule="auto"/>
        <w:rPr>
          <w:rFonts w:ascii="Calibri" w:eastAsia="Times New Roman" w:hAnsi="Calibri" w:cs="Times New Roman"/>
          <w:color w:val="002F5D"/>
          <w:lang w:eastAsia="en-GB"/>
        </w:rPr>
      </w:pPr>
    </w:p>
    <w:p w14:paraId="48258E84" w14:textId="77777777" w:rsidR="008B5BA7" w:rsidRPr="008B5BA7" w:rsidRDefault="008B5BA7" w:rsidP="008B5BA7">
      <w:pPr>
        <w:spacing w:line="240" w:lineRule="auto"/>
        <w:rPr>
          <w:rFonts w:ascii="Calibri" w:eastAsia="Times New Roman" w:hAnsi="Calibri" w:cs="Times New Roman"/>
          <w:color w:val="002F5D"/>
          <w:lang w:eastAsia="en-GB"/>
        </w:rPr>
      </w:pPr>
    </w:p>
    <w:p w14:paraId="63D93278" w14:textId="77777777" w:rsidR="008B5BA7" w:rsidRPr="008B5BA7" w:rsidRDefault="008B5BA7" w:rsidP="008B5BA7">
      <w:pPr>
        <w:spacing w:line="240" w:lineRule="auto"/>
        <w:rPr>
          <w:rFonts w:ascii="Calibri" w:eastAsia="Times New Roman" w:hAnsi="Calibri" w:cs="Times New Roman"/>
          <w:color w:val="002F5D"/>
          <w:lang w:eastAsia="en-GB"/>
        </w:rPr>
      </w:pPr>
    </w:p>
    <w:p w14:paraId="1E72219A" w14:textId="77777777" w:rsidR="008B5BA7" w:rsidRPr="008B5BA7" w:rsidRDefault="008B5BA7" w:rsidP="008B5BA7">
      <w:pPr>
        <w:spacing w:line="240" w:lineRule="auto"/>
        <w:rPr>
          <w:rFonts w:ascii="Calibri" w:eastAsia="Times New Roman" w:hAnsi="Calibri" w:cs="Times New Roman"/>
          <w:color w:val="002F5D"/>
          <w:lang w:eastAsia="en-GB"/>
        </w:rPr>
      </w:pPr>
    </w:p>
    <w:p w14:paraId="1B7FDC07" w14:textId="46C6082A" w:rsidR="008B5BA7" w:rsidRPr="009A2AB3" w:rsidRDefault="008B5BA7" w:rsidP="008B5BA7">
      <w:pPr>
        <w:spacing w:after="160" w:line="259" w:lineRule="auto"/>
        <w:rPr>
          <w:rFonts w:ascii="Calibri" w:eastAsia="Calibri" w:hAnsi="Calibri" w:cs="Arial"/>
          <w:color w:val="002F5D"/>
        </w:rPr>
      </w:pPr>
      <w:r w:rsidRPr="008B5BA7">
        <w:rPr>
          <w:rFonts w:ascii="Calibri" w:eastAsia="Calibri" w:hAnsi="Calibri" w:cs="Arial"/>
          <w:b/>
          <w:color w:val="002F5D"/>
        </w:rPr>
        <w:t xml:space="preserve">Table </w:t>
      </w:r>
      <w:r w:rsidR="00B81E4B">
        <w:rPr>
          <w:rFonts w:ascii="Calibri" w:eastAsia="Calibri" w:hAnsi="Calibri" w:cs="Arial"/>
          <w:b/>
          <w:color w:val="002F5D"/>
        </w:rPr>
        <w:t>77</w:t>
      </w:r>
      <w:r w:rsidRPr="008B5BA7">
        <w:rPr>
          <w:rFonts w:ascii="Calibri" w:eastAsia="Calibri" w:hAnsi="Calibri" w:cs="Arial"/>
          <w:b/>
          <w:color w:val="002F5D"/>
        </w:rPr>
        <w:t xml:space="preserve">: </w:t>
      </w:r>
      <w:r w:rsidRPr="009A2AB3">
        <w:rPr>
          <w:rFonts w:ascii="Calibri" w:eastAsia="Calibri" w:hAnsi="Calibri" w:cs="Arial"/>
          <w:color w:val="002F5D"/>
        </w:rPr>
        <w:t>Estimated numbers of young people aged 17-19 years with mental health disorder, 2017, Cambridgeshire Districts, Cambridgeshire, Peterborough and Cambridgeshire and Peterborough combined</w:t>
      </w:r>
    </w:p>
    <w:p w14:paraId="1328AC2C" w14:textId="77777777" w:rsidR="008B5BA7" w:rsidRPr="008B5BA7" w:rsidRDefault="008B5BA7" w:rsidP="008B5BA7">
      <w:pPr>
        <w:spacing w:after="160" w:line="259" w:lineRule="auto"/>
        <w:rPr>
          <w:rFonts w:ascii="Calibri" w:eastAsia="Calibri" w:hAnsi="Calibri" w:cs="Arial"/>
          <w:b/>
          <w:color w:val="002F5D"/>
        </w:rPr>
      </w:pPr>
      <w:r w:rsidRPr="008B5BA7">
        <w:rPr>
          <w:rFonts w:ascii="Calibri" w:eastAsia="Calibri" w:hAnsi="Calibri" w:cs="Times New Roman"/>
          <w:noProof/>
          <w:lang w:eastAsia="en-GB"/>
        </w:rPr>
        <w:drawing>
          <wp:inline distT="0" distB="0" distL="0" distR="0" wp14:anchorId="43B9DA3E" wp14:editId="4BF6564A">
            <wp:extent cx="8863330" cy="215433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863330" cy="2154333"/>
                    </a:xfrm>
                    <a:prstGeom prst="rect">
                      <a:avLst/>
                    </a:prstGeom>
                    <a:noFill/>
                    <a:ln>
                      <a:noFill/>
                    </a:ln>
                  </pic:spPr>
                </pic:pic>
              </a:graphicData>
            </a:graphic>
          </wp:inline>
        </w:drawing>
      </w:r>
    </w:p>
    <w:p w14:paraId="49C7683B"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Note: *Other less common disorders, includes PDD, ASD, eating disorders and Tics/other less common disorders</w:t>
      </w:r>
    </w:p>
    <w:p w14:paraId="01F68E08" w14:textId="77777777"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 = no observations (zero value)</w:t>
      </w:r>
      <w:r w:rsidRPr="009A2AB3">
        <w:rPr>
          <w:rFonts w:ascii="Calibri" w:eastAsia="Calibri" w:hAnsi="Calibri" w:cs="Arial"/>
          <w:color w:val="002F5D"/>
          <w:sz w:val="18"/>
          <w:szCs w:val="18"/>
        </w:rPr>
        <w:tab/>
        <w:t xml:space="preserve"> </w:t>
      </w:r>
    </w:p>
    <w:p w14:paraId="6AB38047" w14:textId="587E13C9" w:rsidR="00C163CD" w:rsidRPr="009A2AB3" w:rsidRDefault="00C163CD" w:rsidP="00C163CD">
      <w:pPr>
        <w:spacing w:line="240" w:lineRule="auto"/>
        <w:rPr>
          <w:rFonts w:ascii="Calibri" w:eastAsia="Calibri" w:hAnsi="Calibri" w:cs="Arial"/>
          <w:color w:val="002F5D"/>
          <w:sz w:val="18"/>
          <w:szCs w:val="18"/>
        </w:rPr>
      </w:pPr>
      <w:r w:rsidRPr="009A2AB3">
        <w:rPr>
          <w:rFonts w:ascii="Calibri" w:eastAsia="Calibri" w:hAnsi="Calibri" w:cs="Arial"/>
          <w:color w:val="002F5D"/>
          <w:sz w:val="18"/>
          <w:szCs w:val="18"/>
        </w:rPr>
        <w:t>Totals may not add up due to rounding</w:t>
      </w:r>
    </w:p>
    <w:p w14:paraId="77C9F6A2" w14:textId="77777777" w:rsidR="00C163CD" w:rsidRPr="008B5BA7" w:rsidRDefault="00C163CD" w:rsidP="00C163CD">
      <w:pPr>
        <w:spacing w:line="240" w:lineRule="auto"/>
        <w:rPr>
          <w:rFonts w:ascii="Calibri" w:eastAsia="Calibri" w:hAnsi="Calibri" w:cs="Arial"/>
          <w:color w:val="002F5D"/>
        </w:rPr>
      </w:pPr>
    </w:p>
    <w:p w14:paraId="39896772" w14:textId="5FB22A09" w:rsidR="008B5BA7" w:rsidRPr="008B5BA7" w:rsidRDefault="008B5BA7" w:rsidP="009A2AB3">
      <w:pPr>
        <w:spacing w:after="160" w:line="259" w:lineRule="auto"/>
        <w:rPr>
          <w:rFonts w:ascii="Calibri" w:eastAsia="Calibri" w:hAnsi="Calibri" w:cs="Arial"/>
          <w:color w:val="002F5D"/>
          <w:shd w:val="clear" w:color="auto" w:fill="FFFFFF"/>
        </w:rPr>
      </w:pPr>
      <w:r w:rsidRPr="008B5BA7">
        <w:rPr>
          <w:rFonts w:ascii="Calibri" w:eastAsia="Calibri" w:hAnsi="Calibri" w:cs="Arial"/>
          <w:color w:val="002F5D"/>
        </w:rPr>
        <w:t>Source: Mental Health of Children and Young People Survey, NHS Digital</w:t>
      </w:r>
      <w:r w:rsidRPr="008B5BA7">
        <w:rPr>
          <w:rFonts w:ascii="Calibri" w:eastAsia="Calibri" w:hAnsi="Calibri" w:cs="Arial"/>
          <w:b/>
          <w:color w:val="002F5D"/>
        </w:rPr>
        <w:t xml:space="preserve"> </w:t>
      </w:r>
      <w:r w:rsidRPr="008B5BA7">
        <w:rPr>
          <w:rFonts w:ascii="Calibri" w:eastAsia="Calibri" w:hAnsi="Calibri" w:cs="Arial"/>
          <w:color w:val="002F5D"/>
        </w:rPr>
        <w:t>Copyright © 2018 Health and Social Care Information Centre applied to ONS Mid-2017 Local Authority District and County population estimates</w:t>
      </w:r>
    </w:p>
    <w:p w14:paraId="1D17FA85" w14:textId="77777777" w:rsidR="00EE4AB3" w:rsidRPr="00E61D24" w:rsidRDefault="00EE4AB3" w:rsidP="008B5BA7">
      <w:pPr>
        <w:spacing w:line="240" w:lineRule="auto"/>
        <w:rPr>
          <w:rFonts w:ascii="Calibri" w:eastAsia="Calibri" w:hAnsi="Calibri" w:cs="Arial"/>
          <w:b/>
          <w:color w:val="002F5D"/>
          <w:shd w:val="clear" w:color="auto" w:fill="FFFFFF"/>
        </w:rPr>
      </w:pPr>
      <w:r w:rsidRPr="00E61D24">
        <w:rPr>
          <w:rFonts w:ascii="Calibri" w:eastAsia="Calibri" w:hAnsi="Calibri" w:cs="Arial"/>
          <w:b/>
          <w:color w:val="002F5D"/>
          <w:shd w:val="clear" w:color="auto" w:fill="FFFFFF"/>
        </w:rPr>
        <w:t>Key points:</w:t>
      </w:r>
    </w:p>
    <w:p w14:paraId="6752650A" w14:textId="6769F267" w:rsidR="008B5BA7" w:rsidRPr="009A2AB3" w:rsidRDefault="008B5BA7" w:rsidP="00E61D24">
      <w:pPr>
        <w:pStyle w:val="ListParagraph"/>
        <w:numPr>
          <w:ilvl w:val="0"/>
          <w:numId w:val="99"/>
        </w:numPr>
        <w:spacing w:line="240" w:lineRule="auto"/>
        <w:rPr>
          <w:rFonts w:ascii="Calibri" w:eastAsia="Calibri" w:hAnsi="Calibri" w:cs="Arial"/>
          <w:color w:val="002F5D"/>
          <w:shd w:val="clear" w:color="auto" w:fill="FFFFFF"/>
        </w:rPr>
      </w:pPr>
      <w:r w:rsidRPr="009A2AB3">
        <w:rPr>
          <w:rFonts w:ascii="Calibri" w:eastAsia="Calibri" w:hAnsi="Calibri" w:cs="Arial"/>
          <w:color w:val="002F5D"/>
          <w:shd w:val="clear" w:color="auto" w:fill="FFFFFF"/>
        </w:rPr>
        <w:t>Rates of emotional disorder were highest in 17 to 19 year olds, especially girls, at 22.4%, for Cambridgeshire and Peterborough combined this is estimated to be around 4,430 young adults</w:t>
      </w:r>
      <w:r w:rsidR="00EE4AB3" w:rsidRPr="009A2AB3">
        <w:rPr>
          <w:rFonts w:ascii="Calibri" w:eastAsia="Calibri" w:hAnsi="Calibri" w:cs="Arial"/>
          <w:color w:val="002F5D"/>
          <w:shd w:val="clear" w:color="auto" w:fill="FFFFFF"/>
        </w:rPr>
        <w:t>,</w:t>
      </w:r>
      <w:r w:rsidRPr="009A2AB3">
        <w:rPr>
          <w:rFonts w:ascii="Calibri" w:eastAsia="Calibri" w:hAnsi="Calibri" w:cs="Arial"/>
          <w:color w:val="002F5D"/>
          <w:shd w:val="clear" w:color="auto" w:fill="FFFFFF"/>
        </w:rPr>
        <w:t xml:space="preserve"> around 3,240 </w:t>
      </w:r>
      <w:r w:rsidR="00B767E2" w:rsidRPr="009A2AB3">
        <w:rPr>
          <w:rFonts w:ascii="Calibri" w:eastAsia="Calibri" w:hAnsi="Calibri" w:cs="Arial"/>
          <w:color w:val="002F5D"/>
          <w:shd w:val="clear" w:color="auto" w:fill="FFFFFF"/>
        </w:rPr>
        <w:t xml:space="preserve">of which are </w:t>
      </w:r>
      <w:r w:rsidRPr="009A2AB3">
        <w:rPr>
          <w:rFonts w:ascii="Calibri" w:eastAsia="Calibri" w:hAnsi="Calibri" w:cs="Arial"/>
          <w:color w:val="002F5D"/>
          <w:shd w:val="clear" w:color="auto" w:fill="FFFFFF"/>
        </w:rPr>
        <w:t>girls</w:t>
      </w:r>
      <w:r w:rsidR="00EE4AB3" w:rsidRPr="009A2AB3">
        <w:rPr>
          <w:rFonts w:ascii="Calibri" w:eastAsia="Calibri" w:hAnsi="Calibri" w:cs="Arial"/>
          <w:color w:val="002F5D"/>
          <w:shd w:val="clear" w:color="auto" w:fill="FFFFFF"/>
        </w:rPr>
        <w:t>,</w:t>
      </w:r>
      <w:r w:rsidRPr="009A2AB3">
        <w:rPr>
          <w:rFonts w:ascii="Calibri" w:eastAsia="Calibri" w:hAnsi="Calibri" w:cs="Arial"/>
          <w:color w:val="002F5D"/>
          <w:shd w:val="clear" w:color="auto" w:fill="FFFFFF"/>
        </w:rPr>
        <w:t xml:space="preserve"> aged 17-19 years old.  1.6% of 17 to 19 year old girls had an eating disorder</w:t>
      </w:r>
      <w:r w:rsidR="00B767E2" w:rsidRPr="009A2AB3">
        <w:rPr>
          <w:rFonts w:ascii="Calibri" w:eastAsia="Calibri" w:hAnsi="Calibri" w:cs="Arial"/>
          <w:color w:val="002F5D"/>
          <w:shd w:val="clear" w:color="auto" w:fill="FFFFFF"/>
        </w:rPr>
        <w:t>;</w:t>
      </w:r>
      <w:r w:rsidRPr="009A2AB3">
        <w:rPr>
          <w:rFonts w:ascii="Calibri" w:eastAsia="Calibri" w:hAnsi="Calibri" w:cs="Arial"/>
          <w:color w:val="002F5D"/>
          <w:shd w:val="clear" w:color="auto" w:fill="FFFFFF"/>
        </w:rPr>
        <w:t xml:space="preserve"> this is estimated to be around 230 young adult girls in Cambridgeshire and Peterborough combined.</w:t>
      </w:r>
    </w:p>
    <w:p w14:paraId="7B7745C8" w14:textId="77777777" w:rsidR="008B5BA7" w:rsidRPr="00B65123" w:rsidRDefault="008B5BA7" w:rsidP="008B5BA7">
      <w:pPr>
        <w:rPr>
          <w:color w:val="002F5D"/>
        </w:rPr>
      </w:pPr>
    </w:p>
    <w:p w14:paraId="57BA1165" w14:textId="77777777" w:rsidR="007E4C50" w:rsidRPr="0037351D" w:rsidRDefault="007E4C50" w:rsidP="002A1B3E">
      <w:pPr>
        <w:spacing w:line="240" w:lineRule="auto"/>
        <w:rPr>
          <w:color w:val="FF0000"/>
        </w:rPr>
      </w:pPr>
    </w:p>
    <w:p w14:paraId="183A2D81" w14:textId="77777777" w:rsidR="007E4C50" w:rsidRPr="0037351D" w:rsidRDefault="007E4C50" w:rsidP="002A1B3E">
      <w:pPr>
        <w:spacing w:line="240" w:lineRule="auto"/>
        <w:rPr>
          <w:color w:val="FF0000"/>
        </w:rPr>
      </w:pPr>
    </w:p>
    <w:p w14:paraId="3152FE3F" w14:textId="77777777" w:rsidR="005F726E" w:rsidRDefault="005F726E" w:rsidP="002A1B3E">
      <w:pPr>
        <w:spacing w:line="240" w:lineRule="auto"/>
        <w:rPr>
          <w:color w:val="FF0000"/>
        </w:rPr>
        <w:sectPr w:rsidR="005F726E" w:rsidSect="004C7797">
          <w:pgSz w:w="16838" w:h="11906" w:orient="landscape"/>
          <w:pgMar w:top="1134" w:right="1134" w:bottom="1134" w:left="1134" w:header="709" w:footer="709" w:gutter="0"/>
          <w:cols w:space="708"/>
          <w:titlePg/>
          <w:docGrid w:linePitch="360"/>
        </w:sectPr>
      </w:pPr>
    </w:p>
    <w:p w14:paraId="25574130" w14:textId="3D2D6C9C" w:rsidR="007E4C50" w:rsidRPr="0037351D" w:rsidRDefault="007E4C50" w:rsidP="002A1B3E">
      <w:pPr>
        <w:spacing w:line="240" w:lineRule="auto"/>
        <w:rPr>
          <w:color w:val="FF0000"/>
        </w:rPr>
      </w:pPr>
    </w:p>
    <w:p w14:paraId="1F6CA5E2" w14:textId="77777777" w:rsidR="007E4C50" w:rsidRPr="0037351D" w:rsidRDefault="007E4C50" w:rsidP="002A1B3E">
      <w:pPr>
        <w:spacing w:line="240" w:lineRule="auto"/>
        <w:rPr>
          <w:color w:val="FF0000"/>
        </w:rPr>
      </w:pPr>
    </w:p>
    <w:p w14:paraId="2624819B" w14:textId="77777777" w:rsidR="00AE727E" w:rsidRPr="007B2AC1" w:rsidRDefault="00AE727E" w:rsidP="00AE727E">
      <w:pPr>
        <w:pStyle w:val="JSNA2"/>
      </w:pPr>
      <w:bookmarkStart w:id="809" w:name="_Toc4407883"/>
      <w:r w:rsidRPr="007B2AC1">
        <w:t>NHS hospital services</w:t>
      </w:r>
      <w:bookmarkEnd w:id="809"/>
    </w:p>
    <w:p w14:paraId="618CDB1E" w14:textId="23072FF1" w:rsidR="00CF17D3" w:rsidRDefault="00CF17D3" w:rsidP="00EC1FFF">
      <w:pPr>
        <w:spacing w:line="240" w:lineRule="auto"/>
        <w:ind w:left="567" w:hanging="567"/>
        <w:rPr>
          <w:rFonts w:cs="Arial"/>
          <w:b/>
          <w:color w:val="FF0000"/>
        </w:rPr>
      </w:pPr>
    </w:p>
    <w:p w14:paraId="6E126826" w14:textId="77777777" w:rsidR="00DA52D5" w:rsidRPr="00DA52D5" w:rsidRDefault="00DA52D5" w:rsidP="00DA52D5">
      <w:pPr>
        <w:spacing w:line="240" w:lineRule="auto"/>
        <w:jc w:val="both"/>
        <w:rPr>
          <w:rFonts w:ascii="Calibri" w:eastAsia="Times New Roman" w:hAnsi="Calibri" w:cs="Times New Roman"/>
          <w:color w:val="002F5D"/>
          <w:lang w:eastAsia="en-GB"/>
        </w:rPr>
      </w:pPr>
      <w:r w:rsidRPr="00DA52D5">
        <w:rPr>
          <w:rFonts w:ascii="Calibri" w:eastAsia="Times New Roman" w:hAnsi="Calibri" w:cs="Times New Roman"/>
          <w:b/>
          <w:color w:val="002F5D"/>
          <w:lang w:eastAsia="en-GB"/>
        </w:rPr>
        <w:t>Note</w:t>
      </w:r>
      <w:r w:rsidRPr="00DA52D5">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Public Health England (PHE) calculate statistical significance using comparator area confidence intervals compared with the area value for the benchmark. This method is used in the RAG rated tables in this section. </w:t>
      </w:r>
    </w:p>
    <w:p w14:paraId="65C6FBED" w14:textId="19AA854D" w:rsidR="00E14B28" w:rsidRDefault="00E14B28" w:rsidP="00EC1FFF">
      <w:pPr>
        <w:spacing w:line="240" w:lineRule="auto"/>
        <w:ind w:left="567" w:hanging="567"/>
        <w:rPr>
          <w:rFonts w:cs="Arial"/>
          <w:b/>
          <w:color w:val="FF0000"/>
        </w:rPr>
      </w:pPr>
    </w:p>
    <w:p w14:paraId="77C6D411" w14:textId="77777777" w:rsidR="00E14B28" w:rsidRPr="0037351D" w:rsidRDefault="00E14B28" w:rsidP="00EC1FFF">
      <w:pPr>
        <w:spacing w:line="240" w:lineRule="auto"/>
        <w:ind w:left="567" w:hanging="567"/>
        <w:rPr>
          <w:rFonts w:cs="Arial"/>
          <w:b/>
          <w:color w:val="FF0000"/>
        </w:rPr>
      </w:pPr>
    </w:p>
    <w:p w14:paraId="73BEF67F" w14:textId="77777777" w:rsidR="00AE727E" w:rsidRPr="00862B5A" w:rsidRDefault="00AE727E" w:rsidP="00A3568F">
      <w:pPr>
        <w:pStyle w:val="JSNA3"/>
        <w:rPr>
          <w:rFonts w:cs="Arial"/>
        </w:rPr>
      </w:pPr>
      <w:bookmarkStart w:id="810" w:name="_Toc4407884"/>
      <w:r w:rsidRPr="00862B5A">
        <w:t>Inpatient hospital admissions</w:t>
      </w:r>
      <w:bookmarkEnd w:id="810"/>
    </w:p>
    <w:p w14:paraId="000355DC" w14:textId="77777777" w:rsidR="00AE727E" w:rsidRPr="00862B5A" w:rsidRDefault="00AE727E" w:rsidP="00EC1FFF">
      <w:pPr>
        <w:spacing w:line="240" w:lineRule="auto"/>
        <w:rPr>
          <w:rFonts w:cs="Arial"/>
          <w:b/>
          <w:color w:val="002F5D"/>
        </w:rPr>
      </w:pPr>
    </w:p>
    <w:p w14:paraId="1B0185CE" w14:textId="77777777" w:rsidR="00AE727E" w:rsidRPr="00862B5A" w:rsidRDefault="00AE727E" w:rsidP="00EC1FFF">
      <w:pPr>
        <w:spacing w:line="240" w:lineRule="auto"/>
        <w:rPr>
          <w:rFonts w:cs="Arial"/>
          <w:b/>
          <w:color w:val="002F5D"/>
        </w:rPr>
      </w:pPr>
      <w:r w:rsidRPr="00862B5A">
        <w:rPr>
          <w:rFonts w:cs="Arial"/>
          <w:b/>
          <w:color w:val="002F5D"/>
        </w:rPr>
        <w:t>All admissions</w:t>
      </w:r>
    </w:p>
    <w:p w14:paraId="2477021C" w14:textId="77777777" w:rsidR="00AE727E" w:rsidRPr="00862B5A" w:rsidRDefault="00AE727E" w:rsidP="00EC1FFF">
      <w:pPr>
        <w:spacing w:line="240" w:lineRule="auto"/>
        <w:ind w:firstLine="720"/>
        <w:rPr>
          <w:rFonts w:cs="Arial"/>
          <w:b/>
          <w:color w:val="002F5D"/>
        </w:rPr>
      </w:pPr>
    </w:p>
    <w:p w14:paraId="7DE4E9D2" w14:textId="0AC661A1" w:rsidR="002E271F" w:rsidRDefault="00B654F0" w:rsidP="00EC1FFF">
      <w:pPr>
        <w:pStyle w:val="Caption"/>
        <w:rPr>
          <w:rFonts w:cs="Arial"/>
          <w:color w:val="002F5D"/>
        </w:rPr>
      </w:pPr>
      <w:r w:rsidRPr="00862B5A">
        <w:rPr>
          <w:b/>
          <w:color w:val="002F5D"/>
        </w:rPr>
        <w:t>Table</w:t>
      </w:r>
      <w:r w:rsidR="00B81E4B">
        <w:rPr>
          <w:b/>
          <w:color w:val="002F5D"/>
        </w:rPr>
        <w:t xml:space="preserve"> 78</w:t>
      </w:r>
      <w:r w:rsidR="00AE727E" w:rsidRPr="00862B5A">
        <w:rPr>
          <w:rFonts w:cs="Arial"/>
          <w:b/>
          <w:color w:val="002F5D"/>
        </w:rPr>
        <w:t xml:space="preserve">. </w:t>
      </w:r>
      <w:r w:rsidR="00AE727E" w:rsidRPr="00862B5A">
        <w:rPr>
          <w:rFonts w:cs="Arial"/>
          <w:color w:val="002F5D"/>
        </w:rPr>
        <w:t>Hospital inpatient admission episodes by local authority of residence - all admissions, Cambridgeshire</w:t>
      </w:r>
      <w:r w:rsidR="000B6F19" w:rsidRPr="00862B5A">
        <w:rPr>
          <w:rFonts w:cs="Arial"/>
          <w:color w:val="002F5D"/>
        </w:rPr>
        <w:t xml:space="preserve"> and Peterborough</w:t>
      </w:r>
      <w:r w:rsidR="00AE727E" w:rsidRPr="00862B5A">
        <w:rPr>
          <w:rFonts w:cs="Arial"/>
          <w:color w:val="002F5D"/>
        </w:rPr>
        <w:t>, 2</w:t>
      </w:r>
      <w:r w:rsidR="0063719F">
        <w:rPr>
          <w:rFonts w:cs="Arial"/>
          <w:color w:val="002F5D"/>
        </w:rPr>
        <w:t>017/18</w:t>
      </w:r>
    </w:p>
    <w:p w14:paraId="0498BE69" w14:textId="3395337C" w:rsidR="00AE727E" w:rsidRPr="00862B5A" w:rsidRDefault="00AE727E" w:rsidP="00EC1FFF">
      <w:pPr>
        <w:pStyle w:val="Caption"/>
        <w:rPr>
          <w:rFonts w:cs="Arial"/>
          <w:color w:val="002F5D"/>
        </w:rPr>
      </w:pPr>
    </w:p>
    <w:p w14:paraId="046CECB6" w14:textId="1E2EA12F" w:rsidR="00C9012F" w:rsidRPr="0037351D" w:rsidRDefault="003850BE" w:rsidP="00C9012F">
      <w:pPr>
        <w:rPr>
          <w:color w:val="FF0000"/>
        </w:rPr>
      </w:pPr>
      <w:r w:rsidRPr="003850BE">
        <w:rPr>
          <w:noProof/>
          <w:lang w:eastAsia="en-GB"/>
        </w:rPr>
        <w:drawing>
          <wp:inline distT="0" distB="0" distL="0" distR="0" wp14:anchorId="5415B77E" wp14:editId="0F572B3F">
            <wp:extent cx="5753100" cy="2335845"/>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9217" cy="2342389"/>
                    </a:xfrm>
                    <a:prstGeom prst="rect">
                      <a:avLst/>
                    </a:prstGeom>
                    <a:noFill/>
                    <a:ln>
                      <a:noFill/>
                    </a:ln>
                  </pic:spPr>
                </pic:pic>
              </a:graphicData>
            </a:graphic>
          </wp:inline>
        </w:drawing>
      </w:r>
    </w:p>
    <w:p w14:paraId="1192A51E" w14:textId="51A52EA4" w:rsidR="009C4ECB" w:rsidRPr="008C0C89" w:rsidRDefault="009C4ECB" w:rsidP="008C0C89">
      <w:pPr>
        <w:rPr>
          <w:color w:val="FF0000"/>
        </w:rPr>
      </w:pPr>
    </w:p>
    <w:p w14:paraId="41D53821" w14:textId="77777777" w:rsidR="00AE727E" w:rsidRPr="00863FF8" w:rsidRDefault="00AE727E" w:rsidP="0043274F">
      <w:pPr>
        <w:spacing w:line="240" w:lineRule="auto"/>
        <w:rPr>
          <w:rFonts w:cs="Arial"/>
          <w:color w:val="002F5D"/>
          <w:sz w:val="18"/>
        </w:rPr>
      </w:pPr>
      <w:r w:rsidRPr="00863FF8">
        <w:rPr>
          <w:rFonts w:cs="Arial"/>
          <w:color w:val="002F5D"/>
          <w:sz w:val="18"/>
        </w:rPr>
        <w:t>DASR - directly age-standardised rate</w:t>
      </w:r>
    </w:p>
    <w:p w14:paraId="2BD727BA" w14:textId="52C718F0" w:rsidR="00AE727E" w:rsidRPr="00863FF8" w:rsidRDefault="00AE727E" w:rsidP="0043274F">
      <w:pPr>
        <w:spacing w:line="240" w:lineRule="auto"/>
        <w:rPr>
          <w:rFonts w:cs="Arial"/>
          <w:color w:val="002F5D"/>
          <w:sz w:val="18"/>
        </w:rPr>
      </w:pPr>
      <w:r w:rsidRPr="00863FF8">
        <w:rPr>
          <w:rFonts w:cs="Arial"/>
          <w:color w:val="002F5D"/>
          <w:sz w:val="18"/>
        </w:rPr>
        <w:t>Includes all elective, emergency, maternity</w:t>
      </w:r>
      <w:r w:rsidR="00863FF8" w:rsidRPr="00863FF8">
        <w:rPr>
          <w:rFonts w:cs="Arial"/>
          <w:color w:val="002F5D"/>
          <w:sz w:val="18"/>
        </w:rPr>
        <w:t xml:space="preserve"> and other admissions (excluding</w:t>
      </w:r>
      <w:r w:rsidRPr="00863FF8">
        <w:rPr>
          <w:rFonts w:cs="Arial"/>
          <w:color w:val="002F5D"/>
          <w:sz w:val="18"/>
        </w:rPr>
        <w:t xml:space="preserve"> well babies receiving usual care)</w:t>
      </w:r>
    </w:p>
    <w:p w14:paraId="21D7131A" w14:textId="77777777" w:rsidR="00863FF8" w:rsidRPr="0037351D" w:rsidRDefault="00863FF8" w:rsidP="00863FF8">
      <w:pPr>
        <w:spacing w:line="240" w:lineRule="auto"/>
        <w:rPr>
          <w:color w:val="FF0000"/>
        </w:rPr>
      </w:pPr>
    </w:p>
    <w:p w14:paraId="53049F77" w14:textId="082283A2" w:rsidR="00863FF8" w:rsidRDefault="00863FF8" w:rsidP="00863FF8">
      <w:pPr>
        <w:spacing w:line="240" w:lineRule="auto"/>
        <w:rPr>
          <w:color w:val="002F5D"/>
          <w:sz w:val="18"/>
          <w:szCs w:val="18"/>
        </w:rPr>
      </w:pPr>
      <w:r w:rsidRPr="00196B41">
        <w:rPr>
          <w:color w:val="002F5D"/>
          <w:sz w:val="18"/>
          <w:szCs w:val="18"/>
        </w:rPr>
        <w:t>Note: Cambridgeshire districts are benchmarked against Cambridgeshire average</w:t>
      </w:r>
      <w:r w:rsidR="003850BE">
        <w:rPr>
          <w:color w:val="002F5D"/>
          <w:sz w:val="18"/>
          <w:szCs w:val="18"/>
        </w:rPr>
        <w:t xml:space="preserve"> value</w:t>
      </w:r>
      <w:r w:rsidRPr="00196B41">
        <w:rPr>
          <w:color w:val="002F5D"/>
          <w:sz w:val="18"/>
          <w:szCs w:val="18"/>
        </w:rPr>
        <w:t>, Cambridgeshire against C&amp;P average</w:t>
      </w:r>
      <w:r w:rsidR="003850BE">
        <w:rPr>
          <w:color w:val="002F5D"/>
          <w:sz w:val="18"/>
          <w:szCs w:val="18"/>
        </w:rPr>
        <w:t xml:space="preserve"> value</w:t>
      </w:r>
      <w:r w:rsidRPr="00196B41">
        <w:rPr>
          <w:color w:val="002F5D"/>
          <w:sz w:val="18"/>
          <w:szCs w:val="18"/>
        </w:rPr>
        <w:t>, and Peterborough against C&amp;P average</w:t>
      </w:r>
      <w:r w:rsidR="003850BE">
        <w:rPr>
          <w:color w:val="002F5D"/>
          <w:sz w:val="18"/>
          <w:szCs w:val="18"/>
        </w:rPr>
        <w:t xml:space="preserve"> value</w:t>
      </w:r>
    </w:p>
    <w:p w14:paraId="2F209ED1" w14:textId="77777777" w:rsidR="003850BE" w:rsidRPr="00196B41" w:rsidRDefault="003850BE" w:rsidP="00863FF8">
      <w:pPr>
        <w:spacing w:line="240" w:lineRule="auto"/>
        <w:rPr>
          <w:color w:val="002F5D"/>
          <w:sz w:val="18"/>
          <w:szCs w:val="18"/>
        </w:rPr>
      </w:pPr>
    </w:p>
    <w:p w14:paraId="5CACB4A4" w14:textId="7C0B42C7" w:rsidR="00AE727E" w:rsidRPr="0037351D" w:rsidRDefault="003850BE" w:rsidP="0043274F">
      <w:pPr>
        <w:spacing w:line="240" w:lineRule="auto"/>
        <w:rPr>
          <w:rFonts w:cs="Arial"/>
          <w:color w:val="FF0000"/>
        </w:rPr>
      </w:pPr>
      <w:r w:rsidRPr="003850BE">
        <w:rPr>
          <w:noProof/>
          <w:lang w:eastAsia="en-GB"/>
        </w:rPr>
        <w:drawing>
          <wp:inline distT="0" distB="0" distL="0" distR="0" wp14:anchorId="7B5E95A4" wp14:editId="66D21F10">
            <wp:extent cx="4137660" cy="38100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37660" cy="381000"/>
                    </a:xfrm>
                    <a:prstGeom prst="rect">
                      <a:avLst/>
                    </a:prstGeom>
                    <a:noFill/>
                    <a:ln>
                      <a:noFill/>
                    </a:ln>
                  </pic:spPr>
                </pic:pic>
              </a:graphicData>
            </a:graphic>
          </wp:inline>
        </w:drawing>
      </w:r>
    </w:p>
    <w:p w14:paraId="689AD95B" w14:textId="77777777" w:rsidR="00AE727E" w:rsidRPr="0037351D" w:rsidRDefault="00AE727E" w:rsidP="0043274F">
      <w:pPr>
        <w:spacing w:line="240" w:lineRule="auto"/>
        <w:rPr>
          <w:rFonts w:cs="Arial"/>
          <w:color w:val="FF0000"/>
        </w:rPr>
      </w:pPr>
    </w:p>
    <w:p w14:paraId="179179D6" w14:textId="6979EAE8" w:rsidR="00AE727E" w:rsidRPr="008C0C89" w:rsidRDefault="00AE727E" w:rsidP="0043274F">
      <w:pPr>
        <w:spacing w:line="240" w:lineRule="auto"/>
        <w:rPr>
          <w:rFonts w:cs="Arial"/>
          <w:color w:val="002F5D"/>
        </w:rPr>
      </w:pPr>
      <w:r w:rsidRPr="008C0C89">
        <w:rPr>
          <w:rFonts w:cs="Arial"/>
          <w:b/>
          <w:color w:val="002F5D"/>
        </w:rPr>
        <w:t>Sources:</w:t>
      </w:r>
      <w:r w:rsidRPr="008C0C89">
        <w:rPr>
          <w:rFonts w:cs="Arial"/>
          <w:color w:val="002F5D"/>
        </w:rPr>
        <w:t xml:space="preserve"> NHS Digital Hospital Episode Statistics, </w:t>
      </w:r>
      <w:r w:rsidR="007750E0">
        <w:rPr>
          <w:rFonts w:cs="Arial"/>
          <w:color w:val="002F5D"/>
        </w:rPr>
        <w:t>ONS</w:t>
      </w:r>
      <w:r w:rsidRPr="008C0C89">
        <w:rPr>
          <w:rFonts w:cs="Arial"/>
          <w:color w:val="002F5D"/>
        </w:rPr>
        <w:t xml:space="preserve"> mid-year population estimates</w:t>
      </w:r>
    </w:p>
    <w:p w14:paraId="42FBD14C" w14:textId="77777777" w:rsidR="00AE727E" w:rsidRPr="0037351D" w:rsidRDefault="00AE727E" w:rsidP="0043274F">
      <w:pPr>
        <w:spacing w:line="240" w:lineRule="auto"/>
        <w:rPr>
          <w:rFonts w:cs="Arial"/>
          <w:color w:val="FF0000"/>
        </w:rPr>
      </w:pPr>
    </w:p>
    <w:p w14:paraId="5199202F" w14:textId="77777777" w:rsidR="00AE727E" w:rsidRPr="0037351D" w:rsidRDefault="00AE727E" w:rsidP="0043274F">
      <w:pPr>
        <w:spacing w:line="240" w:lineRule="auto"/>
        <w:rPr>
          <w:rFonts w:cs="Arial"/>
          <w:b/>
          <w:color w:val="FF0000"/>
        </w:rPr>
      </w:pPr>
      <w:r w:rsidRPr="008C0C89">
        <w:rPr>
          <w:rFonts w:cs="Arial"/>
          <w:b/>
          <w:color w:val="002F5D"/>
        </w:rPr>
        <w:t>Key points:</w:t>
      </w:r>
    </w:p>
    <w:p w14:paraId="7A74812A" w14:textId="77777777" w:rsidR="00AE727E" w:rsidRPr="008C0C89" w:rsidRDefault="00AE727E" w:rsidP="0043274F">
      <w:pPr>
        <w:pStyle w:val="ListParagraph"/>
        <w:numPr>
          <w:ilvl w:val="0"/>
          <w:numId w:val="8"/>
        </w:numPr>
        <w:spacing w:line="240" w:lineRule="auto"/>
        <w:rPr>
          <w:rFonts w:cs="Arial"/>
          <w:color w:val="002F5D"/>
        </w:rPr>
      </w:pPr>
      <w:r w:rsidRPr="008C0C89">
        <w:rPr>
          <w:rFonts w:cs="Arial"/>
          <w:color w:val="002F5D"/>
        </w:rPr>
        <w:t>The rate of inpatient admission episodes is statistically significantly higher than the Cambridgeshire average in Fenland and Huntingdonshire in all ages combined, under 75s and 75s and over.</w:t>
      </w:r>
    </w:p>
    <w:p w14:paraId="058D3E44" w14:textId="77777777" w:rsidR="006A67F1" w:rsidRDefault="00CF17D3" w:rsidP="0043274F">
      <w:pPr>
        <w:pStyle w:val="ListParagraph"/>
        <w:numPr>
          <w:ilvl w:val="0"/>
          <w:numId w:val="8"/>
        </w:numPr>
        <w:spacing w:line="240" w:lineRule="auto"/>
        <w:rPr>
          <w:rFonts w:cs="Arial"/>
          <w:color w:val="002F5D"/>
        </w:rPr>
      </w:pPr>
      <w:r w:rsidRPr="008C0C89">
        <w:rPr>
          <w:rFonts w:cs="Arial"/>
          <w:color w:val="002F5D"/>
        </w:rPr>
        <w:t xml:space="preserve">In Peterborough the rate of inpatient admission episodes is </w:t>
      </w:r>
      <w:r w:rsidR="008C0C89" w:rsidRPr="008C0C89">
        <w:rPr>
          <w:rFonts w:cs="Arial"/>
          <w:color w:val="002F5D"/>
        </w:rPr>
        <w:t>statistically significantly lower than</w:t>
      </w:r>
      <w:r w:rsidRPr="008C0C89">
        <w:rPr>
          <w:rFonts w:cs="Arial"/>
          <w:color w:val="002F5D"/>
        </w:rPr>
        <w:t xml:space="preserve"> the Cambridgeshire </w:t>
      </w:r>
      <w:r w:rsidR="00EC1FFF" w:rsidRPr="008C0C89">
        <w:rPr>
          <w:rFonts w:cs="Arial"/>
          <w:color w:val="002F5D"/>
        </w:rPr>
        <w:t xml:space="preserve">and Peterborough </w:t>
      </w:r>
      <w:r w:rsidR="002E7D6D" w:rsidRPr="008C0C89">
        <w:rPr>
          <w:rFonts w:cs="Arial"/>
          <w:color w:val="002F5D"/>
        </w:rPr>
        <w:t xml:space="preserve">average for </w:t>
      </w:r>
      <w:r w:rsidR="008C0C89" w:rsidRPr="008C0C89">
        <w:rPr>
          <w:rFonts w:cs="Arial"/>
          <w:color w:val="002F5D"/>
        </w:rPr>
        <w:t xml:space="preserve">all ages, </w:t>
      </w:r>
      <w:r w:rsidR="00C9012F" w:rsidRPr="008C0C89">
        <w:rPr>
          <w:rFonts w:cs="Arial"/>
          <w:color w:val="002F5D"/>
        </w:rPr>
        <w:t>Under 75s and people aged 75 years and over.</w:t>
      </w:r>
      <w:r w:rsidR="002F0A9A" w:rsidRPr="008C0C89">
        <w:rPr>
          <w:rFonts w:cs="Arial"/>
          <w:color w:val="002F5D"/>
        </w:rPr>
        <w:t xml:space="preserve"> </w:t>
      </w:r>
    </w:p>
    <w:p w14:paraId="628C1D25" w14:textId="375D4DA1" w:rsidR="00CF17D3" w:rsidRPr="00330B65" w:rsidRDefault="002F0A9A">
      <w:pPr>
        <w:pStyle w:val="ListParagraph"/>
        <w:numPr>
          <w:ilvl w:val="0"/>
          <w:numId w:val="8"/>
        </w:numPr>
        <w:spacing w:line="240" w:lineRule="auto"/>
        <w:rPr>
          <w:rFonts w:cs="Arial"/>
          <w:color w:val="002F5D"/>
        </w:rPr>
      </w:pPr>
      <w:r w:rsidRPr="008C0C89">
        <w:rPr>
          <w:rFonts w:cs="Arial"/>
          <w:color w:val="002F5D"/>
        </w:rPr>
        <w:lastRenderedPageBreak/>
        <w:t xml:space="preserve">Cambridgeshire’s rates </w:t>
      </w:r>
      <w:r w:rsidR="006A67F1" w:rsidRPr="008C0C89">
        <w:rPr>
          <w:rFonts w:cs="Arial"/>
          <w:color w:val="002F5D"/>
        </w:rPr>
        <w:t>rate of inpatient admission episodes is s</w:t>
      </w:r>
      <w:r w:rsidR="006A67F1">
        <w:rPr>
          <w:rFonts w:cs="Arial"/>
          <w:color w:val="002F5D"/>
        </w:rPr>
        <w:t>tatistically significantly higher</w:t>
      </w:r>
      <w:r w:rsidR="006A67F1" w:rsidRPr="008C0C89">
        <w:rPr>
          <w:rFonts w:cs="Arial"/>
          <w:color w:val="002F5D"/>
        </w:rPr>
        <w:t xml:space="preserve"> than the Cambridgeshire and Peterborough average for all ages, Under 75s and people aged 75 years and over. </w:t>
      </w:r>
    </w:p>
    <w:p w14:paraId="3446FC11" w14:textId="29B1B782" w:rsidR="00AE727E" w:rsidRPr="008C0C89" w:rsidRDefault="00AE727E" w:rsidP="0043274F">
      <w:pPr>
        <w:pStyle w:val="ListParagraph"/>
        <w:numPr>
          <w:ilvl w:val="0"/>
          <w:numId w:val="8"/>
        </w:numPr>
        <w:spacing w:line="240" w:lineRule="auto"/>
        <w:rPr>
          <w:rFonts w:cs="Arial"/>
          <w:color w:val="002F5D"/>
        </w:rPr>
      </w:pPr>
      <w:r w:rsidRPr="008C0C89">
        <w:rPr>
          <w:rFonts w:cs="Arial"/>
          <w:color w:val="002F5D"/>
        </w:rPr>
        <w:t xml:space="preserve">There were just </w:t>
      </w:r>
      <w:r w:rsidR="008C0C89" w:rsidRPr="008C0C89">
        <w:rPr>
          <w:rFonts w:cs="Arial"/>
          <w:color w:val="002F5D"/>
        </w:rPr>
        <w:t>under 217</w:t>
      </w:r>
      <w:r w:rsidR="00CF17D3" w:rsidRPr="008C0C89">
        <w:rPr>
          <w:rFonts w:cs="Arial"/>
          <w:color w:val="002F5D"/>
        </w:rPr>
        <w:t>,000</w:t>
      </w:r>
      <w:r w:rsidRPr="008C0C89">
        <w:rPr>
          <w:rFonts w:cs="Arial"/>
          <w:color w:val="002F5D"/>
        </w:rPr>
        <w:t xml:space="preserve"> admission episodes among Cambridgeshire</w:t>
      </w:r>
      <w:r w:rsidR="00CF17D3" w:rsidRPr="008C0C89">
        <w:rPr>
          <w:rFonts w:cs="Arial"/>
          <w:color w:val="002F5D"/>
        </w:rPr>
        <w:t xml:space="preserve"> and Peterborough’s</w:t>
      </w:r>
      <w:r w:rsidRPr="008C0C89">
        <w:rPr>
          <w:rFonts w:cs="Arial"/>
          <w:color w:val="002F5D"/>
        </w:rPr>
        <w:t xml:space="preserve"> residents in 201</w:t>
      </w:r>
      <w:r w:rsidR="008C0C89" w:rsidRPr="008C0C89">
        <w:rPr>
          <w:rFonts w:cs="Arial"/>
          <w:color w:val="002F5D"/>
        </w:rPr>
        <w:t>7</w:t>
      </w:r>
      <w:r w:rsidRPr="008C0C89">
        <w:rPr>
          <w:rFonts w:cs="Arial"/>
          <w:color w:val="002F5D"/>
        </w:rPr>
        <w:t>/1</w:t>
      </w:r>
      <w:r w:rsidR="008C0C89" w:rsidRPr="008C0C89">
        <w:rPr>
          <w:rFonts w:cs="Arial"/>
          <w:color w:val="002F5D"/>
        </w:rPr>
        <w:t>8</w:t>
      </w:r>
      <w:r w:rsidRPr="008C0C89">
        <w:rPr>
          <w:rFonts w:cs="Arial"/>
          <w:color w:val="002F5D"/>
        </w:rPr>
        <w:t>.</w:t>
      </w:r>
    </w:p>
    <w:p w14:paraId="72F6C46F" w14:textId="04E515BC" w:rsidR="00FA4AFC" w:rsidRPr="008C0C89" w:rsidRDefault="00AE727E" w:rsidP="0043274F">
      <w:pPr>
        <w:pStyle w:val="ListParagraph"/>
        <w:numPr>
          <w:ilvl w:val="0"/>
          <w:numId w:val="8"/>
        </w:numPr>
        <w:spacing w:line="240" w:lineRule="auto"/>
        <w:rPr>
          <w:rFonts w:cs="Arial"/>
          <w:color w:val="002F5D"/>
        </w:rPr>
      </w:pPr>
      <w:r w:rsidRPr="008C0C89">
        <w:rPr>
          <w:rFonts w:cs="Arial"/>
          <w:color w:val="002F5D"/>
        </w:rPr>
        <w:t>77% of episo</w:t>
      </w:r>
      <w:r w:rsidR="002E7D6D" w:rsidRPr="008C0C89">
        <w:rPr>
          <w:rFonts w:cs="Arial"/>
          <w:color w:val="002F5D"/>
        </w:rPr>
        <w:t>des are i</w:t>
      </w:r>
      <w:r w:rsidR="00EA16A6" w:rsidRPr="008C0C89">
        <w:rPr>
          <w:rFonts w:cs="Arial"/>
          <w:color w:val="002F5D"/>
        </w:rPr>
        <w:t>n people aged under 75</w:t>
      </w:r>
      <w:r w:rsidR="002E7D6D" w:rsidRPr="008C0C89">
        <w:rPr>
          <w:rFonts w:cs="Arial"/>
          <w:color w:val="002F5D"/>
        </w:rPr>
        <w:t>.</w:t>
      </w:r>
    </w:p>
    <w:p w14:paraId="4B08C565" w14:textId="51DB87C7" w:rsidR="00FA4AFC" w:rsidRDefault="00AE727E" w:rsidP="00330B65">
      <w:pPr>
        <w:pStyle w:val="ListParagraph"/>
        <w:numPr>
          <w:ilvl w:val="0"/>
          <w:numId w:val="8"/>
        </w:numPr>
        <w:spacing w:line="240" w:lineRule="auto"/>
        <w:rPr>
          <w:noProof/>
          <w:lang w:eastAsia="en-GB"/>
        </w:rPr>
      </w:pPr>
      <w:r w:rsidRPr="00330B65">
        <w:rPr>
          <w:rFonts w:cs="Arial"/>
          <w:color w:val="002F5D"/>
        </w:rPr>
        <w:t>Rates of admission are generally more than three times higher in people aged 75 and over than in under 75s.</w:t>
      </w:r>
    </w:p>
    <w:p w14:paraId="65AA4391" w14:textId="77777777" w:rsidR="00FA4AFC" w:rsidRDefault="00FA4AFC" w:rsidP="00330B65">
      <w:pPr>
        <w:rPr>
          <w:noProof/>
          <w:lang w:eastAsia="en-GB"/>
        </w:rPr>
      </w:pPr>
    </w:p>
    <w:p w14:paraId="20738473" w14:textId="438081EE" w:rsidR="00AE727E" w:rsidRPr="00330B65" w:rsidRDefault="00644A04" w:rsidP="00330B65">
      <w:pPr>
        <w:rPr>
          <w:rFonts w:cs="Arial"/>
          <w:color w:val="002F5D"/>
        </w:rPr>
      </w:pPr>
      <w:r w:rsidRPr="00330B65">
        <w:rPr>
          <w:b/>
          <w:color w:val="002F5D"/>
        </w:rPr>
        <w:t xml:space="preserve">Figure </w:t>
      </w:r>
      <w:r w:rsidR="00A2366A">
        <w:rPr>
          <w:b/>
          <w:color w:val="002F5D"/>
        </w:rPr>
        <w:t>36</w:t>
      </w:r>
      <w:r w:rsidR="00AE727E" w:rsidRPr="00330B65">
        <w:rPr>
          <w:rFonts w:cs="Arial"/>
          <w:b/>
          <w:color w:val="002F5D"/>
        </w:rPr>
        <w:t>.</w:t>
      </w:r>
      <w:r w:rsidR="00AE727E" w:rsidRPr="00330B65">
        <w:rPr>
          <w:rFonts w:cs="Arial"/>
          <w:color w:val="002F5D"/>
        </w:rPr>
        <w:t xml:space="preserve">  </w:t>
      </w:r>
      <w:r w:rsidR="00AE727E" w:rsidRPr="00330B65">
        <w:rPr>
          <w:rFonts w:cs="Arial"/>
          <w:b/>
          <w:color w:val="002F5D"/>
        </w:rPr>
        <w:t>Hospital inpatient admission episodes by local authority of residence - all admissions: numbers, Cambridgeshire</w:t>
      </w:r>
      <w:r w:rsidR="00CF17D3" w:rsidRPr="00330B65">
        <w:rPr>
          <w:rFonts w:cs="Arial"/>
          <w:b/>
          <w:color w:val="002F5D"/>
        </w:rPr>
        <w:t xml:space="preserve"> and Peterborough</w:t>
      </w:r>
      <w:r w:rsidR="00C14EE8" w:rsidRPr="00330B65">
        <w:rPr>
          <w:rFonts w:cs="Arial"/>
          <w:b/>
          <w:color w:val="002F5D"/>
        </w:rPr>
        <w:t>, 2012/13</w:t>
      </w:r>
      <w:r w:rsidR="00AE727E" w:rsidRPr="00330B65">
        <w:rPr>
          <w:rFonts w:cs="Arial"/>
          <w:b/>
          <w:color w:val="002F5D"/>
        </w:rPr>
        <w:t xml:space="preserve"> to 201</w:t>
      </w:r>
      <w:r w:rsidR="00C14EE8" w:rsidRPr="00330B65">
        <w:rPr>
          <w:rFonts w:cs="Arial"/>
          <w:b/>
          <w:color w:val="002F5D"/>
        </w:rPr>
        <w:t>7</w:t>
      </w:r>
      <w:r w:rsidR="00AE727E" w:rsidRPr="00330B65">
        <w:rPr>
          <w:rFonts w:cs="Arial"/>
          <w:b/>
          <w:color w:val="002F5D"/>
        </w:rPr>
        <w:t>/1</w:t>
      </w:r>
      <w:r w:rsidR="00C14EE8" w:rsidRPr="00330B65">
        <w:rPr>
          <w:rFonts w:cs="Arial"/>
          <w:b/>
          <w:color w:val="002F5D"/>
        </w:rPr>
        <w:t>8</w:t>
      </w:r>
    </w:p>
    <w:p w14:paraId="2798759A" w14:textId="77777777" w:rsidR="005D1E2C" w:rsidRPr="005D1E2C" w:rsidRDefault="005D1E2C" w:rsidP="005D1E2C"/>
    <w:p w14:paraId="0AACE9B3" w14:textId="1C8F953C" w:rsidR="00CF17D3" w:rsidRDefault="005D1E2C" w:rsidP="00CF17D3">
      <w:pPr>
        <w:rPr>
          <w:color w:val="FF0000"/>
        </w:rPr>
      </w:pPr>
      <w:r>
        <w:rPr>
          <w:noProof/>
          <w:color w:val="FF0000"/>
          <w:lang w:eastAsia="en-GB"/>
        </w:rPr>
        <w:drawing>
          <wp:inline distT="0" distB="0" distL="0" distR="0" wp14:anchorId="7DF9AB6E" wp14:editId="7DFEAAE9">
            <wp:extent cx="6291580" cy="3107193"/>
            <wp:effectExtent l="19050" t="19050" r="13970" b="171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00087" cy="3111394"/>
                    </a:xfrm>
                    <a:prstGeom prst="rect">
                      <a:avLst/>
                    </a:prstGeom>
                    <a:noFill/>
                    <a:ln w="22225">
                      <a:solidFill>
                        <a:srgbClr val="002F5D"/>
                      </a:solidFill>
                    </a:ln>
                  </pic:spPr>
                </pic:pic>
              </a:graphicData>
            </a:graphic>
          </wp:inline>
        </w:drawing>
      </w:r>
    </w:p>
    <w:p w14:paraId="63C8E9D8" w14:textId="77777777" w:rsidR="000607B9" w:rsidRPr="0037351D" w:rsidRDefault="000607B9" w:rsidP="00CF17D3">
      <w:pPr>
        <w:rPr>
          <w:color w:val="FF0000"/>
        </w:rPr>
      </w:pPr>
    </w:p>
    <w:p w14:paraId="268E3B2A" w14:textId="78FC5B0F" w:rsidR="00AE727E" w:rsidRPr="0037351D" w:rsidRDefault="000607B9" w:rsidP="00CF17D3">
      <w:pPr>
        <w:rPr>
          <w:rFonts w:cs="Arial"/>
          <w:color w:val="FF0000"/>
        </w:rPr>
      </w:pPr>
      <w:r>
        <w:rPr>
          <w:rFonts w:cs="Arial"/>
          <w:noProof/>
          <w:color w:val="FF0000"/>
          <w:lang w:eastAsia="en-GB"/>
        </w:rPr>
        <w:drawing>
          <wp:inline distT="0" distB="0" distL="0" distR="0" wp14:anchorId="5A993976" wp14:editId="2DD51D11">
            <wp:extent cx="6343650" cy="3130348"/>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59323" cy="3138082"/>
                    </a:xfrm>
                    <a:prstGeom prst="rect">
                      <a:avLst/>
                    </a:prstGeom>
                    <a:noFill/>
                  </pic:spPr>
                </pic:pic>
              </a:graphicData>
            </a:graphic>
          </wp:inline>
        </w:drawing>
      </w:r>
    </w:p>
    <w:p w14:paraId="41915780" w14:textId="360FA08F" w:rsidR="00CF17D3" w:rsidRPr="0037351D" w:rsidRDefault="00CF17D3" w:rsidP="00AE727E">
      <w:pPr>
        <w:spacing w:line="240" w:lineRule="auto"/>
        <w:rPr>
          <w:rFonts w:cs="Arial"/>
          <w:color w:val="FF0000"/>
        </w:rPr>
      </w:pPr>
    </w:p>
    <w:p w14:paraId="7FD68E21" w14:textId="77777777" w:rsidR="00AE727E" w:rsidRPr="003C28EC" w:rsidRDefault="00AE727E" w:rsidP="00AE727E">
      <w:pPr>
        <w:spacing w:line="240" w:lineRule="auto"/>
        <w:rPr>
          <w:rFonts w:cs="Arial"/>
          <w:color w:val="002F5D"/>
        </w:rPr>
      </w:pPr>
      <w:r w:rsidRPr="003C28EC">
        <w:rPr>
          <w:rFonts w:cs="Arial"/>
          <w:b/>
          <w:color w:val="002F5D"/>
        </w:rPr>
        <w:lastRenderedPageBreak/>
        <w:t>Source:</w:t>
      </w:r>
      <w:r w:rsidRPr="003C28EC">
        <w:rPr>
          <w:rFonts w:cs="Arial"/>
          <w:color w:val="002F5D"/>
        </w:rPr>
        <w:t xml:space="preserve"> NHS Digital Hospital Episode Statistics</w:t>
      </w:r>
    </w:p>
    <w:p w14:paraId="651796E0" w14:textId="77777777" w:rsidR="00AE727E" w:rsidRPr="0037351D" w:rsidRDefault="00AE727E" w:rsidP="00AE727E">
      <w:pPr>
        <w:spacing w:line="240" w:lineRule="auto"/>
        <w:rPr>
          <w:rFonts w:cs="Arial"/>
          <w:color w:val="FF0000"/>
        </w:rPr>
      </w:pPr>
    </w:p>
    <w:p w14:paraId="5503F833" w14:textId="77777777" w:rsidR="00AE727E" w:rsidRPr="0037351D" w:rsidRDefault="00AE727E" w:rsidP="00AE727E">
      <w:pPr>
        <w:spacing w:line="240" w:lineRule="auto"/>
        <w:rPr>
          <w:rFonts w:cs="Arial"/>
          <w:color w:val="FF0000"/>
        </w:rPr>
      </w:pPr>
    </w:p>
    <w:p w14:paraId="6D676A3A" w14:textId="70086E2D" w:rsidR="00AE727E" w:rsidRPr="00330B65" w:rsidRDefault="006543B9" w:rsidP="00330B65">
      <w:pPr>
        <w:rPr>
          <w:rFonts w:cs="Arial"/>
          <w:color w:val="002F5D"/>
        </w:rPr>
      </w:pPr>
      <w:r w:rsidRPr="003C28EC">
        <w:rPr>
          <w:b/>
          <w:color w:val="002F5D"/>
        </w:rPr>
        <w:t xml:space="preserve">Figure </w:t>
      </w:r>
      <w:r w:rsidR="00A2366A">
        <w:rPr>
          <w:b/>
          <w:color w:val="002F5D"/>
        </w:rPr>
        <w:t>37</w:t>
      </w:r>
      <w:r w:rsidR="00AE727E" w:rsidRPr="003C28EC">
        <w:rPr>
          <w:rFonts w:cs="Arial"/>
          <w:b/>
          <w:color w:val="002F5D"/>
        </w:rPr>
        <w:t>.</w:t>
      </w:r>
      <w:r w:rsidR="00AE727E" w:rsidRPr="003C28EC">
        <w:rPr>
          <w:rFonts w:cs="Arial"/>
          <w:color w:val="002F5D"/>
        </w:rPr>
        <w:t xml:space="preserve">  </w:t>
      </w:r>
      <w:r w:rsidR="00AE727E" w:rsidRPr="00330B65">
        <w:rPr>
          <w:rFonts w:cs="Arial"/>
          <w:color w:val="002F5D"/>
        </w:rPr>
        <w:t>Rates of hospital inpatient admission episodes by local authority of residence - all admissions: directly age-standardised rates, Cambridgeshire</w:t>
      </w:r>
      <w:r w:rsidR="0004272E" w:rsidRPr="00330B65">
        <w:rPr>
          <w:rFonts w:cs="Arial"/>
          <w:color w:val="002F5D"/>
        </w:rPr>
        <w:t xml:space="preserve"> and Peterborough</w:t>
      </w:r>
      <w:r w:rsidR="003C28EC" w:rsidRPr="00330B65">
        <w:rPr>
          <w:rFonts w:cs="Arial"/>
          <w:color w:val="002F5D"/>
        </w:rPr>
        <w:t>, 2012/13</w:t>
      </w:r>
      <w:r w:rsidR="00AE727E" w:rsidRPr="00330B65">
        <w:rPr>
          <w:rFonts w:cs="Arial"/>
          <w:color w:val="002F5D"/>
        </w:rPr>
        <w:t xml:space="preserve"> to 201</w:t>
      </w:r>
      <w:r w:rsidR="003C28EC" w:rsidRPr="00330B65">
        <w:rPr>
          <w:rFonts w:cs="Arial"/>
          <w:color w:val="002F5D"/>
        </w:rPr>
        <w:t>7</w:t>
      </w:r>
      <w:r w:rsidR="00AE727E" w:rsidRPr="00330B65">
        <w:rPr>
          <w:rFonts w:cs="Arial"/>
          <w:color w:val="002F5D"/>
        </w:rPr>
        <w:t>/1</w:t>
      </w:r>
      <w:r w:rsidR="003C28EC" w:rsidRPr="00330B65">
        <w:rPr>
          <w:rFonts w:cs="Arial"/>
          <w:color w:val="002F5D"/>
        </w:rPr>
        <w:t>8</w:t>
      </w:r>
    </w:p>
    <w:p w14:paraId="018169DE" w14:textId="77777777" w:rsidR="003C28EC" w:rsidRPr="003C28EC" w:rsidRDefault="003C28EC" w:rsidP="003C28EC"/>
    <w:p w14:paraId="33631767" w14:textId="73CCB965" w:rsidR="0004272E" w:rsidRPr="0037351D" w:rsidRDefault="003C28EC" w:rsidP="0043274F">
      <w:pPr>
        <w:spacing w:line="240" w:lineRule="auto"/>
        <w:rPr>
          <w:color w:val="FF0000"/>
        </w:rPr>
      </w:pPr>
      <w:r>
        <w:rPr>
          <w:noProof/>
          <w:color w:val="FF0000"/>
          <w:lang w:eastAsia="en-GB"/>
        </w:rPr>
        <w:drawing>
          <wp:inline distT="0" distB="0" distL="0" distR="0" wp14:anchorId="0163BA10" wp14:editId="70958963">
            <wp:extent cx="6480645" cy="2867025"/>
            <wp:effectExtent l="19050" t="19050" r="1587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486109" cy="2869442"/>
                    </a:xfrm>
                    <a:prstGeom prst="rect">
                      <a:avLst/>
                    </a:prstGeom>
                    <a:noFill/>
                    <a:ln w="19050">
                      <a:solidFill>
                        <a:srgbClr val="002F5D"/>
                      </a:solidFill>
                    </a:ln>
                  </pic:spPr>
                </pic:pic>
              </a:graphicData>
            </a:graphic>
          </wp:inline>
        </w:drawing>
      </w:r>
    </w:p>
    <w:p w14:paraId="7B858648" w14:textId="3493AB94" w:rsidR="0004272E" w:rsidRPr="0037351D" w:rsidRDefault="0004272E" w:rsidP="0004272E">
      <w:pPr>
        <w:rPr>
          <w:color w:val="FF0000"/>
        </w:rPr>
      </w:pPr>
    </w:p>
    <w:p w14:paraId="4C7D7D61" w14:textId="04DE3B8E" w:rsidR="0004272E" w:rsidRPr="0037351D" w:rsidRDefault="00BC30DF" w:rsidP="0004272E">
      <w:pPr>
        <w:rPr>
          <w:color w:val="FF0000"/>
        </w:rPr>
      </w:pPr>
      <w:r>
        <w:rPr>
          <w:noProof/>
          <w:color w:val="FF0000"/>
          <w:lang w:eastAsia="en-GB"/>
        </w:rPr>
        <w:drawing>
          <wp:inline distT="0" distB="0" distL="0" distR="0" wp14:anchorId="24E6A489" wp14:editId="56C243E5">
            <wp:extent cx="6502175" cy="2876550"/>
            <wp:effectExtent l="19050" t="19050" r="13335" b="190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511447" cy="2880652"/>
                    </a:xfrm>
                    <a:prstGeom prst="rect">
                      <a:avLst/>
                    </a:prstGeom>
                    <a:noFill/>
                    <a:ln w="19050">
                      <a:solidFill>
                        <a:srgbClr val="002F5D"/>
                      </a:solidFill>
                    </a:ln>
                  </pic:spPr>
                </pic:pic>
              </a:graphicData>
            </a:graphic>
          </wp:inline>
        </w:drawing>
      </w:r>
    </w:p>
    <w:p w14:paraId="053FCA95" w14:textId="190EDF0B" w:rsidR="00AE727E" w:rsidRPr="0037351D" w:rsidRDefault="00AE727E" w:rsidP="00AE727E">
      <w:pPr>
        <w:spacing w:line="240" w:lineRule="auto"/>
        <w:rPr>
          <w:rFonts w:cs="Arial"/>
          <w:color w:val="FF0000"/>
        </w:rPr>
      </w:pPr>
    </w:p>
    <w:p w14:paraId="7B4B6F85" w14:textId="55CBC089" w:rsidR="003A021F" w:rsidRPr="0037351D" w:rsidRDefault="0007776C" w:rsidP="00AE727E">
      <w:pPr>
        <w:spacing w:line="240" w:lineRule="auto"/>
        <w:rPr>
          <w:rFonts w:cs="Arial"/>
          <w:color w:val="FF0000"/>
        </w:rPr>
      </w:pPr>
      <w:r w:rsidRPr="0007776C">
        <w:rPr>
          <w:noProof/>
          <w:lang w:eastAsia="en-GB"/>
        </w:rPr>
        <w:drawing>
          <wp:inline distT="0" distB="0" distL="0" distR="0" wp14:anchorId="64B3C446" wp14:editId="172993E5">
            <wp:extent cx="4629150" cy="516232"/>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17124" cy="526043"/>
                    </a:xfrm>
                    <a:prstGeom prst="rect">
                      <a:avLst/>
                    </a:prstGeom>
                    <a:noFill/>
                    <a:ln>
                      <a:noFill/>
                    </a:ln>
                  </pic:spPr>
                </pic:pic>
              </a:graphicData>
            </a:graphic>
          </wp:inline>
        </w:drawing>
      </w:r>
    </w:p>
    <w:p w14:paraId="180246C4" w14:textId="77777777" w:rsidR="00AE727E" w:rsidRPr="0037351D" w:rsidRDefault="00AE727E" w:rsidP="00AE727E">
      <w:pPr>
        <w:spacing w:line="240" w:lineRule="auto"/>
        <w:rPr>
          <w:rFonts w:cs="Arial"/>
          <w:color w:val="FF0000"/>
        </w:rPr>
      </w:pPr>
    </w:p>
    <w:p w14:paraId="2A619403" w14:textId="77777777" w:rsidR="00AE727E" w:rsidRPr="0037351D" w:rsidRDefault="00AE727E" w:rsidP="00AE727E">
      <w:pPr>
        <w:spacing w:line="240" w:lineRule="auto"/>
        <w:rPr>
          <w:rFonts w:cs="Arial"/>
          <w:color w:val="FF0000"/>
        </w:rPr>
      </w:pPr>
    </w:p>
    <w:p w14:paraId="21B9AA54" w14:textId="59026134" w:rsidR="00AE727E" w:rsidRPr="00BC30DF" w:rsidRDefault="00AE727E" w:rsidP="0043274F">
      <w:pPr>
        <w:spacing w:line="240" w:lineRule="auto"/>
        <w:rPr>
          <w:rFonts w:cs="Arial"/>
          <w:color w:val="002F5D"/>
        </w:rPr>
      </w:pPr>
      <w:r w:rsidRPr="00BC30DF">
        <w:rPr>
          <w:rFonts w:cs="Arial"/>
          <w:b/>
          <w:color w:val="002F5D"/>
        </w:rPr>
        <w:t>Sources:</w:t>
      </w:r>
      <w:r w:rsidRPr="00BC30DF">
        <w:rPr>
          <w:rFonts w:cs="Arial"/>
          <w:color w:val="002F5D"/>
        </w:rPr>
        <w:t xml:space="preserve"> NHS Digital Hospital Episode Statistics, </w:t>
      </w:r>
      <w:r w:rsidR="007750E0">
        <w:rPr>
          <w:rFonts w:cs="Arial"/>
          <w:color w:val="002F5D"/>
        </w:rPr>
        <w:t>ONS</w:t>
      </w:r>
      <w:r w:rsidRPr="00BC30DF">
        <w:rPr>
          <w:rFonts w:cs="Arial"/>
          <w:color w:val="002F5D"/>
        </w:rPr>
        <w:t xml:space="preserve"> mid-year population estimates.</w:t>
      </w:r>
    </w:p>
    <w:p w14:paraId="6AC80B51" w14:textId="77777777" w:rsidR="003A021F" w:rsidRPr="0037351D" w:rsidRDefault="003A021F" w:rsidP="0043274F">
      <w:pPr>
        <w:spacing w:line="240" w:lineRule="auto"/>
        <w:rPr>
          <w:rFonts w:cs="Arial"/>
          <w:b/>
          <w:color w:val="FF0000"/>
        </w:rPr>
      </w:pPr>
      <w:r w:rsidRPr="0037351D">
        <w:rPr>
          <w:rFonts w:cs="Arial"/>
          <w:b/>
          <w:color w:val="FF0000"/>
        </w:rPr>
        <w:br w:type="page"/>
      </w:r>
    </w:p>
    <w:p w14:paraId="1767021D" w14:textId="77777777" w:rsidR="00AE727E" w:rsidRPr="00BC30DF" w:rsidRDefault="00AE727E" w:rsidP="0043274F">
      <w:pPr>
        <w:spacing w:line="240" w:lineRule="auto"/>
        <w:rPr>
          <w:rFonts w:cs="Arial"/>
          <w:b/>
          <w:color w:val="002F5D"/>
        </w:rPr>
      </w:pPr>
      <w:r w:rsidRPr="00BC30DF">
        <w:rPr>
          <w:rFonts w:cs="Arial"/>
          <w:b/>
          <w:color w:val="002F5D"/>
        </w:rPr>
        <w:lastRenderedPageBreak/>
        <w:t>Key points:</w:t>
      </w:r>
    </w:p>
    <w:p w14:paraId="4603DE3B" w14:textId="77777777" w:rsidR="00BC30DF" w:rsidRDefault="00E04E64" w:rsidP="0043274F">
      <w:pPr>
        <w:pStyle w:val="ListParagraph"/>
        <w:numPr>
          <w:ilvl w:val="0"/>
          <w:numId w:val="9"/>
        </w:numPr>
        <w:spacing w:line="240" w:lineRule="auto"/>
        <w:rPr>
          <w:rFonts w:cs="Arial"/>
          <w:color w:val="002F5D"/>
        </w:rPr>
      </w:pPr>
      <w:r w:rsidRPr="00BC30DF">
        <w:rPr>
          <w:rFonts w:cs="Arial"/>
          <w:color w:val="002F5D"/>
        </w:rPr>
        <w:t>Numbers of inpatient hospital admission episodes have increased among residents of Cambridgeshire and Peterborough combined</w:t>
      </w:r>
      <w:r w:rsidR="00116906" w:rsidRPr="00BC30DF">
        <w:rPr>
          <w:rFonts w:cs="Arial"/>
          <w:color w:val="002F5D"/>
        </w:rPr>
        <w:t>, Cambridgeshire, and each of the districts</w:t>
      </w:r>
      <w:r w:rsidRPr="00BC30DF">
        <w:rPr>
          <w:rFonts w:cs="Arial"/>
          <w:color w:val="002F5D"/>
        </w:rPr>
        <w:t xml:space="preserve"> for both under 7</w:t>
      </w:r>
      <w:r w:rsidR="00BC30DF" w:rsidRPr="00BC30DF">
        <w:rPr>
          <w:rFonts w:cs="Arial"/>
          <w:color w:val="002F5D"/>
        </w:rPr>
        <w:t>5s and 75s and over between 2012/13</w:t>
      </w:r>
      <w:r w:rsidRPr="00BC30DF">
        <w:rPr>
          <w:rFonts w:cs="Arial"/>
          <w:color w:val="002F5D"/>
        </w:rPr>
        <w:t xml:space="preserve"> </w:t>
      </w:r>
      <w:r w:rsidR="00BC30DF" w:rsidRPr="00BC30DF">
        <w:rPr>
          <w:rFonts w:cs="Arial"/>
          <w:color w:val="002F5D"/>
        </w:rPr>
        <w:t>and 2017/18</w:t>
      </w:r>
      <w:r w:rsidRPr="00BC30DF">
        <w:rPr>
          <w:rFonts w:cs="Arial"/>
          <w:color w:val="002F5D"/>
        </w:rPr>
        <w:t xml:space="preserve">. </w:t>
      </w:r>
    </w:p>
    <w:p w14:paraId="65C8C45C" w14:textId="12F903A7" w:rsidR="00E04E64" w:rsidRPr="00BC30DF" w:rsidRDefault="007156DA" w:rsidP="0043274F">
      <w:pPr>
        <w:pStyle w:val="ListParagraph"/>
        <w:numPr>
          <w:ilvl w:val="0"/>
          <w:numId w:val="9"/>
        </w:numPr>
        <w:spacing w:line="240" w:lineRule="auto"/>
        <w:rPr>
          <w:rFonts w:cs="Arial"/>
          <w:color w:val="002F5D"/>
        </w:rPr>
      </w:pPr>
      <w:r>
        <w:rPr>
          <w:rFonts w:cs="Arial"/>
          <w:color w:val="002F5D"/>
        </w:rPr>
        <w:t>Numbers</w:t>
      </w:r>
      <w:r w:rsidR="00BC30DF">
        <w:rPr>
          <w:rFonts w:cs="Arial"/>
          <w:color w:val="002F5D"/>
        </w:rPr>
        <w:t xml:space="preserve"> of inpatient hospital admission episodes have increased among re</w:t>
      </w:r>
      <w:r>
        <w:rPr>
          <w:rFonts w:cs="Arial"/>
          <w:color w:val="002F5D"/>
        </w:rPr>
        <w:t>sidents of Peterborough aged 75 and over and</w:t>
      </w:r>
      <w:r w:rsidR="00BC30DF">
        <w:rPr>
          <w:rFonts w:cs="Arial"/>
          <w:color w:val="002F5D"/>
        </w:rPr>
        <w:t xml:space="preserve"> has slightly lowered</w:t>
      </w:r>
      <w:r>
        <w:rPr>
          <w:rFonts w:cs="Arial"/>
          <w:color w:val="002F5D"/>
        </w:rPr>
        <w:t xml:space="preserve"> among residents aged under 75 between 2012/12 and 2017/18</w:t>
      </w:r>
      <w:r w:rsidR="00BC30DF">
        <w:rPr>
          <w:rFonts w:cs="Arial"/>
          <w:color w:val="002F5D"/>
        </w:rPr>
        <w:t>.</w:t>
      </w:r>
    </w:p>
    <w:p w14:paraId="6221F59B" w14:textId="181860F3" w:rsidR="00953FC8" w:rsidRPr="007156DA" w:rsidRDefault="00953FC8" w:rsidP="0043274F">
      <w:pPr>
        <w:pStyle w:val="ListParagraph"/>
        <w:numPr>
          <w:ilvl w:val="0"/>
          <w:numId w:val="9"/>
        </w:numPr>
        <w:spacing w:line="240" w:lineRule="auto"/>
        <w:rPr>
          <w:rFonts w:cs="Arial"/>
          <w:color w:val="002F5D"/>
        </w:rPr>
      </w:pPr>
      <w:r w:rsidRPr="007156DA">
        <w:rPr>
          <w:rFonts w:cs="Arial"/>
          <w:color w:val="002F5D"/>
        </w:rPr>
        <w:t xml:space="preserve">Admission rates in the under </w:t>
      </w:r>
      <w:r w:rsidR="002036FB" w:rsidRPr="007156DA">
        <w:rPr>
          <w:rFonts w:cs="Arial"/>
          <w:color w:val="002F5D"/>
        </w:rPr>
        <w:t>75s for</w:t>
      </w:r>
      <w:r w:rsidRPr="007156DA">
        <w:rPr>
          <w:rFonts w:cs="Arial"/>
          <w:color w:val="002F5D"/>
        </w:rPr>
        <w:t xml:space="preserve"> Cambridgeshire and Peterborough </w:t>
      </w:r>
      <w:r w:rsidR="007156DA" w:rsidRPr="007156DA">
        <w:rPr>
          <w:rFonts w:cs="Arial"/>
          <w:color w:val="002F5D"/>
        </w:rPr>
        <w:t>combined have decreased from 221.7 (per 1,000) in 2016/17 to 219.2 (per 1,000) in 2017/18</w:t>
      </w:r>
      <w:r w:rsidRPr="007156DA">
        <w:rPr>
          <w:rFonts w:cs="Arial"/>
          <w:color w:val="002F5D"/>
        </w:rPr>
        <w:t>. Ra</w:t>
      </w:r>
      <w:r w:rsidR="007156DA">
        <w:rPr>
          <w:rFonts w:cs="Arial"/>
          <w:color w:val="002F5D"/>
        </w:rPr>
        <w:t>tes for the 75 and overs have decreased from 752.4 to 738.2</w:t>
      </w:r>
      <w:r w:rsidRPr="007156DA">
        <w:rPr>
          <w:rFonts w:cs="Arial"/>
          <w:color w:val="002F5D"/>
        </w:rPr>
        <w:t xml:space="preserve"> over the same time period.</w:t>
      </w:r>
    </w:p>
    <w:p w14:paraId="4BD822A2" w14:textId="7C6ACB28" w:rsidR="00116906" w:rsidRPr="00585BE1" w:rsidRDefault="00116906" w:rsidP="0043274F">
      <w:pPr>
        <w:pStyle w:val="ListParagraph"/>
        <w:numPr>
          <w:ilvl w:val="0"/>
          <w:numId w:val="9"/>
        </w:numPr>
        <w:spacing w:line="240" w:lineRule="auto"/>
        <w:rPr>
          <w:rFonts w:cs="Arial"/>
          <w:color w:val="002F5D"/>
        </w:rPr>
      </w:pPr>
      <w:r w:rsidRPr="00585BE1">
        <w:rPr>
          <w:rFonts w:cs="Arial"/>
          <w:color w:val="002F5D"/>
        </w:rPr>
        <w:t>Admission rates in under 75s were statistically significantly higher than the Cambridgeshire and Peterborough combined average</w:t>
      </w:r>
      <w:r w:rsidR="00585BE1" w:rsidRPr="00585BE1">
        <w:rPr>
          <w:rFonts w:cs="Arial"/>
          <w:color w:val="002F5D"/>
        </w:rPr>
        <w:t xml:space="preserve"> for Peterborough 2012/13</w:t>
      </w:r>
      <w:r w:rsidR="00431150" w:rsidRPr="00585BE1">
        <w:rPr>
          <w:rFonts w:cs="Arial"/>
          <w:color w:val="002F5D"/>
        </w:rPr>
        <w:t xml:space="preserve"> – 201</w:t>
      </w:r>
      <w:r w:rsidR="00585BE1" w:rsidRPr="00585BE1">
        <w:rPr>
          <w:rFonts w:cs="Arial"/>
          <w:color w:val="002F5D"/>
        </w:rPr>
        <w:t>6/17</w:t>
      </w:r>
      <w:r w:rsidRPr="00585BE1">
        <w:rPr>
          <w:rFonts w:cs="Arial"/>
          <w:color w:val="002F5D"/>
        </w:rPr>
        <w:t xml:space="preserve">, but rates have </w:t>
      </w:r>
      <w:r w:rsidR="005052D4" w:rsidRPr="00585BE1">
        <w:rPr>
          <w:rFonts w:cs="Arial"/>
          <w:color w:val="002F5D"/>
        </w:rPr>
        <w:t xml:space="preserve">been </w:t>
      </w:r>
      <w:r w:rsidR="00585BE1" w:rsidRPr="00585BE1">
        <w:rPr>
          <w:rFonts w:cs="Arial"/>
          <w:color w:val="002F5D"/>
        </w:rPr>
        <w:t>statistically significantly lower</w:t>
      </w:r>
      <w:r w:rsidRPr="00585BE1">
        <w:rPr>
          <w:rFonts w:cs="Arial"/>
          <w:color w:val="002F5D"/>
        </w:rPr>
        <w:t xml:space="preserve"> </w:t>
      </w:r>
      <w:r w:rsidR="00585BE1" w:rsidRPr="00585BE1">
        <w:rPr>
          <w:rFonts w:cs="Arial"/>
          <w:color w:val="002F5D"/>
        </w:rPr>
        <w:t>in 2017/18</w:t>
      </w:r>
      <w:r w:rsidR="005052D4" w:rsidRPr="00585BE1">
        <w:rPr>
          <w:rFonts w:cs="Arial"/>
          <w:color w:val="002F5D"/>
        </w:rPr>
        <w:t>.</w:t>
      </w:r>
    </w:p>
    <w:p w14:paraId="3DB58D33" w14:textId="7F4F80EA" w:rsidR="00116906" w:rsidRPr="00585BE1" w:rsidRDefault="005052D4" w:rsidP="0043274F">
      <w:pPr>
        <w:pStyle w:val="ListParagraph"/>
        <w:numPr>
          <w:ilvl w:val="0"/>
          <w:numId w:val="9"/>
        </w:numPr>
        <w:spacing w:line="240" w:lineRule="auto"/>
        <w:rPr>
          <w:rFonts w:cs="Arial"/>
          <w:color w:val="002F5D"/>
        </w:rPr>
      </w:pPr>
      <w:r w:rsidRPr="00585BE1">
        <w:rPr>
          <w:rFonts w:cs="Arial"/>
          <w:color w:val="002F5D"/>
        </w:rPr>
        <w:t>Admission rates in th</w:t>
      </w:r>
      <w:r w:rsidR="00585BE1" w:rsidRPr="00585BE1">
        <w:rPr>
          <w:rFonts w:cs="Arial"/>
          <w:color w:val="002F5D"/>
        </w:rPr>
        <w:t>e under 75s are statistically significantly higher than</w:t>
      </w:r>
      <w:r w:rsidRPr="00585BE1">
        <w:rPr>
          <w:rFonts w:cs="Arial"/>
          <w:color w:val="002F5D"/>
        </w:rPr>
        <w:t xml:space="preserve"> the Cambridgeshire and Peterborough combined</w:t>
      </w:r>
      <w:r w:rsidR="00585BE1" w:rsidRPr="00585BE1">
        <w:rPr>
          <w:rFonts w:cs="Arial"/>
          <w:color w:val="002F5D"/>
        </w:rPr>
        <w:t xml:space="preserve"> rate for Cambridgeshire in 2017/18</w:t>
      </w:r>
      <w:r w:rsidRPr="00585BE1">
        <w:rPr>
          <w:rFonts w:cs="Arial"/>
          <w:color w:val="002F5D"/>
        </w:rPr>
        <w:t>.  Rates for Cambridgeshire have been either statistic</w:t>
      </w:r>
      <w:r w:rsidR="00585BE1" w:rsidRPr="00585BE1">
        <w:rPr>
          <w:rFonts w:cs="Arial"/>
          <w:color w:val="002F5D"/>
        </w:rPr>
        <w:t>ally significantly lower</w:t>
      </w:r>
      <w:r w:rsidR="00A92F17" w:rsidRPr="00585BE1">
        <w:rPr>
          <w:rFonts w:cs="Arial"/>
          <w:color w:val="002F5D"/>
        </w:rPr>
        <w:t xml:space="preserve"> than or similar to</w:t>
      </w:r>
      <w:r w:rsidRPr="00585BE1">
        <w:rPr>
          <w:rFonts w:cs="Arial"/>
          <w:color w:val="002F5D"/>
        </w:rPr>
        <w:t xml:space="preserve"> the Cambridgeshire and Peterborough ra</w:t>
      </w:r>
      <w:r w:rsidR="00585BE1" w:rsidRPr="00585BE1">
        <w:rPr>
          <w:rFonts w:cs="Arial"/>
          <w:color w:val="002F5D"/>
        </w:rPr>
        <w:t xml:space="preserve">te of admissions in the previous </w:t>
      </w:r>
      <w:r w:rsidRPr="00585BE1">
        <w:rPr>
          <w:rFonts w:cs="Arial"/>
          <w:color w:val="002F5D"/>
        </w:rPr>
        <w:t>six years.</w:t>
      </w:r>
    </w:p>
    <w:p w14:paraId="78F6AA07" w14:textId="5C8F69E0" w:rsidR="006556B5" w:rsidRPr="00A62BB9" w:rsidRDefault="00431150" w:rsidP="0043274F">
      <w:pPr>
        <w:pStyle w:val="ListParagraph"/>
        <w:numPr>
          <w:ilvl w:val="0"/>
          <w:numId w:val="9"/>
        </w:numPr>
        <w:spacing w:line="240" w:lineRule="auto"/>
        <w:rPr>
          <w:rFonts w:cs="Arial"/>
          <w:color w:val="002F5D"/>
        </w:rPr>
      </w:pPr>
      <w:r w:rsidRPr="00A62BB9">
        <w:rPr>
          <w:rFonts w:cs="Arial"/>
          <w:color w:val="002F5D"/>
        </w:rPr>
        <w:t xml:space="preserve">Cambridgeshire’s </w:t>
      </w:r>
      <w:r w:rsidR="006556B5" w:rsidRPr="00A62BB9">
        <w:rPr>
          <w:rFonts w:cs="Arial"/>
          <w:color w:val="002F5D"/>
        </w:rPr>
        <w:t>a</w:t>
      </w:r>
      <w:r w:rsidR="005052D4" w:rsidRPr="00A62BB9">
        <w:rPr>
          <w:rFonts w:cs="Arial"/>
          <w:color w:val="002F5D"/>
        </w:rPr>
        <w:t>dmission rates in the</w:t>
      </w:r>
      <w:r w:rsidR="006556B5" w:rsidRPr="00A62BB9">
        <w:rPr>
          <w:rFonts w:cs="Arial"/>
          <w:color w:val="002F5D"/>
        </w:rPr>
        <w:t xml:space="preserve"> </w:t>
      </w:r>
      <w:r w:rsidR="005052D4" w:rsidRPr="00A62BB9">
        <w:rPr>
          <w:rFonts w:cs="Arial"/>
          <w:color w:val="002F5D"/>
        </w:rPr>
        <w:t>75</w:t>
      </w:r>
      <w:r w:rsidR="006556B5" w:rsidRPr="00A62BB9">
        <w:rPr>
          <w:rFonts w:cs="Arial"/>
          <w:color w:val="002F5D"/>
        </w:rPr>
        <w:t xml:space="preserve"> and over</w:t>
      </w:r>
      <w:r w:rsidR="005052D4" w:rsidRPr="00A62BB9">
        <w:rPr>
          <w:rFonts w:cs="Arial"/>
          <w:color w:val="002F5D"/>
        </w:rPr>
        <w:t>s</w:t>
      </w:r>
      <w:r w:rsidRPr="00A62BB9">
        <w:rPr>
          <w:rFonts w:cs="Arial"/>
          <w:color w:val="002F5D"/>
        </w:rPr>
        <w:t xml:space="preserve"> are </w:t>
      </w:r>
      <w:r w:rsidR="00A62BB9" w:rsidRPr="00A62BB9">
        <w:rPr>
          <w:rFonts w:cs="Arial"/>
          <w:color w:val="002F5D"/>
        </w:rPr>
        <w:t>statistically significantly higher than the Cambridgeshire and Peterborough combined rate in 2017/18 having been statistically similar since 2012/13</w:t>
      </w:r>
      <w:r w:rsidR="006556B5" w:rsidRPr="00A62BB9">
        <w:rPr>
          <w:rFonts w:cs="Arial"/>
          <w:color w:val="002F5D"/>
        </w:rPr>
        <w:t xml:space="preserve">. </w:t>
      </w:r>
    </w:p>
    <w:p w14:paraId="29E5B9D8" w14:textId="15900C78" w:rsidR="00FB4E89" w:rsidRPr="00A62BB9" w:rsidRDefault="009C0138" w:rsidP="0043274F">
      <w:pPr>
        <w:pStyle w:val="ListParagraph"/>
        <w:numPr>
          <w:ilvl w:val="0"/>
          <w:numId w:val="9"/>
        </w:numPr>
        <w:spacing w:line="240" w:lineRule="auto"/>
        <w:rPr>
          <w:rFonts w:cs="Arial"/>
          <w:color w:val="002F5D"/>
        </w:rPr>
      </w:pPr>
      <w:r w:rsidRPr="00A62BB9">
        <w:rPr>
          <w:rFonts w:cs="Arial"/>
          <w:color w:val="002F5D"/>
        </w:rPr>
        <w:t xml:space="preserve">Admission rates in the 75 and overs for Peterborough were statistically significantly </w:t>
      </w:r>
      <w:r w:rsidR="00A92F17" w:rsidRPr="00A62BB9">
        <w:rPr>
          <w:rFonts w:cs="Arial"/>
          <w:color w:val="002F5D"/>
        </w:rPr>
        <w:t>lower</w:t>
      </w:r>
      <w:r w:rsidRPr="00A62BB9">
        <w:rPr>
          <w:rFonts w:cs="Arial"/>
          <w:color w:val="002F5D"/>
        </w:rPr>
        <w:t xml:space="preserve"> than the Cambridgeshire and Peterborough combined average in 2016/17 </w:t>
      </w:r>
      <w:r w:rsidR="00A62BB9" w:rsidRPr="00A62BB9">
        <w:rPr>
          <w:rFonts w:cs="Arial"/>
          <w:color w:val="002F5D"/>
        </w:rPr>
        <w:t>and 2017/18 having been statistically similar since 2012/13</w:t>
      </w:r>
      <w:r w:rsidRPr="00A62BB9">
        <w:rPr>
          <w:rFonts w:cs="Arial"/>
          <w:color w:val="002F5D"/>
        </w:rPr>
        <w:t>.</w:t>
      </w:r>
    </w:p>
    <w:p w14:paraId="06E3726F" w14:textId="3824F6DB" w:rsidR="00E93D50" w:rsidRPr="00A62BB9" w:rsidRDefault="00A62BB9" w:rsidP="00E93D50">
      <w:pPr>
        <w:pStyle w:val="ListParagraph"/>
        <w:numPr>
          <w:ilvl w:val="0"/>
          <w:numId w:val="9"/>
        </w:numPr>
        <w:spacing w:line="240" w:lineRule="auto"/>
        <w:rPr>
          <w:rFonts w:cs="Arial"/>
          <w:color w:val="002F5D"/>
        </w:rPr>
      </w:pPr>
      <w:r w:rsidRPr="00A62BB9">
        <w:rPr>
          <w:rFonts w:cs="Arial"/>
          <w:color w:val="002F5D"/>
        </w:rPr>
        <w:t xml:space="preserve">In </w:t>
      </w:r>
      <w:r w:rsidR="00AE727E" w:rsidRPr="00A62BB9">
        <w:rPr>
          <w:rFonts w:cs="Arial"/>
          <w:color w:val="002F5D"/>
        </w:rPr>
        <w:t>under 75s, admission rates have been statistically significantly higher than the county average in Huntingdonshi</w:t>
      </w:r>
      <w:r w:rsidRPr="00A62BB9">
        <w:rPr>
          <w:rFonts w:cs="Arial"/>
          <w:color w:val="002F5D"/>
        </w:rPr>
        <w:t>re and Fenland in all years since 2012/13</w:t>
      </w:r>
      <w:r w:rsidR="00431150" w:rsidRPr="00A62BB9">
        <w:rPr>
          <w:rFonts w:cs="Arial"/>
          <w:color w:val="002F5D"/>
        </w:rPr>
        <w:t xml:space="preserve"> and </w:t>
      </w:r>
      <w:r w:rsidR="00E93D50" w:rsidRPr="00A62BB9">
        <w:rPr>
          <w:rFonts w:cs="Arial"/>
          <w:color w:val="002F5D"/>
        </w:rPr>
        <w:t>in the last 3 years in Fenland.</w:t>
      </w:r>
    </w:p>
    <w:p w14:paraId="002E5C9D" w14:textId="6B64C5A6" w:rsidR="00A62BB9" w:rsidRPr="00A62BB9" w:rsidRDefault="00A62BB9" w:rsidP="00A62BB9">
      <w:pPr>
        <w:pStyle w:val="ListParagraph"/>
        <w:numPr>
          <w:ilvl w:val="0"/>
          <w:numId w:val="9"/>
        </w:numPr>
        <w:spacing w:line="240" w:lineRule="auto"/>
        <w:rPr>
          <w:rFonts w:cs="Arial"/>
          <w:color w:val="002F5D"/>
        </w:rPr>
      </w:pPr>
      <w:r w:rsidRPr="00A62BB9">
        <w:rPr>
          <w:rFonts w:cs="Arial"/>
          <w:color w:val="002F5D"/>
        </w:rPr>
        <w:t xml:space="preserve">In the 75 and overs, admission rates have been statistically significantly higher than the county average in Huntingdonshire since 2012/13 </w:t>
      </w:r>
      <w:r>
        <w:rPr>
          <w:rFonts w:cs="Arial"/>
          <w:color w:val="002F5D"/>
        </w:rPr>
        <w:t>and</w:t>
      </w:r>
      <w:r w:rsidRPr="00A62BB9">
        <w:rPr>
          <w:rFonts w:cs="Arial"/>
          <w:color w:val="002F5D"/>
        </w:rPr>
        <w:t xml:space="preserve"> in the last 4 years in Fenland.</w:t>
      </w:r>
    </w:p>
    <w:p w14:paraId="06F1D893" w14:textId="77777777" w:rsidR="00A62BB9" w:rsidRPr="0037351D" w:rsidRDefault="00A62BB9" w:rsidP="00A62BB9">
      <w:pPr>
        <w:pStyle w:val="ListParagraph"/>
        <w:spacing w:line="240" w:lineRule="auto"/>
        <w:rPr>
          <w:rFonts w:cs="Arial"/>
          <w:color w:val="FF0000"/>
        </w:rPr>
      </w:pPr>
    </w:p>
    <w:p w14:paraId="298B1E9D" w14:textId="77777777" w:rsidR="00E93D50" w:rsidRPr="0037351D" w:rsidRDefault="00E93D50" w:rsidP="00E93D50">
      <w:pPr>
        <w:spacing w:line="240" w:lineRule="auto"/>
        <w:rPr>
          <w:rFonts w:cs="Arial"/>
          <w:color w:val="FF0000"/>
        </w:rPr>
      </w:pPr>
    </w:p>
    <w:p w14:paraId="31AA7C58" w14:textId="77777777" w:rsidR="00AE727E" w:rsidRPr="0037351D" w:rsidRDefault="00AE727E" w:rsidP="00AE727E">
      <w:pPr>
        <w:spacing w:line="240" w:lineRule="auto"/>
        <w:rPr>
          <w:rFonts w:cs="Arial"/>
          <w:b/>
          <w:color w:val="FF0000"/>
        </w:rPr>
      </w:pPr>
      <w:r w:rsidRPr="0037351D">
        <w:rPr>
          <w:rFonts w:cs="Arial"/>
          <w:b/>
          <w:color w:val="FF0000"/>
        </w:rPr>
        <w:br w:type="page"/>
      </w:r>
    </w:p>
    <w:p w14:paraId="747114E8" w14:textId="77777777" w:rsidR="00AE727E" w:rsidRPr="006E31C3" w:rsidRDefault="00AE727E" w:rsidP="0043274F">
      <w:pPr>
        <w:spacing w:line="240" w:lineRule="auto"/>
        <w:rPr>
          <w:rFonts w:cs="Arial"/>
          <w:b/>
          <w:color w:val="002F5D"/>
        </w:rPr>
      </w:pPr>
      <w:r w:rsidRPr="006E31C3">
        <w:rPr>
          <w:rFonts w:cs="Arial"/>
          <w:b/>
          <w:color w:val="002F5D"/>
        </w:rPr>
        <w:lastRenderedPageBreak/>
        <w:t>Elective admissions</w:t>
      </w:r>
    </w:p>
    <w:p w14:paraId="313BF96D" w14:textId="77777777" w:rsidR="00AE727E" w:rsidRPr="006E31C3" w:rsidRDefault="00AE727E" w:rsidP="0043274F">
      <w:pPr>
        <w:spacing w:line="240" w:lineRule="auto"/>
        <w:rPr>
          <w:rFonts w:cs="Arial"/>
          <w:b/>
          <w:color w:val="002F5D"/>
        </w:rPr>
      </w:pPr>
    </w:p>
    <w:p w14:paraId="64DC88DC" w14:textId="76CE94D8" w:rsidR="00AE727E" w:rsidRPr="006E31C3" w:rsidRDefault="00B654F0" w:rsidP="0043274F">
      <w:pPr>
        <w:pStyle w:val="Caption"/>
        <w:rPr>
          <w:rFonts w:cs="Arial"/>
          <w:b/>
          <w:color w:val="002F5D"/>
        </w:rPr>
      </w:pPr>
      <w:r w:rsidRPr="006E31C3">
        <w:rPr>
          <w:b/>
          <w:color w:val="002F5D"/>
        </w:rPr>
        <w:t>Table</w:t>
      </w:r>
      <w:r w:rsidR="00B81E4B">
        <w:rPr>
          <w:b/>
          <w:color w:val="002F5D"/>
        </w:rPr>
        <w:t xml:space="preserve"> 79</w:t>
      </w:r>
      <w:r w:rsidR="00AE727E" w:rsidRPr="006E31C3">
        <w:rPr>
          <w:rFonts w:cs="Arial"/>
          <w:b/>
          <w:color w:val="002F5D"/>
        </w:rPr>
        <w:t xml:space="preserve">. </w:t>
      </w:r>
      <w:r w:rsidR="00AE727E" w:rsidRPr="00330B65">
        <w:rPr>
          <w:rFonts w:cs="Arial"/>
          <w:color w:val="002F5D"/>
        </w:rPr>
        <w:t>Hospital inpatient admission episodes by local authority of residence - elective admissions, Cambridgeshire</w:t>
      </w:r>
      <w:r w:rsidR="000B6F19" w:rsidRPr="00330B65">
        <w:rPr>
          <w:rFonts w:cs="Arial"/>
          <w:color w:val="002F5D"/>
        </w:rPr>
        <w:t xml:space="preserve"> and Peterborough</w:t>
      </w:r>
      <w:r w:rsidR="006E31C3" w:rsidRPr="00330B65">
        <w:rPr>
          <w:rFonts w:cs="Arial"/>
          <w:color w:val="002F5D"/>
        </w:rPr>
        <w:t>, 2017</w:t>
      </w:r>
      <w:r w:rsidR="00AE727E" w:rsidRPr="00330B65">
        <w:rPr>
          <w:rFonts w:cs="Arial"/>
          <w:color w:val="002F5D"/>
        </w:rPr>
        <w:t>/1</w:t>
      </w:r>
      <w:r w:rsidR="006E31C3" w:rsidRPr="00330B65">
        <w:rPr>
          <w:rFonts w:cs="Arial"/>
          <w:color w:val="002F5D"/>
        </w:rPr>
        <w:t>8</w:t>
      </w:r>
    </w:p>
    <w:p w14:paraId="49DD5987" w14:textId="77777777" w:rsidR="006E31C3" w:rsidRPr="006E31C3" w:rsidRDefault="006E31C3" w:rsidP="006E31C3">
      <w:pPr>
        <w:rPr>
          <w:b/>
        </w:rPr>
      </w:pPr>
    </w:p>
    <w:p w14:paraId="7B7B5DF3" w14:textId="342E36A9" w:rsidR="000A038A" w:rsidRPr="0037351D" w:rsidRDefault="006E31C3" w:rsidP="000A038A">
      <w:pPr>
        <w:rPr>
          <w:color w:val="FF0000"/>
        </w:rPr>
      </w:pPr>
      <w:r w:rsidRPr="006E31C3">
        <w:rPr>
          <w:noProof/>
          <w:lang w:eastAsia="en-GB"/>
        </w:rPr>
        <w:drawing>
          <wp:inline distT="0" distB="0" distL="0" distR="0" wp14:anchorId="6889DE0C" wp14:editId="43E7F1A6">
            <wp:extent cx="5983605" cy="267017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83605" cy="2670175"/>
                    </a:xfrm>
                    <a:prstGeom prst="rect">
                      <a:avLst/>
                    </a:prstGeom>
                    <a:noFill/>
                    <a:ln>
                      <a:noFill/>
                    </a:ln>
                  </pic:spPr>
                </pic:pic>
              </a:graphicData>
            </a:graphic>
          </wp:inline>
        </w:drawing>
      </w:r>
    </w:p>
    <w:p w14:paraId="3990A73F" w14:textId="74024392" w:rsidR="007C0893" w:rsidRPr="0037351D" w:rsidRDefault="007C0893" w:rsidP="00DE1DD2">
      <w:pPr>
        <w:spacing w:line="240" w:lineRule="auto"/>
        <w:rPr>
          <w:color w:val="FF0000"/>
        </w:rPr>
      </w:pPr>
    </w:p>
    <w:p w14:paraId="7D6CE636" w14:textId="5F2D6012" w:rsidR="00AE727E" w:rsidRPr="00DE1EC9" w:rsidRDefault="00AE727E" w:rsidP="00DE1DD2">
      <w:pPr>
        <w:spacing w:line="240" w:lineRule="auto"/>
        <w:rPr>
          <w:rFonts w:cs="Arial"/>
          <w:color w:val="002F5D"/>
          <w:sz w:val="20"/>
          <w:szCs w:val="20"/>
        </w:rPr>
      </w:pPr>
      <w:r w:rsidRPr="00DE1EC9">
        <w:rPr>
          <w:rFonts w:cs="Arial"/>
          <w:color w:val="002F5D"/>
          <w:sz w:val="20"/>
          <w:szCs w:val="20"/>
        </w:rPr>
        <w:t>DASR - directly age-standardised rate</w:t>
      </w:r>
    </w:p>
    <w:p w14:paraId="6ACB70DF" w14:textId="77777777" w:rsidR="006E31C3" w:rsidRPr="0037351D" w:rsidRDefault="006E31C3" w:rsidP="00DE1DD2">
      <w:pPr>
        <w:spacing w:line="240" w:lineRule="auto"/>
        <w:rPr>
          <w:rFonts w:cs="Arial"/>
          <w:color w:val="FF0000"/>
          <w:sz w:val="20"/>
          <w:szCs w:val="20"/>
        </w:rPr>
      </w:pPr>
    </w:p>
    <w:p w14:paraId="6FAC0DEA" w14:textId="77777777" w:rsidR="006E31C3" w:rsidRPr="00196B41" w:rsidRDefault="006E31C3" w:rsidP="006E31C3">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369EAD83" w14:textId="1A674C7A" w:rsidR="006E31C3" w:rsidRDefault="006E31C3" w:rsidP="006E31C3">
      <w:pPr>
        <w:spacing w:line="240" w:lineRule="auto"/>
        <w:rPr>
          <w:color w:val="002F5D"/>
          <w:sz w:val="18"/>
          <w:szCs w:val="18"/>
        </w:rPr>
      </w:pPr>
    </w:p>
    <w:p w14:paraId="07ED9AB9" w14:textId="1781971B" w:rsidR="006A67F1" w:rsidRDefault="006A67F1" w:rsidP="006E31C3">
      <w:pPr>
        <w:spacing w:line="240" w:lineRule="auto"/>
        <w:rPr>
          <w:color w:val="002F5D"/>
          <w:sz w:val="18"/>
          <w:szCs w:val="18"/>
        </w:rPr>
      </w:pPr>
      <w:r w:rsidRPr="006A67F1">
        <w:rPr>
          <w:noProof/>
          <w:lang w:eastAsia="en-GB"/>
        </w:rPr>
        <w:drawing>
          <wp:inline distT="0" distB="0" distL="0" distR="0" wp14:anchorId="0DBE1FC7" wp14:editId="0D37248B">
            <wp:extent cx="4137660" cy="3810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37660" cy="381000"/>
                    </a:xfrm>
                    <a:prstGeom prst="rect">
                      <a:avLst/>
                    </a:prstGeom>
                    <a:noFill/>
                    <a:ln>
                      <a:noFill/>
                    </a:ln>
                  </pic:spPr>
                </pic:pic>
              </a:graphicData>
            </a:graphic>
          </wp:inline>
        </w:drawing>
      </w:r>
    </w:p>
    <w:p w14:paraId="42C59DFD" w14:textId="77777777" w:rsidR="006A67F1" w:rsidRPr="00196B41" w:rsidRDefault="006A67F1" w:rsidP="006E31C3">
      <w:pPr>
        <w:spacing w:line="240" w:lineRule="auto"/>
        <w:rPr>
          <w:color w:val="002F5D"/>
          <w:sz w:val="18"/>
          <w:szCs w:val="18"/>
        </w:rPr>
      </w:pPr>
    </w:p>
    <w:p w14:paraId="739F060E" w14:textId="6D330F91" w:rsidR="00AE727E" w:rsidRPr="006E31C3" w:rsidRDefault="00AE727E" w:rsidP="00DE1DD2">
      <w:pPr>
        <w:spacing w:line="240" w:lineRule="auto"/>
        <w:rPr>
          <w:rFonts w:cs="Arial"/>
          <w:color w:val="002F5D"/>
        </w:rPr>
      </w:pPr>
      <w:r w:rsidRPr="006E31C3">
        <w:rPr>
          <w:rFonts w:cs="Arial"/>
          <w:b/>
          <w:color w:val="002F5D"/>
        </w:rPr>
        <w:t>Sources:</w:t>
      </w:r>
      <w:r w:rsidRPr="006E31C3">
        <w:rPr>
          <w:rFonts w:cs="Arial"/>
          <w:color w:val="002F5D"/>
        </w:rPr>
        <w:t xml:space="preserve"> NHS Digital Hospital Episode Statistics, </w:t>
      </w:r>
      <w:r w:rsidR="007750E0">
        <w:rPr>
          <w:rFonts w:cs="Arial"/>
          <w:color w:val="002F5D"/>
        </w:rPr>
        <w:t>ONS</w:t>
      </w:r>
      <w:r w:rsidRPr="006E31C3">
        <w:rPr>
          <w:rFonts w:cs="Arial"/>
          <w:color w:val="002F5D"/>
        </w:rPr>
        <w:t xml:space="preserve"> mid-year population estimates</w:t>
      </w:r>
    </w:p>
    <w:p w14:paraId="36B840D8" w14:textId="77777777" w:rsidR="0036171F" w:rsidRPr="0037351D" w:rsidRDefault="0036171F" w:rsidP="00DE1DD2">
      <w:pPr>
        <w:spacing w:line="240" w:lineRule="auto"/>
        <w:rPr>
          <w:rFonts w:cs="Arial"/>
          <w:color w:val="FF0000"/>
        </w:rPr>
      </w:pPr>
    </w:p>
    <w:p w14:paraId="559C7EC0" w14:textId="77777777" w:rsidR="00AE727E" w:rsidRPr="001E4EED" w:rsidRDefault="00AE727E" w:rsidP="00DE1DD2">
      <w:pPr>
        <w:spacing w:line="240" w:lineRule="auto"/>
        <w:rPr>
          <w:rFonts w:cs="Arial"/>
          <w:b/>
          <w:color w:val="002F5D"/>
        </w:rPr>
      </w:pPr>
      <w:r w:rsidRPr="001E4EED">
        <w:rPr>
          <w:rFonts w:cs="Arial"/>
          <w:b/>
          <w:color w:val="002F5D"/>
        </w:rPr>
        <w:t>Key points:</w:t>
      </w:r>
    </w:p>
    <w:p w14:paraId="6FB7753F" w14:textId="235ECE4B" w:rsidR="00E52128" w:rsidRPr="00671DD7" w:rsidRDefault="00E52128" w:rsidP="00E52128">
      <w:pPr>
        <w:pStyle w:val="ListParagraph"/>
        <w:numPr>
          <w:ilvl w:val="0"/>
          <w:numId w:val="8"/>
        </w:numPr>
        <w:spacing w:line="240" w:lineRule="auto"/>
        <w:ind w:left="714" w:hanging="357"/>
        <w:rPr>
          <w:rFonts w:cs="Arial"/>
          <w:color w:val="002F5D"/>
        </w:rPr>
      </w:pPr>
      <w:r w:rsidRPr="00671DD7">
        <w:rPr>
          <w:rFonts w:cs="Arial"/>
          <w:color w:val="002F5D"/>
        </w:rPr>
        <w:t xml:space="preserve">The rate of elective inpatient admission episodes is statistically significantly higher than the Cambridgeshire and Peterborough average for Cambridgeshire in all ages combined </w:t>
      </w:r>
      <w:r w:rsidR="001E4EED" w:rsidRPr="00671DD7">
        <w:rPr>
          <w:rFonts w:cs="Arial"/>
          <w:color w:val="002F5D"/>
        </w:rPr>
        <w:t xml:space="preserve">under 75s </w:t>
      </w:r>
      <w:r w:rsidRPr="00671DD7">
        <w:rPr>
          <w:rFonts w:cs="Arial"/>
          <w:color w:val="002F5D"/>
        </w:rPr>
        <w:t>and 75s and over.</w:t>
      </w:r>
    </w:p>
    <w:p w14:paraId="6C19E87F" w14:textId="5E77AAF2" w:rsidR="000B6F19" w:rsidRPr="00671DD7" w:rsidRDefault="00671DD7" w:rsidP="008D6A54">
      <w:pPr>
        <w:pStyle w:val="ListParagraph"/>
        <w:numPr>
          <w:ilvl w:val="0"/>
          <w:numId w:val="8"/>
        </w:numPr>
        <w:spacing w:line="240" w:lineRule="auto"/>
        <w:ind w:left="714" w:hanging="357"/>
        <w:rPr>
          <w:rFonts w:cs="Arial"/>
          <w:color w:val="002F5D"/>
        </w:rPr>
      </w:pPr>
      <w:r w:rsidRPr="00671DD7">
        <w:rPr>
          <w:rFonts w:cs="Arial"/>
          <w:color w:val="002F5D"/>
        </w:rPr>
        <w:t xml:space="preserve">There were almost </w:t>
      </w:r>
      <w:r w:rsidR="00AE727E" w:rsidRPr="00671DD7">
        <w:rPr>
          <w:rFonts w:cs="Arial"/>
          <w:color w:val="002F5D"/>
        </w:rPr>
        <w:t>9</w:t>
      </w:r>
      <w:r w:rsidRPr="00671DD7">
        <w:rPr>
          <w:rFonts w:cs="Arial"/>
          <w:color w:val="002F5D"/>
        </w:rPr>
        <w:t>4,5</w:t>
      </w:r>
      <w:r w:rsidR="00AE727E" w:rsidRPr="00671DD7">
        <w:rPr>
          <w:rFonts w:cs="Arial"/>
          <w:color w:val="002F5D"/>
        </w:rPr>
        <w:t>00 elective admission episodes among Cambridgeshire’s residents in 201</w:t>
      </w:r>
      <w:r w:rsidRPr="00671DD7">
        <w:rPr>
          <w:rFonts w:cs="Arial"/>
          <w:color w:val="002F5D"/>
        </w:rPr>
        <w:t>7</w:t>
      </w:r>
      <w:r w:rsidR="00AE727E" w:rsidRPr="00671DD7">
        <w:rPr>
          <w:rFonts w:cs="Arial"/>
          <w:color w:val="002F5D"/>
        </w:rPr>
        <w:t>/1</w:t>
      </w:r>
      <w:r w:rsidRPr="00671DD7">
        <w:rPr>
          <w:rFonts w:cs="Arial"/>
          <w:color w:val="002F5D"/>
        </w:rPr>
        <w:t>8</w:t>
      </w:r>
      <w:r w:rsidR="00307F7D" w:rsidRPr="00671DD7">
        <w:rPr>
          <w:rFonts w:cs="Arial"/>
          <w:color w:val="002F5D"/>
        </w:rPr>
        <w:t xml:space="preserve"> and </w:t>
      </w:r>
      <w:r w:rsidRPr="00671DD7">
        <w:rPr>
          <w:rFonts w:cs="Arial"/>
          <w:color w:val="002F5D"/>
        </w:rPr>
        <w:t>almost 23,5</w:t>
      </w:r>
      <w:r w:rsidR="000B6F19" w:rsidRPr="00671DD7">
        <w:rPr>
          <w:rFonts w:cs="Arial"/>
          <w:color w:val="002F5D"/>
        </w:rPr>
        <w:t xml:space="preserve">00 elective admission episodes among </w:t>
      </w:r>
      <w:r w:rsidR="00307F7D" w:rsidRPr="00671DD7">
        <w:rPr>
          <w:rFonts w:cs="Arial"/>
          <w:color w:val="002F5D"/>
        </w:rPr>
        <w:t xml:space="preserve">Peterborough’s residents, giving a Cambridgeshire and Peterborough total of </w:t>
      </w:r>
      <w:r w:rsidR="00E52128" w:rsidRPr="00671DD7">
        <w:rPr>
          <w:rFonts w:cs="Arial"/>
          <w:color w:val="002F5D"/>
        </w:rPr>
        <w:t xml:space="preserve">around </w:t>
      </w:r>
      <w:r w:rsidRPr="00671DD7">
        <w:rPr>
          <w:rFonts w:cs="Arial"/>
          <w:color w:val="002F5D"/>
        </w:rPr>
        <w:t>118</w:t>
      </w:r>
      <w:r w:rsidR="00307F7D" w:rsidRPr="00671DD7">
        <w:rPr>
          <w:rFonts w:cs="Arial"/>
          <w:color w:val="002F5D"/>
        </w:rPr>
        <w:t>,000</w:t>
      </w:r>
      <w:r w:rsidR="000B6F19" w:rsidRPr="00671DD7">
        <w:rPr>
          <w:rFonts w:cs="Arial"/>
          <w:color w:val="002F5D"/>
        </w:rPr>
        <w:t>.</w:t>
      </w:r>
    </w:p>
    <w:p w14:paraId="38F93EA8" w14:textId="3A5A7917" w:rsidR="00E52128" w:rsidRPr="00671DD7" w:rsidRDefault="00E52128" w:rsidP="00E52128">
      <w:pPr>
        <w:pStyle w:val="ListParagraph"/>
        <w:numPr>
          <w:ilvl w:val="0"/>
          <w:numId w:val="8"/>
        </w:numPr>
        <w:spacing w:line="240" w:lineRule="auto"/>
        <w:ind w:left="714" w:hanging="357"/>
        <w:rPr>
          <w:rFonts w:cs="Arial"/>
          <w:color w:val="002F5D"/>
        </w:rPr>
      </w:pPr>
      <w:r w:rsidRPr="00671DD7">
        <w:rPr>
          <w:rFonts w:cs="Arial"/>
          <w:color w:val="002F5D"/>
        </w:rPr>
        <w:t>The rate of elective inpatient admission episodes is statistically significantly higher than the Cambridgeshire average in Fenland and Huntingdonshi</w:t>
      </w:r>
      <w:r w:rsidR="005E3D58" w:rsidRPr="00671DD7">
        <w:rPr>
          <w:rFonts w:cs="Arial"/>
          <w:color w:val="002F5D"/>
        </w:rPr>
        <w:t xml:space="preserve">re in all ages combined and in the </w:t>
      </w:r>
      <w:r w:rsidRPr="00671DD7">
        <w:rPr>
          <w:rFonts w:cs="Arial"/>
          <w:color w:val="002F5D"/>
        </w:rPr>
        <w:t>under 75s.</w:t>
      </w:r>
      <w:r w:rsidR="005E3D58" w:rsidRPr="00671DD7">
        <w:rPr>
          <w:rFonts w:cs="Arial"/>
          <w:color w:val="002F5D"/>
        </w:rPr>
        <w:t xml:space="preserve"> Fenland’s elective admission rate in those aged 75 and over is statistically similar to the Cambridgeshire rate, but remains statistically significantly </w:t>
      </w:r>
      <w:r w:rsidR="00533FB2" w:rsidRPr="00671DD7">
        <w:rPr>
          <w:rFonts w:cs="Arial"/>
          <w:color w:val="002F5D"/>
        </w:rPr>
        <w:t>high in Huntingdonshire.</w:t>
      </w:r>
    </w:p>
    <w:p w14:paraId="4CE589DF" w14:textId="6A1F2CBF" w:rsidR="00AE727E" w:rsidRPr="00671DD7" w:rsidRDefault="00671DD7" w:rsidP="00307F7D">
      <w:pPr>
        <w:pStyle w:val="ListParagraph"/>
        <w:numPr>
          <w:ilvl w:val="0"/>
          <w:numId w:val="8"/>
        </w:numPr>
        <w:spacing w:line="240" w:lineRule="auto"/>
        <w:ind w:left="714" w:hanging="357"/>
        <w:rPr>
          <w:rFonts w:cs="Arial"/>
          <w:color w:val="002F5D"/>
        </w:rPr>
      </w:pPr>
      <w:r w:rsidRPr="00671DD7">
        <w:rPr>
          <w:rFonts w:cs="Arial"/>
          <w:color w:val="002F5D"/>
        </w:rPr>
        <w:t>54</w:t>
      </w:r>
      <w:r w:rsidR="00AE727E" w:rsidRPr="00671DD7">
        <w:rPr>
          <w:rFonts w:cs="Arial"/>
          <w:color w:val="002F5D"/>
        </w:rPr>
        <w:t>% of all admission episodes</w:t>
      </w:r>
      <w:r w:rsidR="000B6F19" w:rsidRPr="00671DD7">
        <w:rPr>
          <w:rFonts w:cs="Arial"/>
          <w:color w:val="002F5D"/>
        </w:rPr>
        <w:t xml:space="preserve"> in the Cambridgeshire and Peterborough area wer</w:t>
      </w:r>
      <w:r w:rsidR="00AE727E" w:rsidRPr="00671DD7">
        <w:rPr>
          <w:rFonts w:cs="Arial"/>
          <w:color w:val="002F5D"/>
        </w:rPr>
        <w:t>e elective.</w:t>
      </w:r>
    </w:p>
    <w:p w14:paraId="1CE71DDC" w14:textId="77777777" w:rsidR="00AE727E" w:rsidRPr="00671DD7" w:rsidRDefault="000B6F19" w:rsidP="00307F7D">
      <w:pPr>
        <w:pStyle w:val="ListParagraph"/>
        <w:numPr>
          <w:ilvl w:val="0"/>
          <w:numId w:val="8"/>
        </w:numPr>
        <w:spacing w:line="240" w:lineRule="auto"/>
        <w:ind w:left="714" w:hanging="357"/>
        <w:rPr>
          <w:rFonts w:cs="Arial"/>
          <w:color w:val="002F5D"/>
        </w:rPr>
      </w:pPr>
      <w:r w:rsidRPr="00671DD7">
        <w:rPr>
          <w:rFonts w:cs="Arial"/>
          <w:color w:val="002F5D"/>
        </w:rPr>
        <w:t>80</w:t>
      </w:r>
      <w:r w:rsidR="00AE727E" w:rsidRPr="00671DD7">
        <w:rPr>
          <w:rFonts w:cs="Arial"/>
          <w:color w:val="002F5D"/>
        </w:rPr>
        <w:t>% of episodes</w:t>
      </w:r>
      <w:r w:rsidRPr="00671DD7">
        <w:rPr>
          <w:rFonts w:cs="Arial"/>
          <w:color w:val="002F5D"/>
        </w:rPr>
        <w:t xml:space="preserve"> in the Cambridgeshire and Peterborough area</w:t>
      </w:r>
      <w:r w:rsidR="00AE727E" w:rsidRPr="00671DD7">
        <w:rPr>
          <w:rFonts w:cs="Arial"/>
          <w:color w:val="002F5D"/>
        </w:rPr>
        <w:t xml:space="preserve"> were in people aged under 75.</w:t>
      </w:r>
    </w:p>
    <w:p w14:paraId="69713F56" w14:textId="77777777" w:rsidR="00AE727E" w:rsidRPr="00671DD7" w:rsidRDefault="00AE727E" w:rsidP="00307F7D">
      <w:pPr>
        <w:pStyle w:val="ListParagraph"/>
        <w:numPr>
          <w:ilvl w:val="0"/>
          <w:numId w:val="8"/>
        </w:numPr>
        <w:spacing w:line="240" w:lineRule="auto"/>
        <w:ind w:left="714" w:hanging="357"/>
        <w:rPr>
          <w:rFonts w:cs="Arial"/>
          <w:color w:val="002F5D"/>
        </w:rPr>
      </w:pPr>
      <w:r w:rsidRPr="00671DD7">
        <w:rPr>
          <w:rFonts w:cs="Arial"/>
          <w:color w:val="002F5D"/>
        </w:rPr>
        <w:t>Rates of elective admission are around three times higher in people aged 75 and over than in under 75s.</w:t>
      </w:r>
    </w:p>
    <w:p w14:paraId="3897ABD9" w14:textId="77777777" w:rsidR="00AE727E" w:rsidRPr="0037351D" w:rsidRDefault="00AE727E" w:rsidP="0043274F">
      <w:pPr>
        <w:spacing w:line="240" w:lineRule="auto"/>
        <w:rPr>
          <w:rFonts w:cs="Arial"/>
          <w:b/>
          <w:color w:val="FF0000"/>
        </w:rPr>
      </w:pPr>
      <w:r w:rsidRPr="0037351D">
        <w:rPr>
          <w:rFonts w:cs="Arial"/>
          <w:b/>
          <w:color w:val="FF0000"/>
        </w:rPr>
        <w:br w:type="page"/>
      </w:r>
    </w:p>
    <w:p w14:paraId="2DA862FF" w14:textId="6AE215B2" w:rsidR="00AE727E" w:rsidRPr="00BC3230" w:rsidRDefault="006543B9" w:rsidP="006543B9">
      <w:pPr>
        <w:pStyle w:val="Caption"/>
        <w:rPr>
          <w:rFonts w:cs="Arial"/>
          <w:color w:val="002F5D"/>
        </w:rPr>
      </w:pPr>
      <w:bookmarkStart w:id="811" w:name="OLE_LINK1"/>
      <w:r w:rsidRPr="00BC3230">
        <w:rPr>
          <w:b/>
          <w:color w:val="002F5D"/>
        </w:rPr>
        <w:lastRenderedPageBreak/>
        <w:t xml:space="preserve">Figure </w:t>
      </w:r>
      <w:r w:rsidR="00A2366A">
        <w:rPr>
          <w:b/>
          <w:color w:val="002F5D"/>
        </w:rPr>
        <w:t>38</w:t>
      </w:r>
      <w:r w:rsidR="00AE727E" w:rsidRPr="00BC3230">
        <w:rPr>
          <w:rFonts w:cs="Arial"/>
          <w:color w:val="002F5D"/>
        </w:rPr>
        <w:t xml:space="preserve">.  </w:t>
      </w:r>
      <w:r w:rsidR="00AE727E" w:rsidRPr="00330B65">
        <w:rPr>
          <w:rFonts w:cs="Arial"/>
          <w:color w:val="002F5D"/>
        </w:rPr>
        <w:t>Hospital inpatient admission episodes by local authority of residence - elective admissions: numbers, Cambridgeshire</w:t>
      </w:r>
      <w:r w:rsidR="00003704" w:rsidRPr="00330B65">
        <w:rPr>
          <w:rFonts w:cs="Arial"/>
          <w:color w:val="002F5D"/>
        </w:rPr>
        <w:t xml:space="preserve"> and Peterborough</w:t>
      </w:r>
      <w:r w:rsidR="00BC3230" w:rsidRPr="00330B65">
        <w:rPr>
          <w:rFonts w:cs="Arial"/>
          <w:color w:val="002F5D"/>
        </w:rPr>
        <w:t>, 2012/13</w:t>
      </w:r>
      <w:r w:rsidR="00AE727E" w:rsidRPr="00330B65">
        <w:rPr>
          <w:rFonts w:cs="Arial"/>
          <w:color w:val="002F5D"/>
        </w:rPr>
        <w:t xml:space="preserve"> to 201</w:t>
      </w:r>
      <w:r w:rsidR="00BC3230" w:rsidRPr="00330B65">
        <w:rPr>
          <w:rFonts w:cs="Arial"/>
          <w:color w:val="002F5D"/>
        </w:rPr>
        <w:t>7</w:t>
      </w:r>
      <w:r w:rsidR="00AE727E" w:rsidRPr="00330B65">
        <w:rPr>
          <w:rFonts w:cs="Arial"/>
          <w:color w:val="002F5D"/>
        </w:rPr>
        <w:t>/1</w:t>
      </w:r>
      <w:r w:rsidR="00BC3230" w:rsidRPr="00330B65">
        <w:rPr>
          <w:rFonts w:cs="Arial"/>
          <w:color w:val="002F5D"/>
        </w:rPr>
        <w:t>8</w:t>
      </w:r>
    </w:p>
    <w:bookmarkEnd w:id="811"/>
    <w:p w14:paraId="2954C964" w14:textId="77777777" w:rsidR="00BC3230" w:rsidRPr="00BC3230" w:rsidRDefault="00BC3230" w:rsidP="00BC3230"/>
    <w:p w14:paraId="2FEAAF33" w14:textId="1A102F8E" w:rsidR="00AE727E" w:rsidRDefault="00BC3230" w:rsidP="00AE727E">
      <w:pPr>
        <w:spacing w:line="240" w:lineRule="auto"/>
        <w:rPr>
          <w:rFonts w:cs="Arial"/>
          <w:color w:val="FF0000"/>
        </w:rPr>
      </w:pPr>
      <w:r>
        <w:rPr>
          <w:rFonts w:cs="Arial"/>
          <w:noProof/>
          <w:color w:val="FF0000"/>
          <w:lang w:eastAsia="en-GB"/>
        </w:rPr>
        <w:drawing>
          <wp:inline distT="0" distB="0" distL="0" distR="0" wp14:anchorId="148CC5B9" wp14:editId="56B6A4F8">
            <wp:extent cx="5954478" cy="2940710"/>
            <wp:effectExtent l="19050" t="19050" r="27305" b="1206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64727" cy="2945772"/>
                    </a:xfrm>
                    <a:prstGeom prst="rect">
                      <a:avLst/>
                    </a:prstGeom>
                    <a:noFill/>
                    <a:ln w="19050" cmpd="sng">
                      <a:solidFill>
                        <a:srgbClr val="002F5D"/>
                      </a:solidFill>
                    </a:ln>
                  </pic:spPr>
                </pic:pic>
              </a:graphicData>
            </a:graphic>
          </wp:inline>
        </w:drawing>
      </w:r>
    </w:p>
    <w:p w14:paraId="79FD2357" w14:textId="77777777" w:rsidR="004A3571" w:rsidRPr="0037351D" w:rsidRDefault="004A3571" w:rsidP="00AE727E">
      <w:pPr>
        <w:spacing w:line="240" w:lineRule="auto"/>
        <w:rPr>
          <w:rFonts w:cs="Arial"/>
          <w:color w:val="FF0000"/>
        </w:rPr>
      </w:pPr>
    </w:p>
    <w:p w14:paraId="594FF3D8" w14:textId="7BB6C4C2" w:rsidR="00003704" w:rsidRPr="0037351D" w:rsidRDefault="004A3571" w:rsidP="00AE727E">
      <w:pPr>
        <w:spacing w:line="240" w:lineRule="auto"/>
        <w:rPr>
          <w:rFonts w:cs="Arial"/>
          <w:color w:val="FF0000"/>
        </w:rPr>
      </w:pPr>
      <w:r>
        <w:rPr>
          <w:rFonts w:cs="Arial"/>
          <w:noProof/>
          <w:color w:val="FF0000"/>
          <w:lang w:eastAsia="en-GB"/>
        </w:rPr>
        <w:drawing>
          <wp:inline distT="0" distB="0" distL="0" distR="0" wp14:anchorId="6554E18B" wp14:editId="550F847D">
            <wp:extent cx="5979681" cy="2953157"/>
            <wp:effectExtent l="19050" t="19050" r="21590" b="190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68331" cy="2996938"/>
                    </a:xfrm>
                    <a:prstGeom prst="rect">
                      <a:avLst/>
                    </a:prstGeom>
                    <a:noFill/>
                    <a:ln w="19050">
                      <a:solidFill>
                        <a:srgbClr val="002F5D"/>
                      </a:solidFill>
                    </a:ln>
                  </pic:spPr>
                </pic:pic>
              </a:graphicData>
            </a:graphic>
          </wp:inline>
        </w:drawing>
      </w:r>
    </w:p>
    <w:p w14:paraId="38E6B6ED" w14:textId="4A27C2E8" w:rsidR="003A021F" w:rsidRPr="004A3571" w:rsidRDefault="003A021F" w:rsidP="00AE727E">
      <w:pPr>
        <w:spacing w:line="240" w:lineRule="auto"/>
        <w:rPr>
          <w:rFonts w:cs="Arial"/>
          <w:color w:val="002F5D"/>
        </w:rPr>
      </w:pPr>
    </w:p>
    <w:p w14:paraId="060481C9" w14:textId="77777777" w:rsidR="00AE727E" w:rsidRPr="004A3571" w:rsidRDefault="00AE727E" w:rsidP="00AE727E">
      <w:pPr>
        <w:spacing w:line="240" w:lineRule="auto"/>
        <w:rPr>
          <w:rFonts w:cs="Arial"/>
          <w:color w:val="002F5D"/>
        </w:rPr>
      </w:pPr>
      <w:r w:rsidRPr="004A3571">
        <w:rPr>
          <w:rFonts w:cs="Arial"/>
          <w:b/>
          <w:color w:val="002F5D"/>
        </w:rPr>
        <w:t>Source:</w:t>
      </w:r>
      <w:r w:rsidRPr="004A3571">
        <w:rPr>
          <w:rFonts w:cs="Arial"/>
          <w:color w:val="002F5D"/>
        </w:rPr>
        <w:t xml:space="preserve"> NHS Digital Hospital Episode Statistics</w:t>
      </w:r>
    </w:p>
    <w:p w14:paraId="75F3ADC5" w14:textId="77777777" w:rsidR="00AE727E" w:rsidRPr="0037351D" w:rsidRDefault="00AE727E" w:rsidP="00AE727E">
      <w:pPr>
        <w:spacing w:line="240" w:lineRule="auto"/>
        <w:rPr>
          <w:rFonts w:cs="Arial"/>
          <w:b/>
          <w:color w:val="FF0000"/>
        </w:rPr>
      </w:pPr>
    </w:p>
    <w:p w14:paraId="205E4FC9" w14:textId="77777777" w:rsidR="00AE727E" w:rsidRPr="0037351D" w:rsidRDefault="00AE727E" w:rsidP="00AE727E">
      <w:pPr>
        <w:spacing w:line="240" w:lineRule="auto"/>
        <w:rPr>
          <w:rFonts w:cs="Arial"/>
          <w:b/>
          <w:color w:val="FF0000"/>
        </w:rPr>
      </w:pPr>
    </w:p>
    <w:p w14:paraId="5D27972D" w14:textId="77777777" w:rsidR="003A021F" w:rsidRPr="0037351D" w:rsidRDefault="003A021F">
      <w:pPr>
        <w:rPr>
          <w:rFonts w:cs="Arial"/>
          <w:b/>
          <w:color w:val="FF0000"/>
        </w:rPr>
      </w:pPr>
      <w:r w:rsidRPr="0037351D">
        <w:rPr>
          <w:rFonts w:cs="Arial"/>
          <w:b/>
          <w:color w:val="FF0000"/>
        </w:rPr>
        <w:br w:type="page"/>
      </w:r>
    </w:p>
    <w:p w14:paraId="52DF8C49" w14:textId="7EA80C0D" w:rsidR="00AE727E" w:rsidRPr="002A0D6E" w:rsidRDefault="006543B9" w:rsidP="0043274F">
      <w:pPr>
        <w:pStyle w:val="Caption"/>
        <w:rPr>
          <w:rFonts w:cs="Arial"/>
          <w:color w:val="002F5D"/>
        </w:rPr>
      </w:pPr>
      <w:r w:rsidRPr="002A0D6E">
        <w:rPr>
          <w:b/>
          <w:color w:val="002F5D"/>
        </w:rPr>
        <w:lastRenderedPageBreak/>
        <w:t xml:space="preserve">Figure </w:t>
      </w:r>
      <w:r w:rsidR="00A2366A">
        <w:rPr>
          <w:b/>
          <w:color w:val="002F5D"/>
        </w:rPr>
        <w:t>39</w:t>
      </w:r>
      <w:r w:rsidR="00AE727E" w:rsidRPr="002A0D6E">
        <w:rPr>
          <w:rFonts w:cs="Arial"/>
          <w:b/>
          <w:color w:val="002F5D"/>
        </w:rPr>
        <w:t>.</w:t>
      </w:r>
      <w:r w:rsidR="00AE727E" w:rsidRPr="002A0D6E">
        <w:rPr>
          <w:rFonts w:cs="Arial"/>
          <w:color w:val="002F5D"/>
        </w:rPr>
        <w:t xml:space="preserve">  Rates of hospital inpatient admission episodes by local authority of residence - elective admissions: directly age-standardised rates, Cambridgeshire</w:t>
      </w:r>
      <w:r w:rsidR="00FB4E89" w:rsidRPr="002A0D6E">
        <w:rPr>
          <w:rFonts w:cs="Arial"/>
          <w:color w:val="002F5D"/>
        </w:rPr>
        <w:t xml:space="preserve"> and Peterborough</w:t>
      </w:r>
      <w:r w:rsidR="002A0D6E" w:rsidRPr="002A0D6E">
        <w:rPr>
          <w:rFonts w:cs="Arial"/>
          <w:color w:val="002F5D"/>
        </w:rPr>
        <w:t>, 2012</w:t>
      </w:r>
      <w:r w:rsidR="00AE727E" w:rsidRPr="002A0D6E">
        <w:rPr>
          <w:rFonts w:cs="Arial"/>
          <w:color w:val="002F5D"/>
        </w:rPr>
        <w:t>/1</w:t>
      </w:r>
      <w:r w:rsidR="002A0D6E" w:rsidRPr="002A0D6E">
        <w:rPr>
          <w:rFonts w:cs="Arial"/>
          <w:color w:val="002F5D"/>
        </w:rPr>
        <w:t>3</w:t>
      </w:r>
      <w:r w:rsidR="00AE727E" w:rsidRPr="002A0D6E">
        <w:rPr>
          <w:rFonts w:cs="Arial"/>
          <w:color w:val="002F5D"/>
        </w:rPr>
        <w:t xml:space="preserve"> to 201</w:t>
      </w:r>
      <w:r w:rsidR="002A0D6E" w:rsidRPr="002A0D6E">
        <w:rPr>
          <w:rFonts w:cs="Arial"/>
          <w:color w:val="002F5D"/>
        </w:rPr>
        <w:t>7</w:t>
      </w:r>
      <w:r w:rsidR="00AE727E" w:rsidRPr="002A0D6E">
        <w:rPr>
          <w:rFonts w:cs="Arial"/>
          <w:color w:val="002F5D"/>
        </w:rPr>
        <w:t>/1</w:t>
      </w:r>
      <w:r w:rsidR="002A0D6E" w:rsidRPr="002A0D6E">
        <w:rPr>
          <w:rFonts w:cs="Arial"/>
          <w:color w:val="002F5D"/>
        </w:rPr>
        <w:t>8</w:t>
      </w:r>
    </w:p>
    <w:p w14:paraId="2B6CA4BB" w14:textId="77777777" w:rsidR="002A0D6E" w:rsidRPr="002A0D6E" w:rsidRDefault="002A0D6E" w:rsidP="002A0D6E"/>
    <w:p w14:paraId="6515BEC9" w14:textId="6B2CE5BC" w:rsidR="0004272E" w:rsidRDefault="002A0D6E" w:rsidP="0043274F">
      <w:pPr>
        <w:spacing w:line="240" w:lineRule="auto"/>
        <w:rPr>
          <w:color w:val="FF0000"/>
        </w:rPr>
      </w:pPr>
      <w:r>
        <w:rPr>
          <w:noProof/>
          <w:color w:val="FF0000"/>
          <w:lang w:eastAsia="en-GB"/>
        </w:rPr>
        <w:drawing>
          <wp:inline distT="0" distB="0" distL="0" distR="0" wp14:anchorId="0F7C4671" wp14:editId="52E8110F">
            <wp:extent cx="6234299" cy="2721255"/>
            <wp:effectExtent l="19050" t="19050" r="14605" b="222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56712" cy="2731038"/>
                    </a:xfrm>
                    <a:prstGeom prst="rect">
                      <a:avLst/>
                    </a:prstGeom>
                    <a:noFill/>
                    <a:ln w="19050">
                      <a:solidFill>
                        <a:srgbClr val="002F5D"/>
                      </a:solidFill>
                    </a:ln>
                  </pic:spPr>
                </pic:pic>
              </a:graphicData>
            </a:graphic>
          </wp:inline>
        </w:drawing>
      </w:r>
    </w:p>
    <w:p w14:paraId="34765ACE" w14:textId="77777777" w:rsidR="002F6D43" w:rsidRPr="0037351D" w:rsidRDefault="002F6D43" w:rsidP="0043274F">
      <w:pPr>
        <w:spacing w:line="240" w:lineRule="auto"/>
        <w:rPr>
          <w:color w:val="FF0000"/>
        </w:rPr>
      </w:pPr>
    </w:p>
    <w:p w14:paraId="0E44FEF0" w14:textId="68025F22" w:rsidR="0004272E" w:rsidRPr="0037351D" w:rsidRDefault="002F6D43" w:rsidP="0004272E">
      <w:pPr>
        <w:rPr>
          <w:color w:val="FF0000"/>
        </w:rPr>
      </w:pPr>
      <w:r>
        <w:rPr>
          <w:noProof/>
          <w:color w:val="FF0000"/>
          <w:lang w:eastAsia="en-GB"/>
        </w:rPr>
        <w:drawing>
          <wp:inline distT="0" distB="0" distL="0" distR="0" wp14:anchorId="4D8292A6" wp14:editId="557F0B58">
            <wp:extent cx="6204156" cy="2708098"/>
            <wp:effectExtent l="19050" t="19050" r="25400" b="165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281051" cy="2741663"/>
                    </a:xfrm>
                    <a:prstGeom prst="rect">
                      <a:avLst/>
                    </a:prstGeom>
                    <a:noFill/>
                    <a:ln w="19050">
                      <a:solidFill>
                        <a:srgbClr val="002F5D"/>
                      </a:solidFill>
                    </a:ln>
                  </pic:spPr>
                </pic:pic>
              </a:graphicData>
            </a:graphic>
          </wp:inline>
        </w:drawing>
      </w:r>
    </w:p>
    <w:p w14:paraId="5A937D7F" w14:textId="3D32EDC4" w:rsidR="00AE727E" w:rsidRDefault="00AE727E" w:rsidP="00AE727E">
      <w:pPr>
        <w:spacing w:line="240" w:lineRule="auto"/>
        <w:rPr>
          <w:rFonts w:cs="Arial"/>
          <w:b/>
          <w:color w:val="FF0000"/>
        </w:rPr>
      </w:pPr>
    </w:p>
    <w:p w14:paraId="0CA5E325" w14:textId="76CA1201" w:rsidR="00DE344F" w:rsidRPr="0037351D" w:rsidRDefault="00DE344F" w:rsidP="00AE727E">
      <w:pPr>
        <w:spacing w:line="240" w:lineRule="auto"/>
        <w:rPr>
          <w:rFonts w:cs="Arial"/>
          <w:b/>
          <w:color w:val="FF0000"/>
        </w:rPr>
      </w:pPr>
      <w:r w:rsidRPr="00DE344F">
        <w:rPr>
          <w:noProof/>
          <w:lang w:eastAsia="en-GB"/>
        </w:rPr>
        <w:drawing>
          <wp:inline distT="0" distB="0" distL="0" distR="0" wp14:anchorId="1608FE4C" wp14:editId="3DEFF321">
            <wp:extent cx="4743450" cy="528977"/>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28956" cy="538512"/>
                    </a:xfrm>
                    <a:prstGeom prst="rect">
                      <a:avLst/>
                    </a:prstGeom>
                    <a:noFill/>
                    <a:ln>
                      <a:noFill/>
                    </a:ln>
                  </pic:spPr>
                </pic:pic>
              </a:graphicData>
            </a:graphic>
          </wp:inline>
        </w:drawing>
      </w:r>
    </w:p>
    <w:p w14:paraId="67426619" w14:textId="77777777" w:rsidR="003A021F" w:rsidRPr="0037351D" w:rsidRDefault="003A021F" w:rsidP="00AE727E">
      <w:pPr>
        <w:spacing w:line="240" w:lineRule="auto"/>
        <w:rPr>
          <w:rFonts w:cs="Arial"/>
          <w:b/>
          <w:color w:val="FF0000"/>
        </w:rPr>
      </w:pPr>
    </w:p>
    <w:p w14:paraId="41D16139" w14:textId="32D471DD" w:rsidR="00AE727E" w:rsidRPr="002F6D43" w:rsidRDefault="00AE727E" w:rsidP="0043274F">
      <w:pPr>
        <w:spacing w:line="240" w:lineRule="auto"/>
        <w:rPr>
          <w:rFonts w:cs="Arial"/>
          <w:color w:val="002F5D"/>
        </w:rPr>
      </w:pPr>
      <w:r w:rsidRPr="002F6D43">
        <w:rPr>
          <w:rFonts w:cs="Arial"/>
          <w:b/>
          <w:color w:val="002F5D"/>
        </w:rPr>
        <w:t>Sources:</w:t>
      </w:r>
      <w:r w:rsidRPr="002F6D43">
        <w:rPr>
          <w:rFonts w:cs="Arial"/>
          <w:color w:val="002F5D"/>
        </w:rPr>
        <w:t xml:space="preserve"> NHS Digital Hospital Episode Statistics, </w:t>
      </w:r>
      <w:r w:rsidR="007750E0">
        <w:rPr>
          <w:rFonts w:cs="Arial"/>
          <w:color w:val="002F5D"/>
        </w:rPr>
        <w:t>ONS</w:t>
      </w:r>
      <w:r w:rsidRPr="002F6D43">
        <w:rPr>
          <w:rFonts w:cs="Arial"/>
          <w:color w:val="002F5D"/>
        </w:rPr>
        <w:t xml:space="preserve"> mid-year population estimates</w:t>
      </w:r>
    </w:p>
    <w:p w14:paraId="188BB208" w14:textId="77777777" w:rsidR="003A021F" w:rsidRPr="0037351D" w:rsidRDefault="003A021F" w:rsidP="0043274F">
      <w:pPr>
        <w:spacing w:line="240" w:lineRule="auto"/>
        <w:rPr>
          <w:rFonts w:cs="Arial"/>
          <w:b/>
          <w:color w:val="FF0000"/>
        </w:rPr>
      </w:pPr>
      <w:r w:rsidRPr="0037351D">
        <w:rPr>
          <w:rFonts w:cs="Arial"/>
          <w:b/>
          <w:color w:val="FF0000"/>
        </w:rPr>
        <w:br w:type="page"/>
      </w:r>
    </w:p>
    <w:p w14:paraId="4239AD14" w14:textId="77777777" w:rsidR="00AE727E" w:rsidRPr="002F6D43" w:rsidRDefault="00AE727E" w:rsidP="0043274F">
      <w:pPr>
        <w:spacing w:line="240" w:lineRule="auto"/>
        <w:rPr>
          <w:rFonts w:cs="Arial"/>
          <w:b/>
          <w:color w:val="002F5D"/>
        </w:rPr>
      </w:pPr>
      <w:r w:rsidRPr="002F6D43">
        <w:rPr>
          <w:rFonts w:cs="Arial"/>
          <w:b/>
          <w:color w:val="002F5D"/>
        </w:rPr>
        <w:lastRenderedPageBreak/>
        <w:t>Key points:</w:t>
      </w:r>
    </w:p>
    <w:p w14:paraId="39B1BFBE" w14:textId="3D4EDD2A" w:rsidR="00AE727E" w:rsidRPr="002F6D43" w:rsidRDefault="00AE727E" w:rsidP="0043274F">
      <w:pPr>
        <w:pStyle w:val="ListParagraph"/>
        <w:numPr>
          <w:ilvl w:val="0"/>
          <w:numId w:val="9"/>
        </w:numPr>
        <w:spacing w:line="240" w:lineRule="auto"/>
        <w:rPr>
          <w:rFonts w:cs="Arial"/>
          <w:color w:val="002F5D"/>
        </w:rPr>
      </w:pPr>
      <w:r w:rsidRPr="002F6D43">
        <w:rPr>
          <w:rFonts w:cs="Arial"/>
          <w:color w:val="002F5D"/>
        </w:rPr>
        <w:t>Numbers of elective hos</w:t>
      </w:r>
      <w:r w:rsidR="002F6D43" w:rsidRPr="002F6D43">
        <w:rPr>
          <w:rFonts w:cs="Arial"/>
          <w:color w:val="002F5D"/>
        </w:rPr>
        <w:t>pital admission episodes have de</w:t>
      </w:r>
      <w:r w:rsidRPr="002F6D43">
        <w:rPr>
          <w:rFonts w:cs="Arial"/>
          <w:color w:val="002F5D"/>
        </w:rPr>
        <w:t xml:space="preserve">creased among residents of </w:t>
      </w:r>
      <w:r w:rsidR="002036FB" w:rsidRPr="002F6D43">
        <w:rPr>
          <w:rFonts w:cs="Arial"/>
          <w:color w:val="002F5D"/>
        </w:rPr>
        <w:t xml:space="preserve">Cambridgeshire and Peterborough </w:t>
      </w:r>
      <w:r w:rsidRPr="002F6D43">
        <w:rPr>
          <w:rFonts w:cs="Arial"/>
          <w:color w:val="002F5D"/>
        </w:rPr>
        <w:t xml:space="preserve">in both under 75s and 75s and over. </w:t>
      </w:r>
    </w:p>
    <w:p w14:paraId="7315AFF1" w14:textId="77777777" w:rsidR="00AE727E" w:rsidRPr="002F6D43" w:rsidRDefault="00AE727E" w:rsidP="0043274F">
      <w:pPr>
        <w:pStyle w:val="ListParagraph"/>
        <w:numPr>
          <w:ilvl w:val="0"/>
          <w:numId w:val="9"/>
        </w:numPr>
        <w:spacing w:line="240" w:lineRule="auto"/>
        <w:rPr>
          <w:rFonts w:cs="Arial"/>
          <w:color w:val="002F5D"/>
        </w:rPr>
      </w:pPr>
      <w:r w:rsidRPr="002F6D43">
        <w:rPr>
          <w:rFonts w:cs="Arial"/>
          <w:color w:val="002F5D"/>
        </w:rPr>
        <w:t xml:space="preserve">In under 75s, elective admission rates have been relatively stable across </w:t>
      </w:r>
      <w:r w:rsidR="002036FB" w:rsidRPr="002F6D43">
        <w:rPr>
          <w:rFonts w:cs="Arial"/>
          <w:color w:val="002F5D"/>
        </w:rPr>
        <w:t>both the Cambridgeshire and Peterborough areas</w:t>
      </w:r>
      <w:r w:rsidRPr="002F6D43">
        <w:rPr>
          <w:rFonts w:cs="Arial"/>
          <w:color w:val="002F5D"/>
        </w:rPr>
        <w:t>.</w:t>
      </w:r>
    </w:p>
    <w:p w14:paraId="220B9B2D" w14:textId="31CA7105" w:rsidR="002036FB" w:rsidRPr="002F6D43" w:rsidRDefault="002F6D43" w:rsidP="0043274F">
      <w:pPr>
        <w:pStyle w:val="ListParagraph"/>
        <w:numPr>
          <w:ilvl w:val="0"/>
          <w:numId w:val="9"/>
        </w:numPr>
        <w:spacing w:line="240" w:lineRule="auto"/>
        <w:rPr>
          <w:rFonts w:cs="Arial"/>
          <w:color w:val="002F5D"/>
        </w:rPr>
      </w:pPr>
      <w:r w:rsidRPr="002F6D43">
        <w:rPr>
          <w:rFonts w:cs="Arial"/>
          <w:color w:val="002F5D"/>
        </w:rPr>
        <w:t>In 2017/18</w:t>
      </w:r>
      <w:r w:rsidR="002036FB" w:rsidRPr="002F6D43">
        <w:rPr>
          <w:rFonts w:cs="Arial"/>
          <w:color w:val="002F5D"/>
        </w:rPr>
        <w:t xml:space="preserve"> Peterborough had statistically significantly </w:t>
      </w:r>
      <w:r w:rsidR="00DE1DD2" w:rsidRPr="002F6D43">
        <w:rPr>
          <w:rFonts w:cs="Arial"/>
          <w:color w:val="002F5D"/>
        </w:rPr>
        <w:t>lower</w:t>
      </w:r>
      <w:r w:rsidR="002036FB" w:rsidRPr="002F6D43">
        <w:rPr>
          <w:rFonts w:cs="Arial"/>
          <w:color w:val="002F5D"/>
        </w:rPr>
        <w:t xml:space="preserve"> rates of elective admissions</w:t>
      </w:r>
      <w:r w:rsidR="003B40D6">
        <w:rPr>
          <w:rFonts w:cs="Arial"/>
          <w:color w:val="002F5D"/>
        </w:rPr>
        <w:t xml:space="preserve"> in comparison to</w:t>
      </w:r>
      <w:r w:rsidR="002036FB" w:rsidRPr="002F6D43">
        <w:rPr>
          <w:rFonts w:cs="Arial"/>
          <w:color w:val="002F5D"/>
        </w:rPr>
        <w:t xml:space="preserve"> the Cambridgeshire and Peterborough combined rate for under 75s. Cambridges</w:t>
      </w:r>
      <w:r w:rsidRPr="002F6D43">
        <w:rPr>
          <w:rFonts w:cs="Arial"/>
          <w:color w:val="002F5D"/>
        </w:rPr>
        <w:t>hire had a statistically significantly higher</w:t>
      </w:r>
      <w:r w:rsidR="000A11FD" w:rsidRPr="002F6D43">
        <w:rPr>
          <w:rFonts w:cs="Arial"/>
          <w:color w:val="002F5D"/>
        </w:rPr>
        <w:t xml:space="preserve"> rate.</w:t>
      </w:r>
    </w:p>
    <w:p w14:paraId="324CD31B" w14:textId="2251F66E" w:rsidR="00DC3137" w:rsidRPr="006A7F0C" w:rsidRDefault="00DC3137" w:rsidP="0043274F">
      <w:pPr>
        <w:pStyle w:val="ListParagraph"/>
        <w:numPr>
          <w:ilvl w:val="0"/>
          <w:numId w:val="9"/>
        </w:numPr>
        <w:spacing w:line="240" w:lineRule="auto"/>
        <w:rPr>
          <w:rFonts w:cs="Arial"/>
          <w:color w:val="002F5D"/>
        </w:rPr>
      </w:pPr>
      <w:r w:rsidRPr="006A7F0C">
        <w:rPr>
          <w:rFonts w:cs="Arial"/>
          <w:color w:val="002F5D"/>
        </w:rPr>
        <w:t xml:space="preserve">In </w:t>
      </w:r>
      <w:r w:rsidR="00DE1DD2" w:rsidRPr="006A7F0C">
        <w:rPr>
          <w:rFonts w:cs="Arial"/>
          <w:color w:val="002F5D"/>
        </w:rPr>
        <w:t xml:space="preserve">the </w:t>
      </w:r>
      <w:r w:rsidRPr="006A7F0C">
        <w:rPr>
          <w:rFonts w:cs="Arial"/>
          <w:color w:val="002F5D"/>
        </w:rPr>
        <w:t>75s and over</w:t>
      </w:r>
      <w:r w:rsidR="00DE1DD2" w:rsidRPr="006A7F0C">
        <w:rPr>
          <w:rFonts w:cs="Arial"/>
          <w:color w:val="002F5D"/>
        </w:rPr>
        <w:t>s</w:t>
      </w:r>
      <w:r w:rsidR="00D54BBC" w:rsidRPr="006A7F0C">
        <w:rPr>
          <w:rFonts w:cs="Arial"/>
          <w:color w:val="002F5D"/>
        </w:rPr>
        <w:t>,</w:t>
      </w:r>
      <w:r w:rsidRPr="006A7F0C">
        <w:rPr>
          <w:rFonts w:cs="Arial"/>
          <w:color w:val="002F5D"/>
        </w:rPr>
        <w:t xml:space="preserve"> </w:t>
      </w:r>
      <w:r w:rsidR="00D54BBC" w:rsidRPr="006A7F0C">
        <w:rPr>
          <w:rFonts w:cs="Arial"/>
          <w:color w:val="002F5D"/>
        </w:rPr>
        <w:t xml:space="preserve">Cambridgeshire has had statistically significantly </w:t>
      </w:r>
      <w:r w:rsidR="00DE1DD2" w:rsidRPr="006A7F0C">
        <w:rPr>
          <w:rFonts w:cs="Arial"/>
          <w:color w:val="002F5D"/>
        </w:rPr>
        <w:t>higher</w:t>
      </w:r>
      <w:r w:rsidR="00D54BBC" w:rsidRPr="006A7F0C">
        <w:rPr>
          <w:rFonts w:cs="Arial"/>
          <w:color w:val="002F5D"/>
        </w:rPr>
        <w:t xml:space="preserve"> rates of elective admissions than the Cambridgeshire and Peterboroug</w:t>
      </w:r>
      <w:r w:rsidR="00DE1DD2" w:rsidRPr="006A7F0C">
        <w:rPr>
          <w:rFonts w:cs="Arial"/>
          <w:color w:val="002F5D"/>
        </w:rPr>
        <w:t>h c</w:t>
      </w:r>
      <w:r w:rsidR="002F6D43" w:rsidRPr="006A7F0C">
        <w:rPr>
          <w:rFonts w:cs="Arial"/>
          <w:color w:val="002F5D"/>
        </w:rPr>
        <w:t>ombined rate since 2012/13</w:t>
      </w:r>
      <w:r w:rsidR="00DE1DD2" w:rsidRPr="006A7F0C">
        <w:rPr>
          <w:rFonts w:cs="Arial"/>
          <w:color w:val="002F5D"/>
        </w:rPr>
        <w:t xml:space="preserve">.  </w:t>
      </w:r>
      <w:r w:rsidR="00D54BBC" w:rsidRPr="006A7F0C">
        <w:rPr>
          <w:rFonts w:cs="Arial"/>
          <w:color w:val="002F5D"/>
        </w:rPr>
        <w:t xml:space="preserve">Peterborough has had statistically significantly </w:t>
      </w:r>
      <w:r w:rsidR="00DE1DD2" w:rsidRPr="006A7F0C">
        <w:rPr>
          <w:rFonts w:cs="Arial"/>
          <w:color w:val="002F5D"/>
        </w:rPr>
        <w:t>lower</w:t>
      </w:r>
      <w:r w:rsidR="00D54BBC" w:rsidRPr="006A7F0C">
        <w:rPr>
          <w:rFonts w:cs="Arial"/>
          <w:color w:val="002F5D"/>
        </w:rPr>
        <w:t xml:space="preserve"> rates over the same time period.</w:t>
      </w:r>
    </w:p>
    <w:p w14:paraId="484B90C5" w14:textId="70A2902E" w:rsidR="00D54BBC" w:rsidRPr="006A7F0C" w:rsidRDefault="00D54BBC" w:rsidP="0043274F">
      <w:pPr>
        <w:pStyle w:val="ListParagraph"/>
        <w:numPr>
          <w:ilvl w:val="0"/>
          <w:numId w:val="9"/>
        </w:numPr>
        <w:spacing w:line="240" w:lineRule="auto"/>
        <w:rPr>
          <w:rFonts w:cs="Arial"/>
          <w:color w:val="002F5D"/>
        </w:rPr>
      </w:pPr>
      <w:r w:rsidRPr="006A7F0C">
        <w:rPr>
          <w:rFonts w:cs="Arial"/>
          <w:color w:val="002F5D"/>
        </w:rPr>
        <w:t>Fenland and Huntingdonshire have had elective admission rates statistically significantly higher than the county average in all years since</w:t>
      </w:r>
      <w:r w:rsidR="006A7F0C" w:rsidRPr="006A7F0C">
        <w:rPr>
          <w:rFonts w:cs="Arial"/>
          <w:color w:val="002F5D"/>
        </w:rPr>
        <w:t xml:space="preserve"> 2012/13</w:t>
      </w:r>
      <w:r w:rsidRPr="006A7F0C">
        <w:rPr>
          <w:rFonts w:cs="Arial"/>
          <w:color w:val="002F5D"/>
        </w:rPr>
        <w:t xml:space="preserve"> for residents under 75.</w:t>
      </w:r>
    </w:p>
    <w:p w14:paraId="1041923A" w14:textId="131B3E89" w:rsidR="000A11FD" w:rsidRPr="00330B65" w:rsidRDefault="00AE727E">
      <w:pPr>
        <w:pStyle w:val="ListParagraph"/>
        <w:numPr>
          <w:ilvl w:val="0"/>
          <w:numId w:val="9"/>
        </w:numPr>
        <w:spacing w:line="240" w:lineRule="auto"/>
        <w:rPr>
          <w:rFonts w:cs="Arial"/>
          <w:color w:val="002F5D"/>
        </w:rPr>
      </w:pPr>
      <w:r w:rsidRPr="006A7F0C">
        <w:rPr>
          <w:rFonts w:cs="Arial"/>
          <w:color w:val="002F5D"/>
        </w:rPr>
        <w:t xml:space="preserve">In 75s and over, elective admission rates have been statistically significantly higher than the county </w:t>
      </w:r>
      <w:r w:rsidRPr="00330B65">
        <w:rPr>
          <w:rFonts w:cs="Arial"/>
          <w:color w:val="002F5D"/>
        </w:rPr>
        <w:t>average in Hunting</w:t>
      </w:r>
      <w:r w:rsidR="006A7F0C" w:rsidRPr="00330B65">
        <w:rPr>
          <w:rFonts w:cs="Arial"/>
          <w:color w:val="002F5D"/>
        </w:rPr>
        <w:t>donshire in all years since 2012/13. Rates</w:t>
      </w:r>
      <w:r w:rsidRPr="00330B65">
        <w:rPr>
          <w:rFonts w:cs="Arial"/>
          <w:color w:val="002F5D"/>
        </w:rPr>
        <w:t xml:space="preserve"> notably increased in Fenland</w:t>
      </w:r>
      <w:r w:rsidR="006A7F0C" w:rsidRPr="00330B65">
        <w:rPr>
          <w:rFonts w:cs="Arial"/>
          <w:color w:val="002F5D"/>
        </w:rPr>
        <w:t xml:space="preserve"> up until 2017/18</w:t>
      </w:r>
      <w:r w:rsidR="00611934" w:rsidRPr="00330B65">
        <w:rPr>
          <w:rFonts w:cs="Arial"/>
          <w:color w:val="002F5D"/>
        </w:rPr>
        <w:t>, broadly in line with the increases in the Cambridgeshire average and are</w:t>
      </w:r>
      <w:r w:rsidRPr="00330B65">
        <w:rPr>
          <w:rFonts w:cs="Arial"/>
          <w:color w:val="002F5D"/>
        </w:rPr>
        <w:t xml:space="preserve"> </w:t>
      </w:r>
      <w:r w:rsidR="00611934" w:rsidRPr="00330B65">
        <w:rPr>
          <w:rFonts w:cs="Arial"/>
          <w:color w:val="002F5D"/>
        </w:rPr>
        <w:t xml:space="preserve">mostly correspondingly </w:t>
      </w:r>
      <w:r w:rsidRPr="00330B65">
        <w:rPr>
          <w:rFonts w:cs="Arial"/>
          <w:color w:val="002F5D"/>
        </w:rPr>
        <w:t xml:space="preserve">statistically </w:t>
      </w:r>
      <w:r w:rsidR="00611934" w:rsidRPr="00330B65">
        <w:rPr>
          <w:rFonts w:cs="Arial"/>
          <w:color w:val="002F5D"/>
        </w:rPr>
        <w:t>similar to</w:t>
      </w:r>
      <w:r w:rsidRPr="00330B65">
        <w:rPr>
          <w:rFonts w:cs="Arial"/>
          <w:color w:val="002F5D"/>
        </w:rPr>
        <w:t xml:space="preserve"> the Cambridgeshire average</w:t>
      </w:r>
      <w:r w:rsidR="00D54BBC" w:rsidRPr="00330B65">
        <w:rPr>
          <w:rFonts w:cs="Arial"/>
          <w:color w:val="002F5D"/>
        </w:rPr>
        <w:t>.</w:t>
      </w:r>
    </w:p>
    <w:p w14:paraId="0EEE0648" w14:textId="4D31AA29" w:rsidR="00F61EFE" w:rsidRPr="00F61EFE" w:rsidRDefault="000A11FD" w:rsidP="00F61EFE">
      <w:pPr>
        <w:pStyle w:val="ListParagraph"/>
        <w:numPr>
          <w:ilvl w:val="0"/>
          <w:numId w:val="9"/>
        </w:numPr>
        <w:spacing w:line="240" w:lineRule="auto"/>
        <w:rPr>
          <w:rFonts w:cs="Arial"/>
          <w:color w:val="002F5D"/>
        </w:rPr>
      </w:pPr>
      <w:r w:rsidRPr="00F61EFE">
        <w:rPr>
          <w:rFonts w:cs="Arial"/>
          <w:color w:val="002F5D"/>
        </w:rPr>
        <w:t>In the remaining districts</w:t>
      </w:r>
      <w:r w:rsidR="003B40D6">
        <w:rPr>
          <w:rFonts w:cs="Arial"/>
          <w:color w:val="002F5D"/>
        </w:rPr>
        <w:t>,</w:t>
      </w:r>
      <w:r w:rsidRPr="00F61EFE">
        <w:rPr>
          <w:rFonts w:cs="Arial"/>
          <w:color w:val="002F5D"/>
        </w:rPr>
        <w:t xml:space="preserve"> elective admissions in those aged 75 and over are relatively stable, with South Cambridgeshire </w:t>
      </w:r>
      <w:r w:rsidR="00F61EFE" w:rsidRPr="00F61EFE">
        <w:rPr>
          <w:rFonts w:cs="Arial"/>
          <w:color w:val="002F5D"/>
        </w:rPr>
        <w:t>increasing to become statistically similar in 2016/17 and 2017/18 having been statistically significantly lower than the Cambridgeshire average in the previous three time periods.</w:t>
      </w:r>
    </w:p>
    <w:p w14:paraId="3EF74932" w14:textId="77777777" w:rsidR="00AE727E" w:rsidRPr="0037351D" w:rsidRDefault="00AE727E" w:rsidP="00AE727E">
      <w:pPr>
        <w:spacing w:line="240" w:lineRule="auto"/>
        <w:rPr>
          <w:rFonts w:cs="Arial"/>
          <w:b/>
          <w:color w:val="FF0000"/>
        </w:rPr>
      </w:pPr>
    </w:p>
    <w:p w14:paraId="2FBFE5FF" w14:textId="77777777" w:rsidR="00AE727E" w:rsidRPr="0037351D" w:rsidRDefault="00AE727E" w:rsidP="00AE727E">
      <w:pPr>
        <w:spacing w:line="240" w:lineRule="auto"/>
        <w:rPr>
          <w:rFonts w:cs="Arial"/>
          <w:b/>
          <w:color w:val="FF0000"/>
        </w:rPr>
      </w:pPr>
    </w:p>
    <w:p w14:paraId="6FE73183" w14:textId="77777777" w:rsidR="00AE727E" w:rsidRPr="0037351D" w:rsidRDefault="00AE727E" w:rsidP="00AE727E">
      <w:pPr>
        <w:spacing w:line="240" w:lineRule="auto"/>
        <w:rPr>
          <w:rFonts w:cs="Arial"/>
          <w:b/>
          <w:color w:val="FF0000"/>
        </w:rPr>
      </w:pPr>
      <w:r w:rsidRPr="0037351D">
        <w:rPr>
          <w:rFonts w:cs="Arial"/>
          <w:b/>
          <w:color w:val="FF0000"/>
        </w:rPr>
        <w:br w:type="page"/>
      </w:r>
    </w:p>
    <w:p w14:paraId="1363728B" w14:textId="77777777" w:rsidR="00AE727E" w:rsidRPr="000A4897" w:rsidRDefault="00AE727E" w:rsidP="0043274F">
      <w:pPr>
        <w:spacing w:line="240" w:lineRule="auto"/>
        <w:rPr>
          <w:rFonts w:cs="Arial"/>
          <w:b/>
          <w:color w:val="002F5D"/>
        </w:rPr>
      </w:pPr>
      <w:r w:rsidRPr="000A4897">
        <w:rPr>
          <w:rFonts w:cs="Arial"/>
          <w:b/>
          <w:color w:val="002F5D"/>
        </w:rPr>
        <w:lastRenderedPageBreak/>
        <w:t>Emergency admissions</w:t>
      </w:r>
    </w:p>
    <w:p w14:paraId="692DED06" w14:textId="77777777" w:rsidR="00AE727E" w:rsidRPr="000A4897" w:rsidRDefault="00AE727E" w:rsidP="0043274F">
      <w:pPr>
        <w:spacing w:line="240" w:lineRule="auto"/>
        <w:rPr>
          <w:rFonts w:cs="Arial"/>
          <w:b/>
          <w:color w:val="002F5D"/>
        </w:rPr>
      </w:pPr>
    </w:p>
    <w:p w14:paraId="21EAF7AB" w14:textId="60AA08E2" w:rsidR="00AE727E" w:rsidRPr="000A4897" w:rsidRDefault="00B654F0" w:rsidP="0043274F">
      <w:pPr>
        <w:pStyle w:val="Caption"/>
        <w:rPr>
          <w:rFonts w:cs="Arial"/>
          <w:color w:val="002F5D"/>
        </w:rPr>
      </w:pPr>
      <w:r w:rsidRPr="000A4897">
        <w:rPr>
          <w:b/>
          <w:color w:val="002F5D"/>
        </w:rPr>
        <w:t>Table</w:t>
      </w:r>
      <w:r w:rsidR="00B81E4B">
        <w:rPr>
          <w:b/>
          <w:color w:val="002F5D"/>
        </w:rPr>
        <w:t xml:space="preserve"> 80</w:t>
      </w:r>
      <w:r w:rsidR="00AE727E" w:rsidRPr="000A4897">
        <w:rPr>
          <w:rFonts w:cs="Arial"/>
          <w:b/>
          <w:color w:val="002F5D"/>
        </w:rPr>
        <w:t xml:space="preserve">. </w:t>
      </w:r>
      <w:r w:rsidR="00AE727E" w:rsidRPr="000A4897">
        <w:rPr>
          <w:rFonts w:cs="Arial"/>
          <w:color w:val="002F5D"/>
        </w:rPr>
        <w:t>Hospital inpatient admission episodes by local authority of residence - emergency admissions, Cambridgeshire</w:t>
      </w:r>
      <w:r w:rsidR="000108F4" w:rsidRPr="000A4897">
        <w:rPr>
          <w:rFonts w:cs="Arial"/>
          <w:color w:val="002F5D"/>
        </w:rPr>
        <w:t xml:space="preserve"> and Peterborough</w:t>
      </w:r>
      <w:r w:rsidR="000A4897" w:rsidRPr="000A4897">
        <w:rPr>
          <w:rFonts w:cs="Arial"/>
          <w:color w:val="002F5D"/>
        </w:rPr>
        <w:t>, 2017/18</w:t>
      </w:r>
    </w:p>
    <w:p w14:paraId="3DF33FB9" w14:textId="77777777" w:rsidR="000A4897" w:rsidRPr="000A4897" w:rsidRDefault="000A4897" w:rsidP="000A4897"/>
    <w:p w14:paraId="0BABD016" w14:textId="7244E6B0" w:rsidR="0016799F" w:rsidRPr="0037351D" w:rsidRDefault="000A4897" w:rsidP="000A4897">
      <w:pPr>
        <w:spacing w:line="240" w:lineRule="auto"/>
        <w:rPr>
          <w:color w:val="FF0000"/>
        </w:rPr>
      </w:pPr>
      <w:r w:rsidRPr="000A4897">
        <w:rPr>
          <w:noProof/>
          <w:lang w:eastAsia="en-GB"/>
        </w:rPr>
        <w:drawing>
          <wp:inline distT="0" distB="0" distL="0" distR="0" wp14:anchorId="71C7E622" wp14:editId="0AED28C2">
            <wp:extent cx="5969000" cy="2340610"/>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69000" cy="2340610"/>
                    </a:xfrm>
                    <a:prstGeom prst="rect">
                      <a:avLst/>
                    </a:prstGeom>
                    <a:noFill/>
                    <a:ln>
                      <a:noFill/>
                    </a:ln>
                  </pic:spPr>
                </pic:pic>
              </a:graphicData>
            </a:graphic>
          </wp:inline>
        </w:drawing>
      </w:r>
    </w:p>
    <w:p w14:paraId="595A83A1" w14:textId="77777777" w:rsidR="0043274F" w:rsidRPr="0037351D" w:rsidRDefault="0043274F" w:rsidP="00B41877">
      <w:pPr>
        <w:spacing w:line="240" w:lineRule="auto"/>
        <w:rPr>
          <w:rFonts w:cs="Arial"/>
          <w:color w:val="FF0000"/>
          <w:sz w:val="20"/>
          <w:szCs w:val="20"/>
          <w14:props3d w14:extrusionH="0" w14:contourW="0" w14:prstMaterial="matte"/>
        </w:rPr>
      </w:pPr>
    </w:p>
    <w:p w14:paraId="007894B4" w14:textId="79AB22AB" w:rsidR="00AE727E" w:rsidRDefault="00AE727E" w:rsidP="0043274F">
      <w:pPr>
        <w:spacing w:line="240" w:lineRule="auto"/>
        <w:rPr>
          <w:rFonts w:cs="Arial"/>
          <w:color w:val="002F5D"/>
          <w:sz w:val="20"/>
          <w:szCs w:val="20"/>
          <w14:props3d w14:extrusionH="0" w14:contourW="0" w14:prstMaterial="matte"/>
        </w:rPr>
      </w:pPr>
      <w:r w:rsidRPr="000A4897">
        <w:rPr>
          <w:rFonts w:cs="Arial"/>
          <w:color w:val="002F5D"/>
          <w:sz w:val="20"/>
          <w:szCs w:val="20"/>
          <w14:props3d w14:extrusionH="0" w14:contourW="0" w14:prstMaterial="matte"/>
        </w:rPr>
        <w:t>DASR - directly age-standardised rate</w:t>
      </w:r>
    </w:p>
    <w:p w14:paraId="355E0111" w14:textId="7337F597" w:rsidR="006A67F1" w:rsidRDefault="006A67F1" w:rsidP="0043274F">
      <w:pPr>
        <w:spacing w:line="240" w:lineRule="auto"/>
        <w:rPr>
          <w:rFonts w:cs="Arial"/>
          <w:color w:val="002F5D"/>
          <w:sz w:val="20"/>
          <w:szCs w:val="20"/>
          <w14:props3d w14:extrusionH="0" w14:contourW="0" w14:prstMaterial="matte"/>
        </w:rPr>
      </w:pPr>
    </w:p>
    <w:p w14:paraId="44D5935F" w14:textId="5C91E6B9" w:rsidR="006A67F1" w:rsidRPr="000A4897" w:rsidRDefault="006A67F1" w:rsidP="0043274F">
      <w:pPr>
        <w:spacing w:line="240" w:lineRule="auto"/>
        <w:rPr>
          <w:rFonts w:cs="Arial"/>
          <w:color w:val="002F5D"/>
          <w:sz w:val="20"/>
          <w:szCs w:val="20"/>
          <w14:props3d w14:extrusionH="0" w14:contourW="0" w14:prstMaterial="matte"/>
        </w:rPr>
      </w:pPr>
      <w:r w:rsidRPr="006A67F1">
        <w:rPr>
          <w:noProof/>
          <w:lang w:eastAsia="en-GB"/>
        </w:rPr>
        <w:drawing>
          <wp:inline distT="0" distB="0" distL="0" distR="0" wp14:anchorId="1CAC1DF2" wp14:editId="4630E36F">
            <wp:extent cx="4137660" cy="38100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37660" cy="381000"/>
                    </a:xfrm>
                    <a:prstGeom prst="rect">
                      <a:avLst/>
                    </a:prstGeom>
                    <a:noFill/>
                    <a:ln>
                      <a:noFill/>
                    </a:ln>
                  </pic:spPr>
                </pic:pic>
              </a:graphicData>
            </a:graphic>
          </wp:inline>
        </w:drawing>
      </w:r>
    </w:p>
    <w:p w14:paraId="474AB5B0" w14:textId="77777777" w:rsidR="000A4897" w:rsidRPr="0037351D" w:rsidRDefault="000A4897" w:rsidP="000A4897">
      <w:pPr>
        <w:spacing w:line="240" w:lineRule="auto"/>
        <w:rPr>
          <w:rFonts w:cs="Arial"/>
          <w:b/>
          <w:color w:val="FF0000"/>
        </w:rPr>
      </w:pPr>
    </w:p>
    <w:p w14:paraId="65BAD807" w14:textId="328612C2" w:rsidR="00AE727E" w:rsidRPr="000A4897" w:rsidRDefault="00AE727E" w:rsidP="0043274F">
      <w:pPr>
        <w:spacing w:line="240" w:lineRule="auto"/>
        <w:rPr>
          <w:rFonts w:cs="Arial"/>
          <w:color w:val="002F5D"/>
        </w:rPr>
      </w:pPr>
      <w:r w:rsidRPr="000A4897">
        <w:rPr>
          <w:rFonts w:cs="Arial"/>
          <w:b/>
          <w:color w:val="002F5D"/>
        </w:rPr>
        <w:t>Sources:</w:t>
      </w:r>
      <w:r w:rsidRPr="000A4897">
        <w:rPr>
          <w:rFonts w:cs="Arial"/>
          <w:color w:val="002F5D"/>
        </w:rPr>
        <w:t xml:space="preserve"> NHS Digital Hospital Episode Statistics, O</w:t>
      </w:r>
      <w:r w:rsidR="007750E0">
        <w:rPr>
          <w:rFonts w:cs="Arial"/>
          <w:color w:val="002F5D"/>
        </w:rPr>
        <w:t xml:space="preserve">NS </w:t>
      </w:r>
      <w:r w:rsidRPr="000A4897">
        <w:rPr>
          <w:rFonts w:cs="Arial"/>
          <w:color w:val="002F5D"/>
        </w:rPr>
        <w:t>mid-year population estimates</w:t>
      </w:r>
    </w:p>
    <w:p w14:paraId="4BFE70BD" w14:textId="77777777" w:rsidR="00AE727E" w:rsidRPr="000A4897" w:rsidRDefault="00AE727E" w:rsidP="0043274F">
      <w:pPr>
        <w:spacing w:line="240" w:lineRule="auto"/>
        <w:rPr>
          <w:rFonts w:cs="Arial"/>
          <w:color w:val="002F5D"/>
        </w:rPr>
      </w:pPr>
    </w:p>
    <w:p w14:paraId="7B37E796" w14:textId="51FD8449" w:rsidR="00AE727E" w:rsidRDefault="00AE727E" w:rsidP="0043274F">
      <w:pPr>
        <w:spacing w:line="240" w:lineRule="auto"/>
        <w:rPr>
          <w:rFonts w:cs="Arial"/>
          <w:b/>
          <w:color w:val="002F5D"/>
        </w:rPr>
      </w:pPr>
      <w:r w:rsidRPr="000A4897">
        <w:rPr>
          <w:rFonts w:cs="Arial"/>
          <w:b/>
          <w:color w:val="002F5D"/>
        </w:rPr>
        <w:t>Key points:</w:t>
      </w:r>
    </w:p>
    <w:p w14:paraId="05C8B885" w14:textId="77777777" w:rsidR="000A4897" w:rsidRPr="00B929CA" w:rsidRDefault="000A4897" w:rsidP="0043274F">
      <w:pPr>
        <w:spacing w:line="240" w:lineRule="auto"/>
        <w:rPr>
          <w:rFonts w:cs="Arial"/>
          <w:b/>
          <w:color w:val="002F5D"/>
        </w:rPr>
      </w:pPr>
    </w:p>
    <w:p w14:paraId="2ABC5909" w14:textId="76C60B62" w:rsidR="00AE727E" w:rsidRPr="00B929CA" w:rsidRDefault="00AE727E" w:rsidP="0043274F">
      <w:pPr>
        <w:pStyle w:val="ListParagraph"/>
        <w:numPr>
          <w:ilvl w:val="0"/>
          <w:numId w:val="8"/>
        </w:numPr>
        <w:spacing w:line="240" w:lineRule="auto"/>
        <w:rPr>
          <w:rFonts w:cs="Arial"/>
          <w:color w:val="002F5D"/>
        </w:rPr>
      </w:pPr>
      <w:r w:rsidRPr="00B929CA">
        <w:rPr>
          <w:rFonts w:cs="Arial"/>
          <w:color w:val="002F5D"/>
        </w:rPr>
        <w:t xml:space="preserve">The </w:t>
      </w:r>
      <w:r w:rsidR="00B929CA" w:rsidRPr="00B929CA">
        <w:rPr>
          <w:rFonts w:cs="Arial"/>
          <w:color w:val="002F5D"/>
        </w:rPr>
        <w:t>2017/18</w:t>
      </w:r>
      <w:r w:rsidR="00F71247" w:rsidRPr="00B929CA">
        <w:rPr>
          <w:rFonts w:cs="Arial"/>
          <w:color w:val="002F5D"/>
        </w:rPr>
        <w:t xml:space="preserve"> </w:t>
      </w:r>
      <w:r w:rsidRPr="00B929CA">
        <w:rPr>
          <w:rFonts w:cs="Arial"/>
          <w:color w:val="002F5D"/>
        </w:rPr>
        <w:t>rate of emergency inpatient admission episodes is statistically significantly higher than the Cambridgeshire average in Fenland</w:t>
      </w:r>
      <w:r w:rsidR="00B929CA" w:rsidRPr="00B929CA">
        <w:rPr>
          <w:rFonts w:cs="Arial"/>
          <w:color w:val="002F5D"/>
        </w:rPr>
        <w:t xml:space="preserve"> </w:t>
      </w:r>
      <w:r w:rsidRPr="00B929CA">
        <w:rPr>
          <w:rFonts w:cs="Arial"/>
          <w:color w:val="002F5D"/>
        </w:rPr>
        <w:t>in all ages combined, under 75s and 75s and over and in all ages and under 75s in Huntingdonshire.</w:t>
      </w:r>
    </w:p>
    <w:p w14:paraId="16B06558" w14:textId="23307593" w:rsidR="00A204C2" w:rsidRPr="00E93FE0" w:rsidRDefault="00A204C2" w:rsidP="0043274F">
      <w:pPr>
        <w:pStyle w:val="ListParagraph"/>
        <w:numPr>
          <w:ilvl w:val="0"/>
          <w:numId w:val="8"/>
        </w:numPr>
        <w:spacing w:line="240" w:lineRule="auto"/>
        <w:rPr>
          <w:rFonts w:cs="Arial"/>
          <w:color w:val="002F5D"/>
        </w:rPr>
      </w:pPr>
      <w:r w:rsidRPr="00E93FE0">
        <w:rPr>
          <w:rFonts w:cs="Arial"/>
          <w:color w:val="002F5D"/>
        </w:rPr>
        <w:t xml:space="preserve">The rate of emergency inpatient admissions </w:t>
      </w:r>
      <w:r w:rsidR="00F71247" w:rsidRPr="00E93FE0">
        <w:rPr>
          <w:rFonts w:cs="Arial"/>
          <w:color w:val="002F5D"/>
        </w:rPr>
        <w:t>is</w:t>
      </w:r>
      <w:r w:rsidRPr="00E93FE0">
        <w:rPr>
          <w:rFonts w:cs="Arial"/>
          <w:color w:val="002F5D"/>
        </w:rPr>
        <w:t xml:space="preserve"> </w:t>
      </w:r>
      <w:r w:rsidR="00F71247" w:rsidRPr="00E93FE0">
        <w:rPr>
          <w:rFonts w:cs="Arial"/>
          <w:color w:val="002F5D"/>
        </w:rPr>
        <w:t xml:space="preserve">statistically </w:t>
      </w:r>
      <w:r w:rsidRPr="00E93FE0">
        <w:rPr>
          <w:rFonts w:cs="Arial"/>
          <w:color w:val="002F5D"/>
        </w:rPr>
        <w:t xml:space="preserve">significantly higher </w:t>
      </w:r>
      <w:r w:rsidR="00F71247" w:rsidRPr="00E93FE0">
        <w:rPr>
          <w:rFonts w:cs="Arial"/>
          <w:color w:val="002F5D"/>
        </w:rPr>
        <w:t xml:space="preserve">than the Cambridgeshire and Peterborough average </w:t>
      </w:r>
      <w:r w:rsidRPr="00E93FE0">
        <w:rPr>
          <w:rFonts w:cs="Arial"/>
          <w:color w:val="002F5D"/>
        </w:rPr>
        <w:t>in P</w:t>
      </w:r>
      <w:r w:rsidR="00F71247" w:rsidRPr="00E93FE0">
        <w:rPr>
          <w:rFonts w:cs="Arial"/>
          <w:color w:val="002F5D"/>
        </w:rPr>
        <w:t>eterborough, whereas in Cambridgeshire it is statistically significantly lower than the rate for the combined area</w:t>
      </w:r>
      <w:r w:rsidR="002A5EDB" w:rsidRPr="00E93FE0">
        <w:rPr>
          <w:rFonts w:cs="Arial"/>
          <w:color w:val="002F5D"/>
        </w:rPr>
        <w:t>.</w:t>
      </w:r>
    </w:p>
    <w:p w14:paraId="082CA7DB" w14:textId="1FA3FA97" w:rsidR="00AE727E" w:rsidRPr="00E93FE0" w:rsidRDefault="00AE727E" w:rsidP="0043274F">
      <w:pPr>
        <w:pStyle w:val="ListParagraph"/>
        <w:numPr>
          <w:ilvl w:val="0"/>
          <w:numId w:val="8"/>
        </w:numPr>
        <w:spacing w:line="240" w:lineRule="auto"/>
        <w:rPr>
          <w:rFonts w:cs="Arial"/>
          <w:color w:val="002F5D"/>
        </w:rPr>
      </w:pPr>
      <w:r w:rsidRPr="00E93FE0">
        <w:rPr>
          <w:rFonts w:cs="Arial"/>
          <w:color w:val="002F5D"/>
        </w:rPr>
        <w:t xml:space="preserve">There were just </w:t>
      </w:r>
      <w:r w:rsidR="00E93FE0" w:rsidRPr="00E93FE0">
        <w:rPr>
          <w:rFonts w:cs="Arial"/>
          <w:color w:val="002F5D"/>
        </w:rPr>
        <w:t>over 82</w:t>
      </w:r>
      <w:r w:rsidRPr="00E93FE0">
        <w:rPr>
          <w:rFonts w:cs="Arial"/>
          <w:color w:val="002F5D"/>
        </w:rPr>
        <w:t>,000 emergency admission episodes among Cambridgeshire</w:t>
      </w:r>
      <w:r w:rsidR="00F74844" w:rsidRPr="00E93FE0">
        <w:rPr>
          <w:rFonts w:cs="Arial"/>
          <w:color w:val="002F5D"/>
        </w:rPr>
        <w:t xml:space="preserve"> and Peterborough</w:t>
      </w:r>
      <w:r w:rsidRPr="00E93FE0">
        <w:rPr>
          <w:rFonts w:cs="Arial"/>
          <w:color w:val="002F5D"/>
        </w:rPr>
        <w:t>’s residents in 201</w:t>
      </w:r>
      <w:r w:rsidR="00E93FE0" w:rsidRPr="00E93FE0">
        <w:rPr>
          <w:rFonts w:cs="Arial"/>
          <w:color w:val="002F5D"/>
        </w:rPr>
        <w:t>7</w:t>
      </w:r>
      <w:r w:rsidRPr="00E93FE0">
        <w:rPr>
          <w:rFonts w:cs="Arial"/>
          <w:color w:val="002F5D"/>
        </w:rPr>
        <w:t>/1</w:t>
      </w:r>
      <w:r w:rsidR="00E93FE0" w:rsidRPr="00E93FE0">
        <w:rPr>
          <w:rFonts w:cs="Arial"/>
          <w:color w:val="002F5D"/>
        </w:rPr>
        <w:t>8</w:t>
      </w:r>
      <w:r w:rsidRPr="00E93FE0">
        <w:rPr>
          <w:rFonts w:cs="Arial"/>
          <w:color w:val="002F5D"/>
        </w:rPr>
        <w:t>.</w:t>
      </w:r>
    </w:p>
    <w:p w14:paraId="34302997" w14:textId="7703280E" w:rsidR="00AE727E" w:rsidRPr="00E93FE0" w:rsidRDefault="00E93FE0" w:rsidP="0043274F">
      <w:pPr>
        <w:pStyle w:val="ListParagraph"/>
        <w:numPr>
          <w:ilvl w:val="0"/>
          <w:numId w:val="8"/>
        </w:numPr>
        <w:spacing w:line="240" w:lineRule="auto"/>
        <w:rPr>
          <w:rFonts w:cs="Arial"/>
          <w:color w:val="002F5D"/>
        </w:rPr>
      </w:pPr>
      <w:r w:rsidRPr="00E93FE0">
        <w:rPr>
          <w:rFonts w:cs="Arial"/>
          <w:color w:val="002F5D"/>
        </w:rPr>
        <w:t>38</w:t>
      </w:r>
      <w:r w:rsidR="00AE727E" w:rsidRPr="00E93FE0">
        <w:rPr>
          <w:rFonts w:cs="Arial"/>
          <w:color w:val="002F5D"/>
        </w:rPr>
        <w:t xml:space="preserve">% of all </w:t>
      </w:r>
      <w:r w:rsidR="00F74844" w:rsidRPr="00E93FE0">
        <w:rPr>
          <w:rFonts w:cs="Arial"/>
          <w:color w:val="002F5D"/>
        </w:rPr>
        <w:t xml:space="preserve">Cambridgeshire and Peterborough </w:t>
      </w:r>
      <w:r w:rsidR="00AE727E" w:rsidRPr="00E93FE0">
        <w:rPr>
          <w:rFonts w:cs="Arial"/>
          <w:color w:val="002F5D"/>
        </w:rPr>
        <w:t>admission episodes were emergencies</w:t>
      </w:r>
      <w:r w:rsidRPr="00E93FE0">
        <w:rPr>
          <w:rFonts w:cs="Arial"/>
          <w:color w:val="002F5D"/>
        </w:rPr>
        <w:t xml:space="preserve"> and 69</w:t>
      </w:r>
      <w:r w:rsidR="00F74844" w:rsidRPr="00E93FE0">
        <w:rPr>
          <w:rFonts w:cs="Arial"/>
          <w:color w:val="002F5D"/>
        </w:rPr>
        <w:t xml:space="preserve">% </w:t>
      </w:r>
      <w:r w:rsidR="00AE727E" w:rsidRPr="00E93FE0">
        <w:rPr>
          <w:rFonts w:cs="Arial"/>
          <w:color w:val="002F5D"/>
        </w:rPr>
        <w:t>were in people aged under 75.</w:t>
      </w:r>
    </w:p>
    <w:p w14:paraId="36B86610" w14:textId="14F23324" w:rsidR="00AE727E" w:rsidRPr="00E93FE0" w:rsidRDefault="00AE727E">
      <w:pPr>
        <w:pStyle w:val="ListParagraph"/>
        <w:numPr>
          <w:ilvl w:val="0"/>
          <w:numId w:val="8"/>
        </w:numPr>
        <w:spacing w:line="240" w:lineRule="auto"/>
        <w:rPr>
          <w:rFonts w:cs="Arial"/>
          <w:color w:val="002F5D"/>
        </w:rPr>
      </w:pPr>
      <w:r w:rsidRPr="00E93FE0">
        <w:rPr>
          <w:rFonts w:cs="Arial"/>
          <w:color w:val="002F5D"/>
        </w:rPr>
        <w:t>Rates of emergency admission are around five times higher in people aged 75 and over than in under 75s.</w:t>
      </w:r>
      <w:r w:rsidR="00AB25F4" w:rsidRPr="00AB25F4">
        <w:t xml:space="preserve"> </w:t>
      </w:r>
      <w:r w:rsidR="00AB25F4" w:rsidRPr="00AB25F4">
        <w:rPr>
          <w:rFonts w:cs="Arial"/>
          <w:color w:val="002F5D"/>
        </w:rPr>
        <w:tab/>
      </w:r>
      <w:r w:rsidR="00AB25F4" w:rsidRPr="00AB25F4">
        <w:rPr>
          <w:rFonts w:cs="Arial"/>
          <w:color w:val="002F5D"/>
        </w:rPr>
        <w:tab/>
      </w:r>
      <w:r w:rsidR="00AB25F4" w:rsidRPr="00AB25F4">
        <w:rPr>
          <w:rFonts w:cs="Arial"/>
          <w:color w:val="002F5D"/>
        </w:rPr>
        <w:tab/>
      </w:r>
      <w:r w:rsidR="00AB25F4" w:rsidRPr="00AB25F4">
        <w:rPr>
          <w:rFonts w:cs="Arial"/>
          <w:color w:val="002F5D"/>
        </w:rPr>
        <w:tab/>
      </w:r>
      <w:r w:rsidR="00AB25F4" w:rsidRPr="00AB25F4">
        <w:rPr>
          <w:rFonts w:cs="Arial"/>
          <w:color w:val="002F5D"/>
        </w:rPr>
        <w:tab/>
      </w:r>
      <w:r w:rsidR="00AB25F4" w:rsidRPr="00AB25F4">
        <w:rPr>
          <w:rFonts w:cs="Arial"/>
          <w:color w:val="002F5D"/>
        </w:rPr>
        <w:tab/>
      </w:r>
    </w:p>
    <w:p w14:paraId="5B305658" w14:textId="77777777" w:rsidR="00AE727E" w:rsidRPr="0037351D" w:rsidRDefault="00AE727E" w:rsidP="00AE727E">
      <w:pPr>
        <w:spacing w:line="240" w:lineRule="auto"/>
        <w:rPr>
          <w:rFonts w:cs="Arial"/>
          <w:b/>
          <w:color w:val="FF0000"/>
        </w:rPr>
      </w:pPr>
    </w:p>
    <w:p w14:paraId="4296CB50" w14:textId="51688EA2" w:rsidR="00AE727E" w:rsidRPr="00236A17" w:rsidRDefault="00AE727E" w:rsidP="00B41877">
      <w:pPr>
        <w:spacing w:line="240" w:lineRule="auto"/>
        <w:rPr>
          <w:rFonts w:cs="Arial"/>
          <w:color w:val="002F5D"/>
        </w:rPr>
      </w:pPr>
      <w:r w:rsidRPr="0037351D">
        <w:rPr>
          <w:rFonts w:cs="Arial"/>
          <w:b/>
          <w:color w:val="FF0000"/>
        </w:rPr>
        <w:br w:type="page"/>
      </w:r>
      <w:r w:rsidR="006543B9" w:rsidRPr="00236A17">
        <w:rPr>
          <w:b/>
          <w:color w:val="002F5D"/>
        </w:rPr>
        <w:lastRenderedPageBreak/>
        <w:t xml:space="preserve">Figure </w:t>
      </w:r>
      <w:r w:rsidR="00A2366A">
        <w:rPr>
          <w:b/>
          <w:color w:val="002F5D"/>
        </w:rPr>
        <w:t>40</w:t>
      </w:r>
      <w:r w:rsidRPr="00236A17">
        <w:rPr>
          <w:rFonts w:cs="Arial"/>
          <w:b/>
          <w:color w:val="002F5D"/>
        </w:rPr>
        <w:t>.</w:t>
      </w:r>
      <w:r w:rsidRPr="00236A17">
        <w:rPr>
          <w:rFonts w:cs="Arial"/>
          <w:color w:val="002F5D"/>
        </w:rPr>
        <w:t xml:space="preserve">  Hospital inpatient admission episodes by local authority of residence - emergency admissions: numbers, Cambridgeshire</w:t>
      </w:r>
      <w:r w:rsidR="00531E7F" w:rsidRPr="00236A17">
        <w:rPr>
          <w:rFonts w:cs="Arial"/>
          <w:color w:val="002F5D"/>
        </w:rPr>
        <w:t xml:space="preserve"> and Peterborough</w:t>
      </w:r>
      <w:r w:rsidRPr="00236A17">
        <w:rPr>
          <w:rFonts w:cs="Arial"/>
          <w:color w:val="002F5D"/>
        </w:rPr>
        <w:t>,</w:t>
      </w:r>
      <w:r w:rsidR="00236A17" w:rsidRPr="00236A17">
        <w:rPr>
          <w:rFonts w:cs="Arial"/>
          <w:color w:val="002F5D"/>
        </w:rPr>
        <w:t xml:space="preserve"> 2012/13</w:t>
      </w:r>
      <w:r w:rsidRPr="00236A17">
        <w:rPr>
          <w:rFonts w:cs="Arial"/>
          <w:color w:val="002F5D"/>
        </w:rPr>
        <w:t xml:space="preserve"> to 201</w:t>
      </w:r>
      <w:r w:rsidR="00236A17" w:rsidRPr="00236A17">
        <w:rPr>
          <w:rFonts w:cs="Arial"/>
          <w:color w:val="002F5D"/>
        </w:rPr>
        <w:t>7</w:t>
      </w:r>
      <w:r w:rsidRPr="00236A17">
        <w:rPr>
          <w:rFonts w:cs="Arial"/>
          <w:color w:val="002F5D"/>
        </w:rPr>
        <w:t>/1</w:t>
      </w:r>
      <w:r w:rsidR="00236A17" w:rsidRPr="00236A17">
        <w:rPr>
          <w:rFonts w:cs="Arial"/>
          <w:color w:val="002F5D"/>
        </w:rPr>
        <w:t>8</w:t>
      </w:r>
    </w:p>
    <w:p w14:paraId="2E028F62" w14:textId="6A2E2446" w:rsidR="00C17A5A" w:rsidRDefault="00C17A5A" w:rsidP="00C17A5A">
      <w:pPr>
        <w:rPr>
          <w:color w:val="FF0000"/>
        </w:rPr>
      </w:pPr>
    </w:p>
    <w:p w14:paraId="07328100" w14:textId="20D8311C" w:rsidR="00236A17" w:rsidRPr="0037351D" w:rsidRDefault="00236A17" w:rsidP="00C17A5A">
      <w:pPr>
        <w:rPr>
          <w:color w:val="FF0000"/>
        </w:rPr>
      </w:pPr>
      <w:r>
        <w:rPr>
          <w:noProof/>
          <w:color w:val="FF0000"/>
          <w:lang w:eastAsia="en-GB"/>
        </w:rPr>
        <w:drawing>
          <wp:inline distT="0" distB="0" distL="0" distR="0" wp14:anchorId="5BF371D9" wp14:editId="33BCA16A">
            <wp:extent cx="6166714" cy="3045526"/>
            <wp:effectExtent l="19050" t="19050" r="24765" b="215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76454" cy="3050336"/>
                    </a:xfrm>
                    <a:prstGeom prst="rect">
                      <a:avLst/>
                    </a:prstGeom>
                    <a:noFill/>
                    <a:ln w="19050">
                      <a:solidFill>
                        <a:srgbClr val="002F5D"/>
                      </a:solidFill>
                    </a:ln>
                  </pic:spPr>
                </pic:pic>
              </a:graphicData>
            </a:graphic>
          </wp:inline>
        </w:drawing>
      </w:r>
    </w:p>
    <w:p w14:paraId="33437BD8" w14:textId="212AF852" w:rsidR="00531E7F" w:rsidRPr="0037351D" w:rsidRDefault="00531E7F" w:rsidP="00531E7F">
      <w:pPr>
        <w:rPr>
          <w:color w:val="FF0000"/>
        </w:rPr>
      </w:pPr>
    </w:p>
    <w:p w14:paraId="3EF2CDC2" w14:textId="6305D837" w:rsidR="00277ECF" w:rsidRPr="0037351D" w:rsidRDefault="00A6622F" w:rsidP="00531E7F">
      <w:pPr>
        <w:rPr>
          <w:color w:val="FF0000"/>
        </w:rPr>
      </w:pPr>
      <w:r>
        <w:rPr>
          <w:noProof/>
          <w:color w:val="FF0000"/>
          <w:lang w:eastAsia="en-GB"/>
        </w:rPr>
        <w:drawing>
          <wp:inline distT="0" distB="0" distL="0" distR="0" wp14:anchorId="4D12FB3E" wp14:editId="3E15F929">
            <wp:extent cx="6181344" cy="3047133"/>
            <wp:effectExtent l="19050" t="19050" r="10160" b="203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95564" cy="3054143"/>
                    </a:xfrm>
                    <a:prstGeom prst="rect">
                      <a:avLst/>
                    </a:prstGeom>
                    <a:noFill/>
                    <a:ln w="19050">
                      <a:solidFill>
                        <a:srgbClr val="002F5D"/>
                      </a:solidFill>
                    </a:ln>
                  </pic:spPr>
                </pic:pic>
              </a:graphicData>
            </a:graphic>
          </wp:inline>
        </w:drawing>
      </w:r>
    </w:p>
    <w:p w14:paraId="03CC5F7A" w14:textId="2F43A2FA" w:rsidR="00277ECF" w:rsidRPr="0037351D" w:rsidRDefault="00277ECF" w:rsidP="00AE727E">
      <w:pPr>
        <w:spacing w:line="240" w:lineRule="auto"/>
        <w:rPr>
          <w:rFonts w:cs="Arial"/>
          <w:color w:val="FF0000"/>
        </w:rPr>
      </w:pPr>
    </w:p>
    <w:p w14:paraId="5277702F" w14:textId="77777777" w:rsidR="00AE727E" w:rsidRPr="00A6622F" w:rsidRDefault="00AE727E" w:rsidP="00AE727E">
      <w:pPr>
        <w:spacing w:line="240" w:lineRule="auto"/>
        <w:rPr>
          <w:rFonts w:cs="Arial"/>
          <w:b/>
          <w:color w:val="002F5D"/>
        </w:rPr>
      </w:pPr>
    </w:p>
    <w:p w14:paraId="4B17A300" w14:textId="77777777" w:rsidR="00AE727E" w:rsidRPr="00A6622F" w:rsidRDefault="00AE727E" w:rsidP="0043274F">
      <w:pPr>
        <w:spacing w:line="240" w:lineRule="auto"/>
        <w:rPr>
          <w:rFonts w:cs="Arial"/>
          <w:color w:val="002F5D"/>
        </w:rPr>
      </w:pPr>
      <w:r w:rsidRPr="00A6622F">
        <w:rPr>
          <w:rFonts w:cs="Arial"/>
          <w:b/>
          <w:color w:val="002F5D"/>
        </w:rPr>
        <w:t>Source:</w:t>
      </w:r>
      <w:r w:rsidRPr="00A6622F">
        <w:rPr>
          <w:rFonts w:cs="Arial"/>
          <w:color w:val="002F5D"/>
        </w:rPr>
        <w:t xml:space="preserve"> NHS Digital Hospital Episode Statistics</w:t>
      </w:r>
    </w:p>
    <w:p w14:paraId="64D50E5D" w14:textId="77777777" w:rsidR="00AE727E" w:rsidRPr="0037351D" w:rsidRDefault="00AE727E" w:rsidP="0043274F">
      <w:pPr>
        <w:spacing w:line="240" w:lineRule="auto"/>
        <w:rPr>
          <w:rFonts w:cs="Arial"/>
          <w:b/>
          <w:color w:val="FF0000"/>
        </w:rPr>
      </w:pPr>
      <w:r w:rsidRPr="0037351D">
        <w:rPr>
          <w:rFonts w:cs="Arial"/>
          <w:b/>
          <w:color w:val="FF0000"/>
        </w:rPr>
        <w:br w:type="page"/>
      </w:r>
    </w:p>
    <w:p w14:paraId="5C94FE0B" w14:textId="5F396CF0" w:rsidR="00AE727E" w:rsidRPr="00A6622F" w:rsidRDefault="006543B9" w:rsidP="0043274F">
      <w:pPr>
        <w:pStyle w:val="Caption"/>
        <w:rPr>
          <w:rFonts w:cs="Arial"/>
          <w:color w:val="002F5D"/>
        </w:rPr>
      </w:pPr>
      <w:r w:rsidRPr="00A6622F">
        <w:rPr>
          <w:b/>
          <w:color w:val="002F5D"/>
        </w:rPr>
        <w:lastRenderedPageBreak/>
        <w:t xml:space="preserve">Figure </w:t>
      </w:r>
      <w:r w:rsidR="00A2366A">
        <w:rPr>
          <w:b/>
          <w:color w:val="002F5D"/>
        </w:rPr>
        <w:t>41</w:t>
      </w:r>
      <w:r w:rsidR="00AE727E" w:rsidRPr="00A6622F">
        <w:rPr>
          <w:rFonts w:cs="Arial"/>
          <w:b/>
          <w:color w:val="002F5D"/>
        </w:rPr>
        <w:t>.</w:t>
      </w:r>
      <w:r w:rsidR="00AE727E" w:rsidRPr="00A6622F">
        <w:rPr>
          <w:rFonts w:cs="Arial"/>
          <w:color w:val="002F5D"/>
        </w:rPr>
        <w:t xml:space="preserve">  Rates of hospital inpatient admission episodes by local authority of residence - emergency admissions: directly age-standardised rates, Cambridgeshir</w:t>
      </w:r>
      <w:r w:rsidR="00FB4E89" w:rsidRPr="00A6622F">
        <w:rPr>
          <w:rFonts w:cs="Arial"/>
          <w:color w:val="002F5D"/>
        </w:rPr>
        <w:t>e and Peterborough</w:t>
      </w:r>
      <w:r w:rsidR="00236A17" w:rsidRPr="00A6622F">
        <w:rPr>
          <w:rFonts w:cs="Arial"/>
          <w:color w:val="002F5D"/>
        </w:rPr>
        <w:t>, 2012/13</w:t>
      </w:r>
      <w:r w:rsidR="00AE727E" w:rsidRPr="00A6622F">
        <w:rPr>
          <w:rFonts w:cs="Arial"/>
          <w:color w:val="002F5D"/>
        </w:rPr>
        <w:t xml:space="preserve"> to 201</w:t>
      </w:r>
      <w:r w:rsidR="00236A17" w:rsidRPr="00A6622F">
        <w:rPr>
          <w:rFonts w:cs="Arial"/>
          <w:color w:val="002F5D"/>
        </w:rPr>
        <w:t>7</w:t>
      </w:r>
      <w:r w:rsidR="00AE727E" w:rsidRPr="00A6622F">
        <w:rPr>
          <w:rFonts w:cs="Arial"/>
          <w:color w:val="002F5D"/>
        </w:rPr>
        <w:t>/1</w:t>
      </w:r>
      <w:r w:rsidR="00236A17" w:rsidRPr="00A6622F">
        <w:rPr>
          <w:rFonts w:cs="Arial"/>
          <w:color w:val="002F5D"/>
        </w:rPr>
        <w:t>8</w:t>
      </w:r>
    </w:p>
    <w:p w14:paraId="5BBF3254" w14:textId="36A7CEE2" w:rsidR="00236A17" w:rsidRPr="00236A17" w:rsidRDefault="00236A17" w:rsidP="00236A17"/>
    <w:p w14:paraId="27942731" w14:textId="5907284D" w:rsidR="00236A17" w:rsidRPr="00236A17" w:rsidRDefault="00236A17" w:rsidP="00236A17">
      <w:r>
        <w:rPr>
          <w:noProof/>
          <w:lang w:eastAsia="en-GB"/>
        </w:rPr>
        <w:drawing>
          <wp:inline distT="0" distB="0" distL="0" distR="0" wp14:anchorId="3543F9B9" wp14:editId="617BE542">
            <wp:extent cx="6252845" cy="2729350"/>
            <wp:effectExtent l="19050" t="19050" r="14605" b="1397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64316" cy="2734357"/>
                    </a:xfrm>
                    <a:prstGeom prst="rect">
                      <a:avLst/>
                    </a:prstGeom>
                    <a:noFill/>
                    <a:ln w="19050">
                      <a:solidFill>
                        <a:srgbClr val="002F5D"/>
                      </a:solidFill>
                    </a:ln>
                  </pic:spPr>
                </pic:pic>
              </a:graphicData>
            </a:graphic>
          </wp:inline>
        </w:drawing>
      </w:r>
    </w:p>
    <w:p w14:paraId="5AE2DA4A" w14:textId="7DB0AC55" w:rsidR="00E04E64" w:rsidRPr="0037351D" w:rsidRDefault="00E04E64" w:rsidP="0043274F">
      <w:pPr>
        <w:spacing w:line="240" w:lineRule="auto"/>
        <w:rPr>
          <w:color w:val="FF0000"/>
        </w:rPr>
      </w:pPr>
    </w:p>
    <w:p w14:paraId="4BDD311C" w14:textId="584BE4B2" w:rsidR="00E04E64" w:rsidRPr="0037351D" w:rsidRDefault="00236A17" w:rsidP="00E04E64">
      <w:pPr>
        <w:rPr>
          <w:color w:val="FF0000"/>
        </w:rPr>
      </w:pPr>
      <w:r>
        <w:rPr>
          <w:noProof/>
          <w:color w:val="FF0000"/>
          <w:lang w:eastAsia="en-GB"/>
        </w:rPr>
        <w:drawing>
          <wp:inline distT="0" distB="0" distL="0" distR="0" wp14:anchorId="3EE89727" wp14:editId="63E5A6D4">
            <wp:extent cx="6289000" cy="2743200"/>
            <wp:effectExtent l="19050" t="19050" r="17145" b="190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01192" cy="2748518"/>
                    </a:xfrm>
                    <a:prstGeom prst="rect">
                      <a:avLst/>
                    </a:prstGeom>
                    <a:noFill/>
                    <a:ln w="19050">
                      <a:solidFill>
                        <a:srgbClr val="002F5D"/>
                      </a:solidFill>
                    </a:ln>
                  </pic:spPr>
                </pic:pic>
              </a:graphicData>
            </a:graphic>
          </wp:inline>
        </w:drawing>
      </w:r>
    </w:p>
    <w:p w14:paraId="62EDD022" w14:textId="16B811EA" w:rsidR="00E04E64" w:rsidRDefault="00E04E64" w:rsidP="00E04E64">
      <w:pPr>
        <w:rPr>
          <w:color w:val="FF0000"/>
        </w:rPr>
      </w:pPr>
    </w:p>
    <w:p w14:paraId="2B13A9C0" w14:textId="397CD887" w:rsidR="004E4C7A" w:rsidRPr="0037351D" w:rsidRDefault="004E4C7A" w:rsidP="00E04E64">
      <w:pPr>
        <w:rPr>
          <w:color w:val="FF0000"/>
        </w:rPr>
      </w:pPr>
      <w:r w:rsidRPr="004E4C7A">
        <w:rPr>
          <w:noProof/>
          <w:lang w:eastAsia="en-GB"/>
        </w:rPr>
        <w:drawing>
          <wp:inline distT="0" distB="0" distL="0" distR="0" wp14:anchorId="7C9D5588" wp14:editId="3CBF04CC">
            <wp:extent cx="4714875" cy="525790"/>
            <wp:effectExtent l="0" t="0" r="0"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21717" cy="526553"/>
                    </a:xfrm>
                    <a:prstGeom prst="rect">
                      <a:avLst/>
                    </a:prstGeom>
                    <a:noFill/>
                    <a:ln>
                      <a:noFill/>
                    </a:ln>
                  </pic:spPr>
                </pic:pic>
              </a:graphicData>
            </a:graphic>
          </wp:inline>
        </w:drawing>
      </w:r>
    </w:p>
    <w:p w14:paraId="4D9EEC20" w14:textId="77777777" w:rsidR="00AE727E" w:rsidRPr="00A6622F" w:rsidRDefault="00AE727E" w:rsidP="00AE727E">
      <w:pPr>
        <w:spacing w:line="240" w:lineRule="auto"/>
        <w:rPr>
          <w:rFonts w:cs="Arial"/>
          <w:b/>
          <w:color w:val="002F5D"/>
        </w:rPr>
      </w:pPr>
    </w:p>
    <w:p w14:paraId="64D55BD8" w14:textId="140EEE1E" w:rsidR="00AE727E" w:rsidRPr="00A6622F" w:rsidRDefault="00AE727E" w:rsidP="0043274F">
      <w:pPr>
        <w:spacing w:line="240" w:lineRule="auto"/>
        <w:rPr>
          <w:rFonts w:cs="Arial"/>
          <w:color w:val="002F5D"/>
        </w:rPr>
      </w:pPr>
      <w:r w:rsidRPr="00A6622F">
        <w:rPr>
          <w:rFonts w:cs="Arial"/>
          <w:b/>
          <w:color w:val="002F5D"/>
        </w:rPr>
        <w:t>Sources:</w:t>
      </w:r>
      <w:r w:rsidRPr="00A6622F">
        <w:rPr>
          <w:rFonts w:cs="Arial"/>
          <w:color w:val="002F5D"/>
        </w:rPr>
        <w:t xml:space="preserve"> NHS Digital Hospital Episode Statistics, </w:t>
      </w:r>
      <w:r w:rsidR="007750E0">
        <w:rPr>
          <w:rFonts w:cs="Arial"/>
          <w:color w:val="002F5D"/>
        </w:rPr>
        <w:t>ONS</w:t>
      </w:r>
      <w:r w:rsidRPr="00A6622F">
        <w:rPr>
          <w:rFonts w:cs="Arial"/>
          <w:color w:val="002F5D"/>
        </w:rPr>
        <w:t xml:space="preserve"> mid-year population estimates</w:t>
      </w:r>
    </w:p>
    <w:p w14:paraId="68314D9A" w14:textId="77777777" w:rsidR="003A021F" w:rsidRPr="00A6622F" w:rsidRDefault="003A021F">
      <w:pPr>
        <w:rPr>
          <w:rFonts w:cs="Arial"/>
          <w:b/>
          <w:color w:val="002F5D"/>
        </w:rPr>
      </w:pPr>
      <w:r w:rsidRPr="00A6622F">
        <w:rPr>
          <w:rFonts w:cs="Arial"/>
          <w:b/>
          <w:color w:val="002F5D"/>
        </w:rPr>
        <w:br w:type="page"/>
      </w:r>
    </w:p>
    <w:p w14:paraId="467AE882" w14:textId="77777777" w:rsidR="00AE727E" w:rsidRPr="008614B6" w:rsidRDefault="00AE727E" w:rsidP="0043274F">
      <w:pPr>
        <w:spacing w:line="240" w:lineRule="auto"/>
        <w:rPr>
          <w:rFonts w:cs="Arial"/>
          <w:b/>
          <w:color w:val="002F5D"/>
        </w:rPr>
      </w:pPr>
      <w:r w:rsidRPr="008614B6">
        <w:rPr>
          <w:rFonts w:cs="Arial"/>
          <w:b/>
          <w:color w:val="002F5D"/>
        </w:rPr>
        <w:lastRenderedPageBreak/>
        <w:t>Key points:</w:t>
      </w:r>
    </w:p>
    <w:p w14:paraId="74369BB7" w14:textId="6D379B8F" w:rsidR="00AE727E" w:rsidRPr="008614B6" w:rsidRDefault="002F6418" w:rsidP="00E72B8A">
      <w:pPr>
        <w:pStyle w:val="ListParagraph"/>
        <w:numPr>
          <w:ilvl w:val="0"/>
          <w:numId w:val="9"/>
        </w:numPr>
        <w:spacing w:line="240" w:lineRule="auto"/>
        <w:ind w:left="714" w:hanging="357"/>
        <w:rPr>
          <w:rFonts w:cs="Arial"/>
          <w:color w:val="002F5D"/>
        </w:rPr>
      </w:pPr>
      <w:r w:rsidRPr="008614B6">
        <w:rPr>
          <w:rFonts w:cs="Arial"/>
          <w:color w:val="002F5D"/>
        </w:rPr>
        <w:t>Overall n</w:t>
      </w:r>
      <w:r w:rsidR="00AE727E" w:rsidRPr="008614B6">
        <w:rPr>
          <w:rFonts w:cs="Arial"/>
          <w:color w:val="002F5D"/>
        </w:rPr>
        <w:t xml:space="preserve">umbers of emergency hospital admission episodes have increased among residents of </w:t>
      </w:r>
      <w:r w:rsidR="008128F2" w:rsidRPr="008614B6">
        <w:rPr>
          <w:rFonts w:cs="Arial"/>
          <w:color w:val="002F5D"/>
        </w:rPr>
        <w:t>Cambridgeshire and Peterborough</w:t>
      </w:r>
      <w:r w:rsidR="00AE727E" w:rsidRPr="008614B6">
        <w:rPr>
          <w:rFonts w:cs="Arial"/>
          <w:color w:val="002F5D"/>
        </w:rPr>
        <w:t xml:space="preserve"> in both under 75s and 75s and over.</w:t>
      </w:r>
    </w:p>
    <w:p w14:paraId="36A24129" w14:textId="714EDA98" w:rsidR="008614B6" w:rsidRDefault="00AE727E" w:rsidP="00E72B8A">
      <w:pPr>
        <w:pStyle w:val="ListParagraph"/>
        <w:numPr>
          <w:ilvl w:val="0"/>
          <w:numId w:val="9"/>
        </w:numPr>
        <w:spacing w:line="240" w:lineRule="auto"/>
        <w:ind w:left="714" w:hanging="357"/>
        <w:rPr>
          <w:rFonts w:cs="Arial"/>
          <w:color w:val="002F5D"/>
        </w:rPr>
      </w:pPr>
      <w:r w:rsidRPr="008614B6">
        <w:rPr>
          <w:rFonts w:cs="Arial"/>
          <w:color w:val="002F5D"/>
        </w:rPr>
        <w:t xml:space="preserve">In under </w:t>
      </w:r>
      <w:r w:rsidR="008614B6" w:rsidRPr="008614B6">
        <w:rPr>
          <w:rFonts w:cs="Arial"/>
          <w:color w:val="002F5D"/>
        </w:rPr>
        <w:t xml:space="preserve">75s, emergency admission rates </w:t>
      </w:r>
      <w:r w:rsidR="00E32F19" w:rsidRPr="008614B6">
        <w:rPr>
          <w:rFonts w:cs="Arial"/>
          <w:color w:val="002F5D"/>
        </w:rPr>
        <w:t>increased slightly for Cambridgeshire an</w:t>
      </w:r>
      <w:r w:rsidR="008614B6" w:rsidRPr="008614B6">
        <w:rPr>
          <w:rFonts w:cs="Arial"/>
          <w:color w:val="002F5D"/>
        </w:rPr>
        <w:t>d Peterborough until 2016/17</w:t>
      </w:r>
      <w:r w:rsidR="003B40D6">
        <w:rPr>
          <w:rFonts w:cs="Arial"/>
          <w:color w:val="002F5D"/>
        </w:rPr>
        <w:t>.</w:t>
      </w:r>
      <w:r w:rsidR="008614B6" w:rsidRPr="008614B6">
        <w:rPr>
          <w:rFonts w:cs="Arial"/>
          <w:color w:val="002F5D"/>
        </w:rPr>
        <w:t xml:space="preserve"> </w:t>
      </w:r>
      <w:r w:rsidR="003B40D6">
        <w:rPr>
          <w:rFonts w:cs="Arial"/>
          <w:color w:val="002F5D"/>
        </w:rPr>
        <w:t>A</w:t>
      </w:r>
      <w:r w:rsidR="008614B6" w:rsidRPr="008614B6">
        <w:rPr>
          <w:rFonts w:cs="Arial"/>
          <w:color w:val="002F5D"/>
        </w:rPr>
        <w:t xml:space="preserve"> reduction was seen in 2016/</w:t>
      </w:r>
      <w:r w:rsidR="003B40D6">
        <w:rPr>
          <w:rFonts w:cs="Arial"/>
          <w:color w:val="002F5D"/>
        </w:rPr>
        <w:t>1</w:t>
      </w:r>
      <w:r w:rsidR="008614B6" w:rsidRPr="008614B6">
        <w:rPr>
          <w:rFonts w:cs="Arial"/>
          <w:color w:val="002F5D"/>
        </w:rPr>
        <w:t>7 with rates increasing again in 2017/8</w:t>
      </w:r>
      <w:r w:rsidR="008614B6">
        <w:rPr>
          <w:rFonts w:cs="Arial"/>
          <w:color w:val="002F5D"/>
        </w:rPr>
        <w:t>, with a similar picture for Cambridgeshire inde</w:t>
      </w:r>
      <w:r w:rsidR="00614D1F">
        <w:rPr>
          <w:rFonts w:cs="Arial"/>
          <w:color w:val="002F5D"/>
        </w:rPr>
        <w:t>p</w:t>
      </w:r>
      <w:r w:rsidR="008614B6">
        <w:rPr>
          <w:rFonts w:cs="Arial"/>
          <w:color w:val="002F5D"/>
        </w:rPr>
        <w:t>endently.</w:t>
      </w:r>
    </w:p>
    <w:p w14:paraId="2A66FA31" w14:textId="41F35BA7" w:rsidR="00E32F19" w:rsidRPr="00614D1F" w:rsidRDefault="00E32F19" w:rsidP="00E72B8A">
      <w:pPr>
        <w:pStyle w:val="ListParagraph"/>
        <w:numPr>
          <w:ilvl w:val="0"/>
          <w:numId w:val="9"/>
        </w:numPr>
        <w:spacing w:line="240" w:lineRule="auto"/>
        <w:ind w:left="714" w:hanging="357"/>
        <w:rPr>
          <w:rFonts w:cs="Arial"/>
          <w:color w:val="002F5D"/>
        </w:rPr>
      </w:pPr>
      <w:r w:rsidRPr="00614D1F">
        <w:rPr>
          <w:rFonts w:cs="Arial"/>
          <w:color w:val="002F5D"/>
        </w:rPr>
        <w:t>Peterborough</w:t>
      </w:r>
      <w:r w:rsidR="008516DC" w:rsidRPr="00614D1F">
        <w:rPr>
          <w:rFonts w:cs="Arial"/>
          <w:color w:val="002F5D"/>
        </w:rPr>
        <w:t>’s</w:t>
      </w:r>
      <w:r w:rsidRPr="00614D1F">
        <w:rPr>
          <w:rFonts w:cs="Arial"/>
          <w:color w:val="002F5D"/>
        </w:rPr>
        <w:t xml:space="preserve"> emergency admission rates for the under 75s have remained statistically significantly higher than the combined Cambridgeshire and </w:t>
      </w:r>
      <w:r w:rsidR="00B31872" w:rsidRPr="00614D1F">
        <w:rPr>
          <w:rFonts w:cs="Arial"/>
          <w:color w:val="002F5D"/>
        </w:rPr>
        <w:t>Peterborough rate since 201</w:t>
      </w:r>
      <w:r w:rsidR="00614D1F">
        <w:rPr>
          <w:rFonts w:cs="Arial"/>
          <w:color w:val="002F5D"/>
        </w:rPr>
        <w:t>2/13</w:t>
      </w:r>
      <w:r w:rsidR="00B31872" w:rsidRPr="00614D1F">
        <w:rPr>
          <w:rFonts w:cs="Arial"/>
          <w:color w:val="002F5D"/>
        </w:rPr>
        <w:t xml:space="preserve"> and Cambridgeshire’s have remained significantly lower.</w:t>
      </w:r>
    </w:p>
    <w:p w14:paraId="4B98F15B" w14:textId="72784A12" w:rsidR="00AE727E" w:rsidRPr="00614D1F" w:rsidRDefault="00E32F19" w:rsidP="00E72B8A">
      <w:pPr>
        <w:pStyle w:val="ListParagraph"/>
        <w:numPr>
          <w:ilvl w:val="0"/>
          <w:numId w:val="9"/>
        </w:numPr>
        <w:spacing w:line="240" w:lineRule="auto"/>
        <w:ind w:left="714" w:hanging="357"/>
        <w:rPr>
          <w:rFonts w:cs="Arial"/>
          <w:color w:val="002F5D"/>
        </w:rPr>
      </w:pPr>
      <w:r w:rsidRPr="00614D1F">
        <w:rPr>
          <w:rFonts w:cs="Arial"/>
          <w:color w:val="002F5D"/>
        </w:rPr>
        <w:t xml:space="preserve">Emergency admission rates </w:t>
      </w:r>
      <w:r w:rsidR="00E1176D" w:rsidRPr="00614D1F">
        <w:rPr>
          <w:rFonts w:cs="Arial"/>
          <w:color w:val="002F5D"/>
        </w:rPr>
        <w:t xml:space="preserve">in the Under 75s </w:t>
      </w:r>
      <w:r w:rsidRPr="00614D1F">
        <w:rPr>
          <w:rFonts w:cs="Arial"/>
          <w:color w:val="002F5D"/>
        </w:rPr>
        <w:t xml:space="preserve">have </w:t>
      </w:r>
      <w:r w:rsidR="00AE727E" w:rsidRPr="00614D1F">
        <w:rPr>
          <w:rFonts w:cs="Arial"/>
          <w:color w:val="002F5D"/>
        </w:rPr>
        <w:t>been statistically significantly higher than the county average in Fenland and Hunting</w:t>
      </w:r>
      <w:r w:rsidR="00614D1F" w:rsidRPr="00614D1F">
        <w:rPr>
          <w:rFonts w:cs="Arial"/>
          <w:color w:val="002F5D"/>
        </w:rPr>
        <w:t>donshire in all years since 2012/13</w:t>
      </w:r>
      <w:r w:rsidR="00AE727E" w:rsidRPr="00614D1F">
        <w:rPr>
          <w:rFonts w:cs="Arial"/>
          <w:color w:val="002F5D"/>
        </w:rPr>
        <w:t>.  Rates appear to be increa</w:t>
      </w:r>
      <w:r w:rsidR="008516DC" w:rsidRPr="00614D1F">
        <w:rPr>
          <w:rFonts w:cs="Arial"/>
          <w:color w:val="002F5D"/>
        </w:rPr>
        <w:t>sing slightly across the county, although overall they are relatively stable.</w:t>
      </w:r>
    </w:p>
    <w:p w14:paraId="45701BCE" w14:textId="033144D2" w:rsidR="00E32F19" w:rsidRPr="00614D1F" w:rsidRDefault="00E32F19" w:rsidP="00E72B8A">
      <w:pPr>
        <w:pStyle w:val="ListParagraph"/>
        <w:numPr>
          <w:ilvl w:val="0"/>
          <w:numId w:val="9"/>
        </w:numPr>
        <w:spacing w:line="240" w:lineRule="auto"/>
        <w:ind w:left="714" w:hanging="357"/>
        <w:rPr>
          <w:rFonts w:cs="Arial"/>
          <w:color w:val="002F5D"/>
        </w:rPr>
      </w:pPr>
      <w:r w:rsidRPr="00614D1F">
        <w:rPr>
          <w:rFonts w:cs="Arial"/>
          <w:color w:val="002F5D"/>
        </w:rPr>
        <w:t xml:space="preserve">Emergency admission rates in the </w:t>
      </w:r>
      <w:r w:rsidR="00AE727E" w:rsidRPr="00614D1F">
        <w:rPr>
          <w:rFonts w:cs="Arial"/>
          <w:color w:val="002F5D"/>
        </w:rPr>
        <w:t>75s and over</w:t>
      </w:r>
      <w:r w:rsidR="00544643" w:rsidRPr="00614D1F">
        <w:rPr>
          <w:rFonts w:cs="Arial"/>
          <w:color w:val="002F5D"/>
        </w:rPr>
        <w:t xml:space="preserve"> show</w:t>
      </w:r>
      <w:r w:rsidRPr="00614D1F">
        <w:rPr>
          <w:rFonts w:cs="Arial"/>
          <w:color w:val="002F5D"/>
        </w:rPr>
        <w:t xml:space="preserve"> a more marked incr</w:t>
      </w:r>
      <w:r w:rsidR="00746D55" w:rsidRPr="00614D1F">
        <w:rPr>
          <w:rFonts w:cs="Arial"/>
          <w:color w:val="002F5D"/>
        </w:rPr>
        <w:t>easing trend over recent years in all areas.</w:t>
      </w:r>
    </w:p>
    <w:p w14:paraId="78E78F51" w14:textId="758ED5D9" w:rsidR="00E32F19" w:rsidRPr="00614D1F" w:rsidRDefault="00E32F19" w:rsidP="00E72B8A">
      <w:pPr>
        <w:pStyle w:val="ListParagraph"/>
        <w:numPr>
          <w:ilvl w:val="0"/>
          <w:numId w:val="9"/>
        </w:numPr>
        <w:spacing w:line="240" w:lineRule="auto"/>
        <w:ind w:left="714" w:hanging="357"/>
        <w:rPr>
          <w:rFonts w:cs="Arial"/>
          <w:color w:val="002F5D"/>
        </w:rPr>
      </w:pPr>
      <w:r w:rsidRPr="00614D1F">
        <w:rPr>
          <w:rFonts w:cs="Arial"/>
          <w:color w:val="002F5D"/>
        </w:rPr>
        <w:t>Peterborough</w:t>
      </w:r>
      <w:r w:rsidR="00746D55" w:rsidRPr="00614D1F">
        <w:rPr>
          <w:rFonts w:cs="Arial"/>
          <w:color w:val="002F5D"/>
        </w:rPr>
        <w:t>’s</w:t>
      </w:r>
      <w:r w:rsidRPr="00614D1F">
        <w:rPr>
          <w:rFonts w:cs="Arial"/>
          <w:color w:val="002F5D"/>
        </w:rPr>
        <w:t xml:space="preserve"> emergency admission rates for the 75 and overs have remained statistically significantly higher than the combined Cambridgeshire and </w:t>
      </w:r>
      <w:r w:rsidR="00614D1F" w:rsidRPr="00614D1F">
        <w:rPr>
          <w:rFonts w:cs="Arial"/>
          <w:color w:val="002F5D"/>
        </w:rPr>
        <w:t>Peterborough rate since 2012/13</w:t>
      </w:r>
      <w:r w:rsidR="00746D55" w:rsidRPr="00614D1F">
        <w:rPr>
          <w:rFonts w:cs="Arial"/>
          <w:color w:val="002F5D"/>
        </w:rPr>
        <w:t>, whereas Cambridgeshire’s are statistically significantly lower (though increasing).</w:t>
      </w:r>
    </w:p>
    <w:p w14:paraId="6671FC54" w14:textId="643CC386" w:rsidR="00AE727E" w:rsidRPr="00614D1F" w:rsidRDefault="0071520E" w:rsidP="00E72B8A">
      <w:pPr>
        <w:pStyle w:val="ListParagraph"/>
        <w:numPr>
          <w:ilvl w:val="0"/>
          <w:numId w:val="9"/>
        </w:numPr>
        <w:spacing w:line="240" w:lineRule="auto"/>
        <w:ind w:left="714" w:hanging="357"/>
        <w:rPr>
          <w:rFonts w:cs="Arial"/>
          <w:color w:val="002F5D"/>
        </w:rPr>
      </w:pPr>
      <w:r w:rsidRPr="00614D1F">
        <w:rPr>
          <w:rFonts w:cs="Arial"/>
          <w:color w:val="002F5D"/>
        </w:rPr>
        <w:t>E</w:t>
      </w:r>
      <w:r w:rsidR="003021A1" w:rsidRPr="00614D1F">
        <w:rPr>
          <w:rFonts w:cs="Arial"/>
          <w:color w:val="002F5D"/>
        </w:rPr>
        <w:t>mergency</w:t>
      </w:r>
      <w:r w:rsidR="00AE727E" w:rsidRPr="00614D1F">
        <w:rPr>
          <w:rFonts w:cs="Arial"/>
          <w:color w:val="002F5D"/>
        </w:rPr>
        <w:t xml:space="preserve"> admission rates </w:t>
      </w:r>
      <w:r w:rsidR="00E72B8A" w:rsidRPr="00614D1F">
        <w:rPr>
          <w:rFonts w:cs="Arial"/>
          <w:color w:val="002F5D"/>
        </w:rPr>
        <w:t xml:space="preserve">in those aged 75 and over </w:t>
      </w:r>
      <w:r w:rsidR="00AE727E" w:rsidRPr="00614D1F">
        <w:rPr>
          <w:rFonts w:cs="Arial"/>
          <w:color w:val="002F5D"/>
        </w:rPr>
        <w:t xml:space="preserve">have been statistically significantly higher than the county average in Fenland </w:t>
      </w:r>
      <w:r w:rsidR="00614D1F" w:rsidRPr="00614D1F">
        <w:rPr>
          <w:rFonts w:cs="Arial"/>
          <w:color w:val="002F5D"/>
        </w:rPr>
        <w:t>since 2013/14</w:t>
      </w:r>
      <w:r w:rsidR="00AE727E" w:rsidRPr="00614D1F">
        <w:rPr>
          <w:rFonts w:cs="Arial"/>
          <w:color w:val="002F5D"/>
        </w:rPr>
        <w:t xml:space="preserve">. Rates appear to be generally increasing across all districts but the rate of increase appears </w:t>
      </w:r>
      <w:r w:rsidR="00A5311B" w:rsidRPr="00614D1F">
        <w:rPr>
          <w:rFonts w:cs="Arial"/>
          <w:color w:val="002F5D"/>
        </w:rPr>
        <w:t xml:space="preserve">somewhat </w:t>
      </w:r>
      <w:r w:rsidR="00D40269" w:rsidRPr="00614D1F">
        <w:rPr>
          <w:rFonts w:cs="Arial"/>
          <w:color w:val="002F5D"/>
        </w:rPr>
        <w:t>greater</w:t>
      </w:r>
      <w:r w:rsidR="00AE727E" w:rsidRPr="00614D1F">
        <w:rPr>
          <w:rFonts w:cs="Arial"/>
          <w:color w:val="002F5D"/>
        </w:rPr>
        <w:t xml:space="preserve"> in Fenland.</w:t>
      </w:r>
    </w:p>
    <w:p w14:paraId="3DE9FD8E" w14:textId="77777777" w:rsidR="00AE727E" w:rsidRPr="0037351D" w:rsidRDefault="00AE727E" w:rsidP="00AE727E">
      <w:pPr>
        <w:spacing w:line="240" w:lineRule="auto"/>
        <w:rPr>
          <w:rFonts w:cs="Arial"/>
          <w:b/>
          <w:color w:val="FF0000"/>
        </w:rPr>
      </w:pPr>
    </w:p>
    <w:p w14:paraId="54B0FEA9" w14:textId="77777777" w:rsidR="00AE727E" w:rsidRPr="0037351D" w:rsidRDefault="00AE727E" w:rsidP="00AE727E">
      <w:pPr>
        <w:spacing w:line="240" w:lineRule="auto"/>
        <w:rPr>
          <w:rFonts w:cs="Arial"/>
          <w:b/>
          <w:color w:val="FF0000"/>
        </w:rPr>
      </w:pPr>
      <w:r w:rsidRPr="0037351D">
        <w:rPr>
          <w:rFonts w:cs="Arial"/>
          <w:b/>
          <w:color w:val="FF0000"/>
        </w:rPr>
        <w:br w:type="page"/>
      </w:r>
    </w:p>
    <w:p w14:paraId="25267D93" w14:textId="77777777" w:rsidR="00AE727E" w:rsidRPr="0037351D" w:rsidRDefault="00AE727E" w:rsidP="00A3568F">
      <w:pPr>
        <w:pStyle w:val="JSNA3"/>
        <w:rPr>
          <w:rFonts w:cs="Arial"/>
        </w:rPr>
      </w:pPr>
      <w:bookmarkStart w:id="812" w:name="_Toc4407885"/>
      <w:r w:rsidRPr="0037351D">
        <w:lastRenderedPageBreak/>
        <w:t>Accident and emergency attendances</w:t>
      </w:r>
      <w:bookmarkEnd w:id="812"/>
    </w:p>
    <w:p w14:paraId="50AC449F" w14:textId="77777777" w:rsidR="00AE727E" w:rsidRPr="00D07A17" w:rsidRDefault="00AE727E" w:rsidP="00AE727E">
      <w:pPr>
        <w:spacing w:line="240" w:lineRule="auto"/>
        <w:rPr>
          <w:rFonts w:cs="Arial"/>
          <w:b/>
          <w:color w:val="002F5D"/>
        </w:rPr>
      </w:pPr>
    </w:p>
    <w:p w14:paraId="7BD167E4" w14:textId="41E97ABB" w:rsidR="00AE727E" w:rsidRDefault="00B654F0" w:rsidP="0043274F">
      <w:pPr>
        <w:pStyle w:val="Caption"/>
        <w:rPr>
          <w:rFonts w:cs="Arial"/>
          <w:color w:val="002F5D"/>
        </w:rPr>
      </w:pPr>
      <w:r w:rsidRPr="00D07A17">
        <w:rPr>
          <w:b/>
          <w:color w:val="002F5D"/>
        </w:rPr>
        <w:t xml:space="preserve">Table </w:t>
      </w:r>
      <w:r w:rsidR="00B81E4B">
        <w:rPr>
          <w:b/>
          <w:color w:val="002F5D"/>
        </w:rPr>
        <w:t>81</w:t>
      </w:r>
      <w:r w:rsidR="00AE727E" w:rsidRPr="00D07A17">
        <w:rPr>
          <w:rFonts w:cs="Arial"/>
          <w:b/>
          <w:color w:val="002F5D"/>
        </w:rPr>
        <w:t xml:space="preserve">.  </w:t>
      </w:r>
      <w:r w:rsidR="00AE727E" w:rsidRPr="00D07A17">
        <w:rPr>
          <w:rFonts w:cs="Arial"/>
          <w:color w:val="002F5D"/>
        </w:rPr>
        <w:t>Accident and emergency attendances by local authority of residence and department type, Cambridgeshire, 2</w:t>
      </w:r>
      <w:r w:rsidR="001E5C91">
        <w:rPr>
          <w:rFonts w:cs="Arial"/>
          <w:color w:val="002F5D"/>
        </w:rPr>
        <w:t>017</w:t>
      </w:r>
      <w:r w:rsidR="00AE727E" w:rsidRPr="00D07A17">
        <w:rPr>
          <w:rFonts w:cs="Arial"/>
          <w:color w:val="002F5D"/>
        </w:rPr>
        <w:t>/1</w:t>
      </w:r>
      <w:r w:rsidR="001E5C91">
        <w:rPr>
          <w:rFonts w:cs="Arial"/>
          <w:color w:val="002F5D"/>
        </w:rPr>
        <w:t>8</w:t>
      </w:r>
    </w:p>
    <w:p w14:paraId="3A8B642A" w14:textId="77777777" w:rsidR="00601E6F" w:rsidRPr="00330B65" w:rsidRDefault="00601E6F" w:rsidP="00E61D24"/>
    <w:p w14:paraId="2B8B97C1" w14:textId="47778FF6" w:rsidR="00740EEE" w:rsidRDefault="00527BE6" w:rsidP="003F2C79">
      <w:pPr>
        <w:spacing w:line="240" w:lineRule="auto"/>
        <w:rPr>
          <w:color w:val="FF0000"/>
        </w:rPr>
      </w:pPr>
      <w:r w:rsidRPr="00527BE6">
        <w:rPr>
          <w:noProof/>
          <w:lang w:eastAsia="en-GB"/>
        </w:rPr>
        <w:drawing>
          <wp:inline distT="0" distB="0" distL="0" distR="0" wp14:anchorId="61199764" wp14:editId="49801872">
            <wp:extent cx="6120130" cy="179438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130" cy="1794384"/>
                    </a:xfrm>
                    <a:prstGeom prst="rect">
                      <a:avLst/>
                    </a:prstGeom>
                    <a:noFill/>
                    <a:ln>
                      <a:noFill/>
                    </a:ln>
                  </pic:spPr>
                </pic:pic>
              </a:graphicData>
            </a:graphic>
          </wp:inline>
        </w:drawing>
      </w:r>
    </w:p>
    <w:p w14:paraId="14828462" w14:textId="489D61F9" w:rsidR="003611B4" w:rsidRPr="00CA2E12" w:rsidRDefault="003611B4" w:rsidP="003F2C79">
      <w:pPr>
        <w:spacing w:line="240" w:lineRule="auto"/>
        <w:rPr>
          <w:rFonts w:cs="Arial"/>
          <w:color w:val="002F5D"/>
          <w:sz w:val="18"/>
          <w:szCs w:val="18"/>
        </w:rPr>
      </w:pPr>
    </w:p>
    <w:p w14:paraId="6E1D7233" w14:textId="77777777" w:rsidR="00AE727E" w:rsidRPr="00CA2E12" w:rsidRDefault="00AE727E" w:rsidP="00AE727E">
      <w:pPr>
        <w:spacing w:line="240" w:lineRule="auto"/>
        <w:rPr>
          <w:rFonts w:cs="Arial"/>
          <w:color w:val="002F5D"/>
          <w:sz w:val="18"/>
          <w:szCs w:val="18"/>
        </w:rPr>
      </w:pPr>
      <w:r w:rsidRPr="00CA2E12">
        <w:rPr>
          <w:rFonts w:cs="Arial"/>
          <w:color w:val="002F5D"/>
          <w:sz w:val="18"/>
          <w:szCs w:val="18"/>
        </w:rPr>
        <w:t>DASR - directly age-standardised rate</w:t>
      </w:r>
    </w:p>
    <w:p w14:paraId="7AB2FD1E" w14:textId="77777777" w:rsidR="008D3675" w:rsidRPr="00CA2E12" w:rsidRDefault="00AE727E" w:rsidP="00AE727E">
      <w:pPr>
        <w:spacing w:line="240" w:lineRule="auto"/>
        <w:rPr>
          <w:rFonts w:cs="Arial"/>
          <w:color w:val="002F5D"/>
          <w:sz w:val="18"/>
          <w:szCs w:val="18"/>
        </w:rPr>
      </w:pPr>
      <w:r w:rsidRPr="00CA2E12">
        <w:rPr>
          <w:rFonts w:cs="Arial"/>
          <w:color w:val="002F5D"/>
          <w:sz w:val="18"/>
          <w:szCs w:val="18"/>
        </w:rPr>
        <w:t>‘All departments’ includes 24-hour consultant led departments, consultant-led single specialty services, doctor- or nurse-led minor injuries units, walk-in centres and where type is unknown.</w:t>
      </w:r>
    </w:p>
    <w:p w14:paraId="691C4A9D" w14:textId="77777777" w:rsidR="00CA2E12" w:rsidRDefault="00CA2E12" w:rsidP="00CA2E12">
      <w:pPr>
        <w:spacing w:line="240" w:lineRule="auto"/>
        <w:rPr>
          <w:rFonts w:cs="Arial"/>
          <w:b/>
          <w:color w:val="FF0000"/>
        </w:rPr>
      </w:pPr>
    </w:p>
    <w:p w14:paraId="75863757" w14:textId="1600806C" w:rsidR="007B2C41" w:rsidRDefault="006A67F1" w:rsidP="00CA2E12">
      <w:pPr>
        <w:spacing w:line="240" w:lineRule="auto"/>
        <w:rPr>
          <w:rFonts w:cs="Arial"/>
          <w:b/>
          <w:color w:val="FF0000"/>
        </w:rPr>
      </w:pPr>
      <w:r w:rsidRPr="006A67F1">
        <w:rPr>
          <w:noProof/>
          <w:lang w:eastAsia="en-GB"/>
        </w:rPr>
        <w:drawing>
          <wp:inline distT="0" distB="0" distL="0" distR="0" wp14:anchorId="26178C25" wp14:editId="36A2C580">
            <wp:extent cx="4634179" cy="42672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36146" cy="426901"/>
                    </a:xfrm>
                    <a:prstGeom prst="rect">
                      <a:avLst/>
                    </a:prstGeom>
                    <a:noFill/>
                    <a:ln>
                      <a:noFill/>
                    </a:ln>
                  </pic:spPr>
                </pic:pic>
              </a:graphicData>
            </a:graphic>
          </wp:inline>
        </w:drawing>
      </w:r>
    </w:p>
    <w:p w14:paraId="0044DD7A" w14:textId="67582987" w:rsidR="005C1DD8" w:rsidRPr="00CA2E12" w:rsidRDefault="005C1DD8" w:rsidP="00AE727E">
      <w:pPr>
        <w:spacing w:line="240" w:lineRule="auto"/>
        <w:rPr>
          <w:rFonts w:cs="Arial"/>
          <w:b/>
          <w:color w:val="002F5D"/>
        </w:rPr>
      </w:pPr>
    </w:p>
    <w:p w14:paraId="6CF1488A" w14:textId="68B30C7B" w:rsidR="00AE727E" w:rsidRPr="00CA2E12" w:rsidRDefault="00AE727E" w:rsidP="00AE727E">
      <w:pPr>
        <w:spacing w:line="240" w:lineRule="auto"/>
        <w:rPr>
          <w:rFonts w:cs="Arial"/>
          <w:color w:val="002F5D"/>
        </w:rPr>
      </w:pPr>
      <w:r w:rsidRPr="00CA2E12">
        <w:rPr>
          <w:rFonts w:cs="Arial"/>
          <w:b/>
          <w:color w:val="002F5D"/>
        </w:rPr>
        <w:t>Source:</w:t>
      </w:r>
      <w:r w:rsidRPr="00CA2E12">
        <w:rPr>
          <w:rFonts w:cs="Arial"/>
          <w:color w:val="002F5D"/>
        </w:rPr>
        <w:t xml:space="preserve"> NHS Digital Hospital Episode Statistics, O</w:t>
      </w:r>
      <w:r w:rsidR="007750E0">
        <w:rPr>
          <w:rFonts w:cs="Arial"/>
          <w:color w:val="002F5D"/>
        </w:rPr>
        <w:t xml:space="preserve">NS </w:t>
      </w:r>
      <w:r w:rsidRPr="00CA2E12">
        <w:rPr>
          <w:rFonts w:cs="Arial"/>
          <w:color w:val="002F5D"/>
        </w:rPr>
        <w:t>mid-year population estimates</w:t>
      </w:r>
    </w:p>
    <w:p w14:paraId="7F78D150" w14:textId="77777777" w:rsidR="003A021F" w:rsidRPr="00CA2E12" w:rsidRDefault="003A021F" w:rsidP="00AE727E">
      <w:pPr>
        <w:spacing w:line="240" w:lineRule="auto"/>
        <w:rPr>
          <w:rFonts w:cs="Arial"/>
          <w:color w:val="002F5D"/>
        </w:rPr>
      </w:pPr>
    </w:p>
    <w:p w14:paraId="5902E9F7" w14:textId="77777777" w:rsidR="00AE727E" w:rsidRPr="00CA2E12" w:rsidRDefault="00AE727E" w:rsidP="0043274F">
      <w:pPr>
        <w:spacing w:line="240" w:lineRule="auto"/>
        <w:rPr>
          <w:rFonts w:cs="Arial"/>
          <w:b/>
          <w:color w:val="002F5D"/>
        </w:rPr>
      </w:pPr>
      <w:r w:rsidRPr="00CA2E12">
        <w:rPr>
          <w:rFonts w:cs="Arial"/>
          <w:b/>
          <w:color w:val="002F5D"/>
        </w:rPr>
        <w:t>Key points:</w:t>
      </w:r>
    </w:p>
    <w:p w14:paraId="5FD684F7" w14:textId="77777777" w:rsidR="00BF45FF" w:rsidRPr="00CA2E12" w:rsidRDefault="00BF45FF" w:rsidP="0043274F">
      <w:pPr>
        <w:pStyle w:val="ListParagraph"/>
        <w:numPr>
          <w:ilvl w:val="0"/>
          <w:numId w:val="10"/>
        </w:numPr>
        <w:spacing w:line="240" w:lineRule="auto"/>
        <w:rPr>
          <w:rFonts w:cs="Arial"/>
          <w:color w:val="002F5D"/>
        </w:rPr>
      </w:pPr>
      <w:r w:rsidRPr="00CA2E12">
        <w:rPr>
          <w:rFonts w:cs="Arial"/>
          <w:color w:val="002F5D"/>
        </w:rPr>
        <w:t>The rate of attendance at all accident and emergency (A&amp;E) departments, 24-hour consultant-led A&amp;E departments, and minor injuries units (MIUs) is statistically significantly higher in Peterborough than the Cambridgeshire and Peterborough combined average.</w:t>
      </w:r>
    </w:p>
    <w:p w14:paraId="43B7E893" w14:textId="0F0952CE" w:rsidR="00AE727E" w:rsidRPr="00CA2E12" w:rsidRDefault="00BF45FF" w:rsidP="0043274F">
      <w:pPr>
        <w:pStyle w:val="ListParagraph"/>
        <w:numPr>
          <w:ilvl w:val="0"/>
          <w:numId w:val="10"/>
        </w:numPr>
        <w:spacing w:line="240" w:lineRule="auto"/>
        <w:rPr>
          <w:rFonts w:cs="Arial"/>
          <w:color w:val="002F5D"/>
        </w:rPr>
      </w:pPr>
      <w:r w:rsidRPr="00CA2E12">
        <w:rPr>
          <w:rFonts w:cs="Arial"/>
          <w:color w:val="002F5D"/>
        </w:rPr>
        <w:t xml:space="preserve">The rate of attendance at 24-hour consultant-led A&amp;E departments is statistically significantly </w:t>
      </w:r>
      <w:r w:rsidR="00C61ACE" w:rsidRPr="00CA2E12">
        <w:rPr>
          <w:rFonts w:cs="Arial"/>
          <w:color w:val="002F5D"/>
        </w:rPr>
        <w:t>lower</w:t>
      </w:r>
      <w:r w:rsidRPr="00CA2E12">
        <w:rPr>
          <w:rFonts w:cs="Arial"/>
          <w:color w:val="002F5D"/>
        </w:rPr>
        <w:t xml:space="preserve"> in Cambridgeshire than the Cambridgeshire and Peterborough combined average.</w:t>
      </w:r>
      <w:r w:rsidR="005F4AE4" w:rsidRPr="00CA2E12">
        <w:rPr>
          <w:rFonts w:cs="Arial"/>
          <w:color w:val="002F5D"/>
        </w:rPr>
        <w:t xml:space="preserve"> </w:t>
      </w:r>
      <w:r w:rsidR="00AE727E" w:rsidRPr="00CA2E12">
        <w:rPr>
          <w:rFonts w:cs="Arial"/>
          <w:color w:val="002F5D"/>
        </w:rPr>
        <w:t>The rate of attendance at any accident and emergency (A&amp;E) department is statistically significantly higher than the Cambridgeshire average in East Cambridgeshire and Fenland.  This may, however, reflect the presence of minor injuries units (MIUs) in these areas rather than higher levels of urgent care need; in districts without nearby MIUs, patients that might have at</w:t>
      </w:r>
      <w:r w:rsidR="003021A1" w:rsidRPr="00CA2E12">
        <w:rPr>
          <w:rFonts w:cs="Arial"/>
          <w:color w:val="002F5D"/>
        </w:rPr>
        <w:t>tended an MIU may self-manage,</w:t>
      </w:r>
      <w:r w:rsidR="00AE727E" w:rsidRPr="00CA2E12">
        <w:rPr>
          <w:rFonts w:cs="Arial"/>
          <w:color w:val="002F5D"/>
        </w:rPr>
        <w:t xml:space="preserve"> be m</w:t>
      </w:r>
      <w:r w:rsidR="003021A1" w:rsidRPr="00CA2E12">
        <w:rPr>
          <w:rFonts w:cs="Arial"/>
          <w:color w:val="002F5D"/>
        </w:rPr>
        <w:t>anaged by primary care services, or attend A&amp;E.</w:t>
      </w:r>
    </w:p>
    <w:p w14:paraId="01621803" w14:textId="3EE0D519" w:rsidR="00AE727E" w:rsidRPr="00CA2E12" w:rsidRDefault="00AE727E" w:rsidP="005E1B3D">
      <w:pPr>
        <w:pStyle w:val="ListParagraph"/>
        <w:numPr>
          <w:ilvl w:val="0"/>
          <w:numId w:val="10"/>
        </w:numPr>
        <w:spacing w:line="240" w:lineRule="auto"/>
        <w:rPr>
          <w:rFonts w:cs="Arial"/>
          <w:color w:val="002F5D"/>
        </w:rPr>
      </w:pPr>
      <w:r w:rsidRPr="00CA2E12">
        <w:rPr>
          <w:rFonts w:cs="Arial"/>
          <w:color w:val="002F5D"/>
        </w:rPr>
        <w:t>Attendance rates at 24-hour consultant-led A&amp;E department are statistically significantly higher than t</w:t>
      </w:r>
      <w:r w:rsidR="00CA2E12" w:rsidRPr="00CA2E12">
        <w:rPr>
          <w:rFonts w:cs="Arial"/>
          <w:color w:val="002F5D"/>
        </w:rPr>
        <w:t xml:space="preserve">he county average in Cambridge and </w:t>
      </w:r>
      <w:r w:rsidRPr="00CA2E12">
        <w:rPr>
          <w:rFonts w:cs="Arial"/>
          <w:color w:val="002F5D"/>
        </w:rPr>
        <w:t xml:space="preserve">South Cambridgeshire; while rates at minor injuries units are statistically significantly higher in </w:t>
      </w:r>
      <w:r w:rsidR="005E1B3D" w:rsidRPr="00CA2E12">
        <w:rPr>
          <w:rFonts w:cs="Arial"/>
          <w:color w:val="002F5D"/>
        </w:rPr>
        <w:t>East Cambridgeshire and Fenland and lower in 24-hour consultant-led A&amp;E departments. This again is mostly likely to reflect the underlying configuration of services.</w:t>
      </w:r>
    </w:p>
    <w:p w14:paraId="2B3FDEF1" w14:textId="77777777" w:rsidR="00AE727E" w:rsidRPr="00CA2E12" w:rsidRDefault="00AE727E" w:rsidP="00AE727E">
      <w:pPr>
        <w:spacing w:line="240" w:lineRule="auto"/>
        <w:rPr>
          <w:rFonts w:cs="Arial"/>
          <w:color w:val="002F5D"/>
        </w:rPr>
      </w:pPr>
      <w:r w:rsidRPr="00CA2E12">
        <w:rPr>
          <w:rFonts w:cs="Arial"/>
          <w:color w:val="002F5D"/>
        </w:rPr>
        <w:br w:type="page"/>
      </w:r>
    </w:p>
    <w:p w14:paraId="4C5891B4" w14:textId="1BFEAD8A" w:rsidR="00AE727E" w:rsidRPr="00352561" w:rsidRDefault="006543B9" w:rsidP="006543B9">
      <w:pPr>
        <w:pStyle w:val="Caption"/>
        <w:rPr>
          <w:rFonts w:cs="Arial"/>
          <w:color w:val="002F5D"/>
        </w:rPr>
      </w:pPr>
      <w:r w:rsidRPr="00352561">
        <w:rPr>
          <w:b/>
          <w:color w:val="002F5D"/>
        </w:rPr>
        <w:lastRenderedPageBreak/>
        <w:t xml:space="preserve">Figure </w:t>
      </w:r>
      <w:r w:rsidR="00A2366A">
        <w:rPr>
          <w:b/>
          <w:color w:val="002F5D"/>
        </w:rPr>
        <w:t>42</w:t>
      </w:r>
      <w:r w:rsidR="00AE727E" w:rsidRPr="00352561">
        <w:rPr>
          <w:rFonts w:cs="Arial"/>
          <w:b/>
          <w:color w:val="002F5D"/>
        </w:rPr>
        <w:t>.</w:t>
      </w:r>
      <w:r w:rsidR="00AE727E" w:rsidRPr="00352561">
        <w:rPr>
          <w:rFonts w:cs="Arial"/>
          <w:color w:val="002F5D"/>
        </w:rPr>
        <w:t xml:space="preserve"> Accident and emergency attendances by age group and department type, Cambridgeshire</w:t>
      </w:r>
      <w:r w:rsidR="005F4AE4" w:rsidRPr="00352561">
        <w:rPr>
          <w:rFonts w:cs="Arial"/>
          <w:color w:val="002F5D"/>
        </w:rPr>
        <w:t xml:space="preserve"> and Peterborough</w:t>
      </w:r>
      <w:r w:rsidR="00352561" w:rsidRPr="00352561">
        <w:rPr>
          <w:rFonts w:cs="Arial"/>
          <w:color w:val="002F5D"/>
        </w:rPr>
        <w:t>, 2017</w:t>
      </w:r>
      <w:r w:rsidR="00AE727E" w:rsidRPr="00352561">
        <w:rPr>
          <w:rFonts w:cs="Arial"/>
          <w:color w:val="002F5D"/>
        </w:rPr>
        <w:t>/1</w:t>
      </w:r>
      <w:r w:rsidR="00352561" w:rsidRPr="00352561">
        <w:rPr>
          <w:rFonts w:cs="Arial"/>
          <w:color w:val="002F5D"/>
        </w:rPr>
        <w:t>8</w:t>
      </w:r>
    </w:p>
    <w:p w14:paraId="03246F65" w14:textId="41CC2C94" w:rsidR="00352561" w:rsidRDefault="00352561" w:rsidP="00352561"/>
    <w:p w14:paraId="50D6F6F1" w14:textId="1BCAA7B2" w:rsidR="009666B2" w:rsidRDefault="009666B2" w:rsidP="00352561">
      <w:r>
        <w:rPr>
          <w:noProof/>
          <w:lang w:eastAsia="en-GB"/>
        </w:rPr>
        <w:drawing>
          <wp:inline distT="0" distB="0" distL="0" distR="0" wp14:anchorId="5C96C8EB" wp14:editId="7C14C31A">
            <wp:extent cx="5779770" cy="293878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79770" cy="2938780"/>
                    </a:xfrm>
                    <a:prstGeom prst="rect">
                      <a:avLst/>
                    </a:prstGeom>
                    <a:noFill/>
                  </pic:spPr>
                </pic:pic>
              </a:graphicData>
            </a:graphic>
          </wp:inline>
        </w:drawing>
      </w:r>
    </w:p>
    <w:p w14:paraId="48902211" w14:textId="77777777" w:rsidR="009666B2" w:rsidRDefault="009666B2" w:rsidP="00352561"/>
    <w:p w14:paraId="6407A98E" w14:textId="2F49998D" w:rsidR="005F4AE4" w:rsidRPr="0037351D" w:rsidRDefault="009666B2" w:rsidP="005F4AE4">
      <w:pPr>
        <w:rPr>
          <w:color w:val="FF0000"/>
        </w:rPr>
      </w:pPr>
      <w:r w:rsidRPr="009666B2">
        <w:rPr>
          <w:noProof/>
          <w:lang w:eastAsia="en-GB"/>
        </w:rPr>
        <w:drawing>
          <wp:inline distT="0" distB="0" distL="0" distR="0" wp14:anchorId="2C9B3A1B" wp14:editId="6439E313">
            <wp:extent cx="4171188" cy="5334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79305" cy="534438"/>
                    </a:xfrm>
                    <a:prstGeom prst="rect">
                      <a:avLst/>
                    </a:prstGeom>
                    <a:noFill/>
                    <a:ln>
                      <a:noFill/>
                    </a:ln>
                  </pic:spPr>
                </pic:pic>
              </a:graphicData>
            </a:graphic>
          </wp:inline>
        </w:drawing>
      </w:r>
    </w:p>
    <w:p w14:paraId="166D5038" w14:textId="77777777" w:rsidR="00AE727E" w:rsidRPr="0037351D" w:rsidRDefault="00AE727E" w:rsidP="00AE727E">
      <w:pPr>
        <w:spacing w:line="240" w:lineRule="auto"/>
        <w:rPr>
          <w:rFonts w:cs="Arial"/>
          <w:color w:val="FF0000"/>
        </w:rPr>
      </w:pPr>
    </w:p>
    <w:p w14:paraId="7AAB415E" w14:textId="48967036" w:rsidR="00AE727E" w:rsidRPr="00352561" w:rsidRDefault="00AE727E" w:rsidP="0043274F">
      <w:pPr>
        <w:spacing w:line="240" w:lineRule="auto"/>
        <w:rPr>
          <w:rFonts w:cs="Arial"/>
          <w:color w:val="002F5D"/>
        </w:rPr>
      </w:pPr>
      <w:r w:rsidRPr="00352561">
        <w:rPr>
          <w:rFonts w:cs="Arial"/>
          <w:b/>
          <w:color w:val="002F5D"/>
        </w:rPr>
        <w:t>Source:</w:t>
      </w:r>
      <w:r w:rsidRPr="00352561">
        <w:rPr>
          <w:rFonts w:cs="Arial"/>
          <w:color w:val="002F5D"/>
        </w:rPr>
        <w:t xml:space="preserve"> NHS Digital Hospital Episode Statistics, </w:t>
      </w:r>
      <w:r w:rsidR="007750E0">
        <w:rPr>
          <w:rFonts w:cs="Arial"/>
          <w:color w:val="002F5D"/>
        </w:rPr>
        <w:t>ONS</w:t>
      </w:r>
      <w:r w:rsidRPr="00352561">
        <w:rPr>
          <w:rFonts w:cs="Arial"/>
          <w:color w:val="002F5D"/>
        </w:rPr>
        <w:t xml:space="preserve"> mid-year population estimates</w:t>
      </w:r>
    </w:p>
    <w:p w14:paraId="16F7A8DD" w14:textId="77777777" w:rsidR="003A021F" w:rsidRPr="00352561" w:rsidRDefault="003A021F" w:rsidP="0043274F">
      <w:pPr>
        <w:spacing w:line="240" w:lineRule="auto"/>
        <w:rPr>
          <w:rFonts w:cs="Arial"/>
          <w:color w:val="002F5D"/>
        </w:rPr>
      </w:pPr>
    </w:p>
    <w:p w14:paraId="3615E78C" w14:textId="77777777" w:rsidR="00AE727E" w:rsidRPr="00352561" w:rsidRDefault="00AE727E" w:rsidP="0043274F">
      <w:pPr>
        <w:spacing w:line="240" w:lineRule="auto"/>
        <w:rPr>
          <w:rFonts w:cs="Arial"/>
          <w:b/>
          <w:color w:val="002F5D"/>
        </w:rPr>
      </w:pPr>
      <w:r w:rsidRPr="00352561">
        <w:rPr>
          <w:rFonts w:cs="Arial"/>
          <w:b/>
          <w:color w:val="002F5D"/>
        </w:rPr>
        <w:t>Key points:</w:t>
      </w:r>
    </w:p>
    <w:p w14:paraId="0160C7B8" w14:textId="5FC7E0AA" w:rsidR="00AE727E" w:rsidRPr="00352561" w:rsidRDefault="00AE727E" w:rsidP="0043274F">
      <w:pPr>
        <w:pStyle w:val="ListParagraph"/>
        <w:numPr>
          <w:ilvl w:val="0"/>
          <w:numId w:val="12"/>
        </w:numPr>
        <w:spacing w:line="240" w:lineRule="auto"/>
        <w:ind w:left="714" w:hanging="357"/>
        <w:rPr>
          <w:rFonts w:cs="Arial"/>
          <w:color w:val="002F5D"/>
        </w:rPr>
      </w:pPr>
      <w:r w:rsidRPr="00352561">
        <w:rPr>
          <w:rFonts w:cs="Arial"/>
          <w:color w:val="002F5D"/>
        </w:rPr>
        <w:t xml:space="preserve">Rates of attendance at 24-hour A&amp;E are statistically significantly higher than the all-age average in young children aged 0 and 1-4 years, in young adults aged 15-29, and in older people aged </w:t>
      </w:r>
      <w:r w:rsidR="009666B2">
        <w:rPr>
          <w:rFonts w:cs="Arial"/>
          <w:color w:val="002F5D"/>
        </w:rPr>
        <w:t>70</w:t>
      </w:r>
      <w:r w:rsidRPr="00352561">
        <w:rPr>
          <w:rFonts w:cs="Arial"/>
          <w:color w:val="002F5D"/>
        </w:rPr>
        <w:t xml:space="preserve"> and over.</w:t>
      </w:r>
    </w:p>
    <w:p w14:paraId="78DA99DC" w14:textId="444B1C65" w:rsidR="00AE727E" w:rsidRPr="00352561" w:rsidRDefault="00AE727E" w:rsidP="0043274F">
      <w:pPr>
        <w:pStyle w:val="ListParagraph"/>
        <w:numPr>
          <w:ilvl w:val="0"/>
          <w:numId w:val="12"/>
        </w:numPr>
        <w:spacing w:line="240" w:lineRule="auto"/>
        <w:ind w:left="714" w:hanging="357"/>
        <w:rPr>
          <w:rFonts w:cs="Arial"/>
          <w:color w:val="002F5D"/>
        </w:rPr>
      </w:pPr>
      <w:r w:rsidRPr="00352561">
        <w:rPr>
          <w:rFonts w:cs="Arial"/>
          <w:color w:val="002F5D"/>
        </w:rPr>
        <w:t>Rates of attendance at minor injuries units are statistically significantly higher than the all-age average in c</w:t>
      </w:r>
      <w:r w:rsidR="00352561" w:rsidRPr="00352561">
        <w:rPr>
          <w:rFonts w:cs="Arial"/>
          <w:color w:val="002F5D"/>
        </w:rPr>
        <w:t>hildren and young adults, ages 0-3</w:t>
      </w:r>
      <w:r w:rsidRPr="00352561">
        <w:rPr>
          <w:rFonts w:cs="Arial"/>
          <w:color w:val="002F5D"/>
        </w:rPr>
        <w:t>4.</w:t>
      </w:r>
    </w:p>
    <w:p w14:paraId="754D79B7" w14:textId="77777777" w:rsidR="00AE727E" w:rsidRPr="0037351D" w:rsidRDefault="00AE727E" w:rsidP="00AE727E">
      <w:pPr>
        <w:spacing w:line="240" w:lineRule="auto"/>
        <w:rPr>
          <w:rFonts w:cs="Arial"/>
          <w:color w:val="FF0000"/>
        </w:rPr>
      </w:pPr>
    </w:p>
    <w:p w14:paraId="38436355" w14:textId="77777777" w:rsidR="00AE727E" w:rsidRPr="0037351D" w:rsidRDefault="00AE727E" w:rsidP="00AE727E">
      <w:pPr>
        <w:spacing w:line="240" w:lineRule="auto"/>
        <w:rPr>
          <w:rFonts w:cs="Arial"/>
          <w:color w:val="FF0000"/>
        </w:rPr>
      </w:pPr>
      <w:r w:rsidRPr="0037351D">
        <w:rPr>
          <w:rFonts w:cs="Arial"/>
          <w:color w:val="FF0000"/>
        </w:rPr>
        <w:br w:type="page"/>
      </w:r>
    </w:p>
    <w:p w14:paraId="0C46857B" w14:textId="0EF8A430" w:rsidR="00AE727E" w:rsidRPr="00F37B95" w:rsidRDefault="006543B9" w:rsidP="0047088D">
      <w:pPr>
        <w:pStyle w:val="Caption"/>
        <w:rPr>
          <w:rFonts w:cs="Arial"/>
          <w:color w:val="002F5D"/>
        </w:rPr>
      </w:pPr>
      <w:r w:rsidRPr="00F37B95">
        <w:rPr>
          <w:b/>
          <w:color w:val="002F5D"/>
        </w:rPr>
        <w:lastRenderedPageBreak/>
        <w:t xml:space="preserve">Figure </w:t>
      </w:r>
      <w:r w:rsidR="00A2366A">
        <w:rPr>
          <w:b/>
          <w:color w:val="002F5D"/>
        </w:rPr>
        <w:t>43</w:t>
      </w:r>
      <w:r w:rsidR="00AE727E" w:rsidRPr="00F37B95">
        <w:rPr>
          <w:rFonts w:cs="Arial"/>
          <w:b/>
          <w:color w:val="002F5D"/>
        </w:rPr>
        <w:t>.</w:t>
      </w:r>
      <w:r w:rsidR="00AE727E" w:rsidRPr="00F37B95">
        <w:rPr>
          <w:rFonts w:cs="Arial"/>
          <w:color w:val="002F5D"/>
        </w:rPr>
        <w:t xml:space="preserve">  Accident and emergency attendances by local authority of residence and department type: numbers, Cambridgeshire</w:t>
      </w:r>
      <w:r w:rsidR="0047088D" w:rsidRPr="00F37B95">
        <w:rPr>
          <w:rFonts w:cs="Arial"/>
          <w:color w:val="002F5D"/>
        </w:rPr>
        <w:t xml:space="preserve"> districts and Peterborough</w:t>
      </w:r>
      <w:r w:rsidR="00F37B95">
        <w:rPr>
          <w:rFonts w:cs="Arial"/>
          <w:color w:val="002F5D"/>
        </w:rPr>
        <w:t>, 2012/13 to 2017/18</w:t>
      </w:r>
    </w:p>
    <w:p w14:paraId="7A7A3815" w14:textId="77777777" w:rsidR="00F37B95" w:rsidRPr="00F37B95" w:rsidRDefault="00F37B95" w:rsidP="00F37B95"/>
    <w:p w14:paraId="3822D652" w14:textId="77777777" w:rsidR="00724819" w:rsidRDefault="00F37B95" w:rsidP="0047088D">
      <w:pPr>
        <w:rPr>
          <w:color w:val="FF0000"/>
        </w:rPr>
      </w:pPr>
      <w:r>
        <w:rPr>
          <w:noProof/>
          <w:color w:val="FF0000"/>
          <w:lang w:eastAsia="en-GB"/>
        </w:rPr>
        <w:drawing>
          <wp:inline distT="0" distB="0" distL="0" distR="0" wp14:anchorId="07982D46" wp14:editId="44630504">
            <wp:extent cx="6351270" cy="3575595"/>
            <wp:effectExtent l="0" t="0" r="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54299" cy="3577300"/>
                    </a:xfrm>
                    <a:prstGeom prst="rect">
                      <a:avLst/>
                    </a:prstGeom>
                    <a:noFill/>
                  </pic:spPr>
                </pic:pic>
              </a:graphicData>
            </a:graphic>
          </wp:inline>
        </w:drawing>
      </w:r>
    </w:p>
    <w:p w14:paraId="477EF4AD" w14:textId="77777777" w:rsidR="00724819" w:rsidRDefault="00724819" w:rsidP="0047088D">
      <w:pPr>
        <w:rPr>
          <w:color w:val="FF0000"/>
        </w:rPr>
      </w:pPr>
    </w:p>
    <w:p w14:paraId="01E12A60" w14:textId="2DD7B672" w:rsidR="0047088D" w:rsidRPr="0037351D" w:rsidRDefault="002124E3" w:rsidP="0047088D">
      <w:pPr>
        <w:rPr>
          <w:color w:val="FF0000"/>
        </w:rPr>
      </w:pPr>
      <w:r>
        <w:rPr>
          <w:noProof/>
          <w:color w:val="FF0000"/>
          <w:lang w:eastAsia="en-GB"/>
        </w:rPr>
        <w:drawing>
          <wp:inline distT="0" distB="0" distL="0" distR="0" wp14:anchorId="09F67D39" wp14:editId="5FA048BA">
            <wp:extent cx="6332220" cy="3559023"/>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42950" cy="3565054"/>
                    </a:xfrm>
                    <a:prstGeom prst="rect">
                      <a:avLst/>
                    </a:prstGeom>
                    <a:noFill/>
                  </pic:spPr>
                </pic:pic>
              </a:graphicData>
            </a:graphic>
          </wp:inline>
        </w:drawing>
      </w:r>
    </w:p>
    <w:p w14:paraId="02D67F55" w14:textId="3FC0649D" w:rsidR="00AE727E" w:rsidRPr="0037351D" w:rsidRDefault="00AE727E" w:rsidP="00AE727E">
      <w:pPr>
        <w:spacing w:line="240" w:lineRule="auto"/>
        <w:rPr>
          <w:rFonts w:cs="Arial"/>
          <w:color w:val="FF0000"/>
        </w:rPr>
      </w:pPr>
    </w:p>
    <w:p w14:paraId="79DF9FA4" w14:textId="77777777" w:rsidR="00AE727E" w:rsidRPr="00F5111A" w:rsidRDefault="00AE727E" w:rsidP="00AE727E">
      <w:pPr>
        <w:spacing w:line="240" w:lineRule="auto"/>
        <w:rPr>
          <w:rFonts w:cs="Arial"/>
          <w:color w:val="002F5D"/>
        </w:rPr>
      </w:pPr>
      <w:r w:rsidRPr="00F5111A">
        <w:rPr>
          <w:rFonts w:cs="Arial"/>
          <w:b/>
          <w:color w:val="002F5D"/>
        </w:rPr>
        <w:t xml:space="preserve"> Source:</w:t>
      </w:r>
      <w:r w:rsidRPr="00F5111A">
        <w:rPr>
          <w:rFonts w:cs="Arial"/>
          <w:color w:val="002F5D"/>
        </w:rPr>
        <w:t xml:space="preserve"> NHS Digital Hospital Episode Statistics</w:t>
      </w:r>
    </w:p>
    <w:p w14:paraId="12FC4687" w14:textId="0682D2BB" w:rsidR="00AE727E" w:rsidRPr="00274B5A" w:rsidRDefault="00AE727E" w:rsidP="003423BC">
      <w:pPr>
        <w:spacing w:line="240" w:lineRule="auto"/>
        <w:rPr>
          <w:rFonts w:cs="Arial"/>
          <w:color w:val="002F5D"/>
        </w:rPr>
      </w:pPr>
      <w:r w:rsidRPr="0037351D">
        <w:rPr>
          <w:rFonts w:cs="Arial"/>
          <w:b/>
          <w:color w:val="FF0000"/>
        </w:rPr>
        <w:br w:type="page"/>
      </w:r>
      <w:r w:rsidR="006543B9" w:rsidRPr="00274B5A">
        <w:rPr>
          <w:b/>
          <w:color w:val="002F5D"/>
        </w:rPr>
        <w:lastRenderedPageBreak/>
        <w:t xml:space="preserve">Figure </w:t>
      </w:r>
      <w:r w:rsidR="00A2366A">
        <w:rPr>
          <w:b/>
          <w:color w:val="002F5D"/>
        </w:rPr>
        <w:t>44</w:t>
      </w:r>
      <w:r w:rsidRPr="00274B5A">
        <w:rPr>
          <w:rFonts w:cs="Arial"/>
          <w:b/>
          <w:color w:val="002F5D"/>
        </w:rPr>
        <w:t>.</w:t>
      </w:r>
      <w:r w:rsidR="000D7FB0" w:rsidRPr="00274B5A">
        <w:rPr>
          <w:rFonts w:cs="Arial"/>
          <w:color w:val="002F5D"/>
        </w:rPr>
        <w:t xml:space="preserve"> </w:t>
      </w:r>
      <w:r w:rsidRPr="00274B5A">
        <w:rPr>
          <w:rFonts w:cs="Arial"/>
          <w:color w:val="002F5D"/>
        </w:rPr>
        <w:t>Accident and emergency attendances by local authority of residence and department type: directly age-standardised rates, Cambridgeshire</w:t>
      </w:r>
      <w:r w:rsidR="0047088D" w:rsidRPr="00274B5A">
        <w:rPr>
          <w:rFonts w:cs="Arial"/>
          <w:color w:val="002F5D"/>
        </w:rPr>
        <w:t xml:space="preserve"> and Peterborough</w:t>
      </w:r>
      <w:r w:rsidR="00274B5A" w:rsidRPr="00274B5A">
        <w:rPr>
          <w:rFonts w:cs="Arial"/>
          <w:color w:val="002F5D"/>
        </w:rPr>
        <w:t>, 2012/13 to 2017/18</w:t>
      </w:r>
    </w:p>
    <w:p w14:paraId="13BFDADA" w14:textId="77777777" w:rsidR="004E71BD" w:rsidRPr="0037351D" w:rsidRDefault="004E71BD" w:rsidP="003423BC">
      <w:pPr>
        <w:spacing w:line="240" w:lineRule="auto"/>
        <w:rPr>
          <w:rFonts w:cs="Arial"/>
          <w:color w:val="FF0000"/>
        </w:rPr>
      </w:pPr>
    </w:p>
    <w:p w14:paraId="732A5B78" w14:textId="781B09D6" w:rsidR="00AE727E" w:rsidRPr="0037351D" w:rsidRDefault="004E71BD" w:rsidP="00AE727E">
      <w:pPr>
        <w:spacing w:line="240" w:lineRule="auto"/>
        <w:rPr>
          <w:rFonts w:cs="Arial"/>
          <w:color w:val="FF0000"/>
        </w:rPr>
      </w:pPr>
      <w:r>
        <w:rPr>
          <w:rFonts w:cs="Arial"/>
          <w:noProof/>
          <w:color w:val="FF0000"/>
          <w:lang w:eastAsia="en-GB"/>
        </w:rPr>
        <w:drawing>
          <wp:inline distT="0" distB="0" distL="0" distR="0" wp14:anchorId="2D89695E" wp14:editId="679B11C9">
            <wp:extent cx="6506287" cy="2712720"/>
            <wp:effectExtent l="0" t="0" r="889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516238" cy="2716869"/>
                    </a:xfrm>
                    <a:prstGeom prst="rect">
                      <a:avLst/>
                    </a:prstGeom>
                    <a:noFill/>
                  </pic:spPr>
                </pic:pic>
              </a:graphicData>
            </a:graphic>
          </wp:inline>
        </w:drawing>
      </w:r>
    </w:p>
    <w:p w14:paraId="20C697D5" w14:textId="5666ED83" w:rsidR="003423BC" w:rsidRPr="0037351D" w:rsidRDefault="003423BC" w:rsidP="00AE727E">
      <w:pPr>
        <w:spacing w:line="240" w:lineRule="auto"/>
        <w:rPr>
          <w:rFonts w:cs="Arial"/>
          <w:color w:val="FF0000"/>
        </w:rPr>
      </w:pPr>
    </w:p>
    <w:p w14:paraId="7DBB8F5B" w14:textId="0B395A29" w:rsidR="0047088D" w:rsidRPr="0037351D" w:rsidRDefault="004E71BD" w:rsidP="00AE727E">
      <w:pPr>
        <w:spacing w:line="240" w:lineRule="auto"/>
        <w:rPr>
          <w:rFonts w:cs="Arial"/>
          <w:color w:val="FF0000"/>
        </w:rPr>
      </w:pPr>
      <w:r>
        <w:rPr>
          <w:rFonts w:cs="Arial"/>
          <w:noProof/>
          <w:color w:val="FF0000"/>
          <w:lang w:eastAsia="en-GB"/>
        </w:rPr>
        <w:drawing>
          <wp:inline distT="0" distB="0" distL="0" distR="0" wp14:anchorId="24B2E1EE" wp14:editId="49876250">
            <wp:extent cx="6542842" cy="27279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547036" cy="2729709"/>
                    </a:xfrm>
                    <a:prstGeom prst="rect">
                      <a:avLst/>
                    </a:prstGeom>
                    <a:noFill/>
                  </pic:spPr>
                </pic:pic>
              </a:graphicData>
            </a:graphic>
          </wp:inline>
        </w:drawing>
      </w:r>
    </w:p>
    <w:p w14:paraId="398CF583" w14:textId="74542F1A" w:rsidR="00274B5A" w:rsidRDefault="00274B5A" w:rsidP="00AE727E">
      <w:pPr>
        <w:spacing w:line="240" w:lineRule="auto"/>
        <w:rPr>
          <w:rFonts w:cs="Arial"/>
          <w:color w:val="FF0000"/>
        </w:rPr>
      </w:pPr>
    </w:p>
    <w:p w14:paraId="363413CF" w14:textId="77777777" w:rsidR="00274B5A" w:rsidRPr="0037351D" w:rsidRDefault="00274B5A" w:rsidP="00AE727E">
      <w:pPr>
        <w:spacing w:line="240" w:lineRule="auto"/>
        <w:rPr>
          <w:rFonts w:cs="Arial"/>
          <w:color w:val="FF0000"/>
        </w:rPr>
      </w:pPr>
    </w:p>
    <w:tbl>
      <w:tblPr>
        <w:tblW w:w="8305" w:type="dxa"/>
        <w:tblLook w:val="04A0" w:firstRow="1" w:lastRow="0" w:firstColumn="1" w:lastColumn="0" w:noHBand="0" w:noVBand="1"/>
      </w:tblPr>
      <w:tblGrid>
        <w:gridCol w:w="1057"/>
        <w:gridCol w:w="7004"/>
        <w:gridCol w:w="244"/>
      </w:tblGrid>
      <w:tr w:rsidR="001A5940" w:rsidRPr="0037351D" w14:paraId="41E1C449" w14:textId="77777777" w:rsidTr="007B2C41">
        <w:trPr>
          <w:trHeight w:val="275"/>
        </w:trPr>
        <w:tc>
          <w:tcPr>
            <w:tcW w:w="1057" w:type="dxa"/>
            <w:tcBorders>
              <w:top w:val="nil"/>
              <w:left w:val="nil"/>
              <w:bottom w:val="nil"/>
              <w:right w:val="nil"/>
            </w:tcBorders>
            <w:shd w:val="clear" w:color="000000" w:fill="FF0000"/>
            <w:noWrap/>
            <w:vAlign w:val="bottom"/>
            <w:hideMark/>
          </w:tcPr>
          <w:p w14:paraId="49539F85" w14:textId="77777777" w:rsidR="003423BC" w:rsidRPr="0037351D" w:rsidRDefault="003423BC" w:rsidP="003423BC">
            <w:pPr>
              <w:spacing w:line="240" w:lineRule="auto"/>
              <w:rPr>
                <w:rFonts w:ascii="Calibri" w:eastAsia="Times New Roman" w:hAnsi="Calibri" w:cs="Calibri"/>
                <w:color w:val="FF0000"/>
                <w:lang w:eastAsia="en-GB"/>
              </w:rPr>
            </w:pPr>
            <w:r w:rsidRPr="0037351D">
              <w:rPr>
                <w:rFonts w:ascii="Calibri" w:eastAsia="Times New Roman" w:hAnsi="Calibri" w:cs="Calibri"/>
                <w:color w:val="FF0000"/>
                <w:lang w:eastAsia="en-GB"/>
              </w:rPr>
              <w:t> </w:t>
            </w:r>
          </w:p>
        </w:tc>
        <w:tc>
          <w:tcPr>
            <w:tcW w:w="7248" w:type="dxa"/>
            <w:gridSpan w:val="2"/>
            <w:tcBorders>
              <w:top w:val="nil"/>
              <w:left w:val="nil"/>
              <w:bottom w:val="nil"/>
              <w:right w:val="nil"/>
            </w:tcBorders>
            <w:shd w:val="clear" w:color="auto" w:fill="auto"/>
            <w:noWrap/>
            <w:vAlign w:val="bottom"/>
            <w:hideMark/>
          </w:tcPr>
          <w:p w14:paraId="281B7EF2" w14:textId="6615C0A5" w:rsidR="003423BC" w:rsidRPr="00274B5A" w:rsidRDefault="003423BC" w:rsidP="003423BC">
            <w:pPr>
              <w:spacing w:line="240" w:lineRule="auto"/>
              <w:rPr>
                <w:rFonts w:ascii="Calibri" w:eastAsia="Times New Roman" w:hAnsi="Calibri" w:cs="Calibri"/>
                <w:color w:val="002F5D"/>
                <w:lang w:eastAsia="en-GB"/>
              </w:rPr>
            </w:pPr>
            <w:r w:rsidRPr="00274B5A">
              <w:rPr>
                <w:rFonts w:ascii="Calibri" w:eastAsia="Times New Roman" w:hAnsi="Calibri" w:cs="Calibri"/>
                <w:color w:val="002F5D"/>
                <w:lang w:eastAsia="en-GB"/>
              </w:rPr>
              <w:t>Statistically significantly higher than the Cambridgeshire/C&amp;P average</w:t>
            </w:r>
            <w:r w:rsidR="00274B5A" w:rsidRPr="00274B5A">
              <w:rPr>
                <w:rFonts w:ascii="Calibri" w:eastAsia="Times New Roman" w:hAnsi="Calibri" w:cs="Calibri"/>
                <w:color w:val="002F5D"/>
                <w:lang w:eastAsia="en-GB"/>
              </w:rPr>
              <w:t xml:space="preserve"> value</w:t>
            </w:r>
          </w:p>
        </w:tc>
      </w:tr>
      <w:tr w:rsidR="001A5940" w:rsidRPr="0037351D" w14:paraId="5D208F49" w14:textId="77777777" w:rsidTr="007B2C41">
        <w:trPr>
          <w:trHeight w:val="275"/>
        </w:trPr>
        <w:tc>
          <w:tcPr>
            <w:tcW w:w="1057" w:type="dxa"/>
            <w:tcBorders>
              <w:top w:val="nil"/>
              <w:left w:val="nil"/>
              <w:bottom w:val="nil"/>
              <w:right w:val="nil"/>
            </w:tcBorders>
            <w:shd w:val="clear" w:color="000000" w:fill="FFC000"/>
            <w:noWrap/>
            <w:vAlign w:val="bottom"/>
            <w:hideMark/>
          </w:tcPr>
          <w:p w14:paraId="0D33EB1B" w14:textId="77777777" w:rsidR="003423BC" w:rsidRPr="0037351D" w:rsidRDefault="003423BC" w:rsidP="003423BC">
            <w:pPr>
              <w:spacing w:line="240" w:lineRule="auto"/>
              <w:rPr>
                <w:rFonts w:ascii="Calibri" w:eastAsia="Times New Roman" w:hAnsi="Calibri" w:cs="Calibri"/>
                <w:color w:val="FF0000"/>
                <w:lang w:eastAsia="en-GB"/>
              </w:rPr>
            </w:pPr>
            <w:r w:rsidRPr="0037351D">
              <w:rPr>
                <w:rFonts w:ascii="Calibri" w:eastAsia="Times New Roman" w:hAnsi="Calibri" w:cs="Calibri"/>
                <w:color w:val="FF0000"/>
                <w:lang w:eastAsia="en-GB"/>
              </w:rPr>
              <w:t> </w:t>
            </w:r>
          </w:p>
        </w:tc>
        <w:tc>
          <w:tcPr>
            <w:tcW w:w="7004" w:type="dxa"/>
            <w:tcBorders>
              <w:top w:val="nil"/>
              <w:left w:val="nil"/>
              <w:bottom w:val="nil"/>
              <w:right w:val="nil"/>
            </w:tcBorders>
            <w:shd w:val="clear" w:color="auto" w:fill="auto"/>
            <w:noWrap/>
            <w:vAlign w:val="bottom"/>
            <w:hideMark/>
          </w:tcPr>
          <w:p w14:paraId="1BCF2255" w14:textId="6094578C" w:rsidR="003423BC" w:rsidRPr="00274B5A" w:rsidRDefault="003423BC" w:rsidP="003423BC">
            <w:pPr>
              <w:spacing w:line="240" w:lineRule="auto"/>
              <w:rPr>
                <w:rFonts w:ascii="Calibri" w:eastAsia="Times New Roman" w:hAnsi="Calibri" w:cs="Calibri"/>
                <w:color w:val="002F5D"/>
                <w:lang w:eastAsia="en-GB"/>
              </w:rPr>
            </w:pPr>
            <w:r w:rsidRPr="00274B5A">
              <w:rPr>
                <w:rFonts w:ascii="Calibri" w:eastAsia="Times New Roman" w:hAnsi="Calibri" w:cs="Calibri"/>
                <w:color w:val="002F5D"/>
                <w:lang w:eastAsia="en-GB"/>
              </w:rPr>
              <w:t>Statistically similar to the Cambridgeshire/C&amp;P average</w:t>
            </w:r>
            <w:r w:rsidR="00274B5A" w:rsidRPr="00274B5A">
              <w:rPr>
                <w:rFonts w:ascii="Calibri" w:eastAsia="Times New Roman" w:hAnsi="Calibri" w:cs="Calibri"/>
                <w:color w:val="002F5D"/>
                <w:lang w:eastAsia="en-GB"/>
              </w:rPr>
              <w:t xml:space="preserve"> value</w:t>
            </w:r>
          </w:p>
        </w:tc>
        <w:tc>
          <w:tcPr>
            <w:tcW w:w="243" w:type="dxa"/>
            <w:tcBorders>
              <w:top w:val="nil"/>
              <w:left w:val="nil"/>
              <w:bottom w:val="nil"/>
              <w:right w:val="nil"/>
            </w:tcBorders>
            <w:shd w:val="clear" w:color="auto" w:fill="auto"/>
            <w:noWrap/>
            <w:vAlign w:val="bottom"/>
            <w:hideMark/>
          </w:tcPr>
          <w:p w14:paraId="7464E134" w14:textId="77777777" w:rsidR="003423BC" w:rsidRPr="00274B5A" w:rsidRDefault="003423BC" w:rsidP="003423BC">
            <w:pPr>
              <w:spacing w:line="240" w:lineRule="auto"/>
              <w:rPr>
                <w:rFonts w:ascii="Calibri" w:eastAsia="Times New Roman" w:hAnsi="Calibri" w:cs="Calibri"/>
                <w:color w:val="002F5D"/>
                <w:lang w:eastAsia="en-GB"/>
              </w:rPr>
            </w:pPr>
          </w:p>
        </w:tc>
      </w:tr>
      <w:tr w:rsidR="001A5940" w:rsidRPr="0037351D" w14:paraId="08CF216E" w14:textId="77777777" w:rsidTr="007B2C41">
        <w:trPr>
          <w:trHeight w:val="275"/>
        </w:trPr>
        <w:tc>
          <w:tcPr>
            <w:tcW w:w="1057" w:type="dxa"/>
            <w:tcBorders>
              <w:top w:val="nil"/>
              <w:left w:val="nil"/>
              <w:bottom w:val="nil"/>
              <w:right w:val="nil"/>
            </w:tcBorders>
            <w:shd w:val="clear" w:color="000000" w:fill="00B050"/>
            <w:noWrap/>
            <w:vAlign w:val="bottom"/>
            <w:hideMark/>
          </w:tcPr>
          <w:p w14:paraId="4525C60D" w14:textId="77777777" w:rsidR="003423BC" w:rsidRPr="0037351D" w:rsidRDefault="003423BC" w:rsidP="003423BC">
            <w:pPr>
              <w:spacing w:line="240" w:lineRule="auto"/>
              <w:rPr>
                <w:rFonts w:ascii="Calibri" w:eastAsia="Times New Roman" w:hAnsi="Calibri" w:cs="Calibri"/>
                <w:color w:val="FF0000"/>
                <w:lang w:eastAsia="en-GB"/>
              </w:rPr>
            </w:pPr>
            <w:r w:rsidRPr="0037351D">
              <w:rPr>
                <w:rFonts w:ascii="Calibri" w:eastAsia="Times New Roman" w:hAnsi="Calibri" w:cs="Calibri"/>
                <w:color w:val="FF0000"/>
                <w:lang w:eastAsia="en-GB"/>
              </w:rPr>
              <w:t> </w:t>
            </w:r>
          </w:p>
        </w:tc>
        <w:tc>
          <w:tcPr>
            <w:tcW w:w="7248" w:type="dxa"/>
            <w:gridSpan w:val="2"/>
            <w:tcBorders>
              <w:top w:val="nil"/>
              <w:left w:val="nil"/>
              <w:bottom w:val="nil"/>
              <w:right w:val="nil"/>
            </w:tcBorders>
            <w:shd w:val="clear" w:color="auto" w:fill="auto"/>
            <w:noWrap/>
            <w:vAlign w:val="bottom"/>
            <w:hideMark/>
          </w:tcPr>
          <w:p w14:paraId="552BB517" w14:textId="2376E032" w:rsidR="003423BC" w:rsidRPr="00274B5A" w:rsidRDefault="003423BC" w:rsidP="003423BC">
            <w:pPr>
              <w:spacing w:line="240" w:lineRule="auto"/>
              <w:rPr>
                <w:rFonts w:ascii="Calibri" w:eastAsia="Times New Roman" w:hAnsi="Calibri" w:cs="Calibri"/>
                <w:color w:val="002F5D"/>
                <w:lang w:eastAsia="en-GB"/>
              </w:rPr>
            </w:pPr>
            <w:r w:rsidRPr="00274B5A">
              <w:rPr>
                <w:rFonts w:ascii="Calibri" w:eastAsia="Times New Roman" w:hAnsi="Calibri" w:cs="Calibri"/>
                <w:color w:val="002F5D"/>
                <w:lang w:eastAsia="en-GB"/>
              </w:rPr>
              <w:t>Statistically significantly lower than the Cambridgeshire/C&amp;P average</w:t>
            </w:r>
            <w:r w:rsidR="00274B5A" w:rsidRPr="00274B5A">
              <w:rPr>
                <w:rFonts w:ascii="Calibri" w:eastAsia="Times New Roman" w:hAnsi="Calibri" w:cs="Calibri"/>
                <w:color w:val="002F5D"/>
                <w:lang w:eastAsia="en-GB"/>
              </w:rPr>
              <w:t xml:space="preserve"> value</w:t>
            </w:r>
          </w:p>
        </w:tc>
      </w:tr>
    </w:tbl>
    <w:p w14:paraId="6E0F42DD" w14:textId="77777777" w:rsidR="00C9175B" w:rsidRPr="0037351D" w:rsidRDefault="00C9175B" w:rsidP="00AE727E">
      <w:pPr>
        <w:spacing w:line="240" w:lineRule="auto"/>
        <w:rPr>
          <w:rFonts w:cs="Arial"/>
          <w:b/>
          <w:color w:val="FF0000"/>
        </w:rPr>
      </w:pPr>
    </w:p>
    <w:p w14:paraId="3DB5819C" w14:textId="7DEDE836" w:rsidR="00AE727E" w:rsidRPr="0007776C" w:rsidRDefault="00AE727E" w:rsidP="00AE727E">
      <w:pPr>
        <w:spacing w:line="240" w:lineRule="auto"/>
        <w:rPr>
          <w:rFonts w:cs="Arial"/>
          <w:color w:val="002F5D"/>
        </w:rPr>
      </w:pPr>
      <w:r w:rsidRPr="0007776C">
        <w:rPr>
          <w:rFonts w:cs="Arial"/>
          <w:b/>
          <w:color w:val="002F5D"/>
        </w:rPr>
        <w:t>Source:</w:t>
      </w:r>
      <w:r w:rsidRPr="0007776C">
        <w:rPr>
          <w:rFonts w:cs="Arial"/>
          <w:color w:val="002F5D"/>
        </w:rPr>
        <w:t xml:space="preserve"> NHS Digital Hospital Episode Statistics, </w:t>
      </w:r>
      <w:r w:rsidR="007750E0">
        <w:rPr>
          <w:rFonts w:cs="Arial"/>
          <w:color w:val="002F5D"/>
        </w:rPr>
        <w:t xml:space="preserve">ONS </w:t>
      </w:r>
      <w:r w:rsidRPr="0007776C">
        <w:rPr>
          <w:rFonts w:cs="Arial"/>
          <w:color w:val="002F5D"/>
        </w:rPr>
        <w:t>mid-year population estimates</w:t>
      </w:r>
    </w:p>
    <w:p w14:paraId="773A2452" w14:textId="77777777" w:rsidR="003A021F" w:rsidRPr="0007776C" w:rsidRDefault="003A021F" w:rsidP="00AE727E">
      <w:pPr>
        <w:spacing w:line="240" w:lineRule="auto"/>
        <w:rPr>
          <w:rFonts w:cs="Arial"/>
          <w:b/>
          <w:color w:val="002F5D"/>
          <w:sz w:val="12"/>
        </w:rPr>
      </w:pPr>
    </w:p>
    <w:p w14:paraId="0C905827" w14:textId="77777777" w:rsidR="00AE727E" w:rsidRPr="0007776C" w:rsidRDefault="00AE727E" w:rsidP="00AE727E">
      <w:pPr>
        <w:spacing w:line="240" w:lineRule="auto"/>
        <w:rPr>
          <w:rFonts w:cs="Arial"/>
          <w:b/>
          <w:color w:val="002F5D"/>
        </w:rPr>
      </w:pPr>
      <w:r w:rsidRPr="0007776C">
        <w:rPr>
          <w:rFonts w:cs="Arial"/>
          <w:b/>
          <w:color w:val="002F5D"/>
        </w:rPr>
        <w:t>Key point:</w:t>
      </w:r>
    </w:p>
    <w:p w14:paraId="1892751C" w14:textId="77777777" w:rsidR="00AE727E" w:rsidRPr="0007776C" w:rsidRDefault="00AE727E" w:rsidP="00A938F7">
      <w:pPr>
        <w:pStyle w:val="ListParagraph"/>
        <w:numPr>
          <w:ilvl w:val="0"/>
          <w:numId w:val="11"/>
        </w:numPr>
        <w:spacing w:line="240" w:lineRule="auto"/>
        <w:rPr>
          <w:rFonts w:cs="Arial"/>
          <w:b/>
          <w:color w:val="002F5D"/>
        </w:rPr>
      </w:pPr>
      <w:r w:rsidRPr="0007776C">
        <w:rPr>
          <w:rFonts w:cs="Arial"/>
          <w:color w:val="002F5D"/>
        </w:rPr>
        <w:t>Numbers and rates of attendances have increased among residents of all districts, at both 24-hour consultant-led A&amp;E and minor injuries units.</w:t>
      </w:r>
    </w:p>
    <w:p w14:paraId="394C4D0E" w14:textId="767F70D8" w:rsidR="00936729" w:rsidRPr="0007776C" w:rsidRDefault="00936729" w:rsidP="00936729">
      <w:pPr>
        <w:pStyle w:val="ListParagraph"/>
        <w:numPr>
          <w:ilvl w:val="0"/>
          <w:numId w:val="11"/>
        </w:numPr>
        <w:spacing w:line="240" w:lineRule="auto"/>
        <w:rPr>
          <w:rFonts w:cs="Arial"/>
          <w:b/>
          <w:color w:val="002F5D"/>
        </w:rPr>
      </w:pPr>
      <w:r w:rsidRPr="0007776C">
        <w:rPr>
          <w:rFonts w:cs="Arial"/>
          <w:color w:val="002F5D"/>
        </w:rPr>
        <w:t>Overall, patterns of attendance are most likely to reflect the underlying configuration of services.</w:t>
      </w:r>
    </w:p>
    <w:p w14:paraId="45A37BB4" w14:textId="67434198" w:rsidR="003423BC" w:rsidRPr="0026773D" w:rsidRDefault="003423BC" w:rsidP="00A938F7">
      <w:pPr>
        <w:pStyle w:val="ListParagraph"/>
        <w:numPr>
          <w:ilvl w:val="0"/>
          <w:numId w:val="11"/>
        </w:numPr>
        <w:spacing w:line="240" w:lineRule="auto"/>
        <w:rPr>
          <w:rFonts w:cs="Arial"/>
          <w:b/>
          <w:color w:val="002F5D"/>
        </w:rPr>
      </w:pPr>
      <w:r w:rsidRPr="0007776C">
        <w:rPr>
          <w:color w:val="002F5D"/>
        </w:rPr>
        <w:t xml:space="preserve">The Peterborough Minor Illness &amp; Injury Unit opened in 2013, leading to a substantial rise in A&amp;E attendances attributed as ‘minor injuries unit attendances’. Since the opening of this unit, a greater number of MIU attendances in Peterborough and Cambridgeshire have been </w:t>
      </w:r>
      <w:r w:rsidRPr="0007776C">
        <w:rPr>
          <w:color w:val="002F5D"/>
        </w:rPr>
        <w:lastRenderedPageBreak/>
        <w:t>in Peterborough, despite Cambridgeshire having a much higher overall population. The directly age-standardised rate of MIU attendances in Peterborough has been statistically significantly higher than Cambridgeshire and Peterborough for t</w:t>
      </w:r>
      <w:r w:rsidR="0007776C" w:rsidRPr="0007776C">
        <w:rPr>
          <w:color w:val="002F5D"/>
        </w:rPr>
        <w:t>he last five</w:t>
      </w:r>
      <w:r w:rsidR="004B64BB" w:rsidRPr="0007776C">
        <w:rPr>
          <w:color w:val="002F5D"/>
        </w:rPr>
        <w:t xml:space="preserve"> consecutive years – the corresponding rates in </w:t>
      </w:r>
      <w:r w:rsidR="004B64BB" w:rsidRPr="0026773D">
        <w:rPr>
          <w:color w:val="002F5D"/>
        </w:rPr>
        <w:t>Cambridgeshire are significantly lower.</w:t>
      </w:r>
    </w:p>
    <w:p w14:paraId="799FDB89" w14:textId="77777777" w:rsidR="0026773D" w:rsidRPr="0026773D" w:rsidRDefault="0021453E" w:rsidP="00AD2B3D">
      <w:pPr>
        <w:pStyle w:val="ListParagraph"/>
        <w:numPr>
          <w:ilvl w:val="0"/>
          <w:numId w:val="11"/>
        </w:numPr>
        <w:spacing w:line="240" w:lineRule="auto"/>
        <w:ind w:left="714" w:hanging="357"/>
        <w:rPr>
          <w:rFonts w:cs="Arial"/>
          <w:b/>
          <w:color w:val="002F5D"/>
        </w:rPr>
      </w:pPr>
      <w:r w:rsidRPr="0026773D">
        <w:rPr>
          <w:color w:val="002F5D"/>
        </w:rPr>
        <w:t xml:space="preserve">Cambridge </w:t>
      </w:r>
      <w:r w:rsidR="0026773D" w:rsidRPr="0026773D">
        <w:rPr>
          <w:color w:val="002F5D"/>
        </w:rPr>
        <w:t xml:space="preserve">has </w:t>
      </w:r>
      <w:r w:rsidR="00AD2B3D" w:rsidRPr="0026773D">
        <w:rPr>
          <w:color w:val="002F5D"/>
        </w:rPr>
        <w:t xml:space="preserve">consistently statistically significantly higher rates of attendances at </w:t>
      </w:r>
      <w:r w:rsidR="00AD2B3D" w:rsidRPr="0026773D">
        <w:rPr>
          <w:rFonts w:cs="Arial"/>
          <w:color w:val="002F5D"/>
        </w:rPr>
        <w:t xml:space="preserve">24-hour consultant-led A&amp;E compared with Cambridgeshire. </w:t>
      </w:r>
      <w:r w:rsidR="0026773D" w:rsidRPr="0026773D">
        <w:rPr>
          <w:rFonts w:cs="Arial"/>
          <w:color w:val="002F5D"/>
        </w:rPr>
        <w:t xml:space="preserve"> South Cambridgeshire rates have been higher at 24-hour consultant-led A&amp;E compared with Cambridgeshire for the previous two years.  Huntingdonshire has a statistically similar </w:t>
      </w:r>
      <w:r w:rsidR="0026773D" w:rsidRPr="0026773D">
        <w:rPr>
          <w:color w:val="002F5D"/>
        </w:rPr>
        <w:t xml:space="preserve">rate of attendances at </w:t>
      </w:r>
      <w:r w:rsidR="0026773D" w:rsidRPr="0026773D">
        <w:rPr>
          <w:rFonts w:cs="Arial"/>
          <w:color w:val="002F5D"/>
        </w:rPr>
        <w:t>24-hour consultant-led A&amp;E compared with Cambridgeshire having been statistically significantly higher for the previous four years.</w:t>
      </w:r>
    </w:p>
    <w:p w14:paraId="2BCD7BA3" w14:textId="23D3F2C6" w:rsidR="00AD2B3D" w:rsidRPr="0026773D" w:rsidRDefault="0026773D" w:rsidP="00AD2B3D">
      <w:pPr>
        <w:pStyle w:val="ListParagraph"/>
        <w:numPr>
          <w:ilvl w:val="0"/>
          <w:numId w:val="11"/>
        </w:numPr>
        <w:spacing w:line="240" w:lineRule="auto"/>
        <w:ind w:left="714" w:hanging="357"/>
        <w:rPr>
          <w:rFonts w:cs="Arial"/>
          <w:b/>
          <w:color w:val="002F5D"/>
        </w:rPr>
      </w:pPr>
      <w:r w:rsidRPr="0026773D">
        <w:rPr>
          <w:rFonts w:cs="Arial"/>
          <w:color w:val="002F5D"/>
        </w:rPr>
        <w:t xml:space="preserve"> </w:t>
      </w:r>
      <w:r w:rsidR="00AD2B3D" w:rsidRPr="0026773D">
        <w:rPr>
          <w:rFonts w:cs="Arial"/>
          <w:color w:val="002F5D"/>
        </w:rPr>
        <w:t xml:space="preserve">East Cambridgeshire and Fenland </w:t>
      </w:r>
      <w:r w:rsidRPr="0026773D">
        <w:rPr>
          <w:rFonts w:cs="Arial"/>
          <w:color w:val="002F5D"/>
        </w:rPr>
        <w:t xml:space="preserve">both have </w:t>
      </w:r>
      <w:r w:rsidRPr="0026773D">
        <w:rPr>
          <w:color w:val="002F5D"/>
        </w:rPr>
        <w:t xml:space="preserve">consistently statistically significantly higher rates of attendances at </w:t>
      </w:r>
      <w:r w:rsidR="00AD2B3D" w:rsidRPr="0026773D">
        <w:rPr>
          <w:rFonts w:cs="Arial"/>
          <w:color w:val="002F5D"/>
        </w:rPr>
        <w:t>for minor injuries units</w:t>
      </w:r>
      <w:r w:rsidRPr="0026773D">
        <w:rPr>
          <w:rFonts w:cs="Arial"/>
          <w:color w:val="002F5D"/>
        </w:rPr>
        <w:t xml:space="preserve"> compared with Cambridgeshire</w:t>
      </w:r>
      <w:r w:rsidR="00AD2B3D" w:rsidRPr="0026773D">
        <w:rPr>
          <w:rFonts w:cs="Arial"/>
          <w:color w:val="002F5D"/>
        </w:rPr>
        <w:t>.</w:t>
      </w:r>
    </w:p>
    <w:p w14:paraId="5C880DC8" w14:textId="0F9D4D05" w:rsidR="00936729" w:rsidRPr="0026773D" w:rsidRDefault="00936729" w:rsidP="00936729">
      <w:pPr>
        <w:pStyle w:val="ListParagraph"/>
        <w:numPr>
          <w:ilvl w:val="0"/>
          <w:numId w:val="11"/>
        </w:numPr>
        <w:spacing w:line="240" w:lineRule="auto"/>
        <w:rPr>
          <w:rFonts w:cs="Arial"/>
          <w:b/>
          <w:color w:val="002F5D"/>
        </w:rPr>
      </w:pPr>
      <w:r w:rsidRPr="0026773D">
        <w:rPr>
          <w:rFonts w:cs="Arial"/>
          <w:color w:val="002F5D"/>
        </w:rPr>
        <w:t>Peterborough is the only locality to experience statistically significantly high rates of A&amp;E attendances overall, in 24-hour consultant-led A&amp;E and in minor injuries units.</w:t>
      </w:r>
    </w:p>
    <w:p w14:paraId="050CEE7D" w14:textId="77777777" w:rsidR="00AD2B3D" w:rsidRPr="0037351D" w:rsidRDefault="00AD2B3D" w:rsidP="00AD2B3D">
      <w:pPr>
        <w:spacing w:line="240" w:lineRule="auto"/>
        <w:ind w:left="360"/>
        <w:rPr>
          <w:rFonts w:cs="Arial"/>
          <w:b/>
          <w:color w:val="FF0000"/>
        </w:rPr>
      </w:pPr>
    </w:p>
    <w:p w14:paraId="5C25F5D1" w14:textId="77777777" w:rsidR="003423BC" w:rsidRPr="0037351D" w:rsidRDefault="003423BC" w:rsidP="003423BC">
      <w:pPr>
        <w:pStyle w:val="ListParagraph"/>
        <w:spacing w:line="240" w:lineRule="auto"/>
        <w:rPr>
          <w:rFonts w:cs="Arial"/>
          <w:b/>
          <w:color w:val="FF0000"/>
        </w:rPr>
      </w:pPr>
    </w:p>
    <w:p w14:paraId="37544CE9" w14:textId="77777777" w:rsidR="00B43887" w:rsidRPr="0037351D" w:rsidRDefault="00B43887">
      <w:pPr>
        <w:rPr>
          <w:rFonts w:eastAsiaTheme="majorEastAsia" w:cs="Arial"/>
          <w:b/>
          <w:color w:val="FF0000"/>
          <w:sz w:val="24"/>
          <w:szCs w:val="26"/>
        </w:rPr>
      </w:pPr>
      <w:r w:rsidRPr="0037351D">
        <w:rPr>
          <w:color w:val="FF0000"/>
        </w:rPr>
        <w:br w:type="page"/>
      </w:r>
    </w:p>
    <w:p w14:paraId="12056163" w14:textId="7BD377FC" w:rsidR="00E14B28" w:rsidRPr="007B2AC1" w:rsidRDefault="00AE727E">
      <w:pPr>
        <w:pStyle w:val="JSNA2"/>
      </w:pPr>
      <w:bookmarkStart w:id="813" w:name="_Toc4407886"/>
      <w:r w:rsidRPr="007B2AC1">
        <w:lastRenderedPageBreak/>
        <w:t>Social care services</w:t>
      </w:r>
      <w:bookmarkEnd w:id="813"/>
    </w:p>
    <w:p w14:paraId="613D827F" w14:textId="77B90D03" w:rsidR="00DA52D5" w:rsidRPr="00330B65" w:rsidRDefault="00DA52D5" w:rsidP="00E61D24">
      <w:pPr>
        <w:spacing w:line="240" w:lineRule="auto"/>
        <w:rPr>
          <w:rFonts w:cs="Arial"/>
          <w:b/>
          <w:color w:val="002F5D"/>
        </w:rPr>
      </w:pPr>
    </w:p>
    <w:p w14:paraId="7273F6EA" w14:textId="77777777" w:rsidR="00DA52D5" w:rsidRDefault="00DA52D5" w:rsidP="00DA52D5">
      <w:pPr>
        <w:rPr>
          <w:color w:val="002F5D"/>
          <w:shd w:val="clear" w:color="auto" w:fill="FFFFFF"/>
        </w:rPr>
      </w:pPr>
    </w:p>
    <w:p w14:paraId="65D45582" w14:textId="641DEB4E" w:rsidR="00DA52D5" w:rsidRPr="00DA777F" w:rsidRDefault="00DA52D5" w:rsidP="00DA52D5">
      <w:pPr>
        <w:spacing w:line="240" w:lineRule="auto"/>
        <w:jc w:val="both"/>
        <w:rPr>
          <w:rFonts w:ascii="Calibri" w:eastAsia="Times New Roman" w:hAnsi="Calibri" w:cs="Times New Roman"/>
          <w:color w:val="002F5D"/>
          <w:lang w:eastAsia="en-GB"/>
        </w:rPr>
      </w:pPr>
      <w:r w:rsidRPr="007525E0">
        <w:rPr>
          <w:rFonts w:ascii="Calibri" w:eastAsia="Times New Roman" w:hAnsi="Calibri" w:cs="Times New Roman"/>
          <w:b/>
          <w:color w:val="002F5D"/>
          <w:lang w:eastAsia="en-GB"/>
        </w:rPr>
        <w:t>Note</w:t>
      </w:r>
      <w:r>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Cambridgeshire and Peterborough PHI Team calculate statistical significance using comparator area confidence intervals compared with confidence intervals for the benchmark. This method is used in the RAG rated table below.</w:t>
      </w:r>
      <w:r w:rsidRPr="00DA777F">
        <w:rPr>
          <w:rFonts w:ascii="Calibri" w:eastAsia="Times New Roman" w:hAnsi="Calibri" w:cs="Times New Roman"/>
          <w:color w:val="002F5D"/>
          <w:lang w:eastAsia="en-GB"/>
        </w:rPr>
        <w:t xml:space="preserve"> </w:t>
      </w:r>
    </w:p>
    <w:p w14:paraId="142A3347" w14:textId="17A3FB4C" w:rsidR="00E14B28" w:rsidRPr="00330B65" w:rsidRDefault="00E14B28" w:rsidP="00330B65">
      <w:pPr>
        <w:spacing w:line="240" w:lineRule="auto"/>
        <w:rPr>
          <w:rFonts w:cs="Arial"/>
          <w:b/>
          <w:color w:val="002F5D"/>
        </w:rPr>
      </w:pPr>
    </w:p>
    <w:p w14:paraId="4A39A26A" w14:textId="74086A99" w:rsidR="000D7FB0" w:rsidRDefault="00B654F0" w:rsidP="00061C15">
      <w:pPr>
        <w:pStyle w:val="Caption"/>
        <w:rPr>
          <w:rFonts w:cs="Arial"/>
          <w:color w:val="002F5D"/>
        </w:rPr>
      </w:pPr>
      <w:r w:rsidRPr="00330B65">
        <w:rPr>
          <w:b/>
          <w:color w:val="002F5D"/>
        </w:rPr>
        <w:t xml:space="preserve">Table </w:t>
      </w:r>
      <w:r w:rsidR="00B81E4B" w:rsidRPr="00E61D24">
        <w:rPr>
          <w:b/>
          <w:color w:val="002F5D"/>
        </w:rPr>
        <w:t>82</w:t>
      </w:r>
      <w:r w:rsidR="000D7FB0" w:rsidRPr="00330B65">
        <w:rPr>
          <w:rFonts w:cs="Arial"/>
          <w:b/>
          <w:color w:val="002F5D"/>
        </w:rPr>
        <w:t>.</w:t>
      </w:r>
      <w:r w:rsidR="000D7FB0" w:rsidRPr="00330B65">
        <w:rPr>
          <w:rFonts w:cs="Arial"/>
          <w:color w:val="002F5D"/>
        </w:rPr>
        <w:t xml:space="preserve"> Adult social care - selected measures from Public Health England's Adult Social Care profile and measures from the Adult Social Care Outcomes Framework, England - 201</w:t>
      </w:r>
      <w:r w:rsidR="00D94866" w:rsidRPr="00330B65">
        <w:rPr>
          <w:rFonts w:cs="Arial"/>
          <w:color w:val="002F5D"/>
        </w:rPr>
        <w:t>7</w:t>
      </w:r>
      <w:r w:rsidR="000D7FB0" w:rsidRPr="00330B65">
        <w:rPr>
          <w:rFonts w:cs="Arial"/>
          <w:color w:val="002F5D"/>
        </w:rPr>
        <w:t>-1</w:t>
      </w:r>
      <w:r w:rsidR="00D94866" w:rsidRPr="00330B65">
        <w:rPr>
          <w:rFonts w:cs="Arial"/>
          <w:color w:val="002F5D"/>
        </w:rPr>
        <w:t>8</w:t>
      </w:r>
    </w:p>
    <w:p w14:paraId="3807870D" w14:textId="77777777" w:rsidR="00875854" w:rsidRPr="00330B65" w:rsidRDefault="00875854" w:rsidP="00330B65"/>
    <w:p w14:paraId="1E69E94C" w14:textId="12298ADA" w:rsidR="00D94866" w:rsidRPr="00330B65" w:rsidRDefault="00875854" w:rsidP="00330B65">
      <w:r w:rsidRPr="00875854">
        <w:rPr>
          <w:noProof/>
          <w:lang w:eastAsia="en-GB"/>
        </w:rPr>
        <w:drawing>
          <wp:inline distT="0" distB="0" distL="0" distR="0" wp14:anchorId="3B078E2A" wp14:editId="40D70840">
            <wp:extent cx="5731510" cy="4281775"/>
            <wp:effectExtent l="0" t="0" r="254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31510" cy="4281775"/>
                    </a:xfrm>
                    <a:prstGeom prst="rect">
                      <a:avLst/>
                    </a:prstGeom>
                    <a:noFill/>
                    <a:ln>
                      <a:noFill/>
                    </a:ln>
                  </pic:spPr>
                </pic:pic>
              </a:graphicData>
            </a:graphic>
          </wp:inline>
        </w:drawing>
      </w:r>
    </w:p>
    <w:p w14:paraId="2018A017" w14:textId="547CF6A8" w:rsidR="00061C15" w:rsidRDefault="00061C15" w:rsidP="00061C15">
      <w:pPr>
        <w:spacing w:line="240" w:lineRule="auto"/>
        <w:rPr>
          <w:color w:val="FF0000"/>
        </w:rPr>
      </w:pPr>
    </w:p>
    <w:p w14:paraId="5ACBE1F4" w14:textId="579F2BC0" w:rsidR="00723B06" w:rsidRPr="0037351D" w:rsidRDefault="00875854" w:rsidP="00061C15">
      <w:pPr>
        <w:spacing w:line="240" w:lineRule="auto"/>
        <w:rPr>
          <w:color w:val="FF0000"/>
        </w:rPr>
      </w:pPr>
      <w:r w:rsidRPr="00875854">
        <w:rPr>
          <w:noProof/>
          <w:lang w:eastAsia="en-GB"/>
        </w:rPr>
        <w:drawing>
          <wp:inline distT="0" distB="0" distL="0" distR="0" wp14:anchorId="52908963" wp14:editId="05E8DDF4">
            <wp:extent cx="5731510" cy="49878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31510" cy="498786"/>
                    </a:xfrm>
                    <a:prstGeom prst="rect">
                      <a:avLst/>
                    </a:prstGeom>
                    <a:noFill/>
                    <a:ln>
                      <a:noFill/>
                    </a:ln>
                  </pic:spPr>
                </pic:pic>
              </a:graphicData>
            </a:graphic>
          </wp:inline>
        </w:drawing>
      </w:r>
    </w:p>
    <w:p w14:paraId="6BC25530" w14:textId="4D6A9478" w:rsidR="00B7473C" w:rsidRPr="0037351D" w:rsidRDefault="00B7473C" w:rsidP="00B7473C">
      <w:pPr>
        <w:rPr>
          <w:color w:val="FF0000"/>
        </w:rPr>
      </w:pPr>
    </w:p>
    <w:p w14:paraId="70396DC5" w14:textId="0CCEAD38" w:rsidR="000D7FB0" w:rsidRPr="0037351D" w:rsidRDefault="000D7FB0" w:rsidP="00061C15">
      <w:pPr>
        <w:spacing w:line="240" w:lineRule="auto"/>
        <w:rPr>
          <w:color w:val="FF0000"/>
        </w:rPr>
      </w:pPr>
    </w:p>
    <w:p w14:paraId="3AEBDAD5" w14:textId="40669C96" w:rsidR="000D7FB0" w:rsidRPr="0037351D" w:rsidRDefault="00D94866" w:rsidP="00B43887">
      <w:pPr>
        <w:spacing w:line="240" w:lineRule="auto"/>
        <w:rPr>
          <w:rFonts w:eastAsiaTheme="majorEastAsia" w:cs="Arial"/>
          <w:b/>
          <w:color w:val="FF0000"/>
          <w:sz w:val="28"/>
          <w:szCs w:val="32"/>
        </w:rPr>
      </w:pPr>
      <w:r w:rsidRPr="00330B65">
        <w:rPr>
          <w:rFonts w:eastAsiaTheme="majorEastAsia" w:cs="Arial"/>
          <w:b/>
          <w:color w:val="002F5D"/>
        </w:rPr>
        <w:t>Source</w:t>
      </w:r>
      <w:r w:rsidRPr="00330B65">
        <w:rPr>
          <w:rFonts w:eastAsiaTheme="majorEastAsia" w:cs="Arial"/>
          <w:color w:val="002F5D"/>
        </w:rPr>
        <w:t>: Measures from the Adult Social Care Outcomes Framework, England - 2017-18, NHS Digital, https://digital.nhs.uk/data-and-information/publications/clinical-indicators/adult-social-care-outcomes-framework-ascof/current#data-sets</w:t>
      </w:r>
    </w:p>
    <w:p w14:paraId="0536E161" w14:textId="77777777" w:rsidR="00B43887" w:rsidRPr="0037351D" w:rsidRDefault="00B43887" w:rsidP="00B43887">
      <w:pPr>
        <w:spacing w:line="240" w:lineRule="auto"/>
        <w:rPr>
          <w:rFonts w:cs="Arial"/>
          <w:b/>
          <w:color w:val="FF0000"/>
        </w:rPr>
      </w:pPr>
      <w:r w:rsidRPr="0037351D">
        <w:rPr>
          <w:rFonts w:cs="Arial"/>
          <w:b/>
          <w:color w:val="FF0000"/>
        </w:rPr>
        <w:br w:type="page"/>
      </w:r>
    </w:p>
    <w:p w14:paraId="257106AE" w14:textId="77777777" w:rsidR="000D7FB0" w:rsidRPr="00330B65" w:rsidRDefault="000D7FB0" w:rsidP="00061C15">
      <w:pPr>
        <w:spacing w:line="240" w:lineRule="auto"/>
        <w:rPr>
          <w:rFonts w:cs="Arial"/>
          <w:b/>
          <w:color w:val="002F5D"/>
        </w:rPr>
      </w:pPr>
      <w:r w:rsidRPr="00330B65">
        <w:rPr>
          <w:rFonts w:cs="Arial"/>
          <w:b/>
          <w:color w:val="002F5D"/>
        </w:rPr>
        <w:lastRenderedPageBreak/>
        <w:t>Key points:</w:t>
      </w:r>
    </w:p>
    <w:p w14:paraId="7C19FCC7" w14:textId="5A6DCBA8" w:rsidR="0067440A" w:rsidRPr="00330B65" w:rsidRDefault="000D7FB0" w:rsidP="00061C15">
      <w:pPr>
        <w:pStyle w:val="ListParagraph"/>
        <w:numPr>
          <w:ilvl w:val="0"/>
          <w:numId w:val="11"/>
        </w:numPr>
        <w:spacing w:line="240" w:lineRule="auto"/>
        <w:ind w:left="714" w:hanging="357"/>
        <w:rPr>
          <w:rFonts w:cs="Arial"/>
          <w:b/>
          <w:color w:val="002F5D"/>
        </w:rPr>
      </w:pPr>
      <w:r w:rsidRPr="00330B65">
        <w:rPr>
          <w:rFonts w:cs="Arial"/>
          <w:color w:val="002F5D"/>
        </w:rPr>
        <w:t>Data from the Adult Social Care Outcomes Framework</w:t>
      </w:r>
      <w:r w:rsidR="00C90CB7" w:rsidRPr="00E61D24">
        <w:rPr>
          <w:rFonts w:cs="Arial"/>
          <w:color w:val="002F5D"/>
        </w:rPr>
        <w:t xml:space="preserve"> (ASCOF)</w:t>
      </w:r>
      <w:r w:rsidRPr="00330B65">
        <w:rPr>
          <w:rFonts w:cs="Arial"/>
          <w:color w:val="002F5D"/>
        </w:rPr>
        <w:t xml:space="preserve"> provide a broad overview of key indicators for Cambridgeshire</w:t>
      </w:r>
      <w:r w:rsidR="00CD5C91" w:rsidRPr="00330B65">
        <w:rPr>
          <w:rFonts w:cs="Arial"/>
          <w:color w:val="002F5D"/>
        </w:rPr>
        <w:t xml:space="preserve"> and Peterborough</w:t>
      </w:r>
      <w:r w:rsidR="00C90CB7" w:rsidRPr="00E61D24">
        <w:rPr>
          <w:rFonts w:cs="Arial"/>
          <w:color w:val="002F5D"/>
        </w:rPr>
        <w:t>. M</w:t>
      </w:r>
      <w:r w:rsidRPr="00330B65">
        <w:rPr>
          <w:rFonts w:cs="Arial"/>
          <w:color w:val="002F5D"/>
        </w:rPr>
        <w:t>any of the measures</w:t>
      </w:r>
      <w:r w:rsidR="00C90CB7" w:rsidRPr="00E61D24">
        <w:rPr>
          <w:rFonts w:cs="Arial"/>
          <w:color w:val="002F5D"/>
        </w:rPr>
        <w:t xml:space="preserve"> within the ASCOF</w:t>
      </w:r>
      <w:r w:rsidRPr="00330B65">
        <w:rPr>
          <w:rFonts w:cs="Arial"/>
          <w:color w:val="002F5D"/>
        </w:rPr>
        <w:t xml:space="preserve"> are not statistically assessed or easily assessed as trends, as indicator specifications have changed over time.</w:t>
      </w:r>
    </w:p>
    <w:p w14:paraId="0C0347A5" w14:textId="77777777" w:rsidR="000D7FB0" w:rsidRPr="00330B65" w:rsidRDefault="00B73583" w:rsidP="00061C15">
      <w:pPr>
        <w:pStyle w:val="ListParagraph"/>
        <w:numPr>
          <w:ilvl w:val="0"/>
          <w:numId w:val="11"/>
        </w:numPr>
        <w:spacing w:line="240" w:lineRule="auto"/>
        <w:rPr>
          <w:rFonts w:cs="Arial"/>
          <w:b/>
          <w:color w:val="002F5D"/>
        </w:rPr>
      </w:pPr>
      <w:r w:rsidRPr="00330B65">
        <w:rPr>
          <w:rFonts w:cs="Arial"/>
          <w:color w:val="002F5D"/>
        </w:rPr>
        <w:t>Where indicators have been formally assessed statistically, in general, Cambridgeshire</w:t>
      </w:r>
      <w:r w:rsidR="002B65E6" w:rsidRPr="00330B65">
        <w:rPr>
          <w:rFonts w:cs="Arial"/>
          <w:color w:val="002F5D"/>
        </w:rPr>
        <w:t xml:space="preserve"> and Peterborough</w:t>
      </w:r>
      <w:r w:rsidRPr="00330B65">
        <w:rPr>
          <w:rFonts w:cs="Arial"/>
          <w:color w:val="002F5D"/>
        </w:rPr>
        <w:t>’s position does not differ significantly from that found in England.</w:t>
      </w:r>
    </w:p>
    <w:p w14:paraId="74E04766" w14:textId="75283335" w:rsidR="00CD5C91" w:rsidRPr="00330B65" w:rsidRDefault="00A204C2" w:rsidP="00061C15">
      <w:pPr>
        <w:pStyle w:val="ListParagraph"/>
        <w:numPr>
          <w:ilvl w:val="0"/>
          <w:numId w:val="11"/>
        </w:numPr>
        <w:spacing w:line="240" w:lineRule="auto"/>
        <w:rPr>
          <w:rFonts w:cs="Arial"/>
          <w:b/>
          <w:color w:val="002F5D"/>
        </w:rPr>
      </w:pPr>
      <w:r w:rsidRPr="00330B65">
        <w:rPr>
          <w:rFonts w:cs="Arial"/>
          <w:color w:val="002F5D"/>
        </w:rPr>
        <w:t>In Cambridgeshire, t</w:t>
      </w:r>
      <w:r w:rsidR="00B73583" w:rsidRPr="00330B65">
        <w:rPr>
          <w:rFonts w:cs="Arial"/>
          <w:color w:val="002F5D"/>
        </w:rPr>
        <w:t>he</w:t>
      </w:r>
      <w:r w:rsidR="002D7439" w:rsidRPr="00E61D24">
        <w:rPr>
          <w:rFonts w:cs="Arial"/>
          <w:color w:val="002F5D"/>
        </w:rPr>
        <w:t xml:space="preserve"> only</w:t>
      </w:r>
      <w:r w:rsidR="00B73583" w:rsidRPr="00330B65">
        <w:rPr>
          <w:rFonts w:cs="Arial"/>
          <w:color w:val="002F5D"/>
        </w:rPr>
        <w:t xml:space="preserve"> indicator that differ</w:t>
      </w:r>
      <w:r w:rsidR="000C1484" w:rsidRPr="00330B65">
        <w:rPr>
          <w:rFonts w:cs="Arial"/>
          <w:color w:val="002F5D"/>
        </w:rPr>
        <w:t>s</w:t>
      </w:r>
      <w:r w:rsidR="00B73583" w:rsidRPr="00330B65">
        <w:rPr>
          <w:rFonts w:cs="Arial"/>
          <w:color w:val="002F5D"/>
        </w:rPr>
        <w:t xml:space="preserve"> in statistical terms </w:t>
      </w:r>
      <w:r w:rsidR="000C1484" w:rsidRPr="00330B65">
        <w:rPr>
          <w:rFonts w:cs="Arial"/>
          <w:color w:val="002F5D"/>
        </w:rPr>
        <w:t xml:space="preserve">is Social care-related quality of life score (%) </w:t>
      </w:r>
      <w:r w:rsidR="00B73583" w:rsidRPr="00330B65">
        <w:rPr>
          <w:rFonts w:cs="Arial"/>
          <w:color w:val="002F5D"/>
        </w:rPr>
        <w:t xml:space="preserve">where Cambridgeshire’s </w:t>
      </w:r>
      <w:r w:rsidR="002D7439" w:rsidRPr="00E61D24">
        <w:rPr>
          <w:rFonts w:cs="Arial"/>
          <w:color w:val="002F5D"/>
        </w:rPr>
        <w:t xml:space="preserve">percentage </w:t>
      </w:r>
      <w:r w:rsidR="00B73583" w:rsidRPr="00330B65">
        <w:rPr>
          <w:rFonts w:cs="Arial"/>
          <w:color w:val="002F5D"/>
        </w:rPr>
        <w:t xml:space="preserve">is better than </w:t>
      </w:r>
      <w:r w:rsidR="002D7439" w:rsidRPr="00E61D24">
        <w:rPr>
          <w:rFonts w:cs="Arial"/>
          <w:color w:val="002F5D"/>
        </w:rPr>
        <w:t>that of</w:t>
      </w:r>
      <w:r w:rsidR="00B73583" w:rsidRPr="00330B65">
        <w:rPr>
          <w:rFonts w:cs="Arial"/>
          <w:color w:val="002F5D"/>
        </w:rPr>
        <w:t xml:space="preserve"> England.</w:t>
      </w:r>
    </w:p>
    <w:p w14:paraId="5B2018AD" w14:textId="0FF56D18" w:rsidR="00CD5C91" w:rsidRPr="00330B65" w:rsidRDefault="007671DE">
      <w:pPr>
        <w:pStyle w:val="ListParagraph"/>
        <w:numPr>
          <w:ilvl w:val="0"/>
          <w:numId w:val="11"/>
        </w:numPr>
        <w:spacing w:line="240" w:lineRule="auto"/>
        <w:rPr>
          <w:rFonts w:cs="Arial"/>
          <w:b/>
          <w:color w:val="002F5D"/>
        </w:rPr>
      </w:pPr>
      <w:r w:rsidRPr="00330B65">
        <w:rPr>
          <w:rFonts w:cs="Arial"/>
          <w:color w:val="002F5D"/>
        </w:rPr>
        <w:t>Of the remaining indicators, though not formally assessed statistically</w:t>
      </w:r>
      <w:r w:rsidR="001E1A4C" w:rsidRPr="00E61D24">
        <w:rPr>
          <w:rFonts w:cs="Arial"/>
          <w:color w:val="002F5D"/>
        </w:rPr>
        <w:t>,</w:t>
      </w:r>
      <w:r w:rsidRPr="00330B65">
        <w:rPr>
          <w:rFonts w:cs="Arial"/>
          <w:color w:val="002F5D"/>
        </w:rPr>
        <w:t xml:space="preserve"> the </w:t>
      </w:r>
      <w:r w:rsidR="001E1A4C" w:rsidRPr="00E61D24">
        <w:rPr>
          <w:rFonts w:cs="Arial"/>
          <w:color w:val="002F5D"/>
        </w:rPr>
        <w:t xml:space="preserve">following </w:t>
      </w:r>
      <w:r w:rsidRPr="00330B65">
        <w:rPr>
          <w:rFonts w:cs="Arial"/>
          <w:color w:val="002F5D"/>
        </w:rPr>
        <w:t>may warrant further attention</w:t>
      </w:r>
      <w:r w:rsidR="002B65E6" w:rsidRPr="00330B65">
        <w:rPr>
          <w:rFonts w:cs="Arial"/>
          <w:color w:val="002F5D"/>
        </w:rPr>
        <w:t xml:space="preserve"> for Cambridgeshire,</w:t>
      </w:r>
      <w:r w:rsidRPr="00330B65">
        <w:rPr>
          <w:rFonts w:cs="Arial"/>
          <w:color w:val="002F5D"/>
        </w:rPr>
        <w:t xml:space="preserve"> simply by virtue of being </w:t>
      </w:r>
      <w:r w:rsidR="001E1A4C" w:rsidRPr="00E61D24">
        <w:rPr>
          <w:rFonts w:cs="Arial"/>
          <w:color w:val="002F5D"/>
        </w:rPr>
        <w:t>above or below</w:t>
      </w:r>
      <w:r w:rsidRPr="00330B65">
        <w:rPr>
          <w:rFonts w:cs="Arial"/>
          <w:color w:val="002F5D"/>
        </w:rPr>
        <w:t xml:space="preserve"> the England rate: </w:t>
      </w:r>
      <w:r w:rsidR="003C1343" w:rsidRPr="00330B65">
        <w:rPr>
          <w:rFonts w:cs="Arial"/>
          <w:color w:val="002F5D"/>
        </w:rPr>
        <w:t xml:space="preserve">people who use services who receive direct payments; </w:t>
      </w:r>
      <w:r w:rsidR="00E85A8C" w:rsidRPr="00330B65">
        <w:rPr>
          <w:rFonts w:cs="Arial"/>
          <w:color w:val="002F5D"/>
        </w:rPr>
        <w:t>a</w:t>
      </w:r>
      <w:r w:rsidR="00E07424" w:rsidRPr="00330B65">
        <w:rPr>
          <w:rFonts w:cs="Arial"/>
          <w:color w:val="002F5D"/>
        </w:rPr>
        <w:t>dults with a learning disability in paid employment</w:t>
      </w:r>
      <w:r w:rsidR="002F34DE" w:rsidRPr="00330B65">
        <w:rPr>
          <w:rFonts w:cs="Arial"/>
          <w:color w:val="002F5D"/>
        </w:rPr>
        <w:t xml:space="preserve">; adults with a learning disability who live in their own home or with their family; </w:t>
      </w:r>
      <w:r w:rsidR="00BE6688" w:rsidRPr="00330B65">
        <w:rPr>
          <w:rFonts w:cs="Arial"/>
          <w:color w:val="002F5D"/>
        </w:rPr>
        <w:t>older people (aged 65 and over) who were still at home 91 days after discharge from hospital into reablem</w:t>
      </w:r>
      <w:r w:rsidR="00C576E3" w:rsidRPr="00330B65">
        <w:rPr>
          <w:rFonts w:cs="Arial"/>
          <w:color w:val="002F5D"/>
        </w:rPr>
        <w:t>ent/rehabilitation services</w:t>
      </w:r>
      <w:r w:rsidR="005731F9" w:rsidRPr="00330B65">
        <w:rPr>
          <w:rFonts w:cs="Arial"/>
          <w:color w:val="002F5D"/>
        </w:rPr>
        <w:t>; older people who received reablement/rehabilitation services after discharge from hospital; delayed transfers of care from hospital and delayed transfers of care from hospital that are attributable to adult social care</w:t>
      </w:r>
      <w:r w:rsidR="00C576E3" w:rsidRPr="00330B65">
        <w:rPr>
          <w:rFonts w:cs="Arial"/>
          <w:color w:val="002F5D"/>
        </w:rPr>
        <w:t>.</w:t>
      </w:r>
      <w:r w:rsidR="00CD5C91" w:rsidRPr="00330B65">
        <w:rPr>
          <w:color w:val="002F5D"/>
        </w:rPr>
        <w:t xml:space="preserve"> </w:t>
      </w:r>
    </w:p>
    <w:p w14:paraId="795F922A" w14:textId="651D2062" w:rsidR="00CD5C91" w:rsidRPr="00330B65" w:rsidRDefault="00CD5C91" w:rsidP="00061C15">
      <w:pPr>
        <w:pStyle w:val="ListParagraph"/>
        <w:numPr>
          <w:ilvl w:val="0"/>
          <w:numId w:val="11"/>
        </w:numPr>
        <w:spacing w:line="240" w:lineRule="auto"/>
        <w:rPr>
          <w:rFonts w:cs="Arial"/>
          <w:b/>
          <w:color w:val="002F5D"/>
        </w:rPr>
      </w:pPr>
      <w:r w:rsidRPr="00330B65">
        <w:rPr>
          <w:rFonts w:cs="Arial"/>
          <w:color w:val="002F5D"/>
        </w:rPr>
        <w:t>In Peterborough, the indicators that differ in statistical terms are</w:t>
      </w:r>
      <w:r w:rsidR="002B65E6" w:rsidRPr="00330B65">
        <w:rPr>
          <w:rFonts w:cs="Arial"/>
          <w:color w:val="002F5D"/>
        </w:rPr>
        <w:t xml:space="preserve"> </w:t>
      </w:r>
      <w:r w:rsidR="000C1484" w:rsidRPr="00F27523">
        <w:rPr>
          <w:rFonts w:cs="Arial"/>
          <w:color w:val="002F5D"/>
        </w:rPr>
        <w:t xml:space="preserve">Social care-related quality of life score (%) </w:t>
      </w:r>
      <w:r w:rsidR="002B65E6" w:rsidRPr="00330B65">
        <w:rPr>
          <w:rFonts w:cs="Arial"/>
          <w:color w:val="002F5D"/>
        </w:rPr>
        <w:t xml:space="preserve"> and </w:t>
      </w:r>
      <w:r w:rsidRPr="00330B65">
        <w:rPr>
          <w:rFonts w:cs="Arial"/>
          <w:color w:val="002F5D"/>
        </w:rPr>
        <w:t xml:space="preserve">the proportion of people who use services </w:t>
      </w:r>
      <w:r w:rsidR="002B65E6" w:rsidRPr="00330B65">
        <w:rPr>
          <w:rFonts w:cs="Arial"/>
          <w:color w:val="002F5D"/>
        </w:rPr>
        <w:t xml:space="preserve">who </w:t>
      </w:r>
      <w:r w:rsidR="000C1484" w:rsidRPr="00330B65">
        <w:rPr>
          <w:rFonts w:cs="Arial"/>
          <w:color w:val="002F5D"/>
        </w:rPr>
        <w:t xml:space="preserve">have control over their daily life (%) </w:t>
      </w:r>
      <w:r w:rsidR="002B65E6" w:rsidRPr="00330B65">
        <w:rPr>
          <w:rFonts w:cs="Arial"/>
          <w:color w:val="002F5D"/>
        </w:rPr>
        <w:t>where the</w:t>
      </w:r>
      <w:r w:rsidR="000C1484" w:rsidRPr="00F27523">
        <w:rPr>
          <w:rFonts w:cs="Arial"/>
          <w:color w:val="002F5D"/>
        </w:rPr>
        <w:t xml:space="preserve"> Peterborough</w:t>
      </w:r>
      <w:r w:rsidRPr="00330B65">
        <w:rPr>
          <w:rFonts w:cs="Arial"/>
          <w:color w:val="002F5D"/>
        </w:rPr>
        <w:t xml:space="preserve"> </w:t>
      </w:r>
      <w:r w:rsidR="00F27523" w:rsidRPr="00E61D24">
        <w:rPr>
          <w:rFonts w:cs="Arial"/>
          <w:color w:val="002F5D"/>
        </w:rPr>
        <w:t>percentages</w:t>
      </w:r>
      <w:r w:rsidRPr="00330B65">
        <w:rPr>
          <w:rFonts w:cs="Arial"/>
          <w:color w:val="002F5D"/>
        </w:rPr>
        <w:t xml:space="preserve"> </w:t>
      </w:r>
      <w:r w:rsidR="000C1484" w:rsidRPr="00F27523">
        <w:rPr>
          <w:rFonts w:cs="Arial"/>
          <w:color w:val="002F5D"/>
        </w:rPr>
        <w:t>are</w:t>
      </w:r>
      <w:r w:rsidRPr="00330B65">
        <w:rPr>
          <w:rFonts w:cs="Arial"/>
          <w:color w:val="002F5D"/>
        </w:rPr>
        <w:t xml:space="preserve"> better than the England proportion</w:t>
      </w:r>
      <w:r w:rsidR="000C1484" w:rsidRPr="00330B65">
        <w:rPr>
          <w:rFonts w:cs="Arial"/>
          <w:color w:val="002F5D"/>
        </w:rPr>
        <w:t>.</w:t>
      </w:r>
    </w:p>
    <w:p w14:paraId="627755FC" w14:textId="39C26B2C" w:rsidR="002B65E6" w:rsidRPr="00330B65" w:rsidRDefault="002B65E6" w:rsidP="00061C15">
      <w:pPr>
        <w:pStyle w:val="ListParagraph"/>
        <w:numPr>
          <w:ilvl w:val="0"/>
          <w:numId w:val="11"/>
        </w:numPr>
        <w:spacing w:line="240" w:lineRule="auto"/>
        <w:rPr>
          <w:rFonts w:cs="Arial"/>
          <w:b/>
          <w:color w:val="002F5D"/>
        </w:rPr>
      </w:pPr>
      <w:r w:rsidRPr="00330B65">
        <w:rPr>
          <w:rFonts w:cs="Arial"/>
          <w:color w:val="002F5D"/>
        </w:rPr>
        <w:t xml:space="preserve">Of the remaining indicators, though not formally assessed statistically these may warrant further attention for Peterborough, simply by virtue of being </w:t>
      </w:r>
      <w:r w:rsidR="00B340FB">
        <w:rPr>
          <w:rFonts w:cs="Arial"/>
          <w:color w:val="002F5D"/>
        </w:rPr>
        <w:t xml:space="preserve">above or below </w:t>
      </w:r>
      <w:r w:rsidRPr="00330B65">
        <w:rPr>
          <w:rFonts w:cs="Arial"/>
          <w:color w:val="002F5D"/>
        </w:rPr>
        <w:t xml:space="preserve">the England rate: people who use services who receive direct payments; carers who receive direct payments; </w:t>
      </w:r>
      <w:r w:rsidR="005731F9" w:rsidRPr="00D3156E">
        <w:rPr>
          <w:rFonts w:cs="Arial"/>
          <w:color w:val="002F5D"/>
        </w:rPr>
        <w:t xml:space="preserve">older people (aged 65 and over) who were still at home 91 days after discharge from hospital into reablement/rehabilitation services; older people who received reablement/rehabilitation services after discharge from hospital; delayed transfers of care from hospital; delayed transfers of care from hospital </w:t>
      </w:r>
      <w:r w:rsidR="00A4172D" w:rsidRPr="00330B65">
        <w:rPr>
          <w:rFonts w:cs="Arial"/>
          <w:color w:val="002F5D"/>
        </w:rPr>
        <w:t>and outcome of short-term services</w:t>
      </w:r>
      <w:r w:rsidRPr="00330B65">
        <w:rPr>
          <w:rFonts w:cs="Arial"/>
          <w:color w:val="002F5D"/>
        </w:rPr>
        <w:t>.</w:t>
      </w:r>
    </w:p>
    <w:p w14:paraId="0E951DF4" w14:textId="71D64B2A" w:rsidR="00D96FFE" w:rsidRDefault="00D96FFE" w:rsidP="00330B65">
      <w:pPr>
        <w:spacing w:line="240" w:lineRule="auto"/>
        <w:rPr>
          <w:rFonts w:cs="Arial"/>
          <w:b/>
          <w:color w:val="FF0000"/>
        </w:rPr>
      </w:pPr>
    </w:p>
    <w:p w14:paraId="450E6D50" w14:textId="049287EA" w:rsidR="00D96FFE" w:rsidRDefault="00D96FFE" w:rsidP="00330B65">
      <w:pPr>
        <w:spacing w:line="240" w:lineRule="auto"/>
        <w:rPr>
          <w:rFonts w:cs="Arial"/>
          <w:b/>
          <w:color w:val="FF0000"/>
        </w:rPr>
      </w:pPr>
    </w:p>
    <w:p w14:paraId="0474C30D" w14:textId="2022E19A" w:rsidR="00D96FFE" w:rsidRDefault="00D96FFE" w:rsidP="00330B65">
      <w:pPr>
        <w:spacing w:line="240" w:lineRule="auto"/>
        <w:rPr>
          <w:rFonts w:cs="Arial"/>
          <w:b/>
          <w:color w:val="FF0000"/>
        </w:rPr>
      </w:pPr>
    </w:p>
    <w:p w14:paraId="75358B63" w14:textId="4167B467" w:rsidR="00D96FFE" w:rsidRDefault="00D96FFE" w:rsidP="00330B65">
      <w:pPr>
        <w:spacing w:line="240" w:lineRule="auto"/>
        <w:rPr>
          <w:rFonts w:cs="Arial"/>
          <w:b/>
          <w:color w:val="FF0000"/>
        </w:rPr>
      </w:pPr>
    </w:p>
    <w:p w14:paraId="4280A7A3" w14:textId="4B0438D2" w:rsidR="00D96FFE" w:rsidRDefault="00D96FFE" w:rsidP="00330B65">
      <w:pPr>
        <w:spacing w:line="240" w:lineRule="auto"/>
        <w:rPr>
          <w:rFonts w:cs="Arial"/>
          <w:b/>
          <w:color w:val="FF0000"/>
        </w:rPr>
      </w:pPr>
    </w:p>
    <w:p w14:paraId="7C049EA9" w14:textId="71BDD7EB" w:rsidR="00D96FFE" w:rsidRDefault="00D96FFE" w:rsidP="00330B65">
      <w:pPr>
        <w:spacing w:line="240" w:lineRule="auto"/>
        <w:rPr>
          <w:rFonts w:cs="Arial"/>
          <w:b/>
          <w:color w:val="FF0000"/>
        </w:rPr>
      </w:pPr>
    </w:p>
    <w:p w14:paraId="1B114670" w14:textId="2B6A14B1" w:rsidR="00D96FFE" w:rsidRDefault="00D96FFE" w:rsidP="00330B65">
      <w:pPr>
        <w:spacing w:line="240" w:lineRule="auto"/>
        <w:rPr>
          <w:rFonts w:cs="Arial"/>
          <w:b/>
          <w:color w:val="FF0000"/>
        </w:rPr>
      </w:pPr>
    </w:p>
    <w:p w14:paraId="1FA8A3FE" w14:textId="512D8B75" w:rsidR="00D96FFE" w:rsidRDefault="00D96FFE" w:rsidP="00330B65">
      <w:pPr>
        <w:spacing w:line="240" w:lineRule="auto"/>
        <w:rPr>
          <w:rFonts w:cs="Arial"/>
          <w:b/>
          <w:color w:val="FF0000"/>
        </w:rPr>
      </w:pPr>
    </w:p>
    <w:p w14:paraId="5B4BF55A" w14:textId="03335F05" w:rsidR="00D96FFE" w:rsidRDefault="00D96FFE" w:rsidP="00330B65">
      <w:pPr>
        <w:spacing w:line="240" w:lineRule="auto"/>
        <w:rPr>
          <w:rFonts w:cs="Arial"/>
          <w:b/>
          <w:color w:val="FF0000"/>
        </w:rPr>
      </w:pPr>
    </w:p>
    <w:p w14:paraId="64D104C0" w14:textId="4214A18C" w:rsidR="00D96FFE" w:rsidRDefault="00D96FFE" w:rsidP="00330B65">
      <w:pPr>
        <w:spacing w:line="240" w:lineRule="auto"/>
        <w:rPr>
          <w:rFonts w:cs="Arial"/>
          <w:b/>
          <w:color w:val="FF0000"/>
        </w:rPr>
      </w:pPr>
    </w:p>
    <w:p w14:paraId="2C864DCE" w14:textId="102F302A" w:rsidR="00D96FFE" w:rsidRDefault="00D96FFE" w:rsidP="00330B65">
      <w:pPr>
        <w:spacing w:line="240" w:lineRule="auto"/>
        <w:rPr>
          <w:rFonts w:cs="Arial"/>
          <w:b/>
          <w:color w:val="FF0000"/>
        </w:rPr>
      </w:pPr>
    </w:p>
    <w:p w14:paraId="7D577B9E" w14:textId="5A9EF716" w:rsidR="00D96FFE" w:rsidRDefault="00D96FFE" w:rsidP="00330B65">
      <w:pPr>
        <w:spacing w:line="240" w:lineRule="auto"/>
        <w:rPr>
          <w:rFonts w:cs="Arial"/>
          <w:b/>
          <w:color w:val="FF0000"/>
        </w:rPr>
      </w:pPr>
    </w:p>
    <w:p w14:paraId="1F79E3D5" w14:textId="4E6A6EBF" w:rsidR="00D96FFE" w:rsidRDefault="00D96FFE" w:rsidP="00330B65">
      <w:pPr>
        <w:spacing w:line="240" w:lineRule="auto"/>
        <w:rPr>
          <w:rFonts w:cs="Arial"/>
          <w:b/>
          <w:color w:val="FF0000"/>
        </w:rPr>
      </w:pPr>
    </w:p>
    <w:p w14:paraId="64278720" w14:textId="2EEE748A" w:rsidR="00D96FFE" w:rsidRDefault="00D96FFE" w:rsidP="00330B65">
      <w:pPr>
        <w:spacing w:line="240" w:lineRule="auto"/>
        <w:rPr>
          <w:rFonts w:cs="Arial"/>
          <w:b/>
          <w:color w:val="FF0000"/>
        </w:rPr>
      </w:pPr>
    </w:p>
    <w:p w14:paraId="0CF9A7EE" w14:textId="7FAF69C0" w:rsidR="00D96FFE" w:rsidRDefault="00D96FFE" w:rsidP="00330B65">
      <w:pPr>
        <w:spacing w:line="240" w:lineRule="auto"/>
        <w:rPr>
          <w:rFonts w:cs="Arial"/>
          <w:b/>
          <w:color w:val="FF0000"/>
        </w:rPr>
      </w:pPr>
    </w:p>
    <w:p w14:paraId="0778F2AC" w14:textId="385D1283" w:rsidR="00D96FFE" w:rsidRDefault="00D96FFE" w:rsidP="00330B65">
      <w:pPr>
        <w:spacing w:line="240" w:lineRule="auto"/>
        <w:rPr>
          <w:rFonts w:cs="Arial"/>
          <w:b/>
          <w:color w:val="FF0000"/>
        </w:rPr>
      </w:pPr>
    </w:p>
    <w:p w14:paraId="659BF013" w14:textId="08876DEE" w:rsidR="00D96FFE" w:rsidRDefault="00D96FFE" w:rsidP="00330B65">
      <w:pPr>
        <w:spacing w:line="240" w:lineRule="auto"/>
        <w:rPr>
          <w:rFonts w:cs="Arial"/>
          <w:b/>
          <w:color w:val="FF0000"/>
        </w:rPr>
      </w:pPr>
    </w:p>
    <w:p w14:paraId="4E90EB9F" w14:textId="4ED38685" w:rsidR="00D96FFE" w:rsidRDefault="00D96FFE" w:rsidP="00330B65">
      <w:pPr>
        <w:spacing w:line="240" w:lineRule="auto"/>
        <w:rPr>
          <w:rFonts w:cs="Arial"/>
          <w:b/>
          <w:color w:val="FF0000"/>
        </w:rPr>
      </w:pPr>
    </w:p>
    <w:p w14:paraId="23DC7928" w14:textId="62ACCE3C" w:rsidR="00D96FFE" w:rsidRDefault="00D96FFE" w:rsidP="00330B65">
      <w:pPr>
        <w:spacing w:line="240" w:lineRule="auto"/>
        <w:rPr>
          <w:rFonts w:cs="Arial"/>
          <w:b/>
          <w:color w:val="FF0000"/>
        </w:rPr>
      </w:pPr>
    </w:p>
    <w:p w14:paraId="1A70C039" w14:textId="32D2F0DE" w:rsidR="005731F9" w:rsidRDefault="005731F9" w:rsidP="00330B65">
      <w:pPr>
        <w:spacing w:line="240" w:lineRule="auto"/>
        <w:rPr>
          <w:rFonts w:cs="Arial"/>
          <w:b/>
          <w:color w:val="FF0000"/>
        </w:rPr>
      </w:pPr>
    </w:p>
    <w:p w14:paraId="616F39A8" w14:textId="77777777" w:rsidR="005731F9" w:rsidRDefault="005731F9" w:rsidP="00330B65">
      <w:pPr>
        <w:spacing w:line="240" w:lineRule="auto"/>
        <w:rPr>
          <w:rFonts w:cs="Arial"/>
          <w:b/>
          <w:color w:val="FF0000"/>
        </w:rPr>
      </w:pPr>
    </w:p>
    <w:p w14:paraId="760F912F" w14:textId="77777777" w:rsidR="0099729C" w:rsidRPr="00E61D24" w:rsidRDefault="0099729C" w:rsidP="00330B65">
      <w:pPr>
        <w:spacing w:line="240" w:lineRule="auto"/>
        <w:rPr>
          <w:rFonts w:cs="Arial"/>
          <w:b/>
          <w:color w:val="FF0000"/>
        </w:rPr>
      </w:pPr>
    </w:p>
    <w:p w14:paraId="549B697F" w14:textId="77777777" w:rsidR="004F611E" w:rsidRPr="0037351D" w:rsidRDefault="004F611E" w:rsidP="00CC6C4D">
      <w:pPr>
        <w:rPr>
          <w:color w:val="FF0000"/>
        </w:rPr>
      </w:pPr>
    </w:p>
    <w:p w14:paraId="34AEE874" w14:textId="652CDE37" w:rsidR="008D4440" w:rsidRPr="00330B65" w:rsidRDefault="00A2366A" w:rsidP="00330B65">
      <w:pPr>
        <w:spacing w:after="160" w:line="240" w:lineRule="auto"/>
        <w:rPr>
          <w:rFonts w:ascii="Calibri" w:hAnsi="Calibri" w:cs="Calibri"/>
          <w:b/>
          <w:color w:val="002F5D"/>
        </w:rPr>
      </w:pPr>
      <w:r w:rsidRPr="008F22CF">
        <w:rPr>
          <w:rFonts w:ascii="Calibri" w:hAnsi="Calibri" w:cs="Calibri"/>
          <w:b/>
          <w:color w:val="002F5D"/>
        </w:rPr>
        <w:lastRenderedPageBreak/>
        <w:t>Figure 45</w:t>
      </w:r>
      <w:r w:rsidR="00837184" w:rsidRPr="008F22CF">
        <w:rPr>
          <w:rFonts w:ascii="Calibri" w:hAnsi="Calibri" w:cs="Calibri"/>
          <w:b/>
          <w:color w:val="002F5D"/>
        </w:rPr>
        <w:t xml:space="preserve">. </w:t>
      </w:r>
      <w:r w:rsidR="008D4440" w:rsidRPr="00330B65">
        <w:rPr>
          <w:rFonts w:ascii="Calibri" w:hAnsi="Calibri" w:cs="Calibri"/>
          <w:color w:val="002F5D"/>
        </w:rPr>
        <w:t>Children’s Social Care referrals per 10,000 of population (aged 0-17)</w:t>
      </w:r>
      <w:r w:rsidR="00936844" w:rsidRPr="00330B65">
        <w:rPr>
          <w:rFonts w:ascii="Calibri" w:hAnsi="Calibri" w:cs="Calibri"/>
          <w:color w:val="002F5D"/>
        </w:rPr>
        <w:t>, Cambridgeshire</w:t>
      </w:r>
    </w:p>
    <w:p w14:paraId="35186F86" w14:textId="6750A8CB" w:rsidR="008D4440" w:rsidRPr="008F22CF" w:rsidRDefault="008D4440" w:rsidP="00330B65">
      <w:pPr>
        <w:spacing w:line="240" w:lineRule="auto"/>
        <w:rPr>
          <w:rFonts w:ascii="Calibri" w:hAnsi="Calibri" w:cs="Calibri"/>
          <w:color w:val="002F5D"/>
        </w:rPr>
      </w:pPr>
      <w:r w:rsidRPr="00330B65">
        <w:rPr>
          <w:rFonts w:ascii="Calibri" w:hAnsi="Calibri" w:cs="Calibri"/>
          <w:color w:val="002F5D"/>
        </w:rPr>
        <w:t>A referral is defined as ‘a request for services to be provided by local authority children’s social care’ via the assessment process outlined in Working Together 2015 and is either in respect of a child not previously known to the local authority, or where a case was previously open but is now closed. New information about a child who is already an open case does not constitute a referral for the purposes of this return. (CiN Census guidance</w:t>
      </w:r>
      <w:r w:rsidR="0099729C" w:rsidRPr="0041347C">
        <w:rPr>
          <w:rStyle w:val="FootnoteReference"/>
          <w:color w:val="002B61"/>
        </w:rPr>
        <w:footnoteReference w:id="17"/>
      </w:r>
      <w:r w:rsidRPr="00330B65">
        <w:rPr>
          <w:rFonts w:ascii="Calibri" w:hAnsi="Calibri" w:cs="Calibri"/>
          <w:color w:val="002F5D"/>
        </w:rPr>
        <w:t>, page 29)</w:t>
      </w:r>
    </w:p>
    <w:p w14:paraId="59698B6A" w14:textId="77777777" w:rsidR="00936844" w:rsidRPr="00330B65" w:rsidRDefault="00936844" w:rsidP="008D4440">
      <w:pPr>
        <w:rPr>
          <w:rFonts w:ascii="Calibri" w:hAnsi="Calibri" w:cs="Calibri"/>
          <w:color w:val="002F5D"/>
        </w:rPr>
      </w:pPr>
    </w:p>
    <w:p w14:paraId="057B492A" w14:textId="77777777" w:rsidR="008D4440" w:rsidRPr="00330B65" w:rsidRDefault="008D4440" w:rsidP="008D4440">
      <w:pPr>
        <w:rPr>
          <w:rFonts w:ascii="Calibri" w:hAnsi="Calibri" w:cs="Calibri"/>
          <w:color w:val="002F5D"/>
        </w:rPr>
      </w:pPr>
      <w:r w:rsidRPr="00330B65">
        <w:rPr>
          <w:rFonts w:ascii="Calibri" w:hAnsi="Calibri" w:cs="Calibri"/>
          <w:noProof/>
          <w:color w:val="002F5D"/>
          <w:lang w:eastAsia="en-GB"/>
        </w:rPr>
        <w:drawing>
          <wp:inline distT="0" distB="0" distL="0" distR="0" wp14:anchorId="55CD9CE5" wp14:editId="4D1B4D00">
            <wp:extent cx="5569527" cy="2161309"/>
            <wp:effectExtent l="0" t="0" r="12700" b="10795"/>
            <wp:docPr id="473" name="Chart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62BFF36D" w14:textId="3A03732A" w:rsidR="00385DD0" w:rsidRPr="00102750" w:rsidRDefault="00385DD0"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sidR="00782D43">
        <w:rPr>
          <w:rFonts w:ascii="Calibri" w:hAnsi="Calibri" w:cs="Calibri"/>
          <w:color w:val="002F5D"/>
          <w:sz w:val="18"/>
          <w:szCs w:val="18"/>
        </w:rPr>
        <w:t xml:space="preserve"> are listed in Table 91 below</w:t>
      </w:r>
    </w:p>
    <w:p w14:paraId="78EA9A19" w14:textId="77777777" w:rsidR="00385DD0" w:rsidRDefault="00385DD0" w:rsidP="00330B65">
      <w:pPr>
        <w:spacing w:line="240" w:lineRule="auto"/>
        <w:rPr>
          <w:rFonts w:ascii="Calibri" w:hAnsi="Calibri" w:cs="Calibri"/>
          <w:color w:val="002F5D"/>
        </w:rPr>
      </w:pPr>
    </w:p>
    <w:p w14:paraId="13D1154D" w14:textId="27CD344F" w:rsidR="00F27523" w:rsidRPr="00330B65"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782D43">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5F4C02D4" w14:textId="77777777" w:rsidR="008F22CF" w:rsidRDefault="008F22CF" w:rsidP="00330B65">
      <w:pPr>
        <w:spacing w:line="240" w:lineRule="auto"/>
        <w:rPr>
          <w:rFonts w:ascii="Calibri" w:hAnsi="Calibri" w:cs="Calibri"/>
          <w:color w:val="002F5D"/>
        </w:rPr>
      </w:pPr>
    </w:p>
    <w:p w14:paraId="65B28FCC" w14:textId="66BD367C" w:rsidR="008D4440" w:rsidRDefault="008D4440" w:rsidP="00330B65">
      <w:pPr>
        <w:spacing w:line="240" w:lineRule="auto"/>
        <w:rPr>
          <w:rFonts w:ascii="Calibri" w:hAnsi="Calibri" w:cs="Calibri"/>
          <w:color w:val="002F5D"/>
        </w:rPr>
      </w:pPr>
      <w:r w:rsidRPr="00330B65">
        <w:rPr>
          <w:rFonts w:ascii="Calibri" w:hAnsi="Calibri" w:cs="Calibri"/>
          <w:color w:val="002F5D"/>
        </w:rPr>
        <w:t>Although increasing, referral rates in Cambridgeshire remain</w:t>
      </w:r>
      <w:r w:rsidR="00D075C4">
        <w:rPr>
          <w:rFonts w:ascii="Calibri" w:hAnsi="Calibri" w:cs="Calibri"/>
          <w:color w:val="002F5D"/>
        </w:rPr>
        <w:t xml:space="preserve"> numerically</w:t>
      </w:r>
      <w:r w:rsidRPr="00330B65">
        <w:rPr>
          <w:rFonts w:ascii="Calibri" w:hAnsi="Calibri" w:cs="Calibri"/>
          <w:color w:val="002F5D"/>
        </w:rPr>
        <w:t xml:space="preserve"> lower then national and regional averages, and below the average for statistical neighbours. </w:t>
      </w:r>
    </w:p>
    <w:p w14:paraId="0B46EBB1" w14:textId="77777777" w:rsidR="00936844" w:rsidRDefault="00936844" w:rsidP="00330B65">
      <w:pPr>
        <w:spacing w:line="240" w:lineRule="auto"/>
        <w:rPr>
          <w:rFonts w:ascii="Calibri" w:hAnsi="Calibri" w:cs="Calibri"/>
          <w:color w:val="002F5D"/>
        </w:rPr>
      </w:pPr>
    </w:p>
    <w:p w14:paraId="691C723B" w14:textId="06909298" w:rsidR="00936844" w:rsidRPr="00330B65" w:rsidRDefault="00A2366A" w:rsidP="00330B65">
      <w:pPr>
        <w:spacing w:after="160" w:line="240" w:lineRule="auto"/>
        <w:rPr>
          <w:rFonts w:ascii="Calibri" w:hAnsi="Calibri" w:cs="Calibri"/>
          <w:b/>
          <w:color w:val="002F5D"/>
        </w:rPr>
      </w:pPr>
      <w:r>
        <w:rPr>
          <w:rFonts w:ascii="Calibri" w:hAnsi="Calibri" w:cs="Calibri"/>
          <w:b/>
          <w:color w:val="002F5D"/>
        </w:rPr>
        <w:t>Figure 46</w:t>
      </w:r>
      <w:r w:rsidR="00837184">
        <w:rPr>
          <w:rFonts w:ascii="Calibri" w:hAnsi="Calibri" w:cs="Calibri"/>
          <w:b/>
          <w:color w:val="002F5D"/>
        </w:rPr>
        <w:t>.</w:t>
      </w:r>
      <w:r w:rsidR="00936844">
        <w:rPr>
          <w:rFonts w:ascii="Calibri" w:hAnsi="Calibri" w:cs="Calibri"/>
          <w:b/>
          <w:color w:val="002F5D"/>
        </w:rPr>
        <w:t xml:space="preserve"> </w:t>
      </w:r>
      <w:r w:rsidR="00936844" w:rsidRPr="00330B65">
        <w:rPr>
          <w:rFonts w:ascii="Calibri" w:hAnsi="Calibri" w:cs="Calibri"/>
          <w:color w:val="002F5D"/>
        </w:rPr>
        <w:t>Children’s Social Care referrals per 10,000 of population (aged 0-17), Peterborough</w:t>
      </w:r>
    </w:p>
    <w:p w14:paraId="0E436027" w14:textId="77777777" w:rsidR="008D4440" w:rsidRPr="00330B65" w:rsidRDefault="008D4440" w:rsidP="008D4440">
      <w:pPr>
        <w:pStyle w:val="ListParagraph"/>
        <w:ind w:left="0"/>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0E782E2E" wp14:editId="5E5A2DB7">
            <wp:extent cx="5507182" cy="2119746"/>
            <wp:effectExtent l="0" t="0" r="17780" b="13970"/>
            <wp:docPr id="474"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398501BE"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3EA0A898" w14:textId="77777777" w:rsidR="00782D43" w:rsidRDefault="00782D43" w:rsidP="00330B65">
      <w:pPr>
        <w:spacing w:line="240" w:lineRule="auto"/>
        <w:rPr>
          <w:rFonts w:ascii="Calibri" w:hAnsi="Calibri" w:cs="Calibri"/>
          <w:color w:val="002F5D"/>
        </w:rPr>
      </w:pPr>
    </w:p>
    <w:p w14:paraId="3470AF81" w14:textId="1BB43FF5"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35948292" w14:textId="77777777" w:rsidR="00936844" w:rsidRDefault="00936844" w:rsidP="00330B65">
      <w:pPr>
        <w:spacing w:line="240" w:lineRule="auto"/>
        <w:rPr>
          <w:rFonts w:ascii="Calibri" w:hAnsi="Calibri" w:cs="Calibri"/>
          <w:color w:val="002F5D"/>
        </w:rPr>
      </w:pPr>
    </w:p>
    <w:p w14:paraId="15D0006D" w14:textId="429DAD1D" w:rsidR="0099729C" w:rsidRPr="00330B65" w:rsidRDefault="008D4440" w:rsidP="00330B65">
      <w:pPr>
        <w:spacing w:line="240" w:lineRule="auto"/>
        <w:rPr>
          <w:rFonts w:ascii="Calibri" w:hAnsi="Calibri" w:cs="Calibri"/>
          <w:color w:val="002F5D"/>
        </w:rPr>
      </w:pPr>
      <w:r w:rsidRPr="00330B65">
        <w:rPr>
          <w:rFonts w:ascii="Calibri" w:hAnsi="Calibri" w:cs="Calibri"/>
          <w:color w:val="002F5D"/>
        </w:rPr>
        <w:t xml:space="preserve">Referral rates in Peterborough have fallen </w:t>
      </w:r>
      <w:r w:rsidR="00F27523">
        <w:rPr>
          <w:rFonts w:ascii="Calibri" w:hAnsi="Calibri" w:cs="Calibri"/>
          <w:color w:val="002F5D"/>
        </w:rPr>
        <w:t>substantially</w:t>
      </w:r>
      <w:r w:rsidRPr="00E61D24">
        <w:rPr>
          <w:rFonts w:ascii="Calibri" w:hAnsi="Calibri" w:cs="Calibri"/>
          <w:color w:val="002F5D"/>
        </w:rPr>
        <w:t xml:space="preserve"> </w:t>
      </w:r>
      <w:r w:rsidR="002F6B4E">
        <w:rPr>
          <w:rFonts w:ascii="Calibri" w:hAnsi="Calibri" w:cs="Calibri"/>
          <w:color w:val="002F5D"/>
        </w:rPr>
        <w:t>compared to</w:t>
      </w:r>
      <w:r w:rsidRPr="00E61D24">
        <w:rPr>
          <w:rFonts w:ascii="Calibri" w:hAnsi="Calibri" w:cs="Calibri"/>
          <w:color w:val="002F5D"/>
        </w:rPr>
        <w:t xml:space="preserve"> the 2015-16 financial year.  Although </w:t>
      </w:r>
      <w:r w:rsidR="002F6B4E">
        <w:rPr>
          <w:rFonts w:ascii="Calibri" w:hAnsi="Calibri" w:cs="Calibri"/>
          <w:color w:val="002F5D"/>
        </w:rPr>
        <w:t>numerically higher than</w:t>
      </w:r>
      <w:r w:rsidRPr="00330B65">
        <w:rPr>
          <w:rFonts w:ascii="Calibri" w:hAnsi="Calibri" w:cs="Calibri"/>
          <w:color w:val="002F5D"/>
        </w:rPr>
        <w:t xml:space="preserve"> the regional average, referral rates are now in line with the England average and below the statistical neighbour average.</w:t>
      </w:r>
      <w:r w:rsidRPr="00330B65">
        <w:rPr>
          <w:rFonts w:ascii="Calibri" w:hAnsi="Calibri" w:cs="Calibri"/>
          <w:color w:val="002F5D"/>
        </w:rPr>
        <w:br w:type="page"/>
      </w:r>
    </w:p>
    <w:tbl>
      <w:tblPr>
        <w:tblW w:w="8591" w:type="dxa"/>
        <w:tblLook w:val="04A0" w:firstRow="1" w:lastRow="0" w:firstColumn="1" w:lastColumn="0" w:noHBand="0" w:noVBand="1"/>
      </w:tblPr>
      <w:tblGrid>
        <w:gridCol w:w="4596"/>
        <w:gridCol w:w="755"/>
        <w:gridCol w:w="936"/>
        <w:gridCol w:w="2304"/>
      </w:tblGrid>
      <w:tr w:rsidR="00936844" w:rsidRPr="00936844" w14:paraId="4E037E79" w14:textId="77777777" w:rsidTr="00330B65">
        <w:trPr>
          <w:trHeight w:val="315"/>
        </w:trPr>
        <w:tc>
          <w:tcPr>
            <w:tcW w:w="8591" w:type="dxa"/>
            <w:gridSpan w:val="4"/>
            <w:tcBorders>
              <w:top w:val="nil"/>
              <w:left w:val="nil"/>
              <w:bottom w:val="single" w:sz="12" w:space="0" w:color="002F5D"/>
              <w:right w:val="nil"/>
            </w:tcBorders>
            <w:shd w:val="clear" w:color="auto" w:fill="auto"/>
            <w:noWrap/>
            <w:vAlign w:val="bottom"/>
            <w:hideMark/>
          </w:tcPr>
          <w:p w14:paraId="53445D32" w14:textId="1044ABAB" w:rsidR="008D4440" w:rsidRDefault="00B81E4B" w:rsidP="00936844">
            <w:pPr>
              <w:spacing w:line="240" w:lineRule="auto"/>
              <w:rPr>
                <w:rFonts w:ascii="Calibri" w:eastAsia="Times New Roman" w:hAnsi="Calibri" w:cs="Calibri"/>
                <w:b/>
                <w:bCs/>
                <w:color w:val="002F5D"/>
                <w:lang w:eastAsia="en-GB"/>
              </w:rPr>
            </w:pPr>
            <w:r>
              <w:rPr>
                <w:rFonts w:ascii="Calibri" w:eastAsia="Times New Roman" w:hAnsi="Calibri" w:cs="Calibri"/>
                <w:b/>
                <w:bCs/>
                <w:color w:val="002F5D"/>
                <w:lang w:eastAsia="en-GB"/>
              </w:rPr>
              <w:lastRenderedPageBreak/>
              <w:t>Table 83</w:t>
            </w:r>
            <w:r w:rsidR="00837184">
              <w:rPr>
                <w:rFonts w:ascii="Calibri" w:eastAsia="Times New Roman" w:hAnsi="Calibri" w:cs="Calibri"/>
                <w:b/>
                <w:bCs/>
                <w:color w:val="002F5D"/>
                <w:lang w:eastAsia="en-GB"/>
              </w:rPr>
              <w:t>.</w:t>
            </w:r>
            <w:r w:rsidR="00936844">
              <w:rPr>
                <w:rFonts w:ascii="Calibri" w:eastAsia="Times New Roman" w:hAnsi="Calibri" w:cs="Calibri"/>
                <w:b/>
                <w:bCs/>
                <w:color w:val="002F5D"/>
                <w:lang w:eastAsia="en-GB"/>
              </w:rPr>
              <w:t xml:space="preserve"> </w:t>
            </w:r>
            <w:r w:rsidR="008D4440" w:rsidRPr="00330B65">
              <w:rPr>
                <w:rFonts w:ascii="Calibri" w:eastAsia="Times New Roman" w:hAnsi="Calibri" w:cs="Calibri"/>
                <w:bCs/>
                <w:color w:val="002F5D"/>
                <w:lang w:eastAsia="en-GB"/>
              </w:rPr>
              <w:t>Children's social care referrals received in year 2017/18</w:t>
            </w:r>
          </w:p>
          <w:p w14:paraId="6A760DFC" w14:textId="08878D4C" w:rsidR="00936844" w:rsidRPr="00330B65" w:rsidRDefault="00936844" w:rsidP="00936844">
            <w:pPr>
              <w:spacing w:line="240" w:lineRule="auto"/>
              <w:rPr>
                <w:rFonts w:ascii="Calibri" w:eastAsia="Times New Roman" w:hAnsi="Calibri" w:cs="Calibri"/>
                <w:b/>
                <w:bCs/>
                <w:color w:val="002F5D"/>
                <w:lang w:eastAsia="en-GB"/>
              </w:rPr>
            </w:pPr>
          </w:p>
        </w:tc>
      </w:tr>
      <w:tr w:rsidR="00936844" w:rsidRPr="00936844" w14:paraId="31E3759B" w14:textId="77777777" w:rsidTr="00330B65">
        <w:trPr>
          <w:trHeight w:val="315"/>
        </w:trPr>
        <w:tc>
          <w:tcPr>
            <w:tcW w:w="4596" w:type="dxa"/>
            <w:tcBorders>
              <w:top w:val="single" w:sz="12" w:space="0" w:color="002F5D"/>
              <w:left w:val="single" w:sz="12" w:space="0" w:color="002F5D"/>
              <w:bottom w:val="single" w:sz="4" w:space="0" w:color="F2F2F2" w:themeColor="background1" w:themeShade="F2"/>
              <w:right w:val="single" w:sz="4" w:space="0" w:color="F2F2F2" w:themeColor="background1" w:themeShade="F2"/>
            </w:tcBorders>
            <w:shd w:val="clear" w:color="000000" w:fill="1F4E78"/>
            <w:noWrap/>
            <w:vAlign w:val="bottom"/>
            <w:hideMark/>
          </w:tcPr>
          <w:p w14:paraId="7717C072"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755" w:type="dxa"/>
            <w:tcBorders>
              <w:top w:val="single" w:sz="12" w:space="0" w:color="002F5D"/>
              <w:left w:val="single" w:sz="4" w:space="0" w:color="F2F2F2" w:themeColor="background1" w:themeShade="F2"/>
              <w:bottom w:val="single" w:sz="4" w:space="0" w:color="F2F2F2" w:themeColor="background1" w:themeShade="F2"/>
              <w:right w:val="single" w:sz="4" w:space="0" w:color="F2F2F2" w:themeColor="background1" w:themeShade="F2"/>
            </w:tcBorders>
            <w:shd w:val="clear" w:color="000000" w:fill="1F4E78"/>
            <w:noWrap/>
            <w:vAlign w:val="bottom"/>
            <w:hideMark/>
          </w:tcPr>
          <w:p w14:paraId="653EC31B"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w:t>
            </w:r>
          </w:p>
        </w:tc>
        <w:tc>
          <w:tcPr>
            <w:tcW w:w="936" w:type="dxa"/>
            <w:tcBorders>
              <w:top w:val="single" w:sz="12" w:space="0" w:color="002F5D"/>
              <w:left w:val="single" w:sz="4" w:space="0" w:color="F2F2F2" w:themeColor="background1" w:themeShade="F2"/>
              <w:bottom w:val="single" w:sz="4" w:space="0" w:color="F2F2F2" w:themeColor="background1" w:themeShade="F2"/>
              <w:right w:val="single" w:sz="4" w:space="0" w:color="F2F2F2" w:themeColor="background1" w:themeShade="F2"/>
            </w:tcBorders>
            <w:shd w:val="clear" w:color="000000" w:fill="1F4E78"/>
            <w:noWrap/>
            <w:vAlign w:val="bottom"/>
            <w:hideMark/>
          </w:tcPr>
          <w:p w14:paraId="33CFE004" w14:textId="3F6139E3"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B340FB">
              <w:rPr>
                <w:rFonts w:ascii="Calibri" w:eastAsia="Times New Roman" w:hAnsi="Calibri" w:cs="Calibri"/>
                <w:color w:val="FFFFFF" w:themeColor="background1"/>
                <w:lang w:eastAsia="en-GB"/>
              </w:rPr>
              <w:t>*</w:t>
            </w:r>
          </w:p>
        </w:tc>
        <w:tc>
          <w:tcPr>
            <w:tcW w:w="2304" w:type="dxa"/>
            <w:tcBorders>
              <w:top w:val="single" w:sz="12" w:space="0" w:color="002F5D"/>
              <w:left w:val="single" w:sz="4" w:space="0" w:color="F2F2F2" w:themeColor="background1" w:themeShade="F2"/>
              <w:bottom w:val="single" w:sz="4" w:space="0" w:color="F2F2F2" w:themeColor="background1" w:themeShade="F2"/>
              <w:right w:val="single" w:sz="12" w:space="0" w:color="002F5D"/>
            </w:tcBorders>
            <w:shd w:val="clear" w:color="000000" w:fill="1F4E78"/>
            <w:noWrap/>
            <w:vAlign w:val="bottom"/>
            <w:hideMark/>
          </w:tcPr>
          <w:p w14:paraId="48D1C0EF"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Rate per 10,000 of pop.</w:t>
            </w:r>
          </w:p>
        </w:tc>
      </w:tr>
      <w:tr w:rsidR="00936844" w:rsidRPr="00936844" w14:paraId="715F1E9E" w14:textId="77777777" w:rsidTr="00330B65">
        <w:trPr>
          <w:trHeight w:val="315"/>
        </w:trPr>
        <w:tc>
          <w:tcPr>
            <w:tcW w:w="4596" w:type="dxa"/>
            <w:tcBorders>
              <w:top w:val="single" w:sz="4" w:space="0" w:color="F2F2F2" w:themeColor="background1" w:themeShade="F2"/>
              <w:left w:val="single" w:sz="12" w:space="0" w:color="002F5D"/>
              <w:bottom w:val="nil"/>
              <w:right w:val="single" w:sz="4" w:space="0" w:color="002F5D"/>
            </w:tcBorders>
            <w:shd w:val="clear" w:color="auto" w:fill="auto"/>
            <w:noWrap/>
            <w:vAlign w:val="bottom"/>
            <w:hideMark/>
          </w:tcPr>
          <w:p w14:paraId="7E237A8B"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755" w:type="dxa"/>
            <w:tcBorders>
              <w:top w:val="single" w:sz="4" w:space="0" w:color="F2F2F2" w:themeColor="background1" w:themeShade="F2"/>
              <w:left w:val="single" w:sz="4" w:space="0" w:color="002F5D"/>
              <w:bottom w:val="nil"/>
              <w:right w:val="single" w:sz="4" w:space="0" w:color="002F5D"/>
            </w:tcBorders>
            <w:shd w:val="clear" w:color="auto" w:fill="auto"/>
            <w:noWrap/>
            <w:vAlign w:val="bottom"/>
            <w:hideMark/>
          </w:tcPr>
          <w:p w14:paraId="3221326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810</w:t>
            </w:r>
          </w:p>
        </w:tc>
        <w:tc>
          <w:tcPr>
            <w:tcW w:w="936" w:type="dxa"/>
            <w:tcBorders>
              <w:top w:val="single" w:sz="4" w:space="0" w:color="F2F2F2" w:themeColor="background1" w:themeShade="F2"/>
              <w:left w:val="single" w:sz="4" w:space="0" w:color="002F5D"/>
              <w:bottom w:val="nil"/>
              <w:right w:val="single" w:sz="4" w:space="0" w:color="002F5D"/>
            </w:tcBorders>
            <w:shd w:val="clear" w:color="auto" w:fill="auto"/>
            <w:noWrap/>
            <w:vAlign w:val="bottom"/>
            <w:hideMark/>
          </w:tcPr>
          <w:p w14:paraId="3E96DE9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w:t>
            </w:r>
          </w:p>
        </w:tc>
        <w:tc>
          <w:tcPr>
            <w:tcW w:w="2304" w:type="dxa"/>
            <w:tcBorders>
              <w:top w:val="single" w:sz="4" w:space="0" w:color="F2F2F2" w:themeColor="background1" w:themeShade="F2"/>
              <w:left w:val="single" w:sz="4" w:space="0" w:color="002F5D"/>
              <w:bottom w:val="nil"/>
              <w:right w:val="single" w:sz="12" w:space="0" w:color="002F5D"/>
            </w:tcBorders>
            <w:shd w:val="clear" w:color="auto" w:fill="auto"/>
            <w:noWrap/>
            <w:vAlign w:val="bottom"/>
            <w:hideMark/>
          </w:tcPr>
          <w:p w14:paraId="3CE67D3B"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350.8</w:t>
            </w:r>
          </w:p>
        </w:tc>
      </w:tr>
      <w:tr w:rsidR="00936844" w:rsidRPr="00936844" w14:paraId="3271D862" w14:textId="77777777" w:rsidTr="00330B65">
        <w:trPr>
          <w:trHeight w:val="315"/>
        </w:trPr>
        <w:tc>
          <w:tcPr>
            <w:tcW w:w="4596" w:type="dxa"/>
            <w:tcBorders>
              <w:top w:val="nil"/>
              <w:left w:val="single" w:sz="12" w:space="0" w:color="002F5D"/>
              <w:bottom w:val="nil"/>
              <w:right w:val="single" w:sz="4" w:space="0" w:color="002F5D"/>
            </w:tcBorders>
            <w:shd w:val="clear" w:color="auto" w:fill="auto"/>
            <w:noWrap/>
            <w:vAlign w:val="bottom"/>
            <w:hideMark/>
          </w:tcPr>
          <w:p w14:paraId="69267999"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755" w:type="dxa"/>
            <w:tcBorders>
              <w:top w:val="nil"/>
              <w:left w:val="single" w:sz="4" w:space="0" w:color="002F5D"/>
              <w:bottom w:val="nil"/>
              <w:right w:val="single" w:sz="4" w:space="0" w:color="002F5D"/>
            </w:tcBorders>
            <w:shd w:val="clear" w:color="auto" w:fill="auto"/>
            <w:noWrap/>
            <w:vAlign w:val="bottom"/>
            <w:hideMark/>
          </w:tcPr>
          <w:p w14:paraId="0413D97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471</w:t>
            </w:r>
          </w:p>
        </w:tc>
        <w:tc>
          <w:tcPr>
            <w:tcW w:w="936" w:type="dxa"/>
            <w:tcBorders>
              <w:top w:val="nil"/>
              <w:left w:val="single" w:sz="4" w:space="0" w:color="002F5D"/>
              <w:bottom w:val="nil"/>
              <w:right w:val="single" w:sz="4" w:space="0" w:color="002F5D"/>
            </w:tcBorders>
            <w:shd w:val="clear" w:color="auto" w:fill="auto"/>
            <w:noWrap/>
            <w:vAlign w:val="bottom"/>
            <w:hideMark/>
          </w:tcPr>
          <w:p w14:paraId="088B9ABB"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w:t>
            </w:r>
          </w:p>
        </w:tc>
        <w:tc>
          <w:tcPr>
            <w:tcW w:w="2304" w:type="dxa"/>
            <w:tcBorders>
              <w:top w:val="nil"/>
              <w:left w:val="single" w:sz="4" w:space="0" w:color="002F5D"/>
              <w:bottom w:val="nil"/>
              <w:right w:val="single" w:sz="12" w:space="0" w:color="002F5D"/>
            </w:tcBorders>
            <w:shd w:val="clear" w:color="auto" w:fill="auto"/>
            <w:noWrap/>
            <w:vAlign w:val="bottom"/>
            <w:hideMark/>
          </w:tcPr>
          <w:p w14:paraId="6EBBB73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239.9</w:t>
            </w:r>
          </w:p>
        </w:tc>
      </w:tr>
      <w:tr w:rsidR="00936844" w:rsidRPr="00936844" w14:paraId="27C7ADE8" w14:textId="77777777" w:rsidTr="00330B65">
        <w:trPr>
          <w:trHeight w:val="315"/>
        </w:trPr>
        <w:tc>
          <w:tcPr>
            <w:tcW w:w="4596" w:type="dxa"/>
            <w:tcBorders>
              <w:top w:val="nil"/>
              <w:left w:val="single" w:sz="12" w:space="0" w:color="002F5D"/>
              <w:bottom w:val="nil"/>
              <w:right w:val="single" w:sz="4" w:space="0" w:color="002F5D"/>
            </w:tcBorders>
            <w:shd w:val="clear" w:color="auto" w:fill="auto"/>
            <w:noWrap/>
            <w:vAlign w:val="bottom"/>
            <w:hideMark/>
          </w:tcPr>
          <w:p w14:paraId="5487020A"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755" w:type="dxa"/>
            <w:tcBorders>
              <w:top w:val="nil"/>
              <w:left w:val="single" w:sz="4" w:space="0" w:color="002F5D"/>
              <w:bottom w:val="nil"/>
              <w:right w:val="single" w:sz="4" w:space="0" w:color="002F5D"/>
            </w:tcBorders>
            <w:shd w:val="clear" w:color="auto" w:fill="auto"/>
            <w:noWrap/>
            <w:vAlign w:val="bottom"/>
            <w:hideMark/>
          </w:tcPr>
          <w:p w14:paraId="5A661CB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942</w:t>
            </w:r>
          </w:p>
        </w:tc>
        <w:tc>
          <w:tcPr>
            <w:tcW w:w="936" w:type="dxa"/>
            <w:tcBorders>
              <w:top w:val="nil"/>
              <w:left w:val="single" w:sz="4" w:space="0" w:color="002F5D"/>
              <w:bottom w:val="nil"/>
              <w:right w:val="single" w:sz="4" w:space="0" w:color="002F5D"/>
            </w:tcBorders>
            <w:shd w:val="clear" w:color="auto" w:fill="auto"/>
            <w:noWrap/>
            <w:vAlign w:val="bottom"/>
            <w:hideMark/>
          </w:tcPr>
          <w:p w14:paraId="1A676AB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21%</w:t>
            </w:r>
          </w:p>
        </w:tc>
        <w:tc>
          <w:tcPr>
            <w:tcW w:w="2304" w:type="dxa"/>
            <w:tcBorders>
              <w:top w:val="nil"/>
              <w:left w:val="single" w:sz="4" w:space="0" w:color="002F5D"/>
              <w:bottom w:val="nil"/>
              <w:right w:val="single" w:sz="12" w:space="0" w:color="002F5D"/>
            </w:tcBorders>
            <w:shd w:val="clear" w:color="auto" w:fill="auto"/>
            <w:noWrap/>
            <w:vAlign w:val="bottom"/>
            <w:hideMark/>
          </w:tcPr>
          <w:p w14:paraId="0C760C6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468.7</w:t>
            </w:r>
          </w:p>
        </w:tc>
      </w:tr>
      <w:tr w:rsidR="00936844" w:rsidRPr="00936844" w14:paraId="095E84A9" w14:textId="77777777" w:rsidTr="00330B65">
        <w:trPr>
          <w:trHeight w:val="315"/>
        </w:trPr>
        <w:tc>
          <w:tcPr>
            <w:tcW w:w="4596" w:type="dxa"/>
            <w:tcBorders>
              <w:top w:val="nil"/>
              <w:left w:val="single" w:sz="12" w:space="0" w:color="002F5D"/>
              <w:bottom w:val="nil"/>
              <w:right w:val="single" w:sz="4" w:space="0" w:color="002F5D"/>
            </w:tcBorders>
            <w:shd w:val="clear" w:color="auto" w:fill="auto"/>
            <w:noWrap/>
            <w:vAlign w:val="bottom"/>
            <w:hideMark/>
          </w:tcPr>
          <w:p w14:paraId="32675DD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755" w:type="dxa"/>
            <w:tcBorders>
              <w:top w:val="nil"/>
              <w:left w:val="single" w:sz="4" w:space="0" w:color="002F5D"/>
              <w:bottom w:val="nil"/>
              <w:right w:val="single" w:sz="4" w:space="0" w:color="002F5D"/>
            </w:tcBorders>
            <w:shd w:val="clear" w:color="auto" w:fill="auto"/>
            <w:noWrap/>
            <w:vAlign w:val="bottom"/>
            <w:hideMark/>
          </w:tcPr>
          <w:p w14:paraId="4288FD8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1,107</w:t>
            </w:r>
          </w:p>
        </w:tc>
        <w:tc>
          <w:tcPr>
            <w:tcW w:w="936" w:type="dxa"/>
            <w:tcBorders>
              <w:top w:val="nil"/>
              <w:left w:val="single" w:sz="4" w:space="0" w:color="002F5D"/>
              <w:bottom w:val="nil"/>
              <w:right w:val="single" w:sz="4" w:space="0" w:color="002F5D"/>
            </w:tcBorders>
            <w:shd w:val="clear" w:color="auto" w:fill="auto"/>
            <w:noWrap/>
            <w:vAlign w:val="bottom"/>
            <w:hideMark/>
          </w:tcPr>
          <w:p w14:paraId="1C72921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25%</w:t>
            </w:r>
          </w:p>
        </w:tc>
        <w:tc>
          <w:tcPr>
            <w:tcW w:w="2304" w:type="dxa"/>
            <w:tcBorders>
              <w:top w:val="nil"/>
              <w:left w:val="single" w:sz="4" w:space="0" w:color="002F5D"/>
              <w:bottom w:val="nil"/>
              <w:right w:val="single" w:sz="12" w:space="0" w:color="002F5D"/>
            </w:tcBorders>
            <w:shd w:val="clear" w:color="auto" w:fill="auto"/>
            <w:noWrap/>
            <w:vAlign w:val="bottom"/>
            <w:hideMark/>
          </w:tcPr>
          <w:p w14:paraId="725A32D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302.6</w:t>
            </w:r>
          </w:p>
        </w:tc>
      </w:tr>
      <w:tr w:rsidR="00936844" w:rsidRPr="00936844" w14:paraId="6EDC6956" w14:textId="77777777" w:rsidTr="00330B65">
        <w:trPr>
          <w:trHeight w:val="315"/>
        </w:trPr>
        <w:tc>
          <w:tcPr>
            <w:tcW w:w="4596" w:type="dxa"/>
            <w:tcBorders>
              <w:top w:val="nil"/>
              <w:left w:val="single" w:sz="12" w:space="0" w:color="002F5D"/>
              <w:bottom w:val="nil"/>
              <w:right w:val="single" w:sz="4" w:space="0" w:color="002F5D"/>
            </w:tcBorders>
            <w:shd w:val="clear" w:color="auto" w:fill="auto"/>
            <w:noWrap/>
            <w:vAlign w:val="bottom"/>
            <w:hideMark/>
          </w:tcPr>
          <w:p w14:paraId="0A13ED6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755" w:type="dxa"/>
            <w:tcBorders>
              <w:top w:val="nil"/>
              <w:left w:val="single" w:sz="4" w:space="0" w:color="002F5D"/>
              <w:bottom w:val="nil"/>
              <w:right w:val="single" w:sz="4" w:space="0" w:color="002F5D"/>
            </w:tcBorders>
            <w:shd w:val="clear" w:color="auto" w:fill="auto"/>
            <w:noWrap/>
            <w:vAlign w:val="bottom"/>
            <w:hideMark/>
          </w:tcPr>
          <w:p w14:paraId="3986A5F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745</w:t>
            </w:r>
          </w:p>
        </w:tc>
        <w:tc>
          <w:tcPr>
            <w:tcW w:w="936" w:type="dxa"/>
            <w:tcBorders>
              <w:top w:val="nil"/>
              <w:left w:val="single" w:sz="4" w:space="0" w:color="002F5D"/>
              <w:bottom w:val="nil"/>
              <w:right w:val="single" w:sz="4" w:space="0" w:color="002F5D"/>
            </w:tcBorders>
            <w:shd w:val="clear" w:color="auto" w:fill="auto"/>
            <w:noWrap/>
            <w:vAlign w:val="bottom"/>
            <w:hideMark/>
          </w:tcPr>
          <w:p w14:paraId="7D99B4A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w:t>
            </w:r>
          </w:p>
        </w:tc>
        <w:tc>
          <w:tcPr>
            <w:tcW w:w="2304" w:type="dxa"/>
            <w:tcBorders>
              <w:top w:val="nil"/>
              <w:left w:val="single" w:sz="4" w:space="0" w:color="002F5D"/>
              <w:bottom w:val="nil"/>
              <w:right w:val="single" w:sz="12" w:space="0" w:color="002F5D"/>
            </w:tcBorders>
            <w:shd w:val="clear" w:color="auto" w:fill="auto"/>
            <w:noWrap/>
            <w:vAlign w:val="bottom"/>
            <w:hideMark/>
          </w:tcPr>
          <w:p w14:paraId="0CB3F57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212.1</w:t>
            </w:r>
          </w:p>
        </w:tc>
      </w:tr>
      <w:tr w:rsidR="00936844" w:rsidRPr="00936844" w14:paraId="5CB61665" w14:textId="77777777" w:rsidTr="00330B65">
        <w:trPr>
          <w:trHeight w:val="315"/>
        </w:trPr>
        <w:tc>
          <w:tcPr>
            <w:tcW w:w="4596" w:type="dxa"/>
            <w:tcBorders>
              <w:top w:val="nil"/>
              <w:left w:val="single" w:sz="12" w:space="0" w:color="002F5D"/>
              <w:bottom w:val="single" w:sz="4" w:space="0" w:color="002F5D"/>
              <w:right w:val="single" w:sz="4" w:space="0" w:color="002F5D"/>
            </w:tcBorders>
            <w:shd w:val="clear" w:color="auto" w:fill="auto"/>
            <w:noWrap/>
            <w:vAlign w:val="bottom"/>
            <w:hideMark/>
          </w:tcPr>
          <w:p w14:paraId="18C1EE4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755" w:type="dxa"/>
            <w:tcBorders>
              <w:top w:val="nil"/>
              <w:left w:val="single" w:sz="4" w:space="0" w:color="002F5D"/>
              <w:bottom w:val="single" w:sz="4" w:space="0" w:color="002F5D"/>
              <w:right w:val="single" w:sz="4" w:space="0" w:color="002F5D"/>
            </w:tcBorders>
            <w:shd w:val="clear" w:color="auto" w:fill="auto"/>
            <w:noWrap/>
            <w:vAlign w:val="bottom"/>
            <w:hideMark/>
          </w:tcPr>
          <w:p w14:paraId="62DF9C5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378</w:t>
            </w:r>
          </w:p>
        </w:tc>
        <w:tc>
          <w:tcPr>
            <w:tcW w:w="936" w:type="dxa"/>
            <w:tcBorders>
              <w:top w:val="nil"/>
              <w:left w:val="single" w:sz="4" w:space="0" w:color="002F5D"/>
              <w:bottom w:val="single" w:sz="4" w:space="0" w:color="002F5D"/>
              <w:right w:val="single" w:sz="4" w:space="0" w:color="002F5D"/>
            </w:tcBorders>
            <w:shd w:val="clear" w:color="auto" w:fill="auto"/>
            <w:noWrap/>
            <w:vAlign w:val="bottom"/>
            <w:hideMark/>
          </w:tcPr>
          <w:p w14:paraId="377EBC4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w:t>
            </w:r>
          </w:p>
        </w:tc>
        <w:tc>
          <w:tcPr>
            <w:tcW w:w="2304" w:type="dxa"/>
            <w:tcBorders>
              <w:top w:val="nil"/>
              <w:left w:val="single" w:sz="4" w:space="0" w:color="002F5D"/>
              <w:bottom w:val="single" w:sz="4" w:space="0" w:color="002F5D"/>
              <w:right w:val="single" w:sz="12" w:space="0" w:color="002F5D"/>
            </w:tcBorders>
            <w:shd w:val="clear" w:color="auto" w:fill="auto"/>
            <w:noWrap/>
            <w:vAlign w:val="bottom"/>
            <w:hideMark/>
          </w:tcPr>
          <w:p w14:paraId="1409F2D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936844" w:rsidRPr="00936844" w14:paraId="5C5A2E04" w14:textId="77777777" w:rsidTr="00330B65">
        <w:trPr>
          <w:trHeight w:val="315"/>
        </w:trPr>
        <w:tc>
          <w:tcPr>
            <w:tcW w:w="4596" w:type="dxa"/>
            <w:tcBorders>
              <w:top w:val="single" w:sz="4" w:space="0" w:color="002F5D"/>
              <w:left w:val="single" w:sz="12" w:space="0" w:color="002F5D"/>
              <w:bottom w:val="single" w:sz="4" w:space="0" w:color="002F5D"/>
              <w:right w:val="single" w:sz="4" w:space="0" w:color="002F5D"/>
            </w:tcBorders>
            <w:shd w:val="clear" w:color="auto" w:fill="auto"/>
            <w:noWrap/>
            <w:vAlign w:val="bottom"/>
            <w:hideMark/>
          </w:tcPr>
          <w:p w14:paraId="5085F6E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Cambridgeshire</w:t>
            </w:r>
          </w:p>
        </w:tc>
        <w:tc>
          <w:tcPr>
            <w:tcW w:w="755"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3E5F0B4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4,453</w:t>
            </w:r>
          </w:p>
        </w:tc>
        <w:tc>
          <w:tcPr>
            <w:tcW w:w="936"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5F40CEE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63%</w:t>
            </w:r>
          </w:p>
        </w:tc>
        <w:tc>
          <w:tcPr>
            <w:tcW w:w="2304" w:type="dxa"/>
            <w:tcBorders>
              <w:top w:val="single" w:sz="4" w:space="0" w:color="002F5D"/>
              <w:left w:val="single" w:sz="4" w:space="0" w:color="002F5D"/>
              <w:bottom w:val="single" w:sz="4" w:space="0" w:color="002F5D"/>
              <w:right w:val="single" w:sz="12" w:space="0" w:color="002F5D"/>
            </w:tcBorders>
            <w:shd w:val="clear" w:color="auto" w:fill="auto"/>
            <w:noWrap/>
            <w:vAlign w:val="bottom"/>
            <w:hideMark/>
          </w:tcPr>
          <w:p w14:paraId="544E568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331.0</w:t>
            </w:r>
          </w:p>
        </w:tc>
      </w:tr>
      <w:tr w:rsidR="00936844" w:rsidRPr="00936844" w14:paraId="44EC1243" w14:textId="77777777" w:rsidTr="00330B65">
        <w:trPr>
          <w:trHeight w:val="63"/>
        </w:trPr>
        <w:tc>
          <w:tcPr>
            <w:tcW w:w="4596" w:type="dxa"/>
            <w:tcBorders>
              <w:top w:val="single" w:sz="4" w:space="0" w:color="002F5D"/>
              <w:left w:val="single" w:sz="12" w:space="0" w:color="002F5D"/>
              <w:bottom w:val="single" w:sz="4" w:space="0" w:color="002F5D"/>
              <w:right w:val="single" w:sz="4" w:space="0" w:color="002F5D"/>
            </w:tcBorders>
            <w:shd w:val="clear" w:color="auto" w:fill="auto"/>
            <w:noWrap/>
            <w:vAlign w:val="bottom"/>
            <w:hideMark/>
          </w:tcPr>
          <w:p w14:paraId="0AA4396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Peterborough</w:t>
            </w:r>
          </w:p>
        </w:tc>
        <w:tc>
          <w:tcPr>
            <w:tcW w:w="755"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593AF81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2,618</w:t>
            </w:r>
          </w:p>
        </w:tc>
        <w:tc>
          <w:tcPr>
            <w:tcW w:w="936"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464D464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37%</w:t>
            </w:r>
          </w:p>
        </w:tc>
        <w:tc>
          <w:tcPr>
            <w:tcW w:w="2304" w:type="dxa"/>
            <w:tcBorders>
              <w:top w:val="single" w:sz="4" w:space="0" w:color="002F5D"/>
              <w:left w:val="single" w:sz="4" w:space="0" w:color="002F5D"/>
              <w:bottom w:val="single" w:sz="4" w:space="0" w:color="002F5D"/>
              <w:right w:val="single" w:sz="12" w:space="0" w:color="002F5D"/>
            </w:tcBorders>
            <w:shd w:val="clear" w:color="auto" w:fill="auto"/>
            <w:noWrap/>
            <w:vAlign w:val="bottom"/>
            <w:hideMark/>
          </w:tcPr>
          <w:p w14:paraId="1D8CFDA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523.5</w:t>
            </w:r>
          </w:p>
        </w:tc>
      </w:tr>
      <w:tr w:rsidR="00936844" w:rsidRPr="00936844" w14:paraId="67DCC082" w14:textId="77777777" w:rsidTr="00330B65">
        <w:trPr>
          <w:trHeight w:val="315"/>
        </w:trPr>
        <w:tc>
          <w:tcPr>
            <w:tcW w:w="4596" w:type="dxa"/>
            <w:tcBorders>
              <w:top w:val="single" w:sz="4" w:space="0" w:color="002F5D"/>
              <w:left w:val="single" w:sz="12" w:space="0" w:color="002F5D"/>
              <w:bottom w:val="single" w:sz="12" w:space="0" w:color="002F5D"/>
              <w:right w:val="single" w:sz="4" w:space="0" w:color="002F5D"/>
            </w:tcBorders>
            <w:shd w:val="clear" w:color="auto" w:fill="auto"/>
            <w:noWrap/>
            <w:vAlign w:val="bottom"/>
            <w:hideMark/>
          </w:tcPr>
          <w:p w14:paraId="2F857453"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755" w:type="dxa"/>
            <w:tcBorders>
              <w:top w:val="single" w:sz="4" w:space="0" w:color="002F5D"/>
              <w:left w:val="single" w:sz="4" w:space="0" w:color="002F5D"/>
              <w:bottom w:val="single" w:sz="12" w:space="0" w:color="002F5D"/>
              <w:right w:val="single" w:sz="4" w:space="0" w:color="002F5D"/>
            </w:tcBorders>
            <w:shd w:val="clear" w:color="auto" w:fill="auto"/>
            <w:noWrap/>
            <w:vAlign w:val="bottom"/>
            <w:hideMark/>
          </w:tcPr>
          <w:p w14:paraId="2DCC61C8"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7,071</w:t>
            </w:r>
          </w:p>
        </w:tc>
        <w:tc>
          <w:tcPr>
            <w:tcW w:w="936" w:type="dxa"/>
            <w:tcBorders>
              <w:top w:val="single" w:sz="4" w:space="0" w:color="002F5D"/>
              <w:left w:val="single" w:sz="4" w:space="0" w:color="002F5D"/>
              <w:bottom w:val="single" w:sz="12" w:space="0" w:color="002F5D"/>
              <w:right w:val="single" w:sz="4" w:space="0" w:color="002F5D"/>
            </w:tcBorders>
            <w:shd w:val="clear" w:color="auto" w:fill="auto"/>
            <w:noWrap/>
            <w:vAlign w:val="bottom"/>
            <w:hideMark/>
          </w:tcPr>
          <w:p w14:paraId="14CFF007" w14:textId="4636BD8C"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 </w:t>
            </w:r>
            <w:r w:rsidR="00936844">
              <w:rPr>
                <w:rFonts w:ascii="Calibri" w:eastAsia="Times New Roman" w:hAnsi="Calibri" w:cs="Calibri"/>
                <w:b/>
                <w:bCs/>
                <w:color w:val="002F5D"/>
                <w:lang w:eastAsia="en-GB"/>
              </w:rPr>
              <w:t>-</w:t>
            </w:r>
          </w:p>
        </w:tc>
        <w:tc>
          <w:tcPr>
            <w:tcW w:w="2304" w:type="dxa"/>
            <w:tcBorders>
              <w:top w:val="single" w:sz="4" w:space="0" w:color="002F5D"/>
              <w:left w:val="single" w:sz="4" w:space="0" w:color="002F5D"/>
              <w:bottom w:val="single" w:sz="12" w:space="0" w:color="002F5D"/>
              <w:right w:val="single" w:sz="12" w:space="0" w:color="002F5D"/>
            </w:tcBorders>
            <w:shd w:val="clear" w:color="auto" w:fill="auto"/>
            <w:noWrap/>
            <w:vAlign w:val="bottom"/>
            <w:hideMark/>
          </w:tcPr>
          <w:p w14:paraId="08380321"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383.2</w:t>
            </w:r>
          </w:p>
        </w:tc>
      </w:tr>
    </w:tbl>
    <w:p w14:paraId="42A0E15C" w14:textId="77777777" w:rsidR="00746A25" w:rsidRDefault="00746A25" w:rsidP="00330B65">
      <w:pPr>
        <w:spacing w:line="240" w:lineRule="auto"/>
        <w:rPr>
          <w:rFonts w:ascii="Calibri" w:hAnsi="Calibri" w:cs="Calibri"/>
          <w:color w:val="002F5D"/>
          <w:sz w:val="18"/>
          <w:szCs w:val="18"/>
        </w:rPr>
      </w:pPr>
      <w:r>
        <w:rPr>
          <w:rFonts w:ascii="Calibri" w:hAnsi="Calibri" w:cs="Calibri"/>
          <w:color w:val="002F5D"/>
          <w:sz w:val="18"/>
          <w:szCs w:val="18"/>
        </w:rPr>
        <w:t>Note: *Cambridgeshire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351932BC" w14:textId="77777777" w:rsidR="00B340FB" w:rsidRPr="00330B65" w:rsidRDefault="00B340FB" w:rsidP="00330B65">
      <w:pPr>
        <w:spacing w:line="240" w:lineRule="auto"/>
        <w:rPr>
          <w:rFonts w:ascii="Calibri" w:hAnsi="Calibri" w:cs="Calibri"/>
          <w:color w:val="002F5D"/>
          <w:sz w:val="18"/>
          <w:szCs w:val="18"/>
        </w:rPr>
      </w:pPr>
    </w:p>
    <w:p w14:paraId="035D6776"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1AD22BEC" w14:textId="77777777" w:rsidR="008D4440" w:rsidRPr="00330B65" w:rsidRDefault="008D4440" w:rsidP="00330B65">
      <w:pPr>
        <w:pStyle w:val="ListParagraph"/>
        <w:spacing w:line="240" w:lineRule="auto"/>
        <w:ind w:left="0"/>
        <w:rPr>
          <w:rFonts w:ascii="Calibri" w:hAnsi="Calibri" w:cs="Calibri"/>
          <w:color w:val="002F5D"/>
        </w:rPr>
      </w:pPr>
    </w:p>
    <w:p w14:paraId="0BEBB768" w14:textId="77777777"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Referrals from Huntingdonshire account for 25% of the Cambridgeshire total, although the rate of referrals per 10,000 of population is below the England average.  </w:t>
      </w:r>
    </w:p>
    <w:p w14:paraId="6CE7CCDF" w14:textId="77777777" w:rsidR="008D4440" w:rsidRPr="00330B65" w:rsidRDefault="008D4440" w:rsidP="00330B65">
      <w:pPr>
        <w:pStyle w:val="ListParagraph"/>
        <w:spacing w:line="240" w:lineRule="auto"/>
        <w:ind w:left="0"/>
        <w:rPr>
          <w:rFonts w:ascii="Calibri" w:hAnsi="Calibri" w:cs="Calibri"/>
          <w:color w:val="002F5D"/>
        </w:rPr>
      </w:pPr>
    </w:p>
    <w:p w14:paraId="38A81304" w14:textId="396AD6D9"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Fenland has the highest referral rates per head of population aged 0-17, and is </w:t>
      </w:r>
      <w:r w:rsidR="00875854">
        <w:rPr>
          <w:rFonts w:ascii="Calibri" w:hAnsi="Calibri" w:cs="Calibri"/>
          <w:color w:val="002F5D"/>
        </w:rPr>
        <w:t>numericall</w:t>
      </w:r>
      <w:r w:rsidRPr="00330B65">
        <w:rPr>
          <w:rFonts w:ascii="Calibri" w:hAnsi="Calibri" w:cs="Calibri"/>
          <w:color w:val="002F5D"/>
        </w:rPr>
        <w:t>y higher than the rate for Cambridgeshire</w:t>
      </w:r>
      <w:r w:rsidR="0099729C">
        <w:rPr>
          <w:rFonts w:ascii="Calibri" w:hAnsi="Calibri" w:cs="Calibri"/>
          <w:color w:val="002F5D"/>
        </w:rPr>
        <w:t>, but</w:t>
      </w:r>
      <w:r w:rsidR="00875854">
        <w:rPr>
          <w:rFonts w:ascii="Calibri" w:hAnsi="Calibri" w:cs="Calibri"/>
          <w:color w:val="002F5D"/>
        </w:rPr>
        <w:t xml:space="preserve"> numerically</w:t>
      </w:r>
      <w:r w:rsidRPr="00330B65">
        <w:rPr>
          <w:rFonts w:ascii="Calibri" w:hAnsi="Calibri" w:cs="Calibri"/>
          <w:color w:val="002F5D"/>
        </w:rPr>
        <w:t xml:space="preserve"> lower th</w:t>
      </w:r>
      <w:r w:rsidR="00D96FFE" w:rsidRPr="00C912DE">
        <w:rPr>
          <w:rFonts w:ascii="Calibri" w:hAnsi="Calibri" w:cs="Calibri"/>
          <w:color w:val="002F5D"/>
        </w:rPr>
        <w:t>an the England average (552.50)</w:t>
      </w:r>
      <w:r w:rsidR="00D96FFE">
        <w:rPr>
          <w:rFonts w:ascii="Calibri" w:hAnsi="Calibri" w:cs="Calibri"/>
          <w:color w:val="002F5D"/>
        </w:rPr>
        <w:t>.</w:t>
      </w:r>
    </w:p>
    <w:p w14:paraId="30EDBBDC" w14:textId="77777777" w:rsidR="00837184" w:rsidRDefault="00837184" w:rsidP="00330B65">
      <w:pPr>
        <w:pStyle w:val="ListParagraph"/>
        <w:spacing w:line="240" w:lineRule="auto"/>
        <w:ind w:left="0"/>
        <w:rPr>
          <w:rFonts w:ascii="Calibri" w:hAnsi="Calibri" w:cs="Calibri"/>
          <w:color w:val="002F5D"/>
        </w:rPr>
      </w:pPr>
    </w:p>
    <w:p w14:paraId="5DB88814" w14:textId="4C0D0A1C" w:rsidR="008D4440" w:rsidRPr="00330B65" w:rsidRDefault="00A2366A" w:rsidP="00330B65">
      <w:pPr>
        <w:pStyle w:val="ListParagraph"/>
        <w:spacing w:line="240" w:lineRule="auto"/>
        <w:ind w:left="0"/>
        <w:rPr>
          <w:rFonts w:ascii="Calibri" w:hAnsi="Calibri" w:cs="Calibri"/>
          <w:color w:val="002F5D"/>
        </w:rPr>
      </w:pPr>
      <w:r>
        <w:rPr>
          <w:rFonts w:ascii="Calibri" w:hAnsi="Calibri" w:cs="Calibri"/>
          <w:b/>
          <w:color w:val="002F5D"/>
        </w:rPr>
        <w:t>Figure 47</w:t>
      </w:r>
      <w:r w:rsidR="00837184">
        <w:rPr>
          <w:rFonts w:ascii="Calibri" w:hAnsi="Calibri" w:cs="Calibri"/>
          <w:b/>
          <w:color w:val="002F5D"/>
        </w:rPr>
        <w:t>.</w:t>
      </w:r>
      <w:r w:rsidR="004C7797">
        <w:rPr>
          <w:rFonts w:ascii="Calibri" w:hAnsi="Calibri" w:cs="Calibri"/>
          <w:b/>
          <w:color w:val="002F5D"/>
        </w:rPr>
        <w:t xml:space="preserve"> </w:t>
      </w:r>
      <w:r w:rsidR="008D4440" w:rsidRPr="00330B65">
        <w:rPr>
          <w:rFonts w:ascii="Calibri" w:hAnsi="Calibri" w:cs="Calibri"/>
          <w:color w:val="002F5D"/>
        </w:rPr>
        <w:t>Children In Need supported on the 31</w:t>
      </w:r>
      <w:r w:rsidR="008D4440" w:rsidRPr="00330B65">
        <w:rPr>
          <w:rFonts w:ascii="Calibri" w:hAnsi="Calibri" w:cs="Calibri"/>
          <w:color w:val="002F5D"/>
          <w:vertAlign w:val="superscript"/>
        </w:rPr>
        <w:t>st</w:t>
      </w:r>
      <w:r w:rsidR="00D96FFE" w:rsidRPr="00330B65">
        <w:rPr>
          <w:rFonts w:ascii="Calibri" w:hAnsi="Calibri" w:cs="Calibri"/>
          <w:color w:val="002F5D"/>
        </w:rPr>
        <w:t xml:space="preserve"> March 2018, per 10</w:t>
      </w:r>
      <w:r w:rsidR="002F6B4E">
        <w:rPr>
          <w:rFonts w:ascii="Calibri" w:hAnsi="Calibri" w:cs="Calibri"/>
          <w:color w:val="002F5D"/>
        </w:rPr>
        <w:t>,</w:t>
      </w:r>
      <w:r w:rsidR="008D4440" w:rsidRPr="00330B65">
        <w:rPr>
          <w:rFonts w:ascii="Calibri" w:hAnsi="Calibri" w:cs="Calibri"/>
          <w:color w:val="002F5D"/>
        </w:rPr>
        <w:t>000 of population (aged 0-17)</w:t>
      </w:r>
      <w:r w:rsidR="004C7797" w:rsidRPr="00330B65">
        <w:rPr>
          <w:rFonts w:ascii="Calibri" w:hAnsi="Calibri" w:cs="Calibri"/>
          <w:color w:val="002F5D"/>
        </w:rPr>
        <w:t>, Cambridgeshire</w:t>
      </w:r>
    </w:p>
    <w:p w14:paraId="0B493FE9" w14:textId="77777777" w:rsidR="008D4440" w:rsidRPr="00330B65" w:rsidRDefault="008D4440" w:rsidP="00330B65">
      <w:pPr>
        <w:pStyle w:val="ListParagraph"/>
        <w:spacing w:line="240" w:lineRule="auto"/>
        <w:ind w:left="0"/>
        <w:rPr>
          <w:rFonts w:ascii="Calibri" w:hAnsi="Calibri" w:cs="Calibri"/>
          <w:color w:val="002F5D"/>
        </w:rPr>
      </w:pPr>
    </w:p>
    <w:p w14:paraId="14257C8D" w14:textId="77777777"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A child in need is defined under the Children Act 1989 as a child who is unlikely to achieve or maintain a reasonable level of health or development, or whose health and development is likely to be significantly or further impaired, without the provision of services, or a child who is disabled (Children Act 1989)</w:t>
      </w:r>
    </w:p>
    <w:p w14:paraId="7D27FBD2" w14:textId="77777777" w:rsidR="008D4440" w:rsidRPr="00330B65" w:rsidRDefault="008D4440" w:rsidP="008D4440">
      <w:pPr>
        <w:pStyle w:val="ListParagraph"/>
        <w:ind w:left="0"/>
        <w:rPr>
          <w:rFonts w:ascii="Calibri" w:hAnsi="Calibri" w:cs="Calibri"/>
          <w:color w:val="002F5D"/>
        </w:rPr>
      </w:pPr>
    </w:p>
    <w:p w14:paraId="01F495E3" w14:textId="77777777" w:rsidR="008D4440" w:rsidRPr="00330B65" w:rsidRDefault="008D4440" w:rsidP="008D4440">
      <w:pPr>
        <w:pStyle w:val="ListParagraph"/>
        <w:ind w:left="0"/>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41CF5C37" wp14:editId="02450B3F">
            <wp:extent cx="5419725" cy="2200275"/>
            <wp:effectExtent l="0" t="0" r="9525" b="9525"/>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3FF10043"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1BA3EED2" w14:textId="77777777" w:rsidR="00782D43" w:rsidRDefault="00782D43" w:rsidP="00330B65">
      <w:pPr>
        <w:spacing w:line="240" w:lineRule="auto"/>
        <w:rPr>
          <w:rFonts w:ascii="Calibri" w:hAnsi="Calibri" w:cs="Calibri"/>
          <w:color w:val="002F5D"/>
        </w:rPr>
      </w:pPr>
    </w:p>
    <w:p w14:paraId="7B0DB804"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1F26DCD7" w14:textId="77777777" w:rsidR="008D4440" w:rsidRPr="00330B65" w:rsidRDefault="008D4440" w:rsidP="008D4440">
      <w:pPr>
        <w:pStyle w:val="ListParagraph"/>
        <w:ind w:left="0"/>
        <w:rPr>
          <w:rFonts w:ascii="Calibri" w:hAnsi="Calibri" w:cs="Calibri"/>
          <w:color w:val="002F5D"/>
        </w:rPr>
      </w:pPr>
    </w:p>
    <w:p w14:paraId="30F2E080" w14:textId="5766CE33"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lastRenderedPageBreak/>
        <w:t>In Cambridgeshire, the rate of Children in Need per 10,000 of population has increased slightly over the last three financial years, but remains comparable to the regional average and</w:t>
      </w:r>
      <w:r w:rsidR="00D075C4">
        <w:rPr>
          <w:rFonts w:ascii="Calibri" w:hAnsi="Calibri" w:cs="Calibri"/>
          <w:color w:val="002F5D"/>
        </w:rPr>
        <w:t xml:space="preserve"> numerically</w:t>
      </w:r>
      <w:r w:rsidRPr="00330B65">
        <w:rPr>
          <w:rFonts w:ascii="Calibri" w:hAnsi="Calibri" w:cs="Calibri"/>
          <w:color w:val="002F5D"/>
        </w:rPr>
        <w:t xml:space="preserve"> lower than the averages for England and statistical neighbours.</w:t>
      </w:r>
    </w:p>
    <w:p w14:paraId="0889EF22" w14:textId="66E0F51E" w:rsidR="004C7797" w:rsidRDefault="004C7797" w:rsidP="00330B65">
      <w:pPr>
        <w:pStyle w:val="ListParagraph"/>
        <w:spacing w:line="240" w:lineRule="auto"/>
        <w:ind w:left="0"/>
        <w:rPr>
          <w:rFonts w:ascii="Calibri" w:hAnsi="Calibri" w:cs="Calibri"/>
          <w:color w:val="002F5D"/>
        </w:rPr>
      </w:pPr>
    </w:p>
    <w:p w14:paraId="5F287BC1" w14:textId="07A137C9" w:rsidR="004C7797" w:rsidRPr="00330B65" w:rsidRDefault="00A2366A" w:rsidP="00330B65">
      <w:pPr>
        <w:spacing w:after="160" w:line="240" w:lineRule="auto"/>
        <w:rPr>
          <w:rFonts w:ascii="Calibri" w:hAnsi="Calibri" w:cs="Calibri"/>
          <w:b/>
          <w:color w:val="002F5D"/>
        </w:rPr>
      </w:pPr>
      <w:r>
        <w:rPr>
          <w:rFonts w:ascii="Calibri" w:hAnsi="Calibri" w:cs="Calibri"/>
          <w:b/>
          <w:color w:val="002F5D"/>
        </w:rPr>
        <w:t>Figure 48</w:t>
      </w:r>
      <w:r w:rsidR="00837184">
        <w:rPr>
          <w:rFonts w:ascii="Calibri" w:hAnsi="Calibri" w:cs="Calibri"/>
          <w:b/>
          <w:color w:val="002F5D"/>
        </w:rPr>
        <w:t>.</w:t>
      </w:r>
      <w:r w:rsidR="004C7797">
        <w:rPr>
          <w:rFonts w:ascii="Calibri" w:hAnsi="Calibri" w:cs="Calibri"/>
          <w:b/>
          <w:color w:val="002F5D"/>
        </w:rPr>
        <w:t xml:space="preserve"> </w:t>
      </w:r>
      <w:r w:rsidR="004C7797" w:rsidRPr="00330B65">
        <w:rPr>
          <w:rFonts w:ascii="Calibri" w:hAnsi="Calibri" w:cs="Calibri"/>
          <w:color w:val="002F5D"/>
        </w:rPr>
        <w:t>Children In Need supported on the 31</w:t>
      </w:r>
      <w:r w:rsidR="004C7797" w:rsidRPr="00330B65">
        <w:rPr>
          <w:rFonts w:ascii="Calibri" w:hAnsi="Calibri" w:cs="Calibri"/>
          <w:color w:val="002F5D"/>
          <w:vertAlign w:val="superscript"/>
        </w:rPr>
        <w:t>st</w:t>
      </w:r>
      <w:r w:rsidR="004C7797" w:rsidRPr="00330B65">
        <w:rPr>
          <w:rFonts w:ascii="Calibri" w:hAnsi="Calibri" w:cs="Calibri"/>
          <w:color w:val="002F5D"/>
        </w:rPr>
        <w:t xml:space="preserve"> March 2018, per 10,000 of population (aged 0-17), Peterborough</w:t>
      </w:r>
    </w:p>
    <w:p w14:paraId="709B6869" w14:textId="553AC8C6"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777CBDAB" wp14:editId="038E2212">
            <wp:extent cx="5381625" cy="2124075"/>
            <wp:effectExtent l="0" t="0" r="9525" b="9525"/>
            <wp:docPr id="476" name="Chart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r w:rsidRPr="00330B65">
        <w:rPr>
          <w:rFonts w:ascii="Calibri" w:hAnsi="Calibri" w:cs="Calibri"/>
          <w:color w:val="002F5D"/>
          <w:highlight w:val="green"/>
        </w:rPr>
        <w:t xml:space="preserve"> </w:t>
      </w:r>
    </w:p>
    <w:p w14:paraId="090B9BDA" w14:textId="77777777" w:rsidR="00782D43" w:rsidRPr="00102750" w:rsidRDefault="00782D43" w:rsidP="00782D43">
      <w:pPr>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1D66B431" w14:textId="77777777" w:rsidR="00782D43" w:rsidRDefault="00782D43" w:rsidP="00330B65">
      <w:pPr>
        <w:spacing w:line="240" w:lineRule="auto"/>
        <w:rPr>
          <w:rFonts w:ascii="Calibri" w:hAnsi="Calibri" w:cs="Calibri"/>
          <w:color w:val="002F5D"/>
        </w:rPr>
      </w:pPr>
    </w:p>
    <w:p w14:paraId="081B85E9"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B352DFE" w14:textId="77777777" w:rsidR="002F6B4E" w:rsidRPr="00330B65" w:rsidRDefault="002F6B4E" w:rsidP="00330B65">
      <w:pPr>
        <w:spacing w:line="240" w:lineRule="auto"/>
        <w:rPr>
          <w:rFonts w:ascii="Calibri" w:hAnsi="Calibri" w:cs="Calibri"/>
          <w:color w:val="002F5D"/>
          <w:highlight w:val="green"/>
        </w:rPr>
      </w:pPr>
    </w:p>
    <w:p w14:paraId="15018327" w14:textId="12BFAFDD"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The rate of Children in Need per 10,000 of population in Peterborough has fallen over the past three financial years and is </w:t>
      </w:r>
      <w:r w:rsidR="00875854">
        <w:rPr>
          <w:rFonts w:ascii="Calibri" w:hAnsi="Calibri" w:cs="Calibri"/>
          <w:color w:val="002F5D"/>
        </w:rPr>
        <w:t xml:space="preserve">numerically </w:t>
      </w:r>
      <w:r w:rsidRPr="00330B65">
        <w:rPr>
          <w:rFonts w:ascii="Calibri" w:hAnsi="Calibri" w:cs="Calibri"/>
          <w:color w:val="002F5D"/>
        </w:rPr>
        <w:t>b</w:t>
      </w:r>
      <w:r w:rsidR="003813C9">
        <w:rPr>
          <w:rFonts w:ascii="Calibri" w:hAnsi="Calibri" w:cs="Calibri"/>
          <w:color w:val="002F5D"/>
        </w:rPr>
        <w:t>elow the statistical neighbour</w:t>
      </w:r>
      <w:r w:rsidRPr="00330B65">
        <w:rPr>
          <w:rFonts w:ascii="Calibri" w:hAnsi="Calibri" w:cs="Calibri"/>
          <w:color w:val="002F5D"/>
        </w:rPr>
        <w:t xml:space="preserve"> average and is now comparable to the England average.</w:t>
      </w:r>
    </w:p>
    <w:p w14:paraId="2FAC5F16" w14:textId="5E8F212E" w:rsidR="00837184" w:rsidRDefault="00837184" w:rsidP="00330B65">
      <w:pPr>
        <w:pStyle w:val="ListParagraph"/>
        <w:spacing w:line="240" w:lineRule="auto"/>
        <w:ind w:left="0"/>
        <w:rPr>
          <w:rFonts w:ascii="Calibri" w:hAnsi="Calibri" w:cs="Calibri"/>
          <w:color w:val="002F5D"/>
        </w:rPr>
      </w:pPr>
    </w:p>
    <w:p w14:paraId="3C43976C" w14:textId="0BE0D03A" w:rsidR="00837184" w:rsidRPr="00330B65" w:rsidRDefault="00B81E4B">
      <w:pPr>
        <w:spacing w:line="240" w:lineRule="auto"/>
        <w:rPr>
          <w:rFonts w:ascii="Calibri" w:eastAsia="Times New Roman" w:hAnsi="Calibri" w:cs="Calibri"/>
          <w:bCs/>
          <w:color w:val="002F5D"/>
          <w:lang w:eastAsia="en-GB"/>
        </w:rPr>
      </w:pPr>
      <w:r>
        <w:rPr>
          <w:rFonts w:ascii="Calibri" w:eastAsia="Times New Roman" w:hAnsi="Calibri" w:cs="Calibri"/>
          <w:b/>
          <w:bCs/>
          <w:color w:val="002F5D"/>
          <w:lang w:eastAsia="en-GB"/>
        </w:rPr>
        <w:t>Table 84</w:t>
      </w:r>
      <w:r w:rsidR="00837184">
        <w:rPr>
          <w:rFonts w:ascii="Calibri" w:eastAsia="Times New Roman" w:hAnsi="Calibri" w:cs="Calibri"/>
          <w:b/>
          <w:bCs/>
          <w:color w:val="002F5D"/>
          <w:lang w:eastAsia="en-GB"/>
        </w:rPr>
        <w:t xml:space="preserve">. </w:t>
      </w:r>
      <w:r w:rsidR="00837184" w:rsidRPr="00330B65">
        <w:rPr>
          <w:rFonts w:ascii="Calibri" w:eastAsia="Times New Roman" w:hAnsi="Calibri" w:cs="Calibri"/>
          <w:bCs/>
          <w:color w:val="002F5D"/>
          <w:lang w:eastAsia="en-GB"/>
        </w:rPr>
        <w:t>Number of Children in Need supported on the 31</w:t>
      </w:r>
      <w:r w:rsidR="00837184" w:rsidRPr="00330B65">
        <w:rPr>
          <w:rFonts w:ascii="Calibri" w:eastAsia="Times New Roman" w:hAnsi="Calibri" w:cs="Calibri"/>
          <w:bCs/>
          <w:color w:val="002F5D"/>
          <w:vertAlign w:val="superscript"/>
          <w:lang w:eastAsia="en-GB"/>
        </w:rPr>
        <w:t>st</w:t>
      </w:r>
      <w:r w:rsidR="00837184" w:rsidRPr="00330B65">
        <w:rPr>
          <w:rFonts w:ascii="Calibri" w:eastAsia="Times New Roman" w:hAnsi="Calibri" w:cs="Calibri"/>
          <w:bCs/>
          <w:color w:val="002F5D"/>
          <w:lang w:eastAsia="en-GB"/>
        </w:rPr>
        <w:t xml:space="preserve"> March </w:t>
      </w:r>
      <w:r w:rsidR="00FD323F">
        <w:rPr>
          <w:rFonts w:ascii="Calibri" w:eastAsia="Times New Roman" w:hAnsi="Calibri" w:cs="Calibri"/>
          <w:bCs/>
          <w:color w:val="002F5D"/>
          <w:lang w:eastAsia="en-GB"/>
        </w:rPr>
        <w:t>20</w:t>
      </w:r>
      <w:r w:rsidR="00837184" w:rsidRPr="00330B65">
        <w:rPr>
          <w:rFonts w:ascii="Calibri" w:eastAsia="Times New Roman" w:hAnsi="Calibri" w:cs="Calibri"/>
          <w:bCs/>
          <w:color w:val="002F5D"/>
          <w:lang w:eastAsia="en-GB"/>
        </w:rPr>
        <w:t>18</w:t>
      </w:r>
    </w:p>
    <w:p w14:paraId="5D734D76" w14:textId="77777777" w:rsidR="00837184" w:rsidRDefault="00837184" w:rsidP="00837184">
      <w:pPr>
        <w:spacing w:line="240" w:lineRule="auto"/>
        <w:rPr>
          <w:rFonts w:ascii="Calibri" w:eastAsia="Times New Roman" w:hAnsi="Calibri" w:cs="Calibri"/>
          <w:b/>
          <w:bCs/>
          <w:color w:val="002F5D"/>
          <w:lang w:eastAsia="en-GB"/>
        </w:rPr>
      </w:pPr>
    </w:p>
    <w:tbl>
      <w:tblPr>
        <w:tblW w:w="8502" w:type="dxa"/>
        <w:tblInd w:w="-15" w:type="dxa"/>
        <w:tblLook w:val="04A0" w:firstRow="1" w:lastRow="0" w:firstColumn="1" w:lastColumn="0" w:noHBand="0" w:noVBand="1"/>
      </w:tblPr>
      <w:tblGrid>
        <w:gridCol w:w="4351"/>
        <w:gridCol w:w="721"/>
        <w:gridCol w:w="1001"/>
        <w:gridCol w:w="2429"/>
      </w:tblGrid>
      <w:tr w:rsidR="00936844" w:rsidRPr="00936844" w14:paraId="6ACD6AA1" w14:textId="77777777" w:rsidTr="00330B65">
        <w:trPr>
          <w:trHeight w:val="315"/>
        </w:trPr>
        <w:tc>
          <w:tcPr>
            <w:tcW w:w="4351" w:type="dxa"/>
            <w:tcBorders>
              <w:top w:val="single" w:sz="12" w:space="0" w:color="002F5D"/>
              <w:left w:val="single" w:sz="12" w:space="0" w:color="002F5D"/>
              <w:bottom w:val="single" w:sz="4" w:space="0" w:color="FFFFFF" w:themeColor="background1"/>
              <w:right w:val="single" w:sz="6" w:space="0" w:color="002F5D"/>
            </w:tcBorders>
            <w:shd w:val="clear" w:color="000000" w:fill="1F4E78"/>
            <w:noWrap/>
            <w:vAlign w:val="bottom"/>
            <w:hideMark/>
          </w:tcPr>
          <w:p w14:paraId="573C540C"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721" w:type="dxa"/>
            <w:tcBorders>
              <w:top w:val="single" w:sz="12" w:space="0" w:color="002F5D"/>
              <w:left w:val="single" w:sz="6" w:space="0" w:color="002F5D"/>
              <w:bottom w:val="single" w:sz="4" w:space="0" w:color="FFFFFF" w:themeColor="background1"/>
              <w:right w:val="single" w:sz="6" w:space="0" w:color="002F5D"/>
            </w:tcBorders>
            <w:shd w:val="clear" w:color="000000" w:fill="1F4E78"/>
            <w:noWrap/>
            <w:vAlign w:val="bottom"/>
            <w:hideMark/>
          </w:tcPr>
          <w:p w14:paraId="407125C7"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w:t>
            </w:r>
          </w:p>
        </w:tc>
        <w:tc>
          <w:tcPr>
            <w:tcW w:w="1001" w:type="dxa"/>
            <w:tcBorders>
              <w:top w:val="single" w:sz="12" w:space="0" w:color="002F5D"/>
              <w:left w:val="single" w:sz="6" w:space="0" w:color="002F5D"/>
              <w:bottom w:val="single" w:sz="4" w:space="0" w:color="FFFFFF" w:themeColor="background1"/>
              <w:right w:val="single" w:sz="6" w:space="0" w:color="002F5D"/>
            </w:tcBorders>
            <w:shd w:val="clear" w:color="000000" w:fill="1F4E78"/>
            <w:noWrap/>
            <w:vAlign w:val="bottom"/>
            <w:hideMark/>
          </w:tcPr>
          <w:p w14:paraId="4FC31FD4" w14:textId="01AA56B2"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746A25">
              <w:rPr>
                <w:rFonts w:ascii="Calibri" w:eastAsia="Times New Roman" w:hAnsi="Calibri" w:cs="Calibri"/>
                <w:color w:val="FFFFFF" w:themeColor="background1"/>
                <w:lang w:eastAsia="en-GB"/>
              </w:rPr>
              <w:t>*</w:t>
            </w:r>
          </w:p>
        </w:tc>
        <w:tc>
          <w:tcPr>
            <w:tcW w:w="2429" w:type="dxa"/>
            <w:tcBorders>
              <w:top w:val="single" w:sz="12" w:space="0" w:color="002F5D"/>
              <w:left w:val="single" w:sz="6" w:space="0" w:color="002F5D"/>
              <w:bottom w:val="single" w:sz="4" w:space="0" w:color="FFFFFF" w:themeColor="background1"/>
              <w:right w:val="single" w:sz="12" w:space="0" w:color="002F5D"/>
            </w:tcBorders>
            <w:shd w:val="clear" w:color="000000" w:fill="1F4E78"/>
            <w:noWrap/>
            <w:vAlign w:val="bottom"/>
            <w:hideMark/>
          </w:tcPr>
          <w:p w14:paraId="0BA8EE5F"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Rate per 10,000 of pop.</w:t>
            </w:r>
          </w:p>
        </w:tc>
      </w:tr>
      <w:tr w:rsidR="00936844" w:rsidRPr="00936844" w14:paraId="2C23606E" w14:textId="77777777" w:rsidTr="00330B65">
        <w:trPr>
          <w:trHeight w:val="315"/>
        </w:trPr>
        <w:tc>
          <w:tcPr>
            <w:tcW w:w="4351" w:type="dxa"/>
            <w:tcBorders>
              <w:top w:val="single" w:sz="4" w:space="0" w:color="FFFFFF" w:themeColor="background1"/>
              <w:left w:val="single" w:sz="12" w:space="0" w:color="002F5D"/>
              <w:bottom w:val="nil"/>
              <w:right w:val="single" w:sz="6" w:space="0" w:color="002F5D"/>
            </w:tcBorders>
            <w:shd w:val="clear" w:color="auto" w:fill="auto"/>
            <w:noWrap/>
            <w:vAlign w:val="bottom"/>
            <w:hideMark/>
          </w:tcPr>
          <w:p w14:paraId="6580A490"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721" w:type="dxa"/>
            <w:tcBorders>
              <w:top w:val="single" w:sz="4" w:space="0" w:color="FFFFFF" w:themeColor="background1"/>
              <w:left w:val="single" w:sz="6" w:space="0" w:color="002F5D"/>
              <w:bottom w:val="nil"/>
              <w:right w:val="single" w:sz="6" w:space="0" w:color="002F5D"/>
            </w:tcBorders>
            <w:shd w:val="clear" w:color="auto" w:fill="auto"/>
            <w:noWrap/>
            <w:vAlign w:val="center"/>
            <w:hideMark/>
          </w:tcPr>
          <w:p w14:paraId="13360EB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592</w:t>
            </w:r>
          </w:p>
        </w:tc>
        <w:tc>
          <w:tcPr>
            <w:tcW w:w="1001" w:type="dxa"/>
            <w:tcBorders>
              <w:top w:val="single" w:sz="4" w:space="0" w:color="FFFFFF" w:themeColor="background1"/>
              <w:left w:val="single" w:sz="6" w:space="0" w:color="002F5D"/>
              <w:bottom w:val="nil"/>
              <w:right w:val="single" w:sz="6" w:space="0" w:color="002F5D"/>
            </w:tcBorders>
            <w:shd w:val="clear" w:color="auto" w:fill="auto"/>
            <w:noWrap/>
            <w:vAlign w:val="center"/>
            <w:hideMark/>
          </w:tcPr>
          <w:p w14:paraId="1BE04E1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w:t>
            </w:r>
          </w:p>
        </w:tc>
        <w:tc>
          <w:tcPr>
            <w:tcW w:w="2429" w:type="dxa"/>
            <w:tcBorders>
              <w:top w:val="single" w:sz="4" w:space="0" w:color="FFFFFF" w:themeColor="background1"/>
              <w:left w:val="single" w:sz="6" w:space="0" w:color="002F5D"/>
              <w:bottom w:val="nil"/>
              <w:right w:val="single" w:sz="12" w:space="0" w:color="002F5D"/>
            </w:tcBorders>
            <w:shd w:val="clear" w:color="auto" w:fill="auto"/>
            <w:noWrap/>
            <w:vAlign w:val="center"/>
            <w:hideMark/>
          </w:tcPr>
          <w:p w14:paraId="0721862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256.4</w:t>
            </w:r>
          </w:p>
        </w:tc>
      </w:tr>
      <w:tr w:rsidR="00936844" w:rsidRPr="00936844" w14:paraId="0A58D4FE" w14:textId="77777777" w:rsidTr="00330B65">
        <w:trPr>
          <w:trHeight w:val="315"/>
        </w:trPr>
        <w:tc>
          <w:tcPr>
            <w:tcW w:w="4351" w:type="dxa"/>
            <w:tcBorders>
              <w:top w:val="nil"/>
              <w:left w:val="single" w:sz="12" w:space="0" w:color="002F5D"/>
              <w:bottom w:val="nil"/>
              <w:right w:val="single" w:sz="6" w:space="0" w:color="002F5D"/>
            </w:tcBorders>
            <w:shd w:val="clear" w:color="auto" w:fill="auto"/>
            <w:noWrap/>
            <w:vAlign w:val="bottom"/>
            <w:hideMark/>
          </w:tcPr>
          <w:p w14:paraId="6437178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721" w:type="dxa"/>
            <w:tcBorders>
              <w:top w:val="nil"/>
              <w:left w:val="single" w:sz="6" w:space="0" w:color="002F5D"/>
              <w:bottom w:val="nil"/>
              <w:right w:val="single" w:sz="6" w:space="0" w:color="002F5D"/>
            </w:tcBorders>
            <w:shd w:val="clear" w:color="auto" w:fill="auto"/>
            <w:noWrap/>
            <w:vAlign w:val="center"/>
            <w:hideMark/>
          </w:tcPr>
          <w:p w14:paraId="308E7F6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333</w:t>
            </w:r>
          </w:p>
        </w:tc>
        <w:tc>
          <w:tcPr>
            <w:tcW w:w="1001" w:type="dxa"/>
            <w:tcBorders>
              <w:top w:val="nil"/>
              <w:left w:val="single" w:sz="6" w:space="0" w:color="002F5D"/>
              <w:bottom w:val="nil"/>
              <w:right w:val="single" w:sz="6" w:space="0" w:color="002F5D"/>
            </w:tcBorders>
            <w:shd w:val="clear" w:color="auto" w:fill="auto"/>
            <w:noWrap/>
            <w:vAlign w:val="center"/>
            <w:hideMark/>
          </w:tcPr>
          <w:p w14:paraId="65BA080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w:t>
            </w:r>
          </w:p>
        </w:tc>
        <w:tc>
          <w:tcPr>
            <w:tcW w:w="2429" w:type="dxa"/>
            <w:tcBorders>
              <w:top w:val="nil"/>
              <w:left w:val="single" w:sz="6" w:space="0" w:color="002F5D"/>
              <w:bottom w:val="nil"/>
              <w:right w:val="single" w:sz="12" w:space="0" w:color="002F5D"/>
            </w:tcBorders>
            <w:shd w:val="clear" w:color="auto" w:fill="auto"/>
            <w:noWrap/>
            <w:vAlign w:val="center"/>
            <w:hideMark/>
          </w:tcPr>
          <w:p w14:paraId="2CD1DEB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169.6</w:t>
            </w:r>
          </w:p>
        </w:tc>
      </w:tr>
      <w:tr w:rsidR="00936844" w:rsidRPr="00936844" w14:paraId="1CB5A1B6" w14:textId="77777777" w:rsidTr="00330B65">
        <w:trPr>
          <w:trHeight w:val="315"/>
        </w:trPr>
        <w:tc>
          <w:tcPr>
            <w:tcW w:w="4351" w:type="dxa"/>
            <w:tcBorders>
              <w:top w:val="nil"/>
              <w:left w:val="single" w:sz="12" w:space="0" w:color="002F5D"/>
              <w:bottom w:val="nil"/>
              <w:right w:val="single" w:sz="6" w:space="0" w:color="002F5D"/>
            </w:tcBorders>
            <w:shd w:val="clear" w:color="auto" w:fill="auto"/>
            <w:noWrap/>
            <w:vAlign w:val="bottom"/>
            <w:hideMark/>
          </w:tcPr>
          <w:p w14:paraId="0CEFB99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721" w:type="dxa"/>
            <w:tcBorders>
              <w:top w:val="nil"/>
              <w:left w:val="single" w:sz="6" w:space="0" w:color="002F5D"/>
              <w:bottom w:val="nil"/>
              <w:right w:val="single" w:sz="6" w:space="0" w:color="002F5D"/>
            </w:tcBorders>
            <w:shd w:val="clear" w:color="auto" w:fill="auto"/>
            <w:noWrap/>
            <w:vAlign w:val="center"/>
            <w:hideMark/>
          </w:tcPr>
          <w:p w14:paraId="63AF9AD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675</w:t>
            </w:r>
          </w:p>
        </w:tc>
        <w:tc>
          <w:tcPr>
            <w:tcW w:w="1001" w:type="dxa"/>
            <w:tcBorders>
              <w:top w:val="nil"/>
              <w:left w:val="single" w:sz="6" w:space="0" w:color="002F5D"/>
              <w:bottom w:val="nil"/>
              <w:right w:val="single" w:sz="6" w:space="0" w:color="002F5D"/>
            </w:tcBorders>
            <w:shd w:val="clear" w:color="auto" w:fill="auto"/>
            <w:noWrap/>
            <w:vAlign w:val="center"/>
            <w:hideMark/>
          </w:tcPr>
          <w:p w14:paraId="62D4F54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w:t>
            </w:r>
          </w:p>
        </w:tc>
        <w:tc>
          <w:tcPr>
            <w:tcW w:w="2429" w:type="dxa"/>
            <w:tcBorders>
              <w:top w:val="nil"/>
              <w:left w:val="single" w:sz="6" w:space="0" w:color="002F5D"/>
              <w:bottom w:val="nil"/>
              <w:right w:val="single" w:sz="12" w:space="0" w:color="002F5D"/>
            </w:tcBorders>
            <w:shd w:val="clear" w:color="auto" w:fill="auto"/>
            <w:noWrap/>
            <w:vAlign w:val="center"/>
            <w:hideMark/>
          </w:tcPr>
          <w:p w14:paraId="1ED2EC0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335.8</w:t>
            </w:r>
          </w:p>
        </w:tc>
      </w:tr>
      <w:tr w:rsidR="00936844" w:rsidRPr="00936844" w14:paraId="09C6E794" w14:textId="77777777" w:rsidTr="00330B65">
        <w:trPr>
          <w:trHeight w:val="315"/>
        </w:trPr>
        <w:tc>
          <w:tcPr>
            <w:tcW w:w="4351" w:type="dxa"/>
            <w:tcBorders>
              <w:top w:val="nil"/>
              <w:left w:val="single" w:sz="12" w:space="0" w:color="002F5D"/>
              <w:bottom w:val="nil"/>
              <w:right w:val="single" w:sz="6" w:space="0" w:color="002F5D"/>
            </w:tcBorders>
            <w:shd w:val="clear" w:color="auto" w:fill="auto"/>
            <w:noWrap/>
            <w:vAlign w:val="bottom"/>
            <w:hideMark/>
          </w:tcPr>
          <w:p w14:paraId="7F097C6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721" w:type="dxa"/>
            <w:tcBorders>
              <w:top w:val="nil"/>
              <w:left w:val="single" w:sz="6" w:space="0" w:color="002F5D"/>
              <w:bottom w:val="nil"/>
              <w:right w:val="single" w:sz="6" w:space="0" w:color="002F5D"/>
            </w:tcBorders>
            <w:shd w:val="clear" w:color="auto" w:fill="auto"/>
            <w:noWrap/>
            <w:vAlign w:val="center"/>
            <w:hideMark/>
          </w:tcPr>
          <w:p w14:paraId="29F7ACC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754</w:t>
            </w:r>
          </w:p>
        </w:tc>
        <w:tc>
          <w:tcPr>
            <w:tcW w:w="1001" w:type="dxa"/>
            <w:tcBorders>
              <w:top w:val="nil"/>
              <w:left w:val="single" w:sz="6" w:space="0" w:color="002F5D"/>
              <w:bottom w:val="nil"/>
              <w:right w:val="single" w:sz="6" w:space="0" w:color="002F5D"/>
            </w:tcBorders>
            <w:shd w:val="clear" w:color="auto" w:fill="auto"/>
            <w:noWrap/>
            <w:vAlign w:val="center"/>
            <w:hideMark/>
          </w:tcPr>
          <w:p w14:paraId="1DAD25B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21%</w:t>
            </w:r>
          </w:p>
        </w:tc>
        <w:tc>
          <w:tcPr>
            <w:tcW w:w="2429" w:type="dxa"/>
            <w:tcBorders>
              <w:top w:val="nil"/>
              <w:left w:val="single" w:sz="6" w:space="0" w:color="002F5D"/>
              <w:bottom w:val="nil"/>
              <w:right w:val="single" w:sz="12" w:space="0" w:color="002F5D"/>
            </w:tcBorders>
            <w:shd w:val="clear" w:color="auto" w:fill="auto"/>
            <w:noWrap/>
            <w:vAlign w:val="center"/>
            <w:hideMark/>
          </w:tcPr>
          <w:p w14:paraId="168BBC6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206.1</w:t>
            </w:r>
          </w:p>
        </w:tc>
      </w:tr>
      <w:tr w:rsidR="00936844" w:rsidRPr="00936844" w14:paraId="23A7D57B" w14:textId="77777777" w:rsidTr="00330B65">
        <w:trPr>
          <w:trHeight w:val="315"/>
        </w:trPr>
        <w:tc>
          <w:tcPr>
            <w:tcW w:w="4351" w:type="dxa"/>
            <w:tcBorders>
              <w:top w:val="nil"/>
              <w:left w:val="single" w:sz="12" w:space="0" w:color="002F5D"/>
              <w:bottom w:val="nil"/>
              <w:right w:val="single" w:sz="6" w:space="0" w:color="002F5D"/>
            </w:tcBorders>
            <w:shd w:val="clear" w:color="auto" w:fill="auto"/>
            <w:noWrap/>
            <w:vAlign w:val="bottom"/>
            <w:hideMark/>
          </w:tcPr>
          <w:p w14:paraId="2EAEC26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721" w:type="dxa"/>
            <w:tcBorders>
              <w:top w:val="nil"/>
              <w:left w:val="single" w:sz="6" w:space="0" w:color="002F5D"/>
              <w:bottom w:val="nil"/>
              <w:right w:val="single" w:sz="6" w:space="0" w:color="002F5D"/>
            </w:tcBorders>
            <w:shd w:val="clear" w:color="auto" w:fill="auto"/>
            <w:noWrap/>
            <w:vAlign w:val="center"/>
            <w:hideMark/>
          </w:tcPr>
          <w:p w14:paraId="0165A92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522</w:t>
            </w:r>
          </w:p>
        </w:tc>
        <w:tc>
          <w:tcPr>
            <w:tcW w:w="1001" w:type="dxa"/>
            <w:tcBorders>
              <w:top w:val="nil"/>
              <w:left w:val="single" w:sz="6" w:space="0" w:color="002F5D"/>
              <w:bottom w:val="nil"/>
              <w:right w:val="single" w:sz="6" w:space="0" w:color="002F5D"/>
            </w:tcBorders>
            <w:shd w:val="clear" w:color="auto" w:fill="auto"/>
            <w:noWrap/>
            <w:vAlign w:val="center"/>
            <w:hideMark/>
          </w:tcPr>
          <w:p w14:paraId="34167FE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15%</w:t>
            </w:r>
          </w:p>
        </w:tc>
        <w:tc>
          <w:tcPr>
            <w:tcW w:w="2429" w:type="dxa"/>
            <w:tcBorders>
              <w:top w:val="nil"/>
              <w:left w:val="single" w:sz="6" w:space="0" w:color="002F5D"/>
              <w:bottom w:val="nil"/>
              <w:right w:val="single" w:sz="12" w:space="0" w:color="002F5D"/>
            </w:tcBorders>
            <w:shd w:val="clear" w:color="auto" w:fill="auto"/>
            <w:noWrap/>
            <w:vAlign w:val="center"/>
            <w:hideMark/>
          </w:tcPr>
          <w:p w14:paraId="5E349E4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148.6</w:t>
            </w:r>
          </w:p>
        </w:tc>
      </w:tr>
      <w:tr w:rsidR="00936844" w:rsidRPr="00936844" w14:paraId="00B45905" w14:textId="77777777" w:rsidTr="00330B65">
        <w:trPr>
          <w:trHeight w:val="315"/>
        </w:trPr>
        <w:tc>
          <w:tcPr>
            <w:tcW w:w="4351" w:type="dxa"/>
            <w:tcBorders>
              <w:top w:val="nil"/>
              <w:left w:val="single" w:sz="12" w:space="0" w:color="002F5D"/>
              <w:bottom w:val="single" w:sz="4" w:space="0" w:color="002F5D"/>
              <w:right w:val="single" w:sz="6" w:space="0" w:color="002F5D"/>
            </w:tcBorders>
            <w:shd w:val="clear" w:color="auto" w:fill="auto"/>
            <w:noWrap/>
            <w:vAlign w:val="bottom"/>
            <w:hideMark/>
          </w:tcPr>
          <w:p w14:paraId="78B591C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721" w:type="dxa"/>
            <w:tcBorders>
              <w:top w:val="nil"/>
              <w:left w:val="single" w:sz="6" w:space="0" w:color="002F5D"/>
              <w:bottom w:val="single" w:sz="4" w:space="0" w:color="002F5D"/>
              <w:right w:val="single" w:sz="6" w:space="0" w:color="002F5D"/>
            </w:tcBorders>
            <w:shd w:val="clear" w:color="auto" w:fill="auto"/>
            <w:noWrap/>
            <w:vAlign w:val="center"/>
            <w:hideMark/>
          </w:tcPr>
          <w:p w14:paraId="68A6145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701</w:t>
            </w:r>
          </w:p>
        </w:tc>
        <w:tc>
          <w:tcPr>
            <w:tcW w:w="1001" w:type="dxa"/>
            <w:tcBorders>
              <w:top w:val="nil"/>
              <w:left w:val="single" w:sz="6" w:space="0" w:color="002F5D"/>
              <w:bottom w:val="single" w:sz="4" w:space="0" w:color="002F5D"/>
              <w:right w:val="single" w:sz="6" w:space="0" w:color="002F5D"/>
            </w:tcBorders>
            <w:shd w:val="clear" w:color="auto" w:fill="auto"/>
            <w:noWrap/>
            <w:vAlign w:val="center"/>
            <w:hideMark/>
          </w:tcPr>
          <w:p w14:paraId="466775D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w:t>
            </w:r>
          </w:p>
        </w:tc>
        <w:tc>
          <w:tcPr>
            <w:tcW w:w="2429" w:type="dxa"/>
            <w:tcBorders>
              <w:top w:val="nil"/>
              <w:left w:val="single" w:sz="6" w:space="0" w:color="002F5D"/>
              <w:bottom w:val="single" w:sz="4" w:space="0" w:color="002F5D"/>
              <w:right w:val="single" w:sz="12" w:space="0" w:color="002F5D"/>
            </w:tcBorders>
            <w:shd w:val="clear" w:color="auto" w:fill="auto"/>
            <w:noWrap/>
            <w:vAlign w:val="center"/>
            <w:hideMark/>
          </w:tcPr>
          <w:p w14:paraId="0A1FCAD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936844" w:rsidRPr="00936844" w14:paraId="41D7A394" w14:textId="77777777" w:rsidTr="00330B65">
        <w:trPr>
          <w:trHeight w:val="315"/>
        </w:trPr>
        <w:tc>
          <w:tcPr>
            <w:tcW w:w="4351" w:type="dxa"/>
            <w:tcBorders>
              <w:top w:val="single" w:sz="4" w:space="0" w:color="002F5D"/>
              <w:left w:val="single" w:sz="12" w:space="0" w:color="002F5D"/>
              <w:bottom w:val="single" w:sz="4" w:space="0" w:color="002F5D"/>
              <w:right w:val="single" w:sz="6" w:space="0" w:color="002F5D"/>
            </w:tcBorders>
            <w:shd w:val="clear" w:color="auto" w:fill="auto"/>
            <w:noWrap/>
            <w:vAlign w:val="bottom"/>
            <w:hideMark/>
          </w:tcPr>
          <w:p w14:paraId="21C7C4EC"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w:t>
            </w:r>
          </w:p>
        </w:tc>
        <w:tc>
          <w:tcPr>
            <w:tcW w:w="72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07DA5CB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3,577</w:t>
            </w:r>
          </w:p>
        </w:tc>
        <w:tc>
          <w:tcPr>
            <w:tcW w:w="100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5F249D2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68%</w:t>
            </w:r>
          </w:p>
        </w:tc>
        <w:tc>
          <w:tcPr>
            <w:tcW w:w="2429" w:type="dxa"/>
            <w:tcBorders>
              <w:top w:val="single" w:sz="4" w:space="0" w:color="002F5D"/>
              <w:left w:val="single" w:sz="6" w:space="0" w:color="002F5D"/>
              <w:bottom w:val="single" w:sz="4" w:space="0" w:color="002F5D"/>
              <w:right w:val="single" w:sz="12" w:space="0" w:color="002F5D"/>
            </w:tcBorders>
            <w:shd w:val="clear" w:color="auto" w:fill="auto"/>
            <w:noWrap/>
            <w:vAlign w:val="center"/>
            <w:hideMark/>
          </w:tcPr>
          <w:p w14:paraId="1AAEE01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265.9</w:t>
            </w:r>
          </w:p>
        </w:tc>
      </w:tr>
      <w:tr w:rsidR="00936844" w:rsidRPr="00936844" w14:paraId="6A87090D" w14:textId="77777777" w:rsidTr="00330B65">
        <w:trPr>
          <w:trHeight w:val="315"/>
        </w:trPr>
        <w:tc>
          <w:tcPr>
            <w:tcW w:w="4351" w:type="dxa"/>
            <w:tcBorders>
              <w:top w:val="single" w:sz="4" w:space="0" w:color="002F5D"/>
              <w:left w:val="single" w:sz="12" w:space="0" w:color="002F5D"/>
              <w:bottom w:val="single" w:sz="4" w:space="0" w:color="002F5D"/>
              <w:right w:val="single" w:sz="6" w:space="0" w:color="002F5D"/>
            </w:tcBorders>
            <w:shd w:val="clear" w:color="auto" w:fill="auto"/>
            <w:noWrap/>
            <w:vAlign w:val="bottom"/>
            <w:hideMark/>
          </w:tcPr>
          <w:p w14:paraId="08AB3AB6"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Peterborough</w:t>
            </w:r>
          </w:p>
        </w:tc>
        <w:tc>
          <w:tcPr>
            <w:tcW w:w="72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2BF818B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1,651</w:t>
            </w:r>
          </w:p>
        </w:tc>
        <w:tc>
          <w:tcPr>
            <w:tcW w:w="100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67D8A14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32%</w:t>
            </w:r>
          </w:p>
        </w:tc>
        <w:tc>
          <w:tcPr>
            <w:tcW w:w="2429" w:type="dxa"/>
            <w:tcBorders>
              <w:top w:val="single" w:sz="4" w:space="0" w:color="002F5D"/>
              <w:left w:val="single" w:sz="6" w:space="0" w:color="002F5D"/>
              <w:bottom w:val="single" w:sz="4" w:space="0" w:color="002F5D"/>
              <w:right w:val="single" w:sz="12" w:space="0" w:color="002F5D"/>
            </w:tcBorders>
            <w:shd w:val="clear" w:color="auto" w:fill="auto"/>
            <w:noWrap/>
            <w:vAlign w:val="center"/>
            <w:hideMark/>
          </w:tcPr>
          <w:p w14:paraId="7CAF421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330.1</w:t>
            </w:r>
          </w:p>
        </w:tc>
      </w:tr>
      <w:tr w:rsidR="00936844" w:rsidRPr="00936844" w14:paraId="7CCC3D01" w14:textId="77777777" w:rsidTr="00330B65">
        <w:trPr>
          <w:trHeight w:val="315"/>
        </w:trPr>
        <w:tc>
          <w:tcPr>
            <w:tcW w:w="4351" w:type="dxa"/>
            <w:tcBorders>
              <w:top w:val="single" w:sz="4" w:space="0" w:color="002F5D"/>
              <w:left w:val="single" w:sz="12" w:space="0" w:color="002F5D"/>
              <w:bottom w:val="single" w:sz="4" w:space="0" w:color="002F5D"/>
              <w:right w:val="single" w:sz="6" w:space="0" w:color="002F5D"/>
            </w:tcBorders>
            <w:shd w:val="clear" w:color="auto" w:fill="auto"/>
            <w:noWrap/>
            <w:vAlign w:val="bottom"/>
            <w:hideMark/>
          </w:tcPr>
          <w:p w14:paraId="59732771"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72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31BCED39"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5,228</w:t>
            </w:r>
          </w:p>
        </w:tc>
        <w:tc>
          <w:tcPr>
            <w:tcW w:w="1001" w:type="dxa"/>
            <w:tcBorders>
              <w:top w:val="single" w:sz="4" w:space="0" w:color="002F5D"/>
              <w:left w:val="single" w:sz="6" w:space="0" w:color="002F5D"/>
              <w:bottom w:val="single" w:sz="4" w:space="0" w:color="002F5D"/>
              <w:right w:val="single" w:sz="6" w:space="0" w:color="002F5D"/>
            </w:tcBorders>
            <w:shd w:val="clear" w:color="auto" w:fill="auto"/>
            <w:noWrap/>
            <w:vAlign w:val="center"/>
            <w:hideMark/>
          </w:tcPr>
          <w:p w14:paraId="37E56F03" w14:textId="18785B1E" w:rsidR="008D4440" w:rsidRPr="00330B65" w:rsidRDefault="00931DDB"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w:t>
            </w:r>
            <w:r w:rsidR="008D4440" w:rsidRPr="00330B65">
              <w:rPr>
                <w:rFonts w:ascii="Calibri" w:eastAsia="Times New Roman" w:hAnsi="Calibri" w:cs="Calibri"/>
                <w:b/>
                <w:color w:val="002F5D"/>
                <w:lang w:eastAsia="en-GB"/>
              </w:rPr>
              <w:t> </w:t>
            </w:r>
          </w:p>
        </w:tc>
        <w:tc>
          <w:tcPr>
            <w:tcW w:w="2429" w:type="dxa"/>
            <w:tcBorders>
              <w:top w:val="single" w:sz="4" w:space="0" w:color="002F5D"/>
              <w:left w:val="single" w:sz="6" w:space="0" w:color="002F5D"/>
              <w:bottom w:val="single" w:sz="4" w:space="0" w:color="002F5D"/>
              <w:right w:val="single" w:sz="12" w:space="0" w:color="002F5D"/>
            </w:tcBorders>
            <w:shd w:val="clear" w:color="auto" w:fill="auto"/>
            <w:noWrap/>
            <w:vAlign w:val="center"/>
            <w:hideMark/>
          </w:tcPr>
          <w:p w14:paraId="77E08E9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283.3</w:t>
            </w:r>
          </w:p>
        </w:tc>
      </w:tr>
    </w:tbl>
    <w:p w14:paraId="39148459" w14:textId="77777777" w:rsidR="00746A25" w:rsidRDefault="00746A25" w:rsidP="00746A25">
      <w:pPr>
        <w:rPr>
          <w:rFonts w:ascii="Calibri" w:hAnsi="Calibri" w:cs="Calibri"/>
          <w:color w:val="002F5D"/>
          <w:sz w:val="18"/>
          <w:szCs w:val="18"/>
        </w:rPr>
      </w:pPr>
      <w:r>
        <w:rPr>
          <w:rFonts w:ascii="Calibri" w:hAnsi="Calibri" w:cs="Calibri"/>
          <w:color w:val="002F5D"/>
          <w:sz w:val="18"/>
          <w:szCs w:val="18"/>
        </w:rPr>
        <w:t>Note: *Cambridgeshire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2999CE37" w14:textId="22F5E18B" w:rsidR="00782D43" w:rsidRDefault="00782D43" w:rsidP="00330B65">
      <w:pPr>
        <w:spacing w:line="240" w:lineRule="auto"/>
        <w:rPr>
          <w:rFonts w:ascii="Calibri" w:hAnsi="Calibri" w:cs="Calibri"/>
          <w:color w:val="002F5D"/>
        </w:rPr>
      </w:pPr>
    </w:p>
    <w:p w14:paraId="0C88E2F5"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24D4813" w14:textId="77777777" w:rsidR="008D4440" w:rsidRPr="00330B65" w:rsidRDefault="008D4440" w:rsidP="00330B65">
      <w:pPr>
        <w:pStyle w:val="ListParagraph"/>
        <w:spacing w:line="240" w:lineRule="auto"/>
        <w:ind w:left="0"/>
        <w:rPr>
          <w:rFonts w:ascii="Calibri" w:hAnsi="Calibri" w:cs="Calibri"/>
          <w:color w:val="002F5D"/>
        </w:rPr>
      </w:pPr>
    </w:p>
    <w:p w14:paraId="68DE9E89" w14:textId="2F76B0AA"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Referrals from Huntingdonshire account for 21% of the Cambridgeshire total, although the rate per 100,000 of population is</w:t>
      </w:r>
      <w:r w:rsidR="00C65B87">
        <w:rPr>
          <w:rFonts w:ascii="Calibri" w:hAnsi="Calibri" w:cs="Calibri"/>
          <w:color w:val="002F5D"/>
        </w:rPr>
        <w:t xml:space="preserve"> numerically</w:t>
      </w:r>
      <w:r w:rsidRPr="00330B65">
        <w:rPr>
          <w:rFonts w:ascii="Calibri" w:hAnsi="Calibri" w:cs="Calibri"/>
          <w:color w:val="002F5D"/>
        </w:rPr>
        <w:t xml:space="preserve"> lower than both Cambridge and Fenland.  The referral rate in Fenland is</w:t>
      </w:r>
      <w:r w:rsidR="00C65B87">
        <w:rPr>
          <w:rFonts w:ascii="Calibri" w:hAnsi="Calibri" w:cs="Calibri"/>
          <w:color w:val="002F5D"/>
        </w:rPr>
        <w:t xml:space="preserve"> numerically</w:t>
      </w:r>
      <w:r w:rsidRPr="00330B65">
        <w:rPr>
          <w:rFonts w:ascii="Calibri" w:hAnsi="Calibri" w:cs="Calibri"/>
          <w:color w:val="002F5D"/>
        </w:rPr>
        <w:t xml:space="preserve"> above the County average, although still lower than the rate for England (341.0)</w:t>
      </w:r>
    </w:p>
    <w:p w14:paraId="6854ACE1" w14:textId="5B293A89" w:rsidR="0099729C" w:rsidRDefault="0099729C">
      <w:pPr>
        <w:pStyle w:val="ListParagraph"/>
        <w:ind w:left="0"/>
        <w:rPr>
          <w:rFonts w:ascii="Calibri" w:hAnsi="Calibri" w:cs="Calibri"/>
          <w:color w:val="002F5D"/>
        </w:rPr>
      </w:pPr>
    </w:p>
    <w:p w14:paraId="57B76EBD" w14:textId="77777777" w:rsidR="00D075C4" w:rsidRPr="00330B65" w:rsidRDefault="00D075C4">
      <w:pPr>
        <w:pStyle w:val="ListParagraph"/>
        <w:ind w:left="0"/>
        <w:rPr>
          <w:rFonts w:ascii="Calibri" w:hAnsi="Calibri" w:cs="Calibri"/>
          <w:color w:val="002F5D"/>
        </w:rPr>
      </w:pPr>
    </w:p>
    <w:p w14:paraId="1B8DCA62" w14:textId="3C185CC8" w:rsidR="008D4440" w:rsidRDefault="004C7797" w:rsidP="00330B65">
      <w:pPr>
        <w:spacing w:line="240" w:lineRule="auto"/>
        <w:rPr>
          <w:rFonts w:ascii="Calibri" w:hAnsi="Calibri" w:cs="Calibri"/>
          <w:color w:val="002F5D"/>
        </w:rPr>
      </w:pPr>
      <w:r>
        <w:rPr>
          <w:rFonts w:ascii="Calibri" w:hAnsi="Calibri" w:cs="Calibri"/>
          <w:b/>
          <w:color w:val="002F5D"/>
        </w:rPr>
        <w:lastRenderedPageBreak/>
        <w:t>Figure 4</w:t>
      </w:r>
      <w:r w:rsidR="00A2366A">
        <w:rPr>
          <w:rFonts w:ascii="Calibri" w:hAnsi="Calibri" w:cs="Calibri"/>
          <w:b/>
          <w:color w:val="002F5D"/>
        </w:rPr>
        <w:t>9</w:t>
      </w:r>
      <w:r w:rsidR="00837184">
        <w:rPr>
          <w:rFonts w:ascii="Calibri" w:hAnsi="Calibri" w:cs="Calibri"/>
          <w:b/>
          <w:color w:val="002F5D"/>
        </w:rPr>
        <w:t>.</w:t>
      </w:r>
      <w:r>
        <w:rPr>
          <w:rFonts w:ascii="Calibri" w:hAnsi="Calibri" w:cs="Calibri"/>
          <w:b/>
          <w:color w:val="002F5D"/>
        </w:rPr>
        <w:t xml:space="preserve"> </w:t>
      </w:r>
      <w:r w:rsidR="008D4440" w:rsidRPr="00330B65">
        <w:rPr>
          <w:rFonts w:ascii="Calibri" w:hAnsi="Calibri" w:cs="Calibri"/>
          <w:b/>
          <w:color w:val="002F5D"/>
        </w:rPr>
        <w:t>S</w:t>
      </w:r>
      <w:r w:rsidR="008D4440" w:rsidRPr="00330B65">
        <w:rPr>
          <w:rFonts w:ascii="Calibri" w:hAnsi="Calibri" w:cs="Calibri"/>
          <w:color w:val="002F5D"/>
        </w:rPr>
        <w:t>47 enquiries started within year, per 10,000 of population (aged 0-17)</w:t>
      </w:r>
      <w:r w:rsidRPr="00330B65">
        <w:rPr>
          <w:rFonts w:ascii="Calibri" w:hAnsi="Calibri" w:cs="Calibri"/>
          <w:color w:val="002F5D"/>
        </w:rPr>
        <w:t>, Cambridgeshire</w:t>
      </w:r>
    </w:p>
    <w:p w14:paraId="2F20F1FD" w14:textId="77777777" w:rsidR="00FD323F" w:rsidRPr="00330B65" w:rsidRDefault="00FD323F" w:rsidP="00330B65">
      <w:pPr>
        <w:spacing w:line="240" w:lineRule="auto"/>
        <w:rPr>
          <w:rFonts w:ascii="Calibri" w:hAnsi="Calibri" w:cs="Calibri"/>
          <w:b/>
          <w:color w:val="002F5D"/>
        </w:rPr>
      </w:pPr>
    </w:p>
    <w:p w14:paraId="02FB90C2" w14:textId="1BD78B4F" w:rsidR="004C7797"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S47 enquiries are conducted under the provisions of section 47 of the Children Act 1989. The objective of such enquiries is to determine whether action is needed to promote and safeguard the welfare of the child or children who are the subject of the enquiries. (CiN census guidance</w:t>
      </w:r>
      <w:r w:rsidR="0099729C" w:rsidRPr="00330B65">
        <w:rPr>
          <w:rFonts w:ascii="Calibri" w:hAnsi="Calibri" w:cs="Calibri"/>
          <w:color w:val="002F5D"/>
          <w:sz w:val="20"/>
          <w:vertAlign w:val="superscript"/>
        </w:rPr>
        <w:t>19</w:t>
      </w:r>
      <w:r w:rsidRPr="00330B65">
        <w:rPr>
          <w:rFonts w:ascii="Calibri" w:hAnsi="Calibri" w:cs="Calibri"/>
          <w:color w:val="002F5D"/>
        </w:rPr>
        <w:t>, page 39).</w:t>
      </w:r>
    </w:p>
    <w:p w14:paraId="0CA5D0DF" w14:textId="671C4ED0"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1E6951C4" wp14:editId="00F6CE0C">
            <wp:extent cx="5680364" cy="2431473"/>
            <wp:effectExtent l="0" t="0" r="15875" b="6985"/>
            <wp:docPr id="477" name="Chart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6958EDFE"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13AF1027" w14:textId="77777777" w:rsidR="00782D43" w:rsidRDefault="00782D43" w:rsidP="00330B65">
      <w:pPr>
        <w:spacing w:line="240" w:lineRule="auto"/>
        <w:rPr>
          <w:rFonts w:ascii="Calibri" w:hAnsi="Calibri" w:cs="Calibri"/>
          <w:color w:val="002F5D"/>
        </w:rPr>
      </w:pPr>
    </w:p>
    <w:p w14:paraId="3E0B6AB4"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4086B5C" w14:textId="77777777" w:rsidR="002F6B4E" w:rsidRPr="00330B65" w:rsidRDefault="002F6B4E" w:rsidP="00330B65">
      <w:pPr>
        <w:spacing w:line="240" w:lineRule="auto"/>
        <w:rPr>
          <w:rFonts w:ascii="Calibri" w:hAnsi="Calibri" w:cs="Calibri"/>
          <w:color w:val="002F5D"/>
          <w:highlight w:val="green"/>
        </w:rPr>
      </w:pPr>
    </w:p>
    <w:p w14:paraId="504AA725" w14:textId="7F81FC80"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In Cambridgeshire, the rate of S.47 enquiries started within the year per 10,000 of population is </w:t>
      </w:r>
      <w:r w:rsidR="00C65B87">
        <w:rPr>
          <w:rFonts w:ascii="Calibri" w:hAnsi="Calibri" w:cs="Calibri"/>
          <w:color w:val="002F5D"/>
        </w:rPr>
        <w:t xml:space="preserve">numerically </w:t>
      </w:r>
      <w:r w:rsidRPr="00330B65">
        <w:rPr>
          <w:rFonts w:ascii="Calibri" w:hAnsi="Calibri" w:cs="Calibri"/>
          <w:color w:val="002F5D"/>
        </w:rPr>
        <w:t>slightly above the regional average, but is below the Eng</w:t>
      </w:r>
      <w:r w:rsidR="003813C9">
        <w:rPr>
          <w:rFonts w:ascii="Calibri" w:hAnsi="Calibri" w:cs="Calibri"/>
          <w:color w:val="002F5D"/>
        </w:rPr>
        <w:t>land and statistical neighbour</w:t>
      </w:r>
      <w:r w:rsidRPr="00330B65">
        <w:rPr>
          <w:rFonts w:ascii="Calibri" w:hAnsi="Calibri" w:cs="Calibri"/>
          <w:color w:val="002F5D"/>
        </w:rPr>
        <w:t xml:space="preserve"> averages.</w:t>
      </w:r>
    </w:p>
    <w:p w14:paraId="647182CC" w14:textId="604FD48B" w:rsidR="004C7797" w:rsidRDefault="004C7797" w:rsidP="00330B65">
      <w:pPr>
        <w:pStyle w:val="ListParagraph"/>
        <w:spacing w:line="240" w:lineRule="auto"/>
        <w:ind w:left="0"/>
        <w:rPr>
          <w:rFonts w:ascii="Calibri" w:hAnsi="Calibri" w:cs="Calibri"/>
          <w:color w:val="002F5D"/>
        </w:rPr>
      </w:pPr>
    </w:p>
    <w:p w14:paraId="7199B6AE" w14:textId="209D1CD2" w:rsidR="004C7797" w:rsidRPr="00330B65" w:rsidRDefault="00A2366A" w:rsidP="00330B65">
      <w:pPr>
        <w:spacing w:after="160" w:line="240" w:lineRule="auto"/>
        <w:rPr>
          <w:rFonts w:ascii="Calibri" w:hAnsi="Calibri" w:cs="Calibri"/>
          <w:color w:val="002F5D"/>
        </w:rPr>
      </w:pPr>
      <w:r>
        <w:rPr>
          <w:rFonts w:ascii="Calibri" w:hAnsi="Calibri" w:cs="Calibri"/>
          <w:b/>
          <w:color w:val="002F5D"/>
        </w:rPr>
        <w:t>Figure 50</w:t>
      </w:r>
      <w:r w:rsidR="00837184">
        <w:rPr>
          <w:rFonts w:ascii="Calibri" w:hAnsi="Calibri" w:cs="Calibri"/>
          <w:b/>
          <w:color w:val="002F5D"/>
        </w:rPr>
        <w:t>.</w:t>
      </w:r>
      <w:r w:rsidR="004C7797">
        <w:rPr>
          <w:rFonts w:ascii="Calibri" w:hAnsi="Calibri" w:cs="Calibri"/>
          <w:b/>
          <w:color w:val="002F5D"/>
        </w:rPr>
        <w:t xml:space="preserve"> </w:t>
      </w:r>
      <w:r w:rsidR="004C7797" w:rsidRPr="00330B65">
        <w:rPr>
          <w:rFonts w:ascii="Calibri" w:hAnsi="Calibri" w:cs="Calibri"/>
          <w:color w:val="002F5D"/>
        </w:rPr>
        <w:t>S47 enquiries started within year, per 10,000 of population (aged 0-17), Peterborough</w:t>
      </w:r>
    </w:p>
    <w:p w14:paraId="5AFB0FC1" w14:textId="6A62FE32"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49B59B14" wp14:editId="7C5876B0">
            <wp:extent cx="5638800" cy="2355272"/>
            <wp:effectExtent l="0" t="0" r="0" b="6985"/>
            <wp:docPr id="478" name="Chart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711299B4" w14:textId="77777777" w:rsidR="00782D43" w:rsidRPr="00102750" w:rsidRDefault="00782D43" w:rsidP="00782D43">
      <w:pPr>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719F76EA" w14:textId="77777777" w:rsidR="00782D43" w:rsidRDefault="00782D43" w:rsidP="00782D43">
      <w:pPr>
        <w:rPr>
          <w:rFonts w:ascii="Calibri" w:hAnsi="Calibri" w:cs="Calibri"/>
          <w:color w:val="002F5D"/>
        </w:rPr>
      </w:pPr>
    </w:p>
    <w:p w14:paraId="72BEB18E" w14:textId="631DE5D1" w:rsidR="002F6B4E" w:rsidRDefault="00782D43" w:rsidP="008D4440">
      <w:pPr>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0D067293" w14:textId="77777777" w:rsidR="00C65B87" w:rsidRPr="00330B65" w:rsidRDefault="00C65B87" w:rsidP="008D4440">
      <w:pPr>
        <w:rPr>
          <w:rFonts w:ascii="Calibri" w:hAnsi="Calibri" w:cs="Calibri"/>
          <w:color w:val="002F5D"/>
          <w:highlight w:val="yellow"/>
        </w:rPr>
      </w:pPr>
    </w:p>
    <w:p w14:paraId="29C4982C" w14:textId="3FDCB004" w:rsidR="008D4440" w:rsidRPr="00330B65" w:rsidRDefault="008D4440" w:rsidP="00330B65">
      <w:pPr>
        <w:pStyle w:val="ListParagraph"/>
        <w:ind w:left="0"/>
        <w:rPr>
          <w:rFonts w:ascii="Calibri" w:hAnsi="Calibri" w:cs="Calibri"/>
          <w:color w:val="002F5D"/>
        </w:rPr>
      </w:pPr>
      <w:r w:rsidRPr="00330B65">
        <w:rPr>
          <w:rFonts w:ascii="Calibri" w:hAnsi="Calibri" w:cs="Calibri"/>
          <w:color w:val="002F5D"/>
        </w:rPr>
        <w:t xml:space="preserve">In Peterborough the number of S.47 enquiries started within the year per 10,000 of population is </w:t>
      </w:r>
      <w:r w:rsidR="00C65B87">
        <w:rPr>
          <w:rFonts w:ascii="Calibri" w:hAnsi="Calibri" w:cs="Calibri"/>
          <w:color w:val="002F5D"/>
        </w:rPr>
        <w:t xml:space="preserve">numerically </w:t>
      </w:r>
      <w:r w:rsidRPr="00330B65">
        <w:rPr>
          <w:rFonts w:ascii="Calibri" w:hAnsi="Calibri" w:cs="Calibri"/>
          <w:color w:val="002F5D"/>
        </w:rPr>
        <w:t>slightly above the England average, and is above the East of England average.  Ho</w:t>
      </w:r>
      <w:r w:rsidR="003813C9">
        <w:rPr>
          <w:rFonts w:ascii="Calibri" w:hAnsi="Calibri" w:cs="Calibri"/>
          <w:color w:val="002F5D"/>
        </w:rPr>
        <w:t>wever, the rate is below</w:t>
      </w:r>
      <w:r w:rsidRPr="00330B65">
        <w:rPr>
          <w:rFonts w:ascii="Calibri" w:hAnsi="Calibri" w:cs="Calibri"/>
          <w:color w:val="002F5D"/>
        </w:rPr>
        <w:t xml:space="preserve"> </w:t>
      </w:r>
      <w:r w:rsidR="003813C9">
        <w:rPr>
          <w:rFonts w:ascii="Calibri" w:hAnsi="Calibri" w:cs="Calibri"/>
          <w:color w:val="002F5D"/>
        </w:rPr>
        <w:t xml:space="preserve">the </w:t>
      </w:r>
      <w:r w:rsidRPr="00330B65">
        <w:rPr>
          <w:rFonts w:ascii="Calibri" w:hAnsi="Calibri" w:cs="Calibri"/>
          <w:color w:val="002F5D"/>
        </w:rPr>
        <w:t>statistical neighbour</w:t>
      </w:r>
      <w:r w:rsidR="003813C9">
        <w:rPr>
          <w:rFonts w:ascii="Calibri" w:hAnsi="Calibri" w:cs="Calibri"/>
          <w:color w:val="002F5D"/>
        </w:rPr>
        <w:t xml:space="preserve"> average </w:t>
      </w:r>
      <w:r w:rsidRPr="00330B65">
        <w:rPr>
          <w:rFonts w:ascii="Calibri" w:hAnsi="Calibri" w:cs="Calibri"/>
          <w:color w:val="002F5D"/>
        </w:rPr>
        <w:t>.</w:t>
      </w:r>
      <w:r w:rsidRPr="00330B65">
        <w:rPr>
          <w:rFonts w:ascii="Calibri" w:hAnsi="Calibri" w:cs="Calibri"/>
          <w:color w:val="002F5D"/>
        </w:rPr>
        <w:br w:type="page"/>
      </w:r>
    </w:p>
    <w:tbl>
      <w:tblPr>
        <w:tblW w:w="8814" w:type="dxa"/>
        <w:tblLook w:val="04A0" w:firstRow="1" w:lastRow="0" w:firstColumn="1" w:lastColumn="0" w:noHBand="0" w:noVBand="1"/>
      </w:tblPr>
      <w:tblGrid>
        <w:gridCol w:w="4758"/>
        <w:gridCol w:w="777"/>
        <w:gridCol w:w="850"/>
        <w:gridCol w:w="2429"/>
      </w:tblGrid>
      <w:tr w:rsidR="00936844" w:rsidRPr="00936844" w14:paraId="29796DA4" w14:textId="77777777" w:rsidTr="00330B65">
        <w:trPr>
          <w:trHeight w:val="315"/>
        </w:trPr>
        <w:tc>
          <w:tcPr>
            <w:tcW w:w="8814" w:type="dxa"/>
            <w:gridSpan w:val="4"/>
            <w:tcBorders>
              <w:top w:val="nil"/>
              <w:left w:val="nil"/>
              <w:bottom w:val="single" w:sz="12" w:space="0" w:color="002F5D"/>
              <w:right w:val="nil"/>
            </w:tcBorders>
            <w:shd w:val="clear" w:color="auto" w:fill="auto"/>
            <w:noWrap/>
            <w:vAlign w:val="bottom"/>
            <w:hideMark/>
          </w:tcPr>
          <w:p w14:paraId="1C77FBBF" w14:textId="77777777" w:rsidR="00FD323F" w:rsidRDefault="00B81E4B" w:rsidP="00936844">
            <w:pPr>
              <w:spacing w:line="240" w:lineRule="auto"/>
              <w:rPr>
                <w:rFonts w:ascii="Calibri" w:eastAsia="Times New Roman" w:hAnsi="Calibri" w:cs="Calibri"/>
                <w:bCs/>
                <w:color w:val="002F5D"/>
                <w:lang w:eastAsia="en-GB"/>
              </w:rPr>
            </w:pPr>
            <w:r>
              <w:rPr>
                <w:rFonts w:ascii="Calibri" w:eastAsia="Times New Roman" w:hAnsi="Calibri" w:cs="Calibri"/>
                <w:b/>
                <w:bCs/>
                <w:color w:val="002F5D"/>
                <w:lang w:eastAsia="en-GB"/>
              </w:rPr>
              <w:lastRenderedPageBreak/>
              <w:t>Table 85</w:t>
            </w:r>
            <w:r w:rsidR="00837184">
              <w:rPr>
                <w:rFonts w:ascii="Calibri" w:eastAsia="Times New Roman" w:hAnsi="Calibri" w:cs="Calibri"/>
                <w:b/>
                <w:bCs/>
                <w:color w:val="002F5D"/>
                <w:lang w:eastAsia="en-GB"/>
              </w:rPr>
              <w:t>.</w:t>
            </w:r>
            <w:r w:rsidR="00D96FFE">
              <w:rPr>
                <w:rFonts w:ascii="Calibri" w:eastAsia="Times New Roman" w:hAnsi="Calibri" w:cs="Calibri"/>
                <w:b/>
                <w:bCs/>
                <w:color w:val="002F5D"/>
                <w:lang w:eastAsia="en-GB"/>
              </w:rPr>
              <w:t xml:space="preserve"> </w:t>
            </w:r>
            <w:r w:rsidR="008D4440" w:rsidRPr="00330B65">
              <w:rPr>
                <w:rFonts w:ascii="Calibri" w:eastAsia="Times New Roman" w:hAnsi="Calibri" w:cs="Calibri"/>
                <w:bCs/>
                <w:color w:val="002F5D"/>
                <w:lang w:eastAsia="en-GB"/>
              </w:rPr>
              <w:t>Number of S47 enquiries started in year 2017/18</w:t>
            </w:r>
          </w:p>
          <w:p w14:paraId="760E9BBC" w14:textId="13AAD9F3" w:rsidR="00D075C4" w:rsidRPr="00330B65" w:rsidRDefault="00D075C4" w:rsidP="00936844">
            <w:pPr>
              <w:spacing w:line="240" w:lineRule="auto"/>
              <w:rPr>
                <w:rFonts w:ascii="Calibri" w:eastAsia="Times New Roman" w:hAnsi="Calibri" w:cs="Calibri"/>
                <w:b/>
                <w:bCs/>
                <w:color w:val="002F5D"/>
                <w:lang w:eastAsia="en-GB"/>
              </w:rPr>
            </w:pPr>
          </w:p>
        </w:tc>
      </w:tr>
      <w:tr w:rsidR="00936844" w:rsidRPr="00936844" w14:paraId="25E09F8E" w14:textId="77777777" w:rsidTr="00330B65">
        <w:trPr>
          <w:trHeight w:val="315"/>
        </w:trPr>
        <w:tc>
          <w:tcPr>
            <w:tcW w:w="4758" w:type="dxa"/>
            <w:tcBorders>
              <w:top w:val="single" w:sz="12" w:space="0" w:color="002F5D"/>
              <w:left w:val="single" w:sz="12" w:space="0" w:color="002F5D"/>
              <w:bottom w:val="single" w:sz="4" w:space="0" w:color="auto"/>
              <w:right w:val="single" w:sz="12" w:space="0" w:color="FFFFFF" w:themeColor="background1"/>
            </w:tcBorders>
            <w:shd w:val="clear" w:color="000000" w:fill="1F4E78"/>
            <w:noWrap/>
            <w:vAlign w:val="bottom"/>
            <w:hideMark/>
          </w:tcPr>
          <w:p w14:paraId="326FE740"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777" w:type="dxa"/>
            <w:tcBorders>
              <w:top w:val="single" w:sz="12" w:space="0" w:color="002F5D"/>
              <w:left w:val="single" w:sz="12" w:space="0" w:color="FFFFFF" w:themeColor="background1"/>
              <w:bottom w:val="single" w:sz="4" w:space="0" w:color="auto"/>
              <w:right w:val="single" w:sz="12" w:space="0" w:color="FFFFFF" w:themeColor="background1"/>
            </w:tcBorders>
            <w:shd w:val="clear" w:color="000000" w:fill="1F4E78"/>
            <w:noWrap/>
            <w:vAlign w:val="bottom"/>
            <w:hideMark/>
          </w:tcPr>
          <w:p w14:paraId="0A073E59"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w:t>
            </w:r>
          </w:p>
        </w:tc>
        <w:tc>
          <w:tcPr>
            <w:tcW w:w="850" w:type="dxa"/>
            <w:tcBorders>
              <w:top w:val="single" w:sz="12" w:space="0" w:color="002F5D"/>
              <w:left w:val="single" w:sz="12" w:space="0" w:color="FFFFFF" w:themeColor="background1"/>
              <w:bottom w:val="single" w:sz="4" w:space="0" w:color="auto"/>
              <w:right w:val="single" w:sz="12" w:space="0" w:color="FFFFFF" w:themeColor="background1"/>
            </w:tcBorders>
            <w:shd w:val="clear" w:color="000000" w:fill="1F4E78"/>
            <w:noWrap/>
            <w:vAlign w:val="bottom"/>
            <w:hideMark/>
          </w:tcPr>
          <w:p w14:paraId="52EF835E" w14:textId="0E29C036"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746A25">
              <w:rPr>
                <w:rFonts w:ascii="Calibri" w:eastAsia="Times New Roman" w:hAnsi="Calibri" w:cs="Calibri"/>
                <w:color w:val="FFFFFF" w:themeColor="background1"/>
                <w:lang w:eastAsia="en-GB"/>
              </w:rPr>
              <w:t>*</w:t>
            </w:r>
          </w:p>
        </w:tc>
        <w:tc>
          <w:tcPr>
            <w:tcW w:w="2429" w:type="dxa"/>
            <w:tcBorders>
              <w:top w:val="single" w:sz="12" w:space="0" w:color="002F5D"/>
              <w:left w:val="single" w:sz="12" w:space="0" w:color="FFFFFF" w:themeColor="background1"/>
              <w:bottom w:val="single" w:sz="4" w:space="0" w:color="auto"/>
              <w:right w:val="single" w:sz="12" w:space="0" w:color="002F5D"/>
            </w:tcBorders>
            <w:shd w:val="clear" w:color="000000" w:fill="1F4E78"/>
            <w:noWrap/>
            <w:vAlign w:val="bottom"/>
            <w:hideMark/>
          </w:tcPr>
          <w:p w14:paraId="498F9F57"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Rate per 10,000 of pop.</w:t>
            </w:r>
          </w:p>
        </w:tc>
      </w:tr>
      <w:tr w:rsidR="00936844" w:rsidRPr="00936844" w14:paraId="774DB939" w14:textId="77777777" w:rsidTr="00330B65">
        <w:trPr>
          <w:trHeight w:val="315"/>
        </w:trPr>
        <w:tc>
          <w:tcPr>
            <w:tcW w:w="4758" w:type="dxa"/>
            <w:tcBorders>
              <w:top w:val="single" w:sz="4" w:space="0" w:color="auto"/>
              <w:left w:val="single" w:sz="12" w:space="0" w:color="002F5D"/>
              <w:bottom w:val="nil"/>
              <w:right w:val="single" w:sz="8" w:space="0" w:color="002F5D"/>
            </w:tcBorders>
            <w:shd w:val="clear" w:color="auto" w:fill="auto"/>
            <w:noWrap/>
            <w:vAlign w:val="bottom"/>
            <w:hideMark/>
          </w:tcPr>
          <w:p w14:paraId="3555C0F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777" w:type="dxa"/>
            <w:tcBorders>
              <w:top w:val="single" w:sz="4" w:space="0" w:color="auto"/>
              <w:left w:val="single" w:sz="8" w:space="0" w:color="002F5D"/>
              <w:bottom w:val="nil"/>
              <w:right w:val="single" w:sz="8" w:space="0" w:color="002F5D"/>
            </w:tcBorders>
            <w:shd w:val="clear" w:color="auto" w:fill="auto"/>
            <w:noWrap/>
            <w:vAlign w:val="bottom"/>
            <w:hideMark/>
          </w:tcPr>
          <w:p w14:paraId="35D9587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295</w:t>
            </w:r>
          </w:p>
        </w:tc>
        <w:tc>
          <w:tcPr>
            <w:tcW w:w="850" w:type="dxa"/>
            <w:tcBorders>
              <w:top w:val="single" w:sz="4" w:space="0" w:color="auto"/>
              <w:left w:val="single" w:sz="8" w:space="0" w:color="002F5D"/>
              <w:bottom w:val="nil"/>
              <w:right w:val="single" w:sz="8" w:space="0" w:color="002F5D"/>
            </w:tcBorders>
            <w:shd w:val="clear" w:color="auto" w:fill="auto"/>
            <w:noWrap/>
            <w:vAlign w:val="bottom"/>
            <w:hideMark/>
          </w:tcPr>
          <w:p w14:paraId="6E22B92B"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w:t>
            </w:r>
          </w:p>
        </w:tc>
        <w:tc>
          <w:tcPr>
            <w:tcW w:w="2429" w:type="dxa"/>
            <w:tcBorders>
              <w:top w:val="single" w:sz="4" w:space="0" w:color="auto"/>
              <w:left w:val="single" w:sz="8" w:space="0" w:color="002F5D"/>
              <w:bottom w:val="nil"/>
              <w:right w:val="single" w:sz="12" w:space="0" w:color="002F5D"/>
            </w:tcBorders>
            <w:shd w:val="clear" w:color="auto" w:fill="auto"/>
            <w:noWrap/>
            <w:vAlign w:val="bottom"/>
            <w:hideMark/>
          </w:tcPr>
          <w:p w14:paraId="4526A9D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127.7</w:t>
            </w:r>
          </w:p>
        </w:tc>
      </w:tr>
      <w:tr w:rsidR="00936844" w:rsidRPr="00936844" w14:paraId="1C47163C" w14:textId="77777777" w:rsidTr="00330B65">
        <w:trPr>
          <w:trHeight w:val="315"/>
        </w:trPr>
        <w:tc>
          <w:tcPr>
            <w:tcW w:w="4758" w:type="dxa"/>
            <w:tcBorders>
              <w:top w:val="nil"/>
              <w:left w:val="single" w:sz="12" w:space="0" w:color="002F5D"/>
              <w:bottom w:val="nil"/>
              <w:right w:val="single" w:sz="8" w:space="0" w:color="002F5D"/>
            </w:tcBorders>
            <w:shd w:val="clear" w:color="auto" w:fill="auto"/>
            <w:noWrap/>
            <w:vAlign w:val="bottom"/>
            <w:hideMark/>
          </w:tcPr>
          <w:p w14:paraId="7BC7BB09"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777" w:type="dxa"/>
            <w:tcBorders>
              <w:top w:val="nil"/>
              <w:left w:val="single" w:sz="8" w:space="0" w:color="002F5D"/>
              <w:bottom w:val="nil"/>
              <w:right w:val="single" w:sz="8" w:space="0" w:color="002F5D"/>
            </w:tcBorders>
            <w:shd w:val="clear" w:color="auto" w:fill="auto"/>
            <w:noWrap/>
            <w:vAlign w:val="bottom"/>
            <w:hideMark/>
          </w:tcPr>
          <w:p w14:paraId="385F47E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182</w:t>
            </w:r>
          </w:p>
        </w:tc>
        <w:tc>
          <w:tcPr>
            <w:tcW w:w="850" w:type="dxa"/>
            <w:tcBorders>
              <w:top w:val="nil"/>
              <w:left w:val="single" w:sz="8" w:space="0" w:color="002F5D"/>
              <w:bottom w:val="nil"/>
              <w:right w:val="single" w:sz="8" w:space="0" w:color="002F5D"/>
            </w:tcBorders>
            <w:shd w:val="clear" w:color="auto" w:fill="auto"/>
            <w:noWrap/>
            <w:vAlign w:val="bottom"/>
            <w:hideMark/>
          </w:tcPr>
          <w:p w14:paraId="3A551CB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c>
          <w:tcPr>
            <w:tcW w:w="2429" w:type="dxa"/>
            <w:tcBorders>
              <w:top w:val="nil"/>
              <w:left w:val="single" w:sz="8" w:space="0" w:color="002F5D"/>
              <w:bottom w:val="nil"/>
              <w:right w:val="single" w:sz="12" w:space="0" w:color="002F5D"/>
            </w:tcBorders>
            <w:shd w:val="clear" w:color="auto" w:fill="auto"/>
            <w:noWrap/>
            <w:vAlign w:val="bottom"/>
            <w:hideMark/>
          </w:tcPr>
          <w:p w14:paraId="6E3C599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92.7</w:t>
            </w:r>
          </w:p>
        </w:tc>
      </w:tr>
      <w:tr w:rsidR="00936844" w:rsidRPr="00936844" w14:paraId="2EF7C66F" w14:textId="77777777" w:rsidTr="00330B65">
        <w:trPr>
          <w:trHeight w:val="315"/>
        </w:trPr>
        <w:tc>
          <w:tcPr>
            <w:tcW w:w="4758" w:type="dxa"/>
            <w:tcBorders>
              <w:top w:val="nil"/>
              <w:left w:val="single" w:sz="12" w:space="0" w:color="002F5D"/>
              <w:bottom w:val="nil"/>
              <w:right w:val="single" w:sz="8" w:space="0" w:color="002F5D"/>
            </w:tcBorders>
            <w:shd w:val="clear" w:color="auto" w:fill="auto"/>
            <w:noWrap/>
            <w:vAlign w:val="bottom"/>
            <w:hideMark/>
          </w:tcPr>
          <w:p w14:paraId="6E2CBDCE"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777" w:type="dxa"/>
            <w:tcBorders>
              <w:top w:val="nil"/>
              <w:left w:val="single" w:sz="8" w:space="0" w:color="002F5D"/>
              <w:bottom w:val="nil"/>
              <w:right w:val="single" w:sz="8" w:space="0" w:color="002F5D"/>
            </w:tcBorders>
            <w:shd w:val="clear" w:color="auto" w:fill="auto"/>
            <w:noWrap/>
            <w:vAlign w:val="bottom"/>
            <w:hideMark/>
          </w:tcPr>
          <w:p w14:paraId="457A890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324</w:t>
            </w:r>
          </w:p>
        </w:tc>
        <w:tc>
          <w:tcPr>
            <w:tcW w:w="850" w:type="dxa"/>
            <w:tcBorders>
              <w:top w:val="nil"/>
              <w:left w:val="single" w:sz="8" w:space="0" w:color="002F5D"/>
              <w:bottom w:val="nil"/>
              <w:right w:val="single" w:sz="8" w:space="0" w:color="002F5D"/>
            </w:tcBorders>
            <w:shd w:val="clear" w:color="auto" w:fill="auto"/>
            <w:noWrap/>
            <w:vAlign w:val="bottom"/>
            <w:hideMark/>
          </w:tcPr>
          <w:p w14:paraId="08E717A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21%</w:t>
            </w:r>
          </w:p>
        </w:tc>
        <w:tc>
          <w:tcPr>
            <w:tcW w:w="2429" w:type="dxa"/>
            <w:tcBorders>
              <w:top w:val="nil"/>
              <w:left w:val="single" w:sz="8" w:space="0" w:color="002F5D"/>
              <w:bottom w:val="nil"/>
              <w:right w:val="single" w:sz="12" w:space="0" w:color="002F5D"/>
            </w:tcBorders>
            <w:shd w:val="clear" w:color="auto" w:fill="auto"/>
            <w:noWrap/>
            <w:vAlign w:val="bottom"/>
            <w:hideMark/>
          </w:tcPr>
          <w:p w14:paraId="24821F4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161.2</w:t>
            </w:r>
          </w:p>
        </w:tc>
      </w:tr>
      <w:tr w:rsidR="00936844" w:rsidRPr="00936844" w14:paraId="2F5AD7FA" w14:textId="77777777" w:rsidTr="00330B65">
        <w:trPr>
          <w:trHeight w:val="315"/>
        </w:trPr>
        <w:tc>
          <w:tcPr>
            <w:tcW w:w="4758" w:type="dxa"/>
            <w:tcBorders>
              <w:top w:val="nil"/>
              <w:left w:val="single" w:sz="12" w:space="0" w:color="002F5D"/>
              <w:bottom w:val="nil"/>
              <w:right w:val="single" w:sz="8" w:space="0" w:color="002F5D"/>
            </w:tcBorders>
            <w:shd w:val="clear" w:color="auto" w:fill="auto"/>
            <w:noWrap/>
            <w:vAlign w:val="bottom"/>
            <w:hideMark/>
          </w:tcPr>
          <w:p w14:paraId="728454A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777" w:type="dxa"/>
            <w:tcBorders>
              <w:top w:val="nil"/>
              <w:left w:val="single" w:sz="8" w:space="0" w:color="002F5D"/>
              <w:bottom w:val="nil"/>
              <w:right w:val="single" w:sz="8" w:space="0" w:color="002F5D"/>
            </w:tcBorders>
            <w:shd w:val="clear" w:color="auto" w:fill="auto"/>
            <w:noWrap/>
            <w:vAlign w:val="bottom"/>
            <w:hideMark/>
          </w:tcPr>
          <w:p w14:paraId="59B0A40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343</w:t>
            </w:r>
          </w:p>
        </w:tc>
        <w:tc>
          <w:tcPr>
            <w:tcW w:w="850" w:type="dxa"/>
            <w:tcBorders>
              <w:top w:val="nil"/>
              <w:left w:val="single" w:sz="8" w:space="0" w:color="002F5D"/>
              <w:bottom w:val="nil"/>
              <w:right w:val="single" w:sz="8" w:space="0" w:color="002F5D"/>
            </w:tcBorders>
            <w:shd w:val="clear" w:color="auto" w:fill="auto"/>
            <w:noWrap/>
            <w:vAlign w:val="bottom"/>
            <w:hideMark/>
          </w:tcPr>
          <w:p w14:paraId="6892334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22%</w:t>
            </w:r>
          </w:p>
        </w:tc>
        <w:tc>
          <w:tcPr>
            <w:tcW w:w="2429" w:type="dxa"/>
            <w:tcBorders>
              <w:top w:val="nil"/>
              <w:left w:val="single" w:sz="8" w:space="0" w:color="002F5D"/>
              <w:bottom w:val="nil"/>
              <w:right w:val="single" w:sz="12" w:space="0" w:color="002F5D"/>
            </w:tcBorders>
            <w:shd w:val="clear" w:color="auto" w:fill="auto"/>
            <w:noWrap/>
            <w:vAlign w:val="bottom"/>
            <w:hideMark/>
          </w:tcPr>
          <w:p w14:paraId="4BC7141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93.8</w:t>
            </w:r>
          </w:p>
        </w:tc>
      </w:tr>
      <w:tr w:rsidR="00936844" w:rsidRPr="00936844" w14:paraId="58C28BAA" w14:textId="77777777" w:rsidTr="00330B65">
        <w:trPr>
          <w:trHeight w:val="315"/>
        </w:trPr>
        <w:tc>
          <w:tcPr>
            <w:tcW w:w="4758" w:type="dxa"/>
            <w:tcBorders>
              <w:top w:val="nil"/>
              <w:left w:val="single" w:sz="12" w:space="0" w:color="002F5D"/>
              <w:bottom w:val="nil"/>
              <w:right w:val="single" w:sz="8" w:space="0" w:color="002F5D"/>
            </w:tcBorders>
            <w:shd w:val="clear" w:color="auto" w:fill="auto"/>
            <w:noWrap/>
            <w:vAlign w:val="bottom"/>
            <w:hideMark/>
          </w:tcPr>
          <w:p w14:paraId="4B1C63F1"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777" w:type="dxa"/>
            <w:tcBorders>
              <w:top w:val="nil"/>
              <w:left w:val="single" w:sz="8" w:space="0" w:color="002F5D"/>
              <w:bottom w:val="nil"/>
              <w:right w:val="single" w:sz="8" w:space="0" w:color="002F5D"/>
            </w:tcBorders>
            <w:shd w:val="clear" w:color="auto" w:fill="auto"/>
            <w:noWrap/>
            <w:vAlign w:val="bottom"/>
            <w:hideMark/>
          </w:tcPr>
          <w:p w14:paraId="1B32F16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208</w:t>
            </w:r>
          </w:p>
        </w:tc>
        <w:tc>
          <w:tcPr>
            <w:tcW w:w="850" w:type="dxa"/>
            <w:tcBorders>
              <w:top w:val="nil"/>
              <w:left w:val="single" w:sz="8" w:space="0" w:color="002F5D"/>
              <w:bottom w:val="nil"/>
              <w:right w:val="single" w:sz="8" w:space="0" w:color="002F5D"/>
            </w:tcBorders>
            <w:shd w:val="clear" w:color="auto" w:fill="auto"/>
            <w:noWrap/>
            <w:vAlign w:val="bottom"/>
            <w:hideMark/>
          </w:tcPr>
          <w:p w14:paraId="0C633ED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w:t>
            </w:r>
          </w:p>
        </w:tc>
        <w:tc>
          <w:tcPr>
            <w:tcW w:w="2429" w:type="dxa"/>
            <w:tcBorders>
              <w:top w:val="nil"/>
              <w:left w:val="single" w:sz="8" w:space="0" w:color="002F5D"/>
              <w:bottom w:val="nil"/>
              <w:right w:val="single" w:sz="12" w:space="0" w:color="002F5D"/>
            </w:tcBorders>
            <w:shd w:val="clear" w:color="auto" w:fill="auto"/>
            <w:noWrap/>
            <w:vAlign w:val="bottom"/>
            <w:hideMark/>
          </w:tcPr>
          <w:p w14:paraId="566E190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59.2</w:t>
            </w:r>
          </w:p>
        </w:tc>
      </w:tr>
      <w:tr w:rsidR="00936844" w:rsidRPr="00936844" w14:paraId="4D7EF93A" w14:textId="77777777" w:rsidTr="00330B65">
        <w:trPr>
          <w:trHeight w:val="315"/>
        </w:trPr>
        <w:tc>
          <w:tcPr>
            <w:tcW w:w="4758" w:type="dxa"/>
            <w:tcBorders>
              <w:top w:val="nil"/>
              <w:left w:val="single" w:sz="12" w:space="0" w:color="002F5D"/>
              <w:bottom w:val="single" w:sz="4" w:space="0" w:color="002F5D"/>
              <w:right w:val="single" w:sz="8" w:space="0" w:color="002F5D"/>
            </w:tcBorders>
            <w:shd w:val="clear" w:color="auto" w:fill="auto"/>
            <w:noWrap/>
            <w:vAlign w:val="bottom"/>
            <w:hideMark/>
          </w:tcPr>
          <w:p w14:paraId="3A74D119"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777" w:type="dxa"/>
            <w:tcBorders>
              <w:top w:val="nil"/>
              <w:left w:val="single" w:sz="8" w:space="0" w:color="002F5D"/>
              <w:bottom w:val="single" w:sz="4" w:space="0" w:color="002F5D"/>
              <w:right w:val="single" w:sz="8" w:space="0" w:color="002F5D"/>
            </w:tcBorders>
            <w:shd w:val="clear" w:color="auto" w:fill="auto"/>
            <w:noWrap/>
            <w:vAlign w:val="bottom"/>
            <w:hideMark/>
          </w:tcPr>
          <w:p w14:paraId="2E868BD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175</w:t>
            </w:r>
          </w:p>
        </w:tc>
        <w:tc>
          <w:tcPr>
            <w:tcW w:w="850" w:type="dxa"/>
            <w:tcBorders>
              <w:top w:val="nil"/>
              <w:left w:val="single" w:sz="8" w:space="0" w:color="002F5D"/>
              <w:bottom w:val="single" w:sz="4" w:space="0" w:color="002F5D"/>
              <w:right w:val="single" w:sz="8" w:space="0" w:color="002F5D"/>
            </w:tcBorders>
            <w:shd w:val="clear" w:color="auto" w:fill="auto"/>
            <w:noWrap/>
            <w:vAlign w:val="bottom"/>
            <w:hideMark/>
          </w:tcPr>
          <w:p w14:paraId="7AAF963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w:t>
            </w:r>
          </w:p>
        </w:tc>
        <w:tc>
          <w:tcPr>
            <w:tcW w:w="2429" w:type="dxa"/>
            <w:tcBorders>
              <w:top w:val="nil"/>
              <w:left w:val="single" w:sz="8" w:space="0" w:color="002F5D"/>
              <w:bottom w:val="single" w:sz="4" w:space="0" w:color="002F5D"/>
              <w:right w:val="single" w:sz="12" w:space="0" w:color="002F5D"/>
            </w:tcBorders>
            <w:shd w:val="clear" w:color="auto" w:fill="auto"/>
            <w:noWrap/>
            <w:vAlign w:val="bottom"/>
            <w:hideMark/>
          </w:tcPr>
          <w:p w14:paraId="3D219C8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936844" w:rsidRPr="00936844" w14:paraId="595B07E0" w14:textId="77777777" w:rsidTr="00330B65">
        <w:trPr>
          <w:trHeight w:val="315"/>
        </w:trPr>
        <w:tc>
          <w:tcPr>
            <w:tcW w:w="4758" w:type="dxa"/>
            <w:tcBorders>
              <w:top w:val="single" w:sz="4" w:space="0" w:color="002F5D"/>
              <w:left w:val="single" w:sz="12" w:space="0" w:color="002F5D"/>
              <w:bottom w:val="single" w:sz="4" w:space="0" w:color="002F5D"/>
              <w:right w:val="single" w:sz="4" w:space="0" w:color="002F5D"/>
            </w:tcBorders>
            <w:shd w:val="clear" w:color="auto" w:fill="auto"/>
            <w:noWrap/>
            <w:vAlign w:val="bottom"/>
            <w:hideMark/>
          </w:tcPr>
          <w:p w14:paraId="1B2C0E86"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w:t>
            </w:r>
          </w:p>
        </w:tc>
        <w:tc>
          <w:tcPr>
            <w:tcW w:w="777"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0435E61A"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1,527</w:t>
            </w:r>
          </w:p>
        </w:tc>
        <w:tc>
          <w:tcPr>
            <w:tcW w:w="850"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22C9287F"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60%</w:t>
            </w:r>
          </w:p>
        </w:tc>
        <w:tc>
          <w:tcPr>
            <w:tcW w:w="2429" w:type="dxa"/>
            <w:tcBorders>
              <w:top w:val="single" w:sz="4" w:space="0" w:color="002F5D"/>
              <w:left w:val="single" w:sz="4" w:space="0" w:color="002F5D"/>
              <w:bottom w:val="single" w:sz="4" w:space="0" w:color="002F5D"/>
              <w:right w:val="single" w:sz="12" w:space="0" w:color="002F5D"/>
            </w:tcBorders>
            <w:shd w:val="clear" w:color="auto" w:fill="auto"/>
            <w:noWrap/>
            <w:vAlign w:val="bottom"/>
            <w:hideMark/>
          </w:tcPr>
          <w:p w14:paraId="1A235AB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112.9</w:t>
            </w:r>
          </w:p>
        </w:tc>
      </w:tr>
      <w:tr w:rsidR="00936844" w:rsidRPr="00936844" w14:paraId="31BF4206" w14:textId="77777777" w:rsidTr="00330B65">
        <w:trPr>
          <w:trHeight w:val="315"/>
        </w:trPr>
        <w:tc>
          <w:tcPr>
            <w:tcW w:w="4758" w:type="dxa"/>
            <w:tcBorders>
              <w:top w:val="single" w:sz="4" w:space="0" w:color="002F5D"/>
              <w:left w:val="single" w:sz="12" w:space="0" w:color="002F5D"/>
              <w:bottom w:val="single" w:sz="4" w:space="0" w:color="002F5D"/>
              <w:right w:val="single" w:sz="4" w:space="0" w:color="002F5D"/>
            </w:tcBorders>
            <w:shd w:val="clear" w:color="auto" w:fill="auto"/>
            <w:noWrap/>
            <w:vAlign w:val="bottom"/>
            <w:hideMark/>
          </w:tcPr>
          <w:p w14:paraId="1449F278"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Peterborough</w:t>
            </w:r>
          </w:p>
        </w:tc>
        <w:tc>
          <w:tcPr>
            <w:tcW w:w="777"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73E7B41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998</w:t>
            </w:r>
          </w:p>
        </w:tc>
        <w:tc>
          <w:tcPr>
            <w:tcW w:w="850" w:type="dxa"/>
            <w:tcBorders>
              <w:top w:val="single" w:sz="4" w:space="0" w:color="002F5D"/>
              <w:left w:val="single" w:sz="4" w:space="0" w:color="002F5D"/>
              <w:bottom w:val="single" w:sz="4" w:space="0" w:color="002F5D"/>
              <w:right w:val="single" w:sz="4" w:space="0" w:color="002F5D"/>
            </w:tcBorders>
            <w:shd w:val="clear" w:color="auto" w:fill="auto"/>
            <w:noWrap/>
            <w:vAlign w:val="bottom"/>
            <w:hideMark/>
          </w:tcPr>
          <w:p w14:paraId="1AF5CA8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40%</w:t>
            </w:r>
          </w:p>
        </w:tc>
        <w:tc>
          <w:tcPr>
            <w:tcW w:w="2429" w:type="dxa"/>
            <w:tcBorders>
              <w:top w:val="single" w:sz="4" w:space="0" w:color="002F5D"/>
              <w:left w:val="single" w:sz="4" w:space="0" w:color="002F5D"/>
              <w:bottom w:val="single" w:sz="4" w:space="0" w:color="002F5D"/>
              <w:right w:val="single" w:sz="12" w:space="0" w:color="002F5D"/>
            </w:tcBorders>
            <w:shd w:val="clear" w:color="auto" w:fill="auto"/>
            <w:noWrap/>
            <w:vAlign w:val="bottom"/>
            <w:hideMark/>
          </w:tcPr>
          <w:p w14:paraId="6267589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199.6</w:t>
            </w:r>
          </w:p>
        </w:tc>
      </w:tr>
      <w:tr w:rsidR="00936844" w:rsidRPr="00936844" w14:paraId="7732E5C8" w14:textId="77777777" w:rsidTr="00330B65">
        <w:trPr>
          <w:trHeight w:val="315"/>
        </w:trPr>
        <w:tc>
          <w:tcPr>
            <w:tcW w:w="4758" w:type="dxa"/>
            <w:tcBorders>
              <w:top w:val="single" w:sz="4" w:space="0" w:color="002F5D"/>
              <w:left w:val="single" w:sz="12" w:space="0" w:color="002F5D"/>
              <w:bottom w:val="single" w:sz="12" w:space="0" w:color="002F5D"/>
              <w:right w:val="single" w:sz="4" w:space="0" w:color="002F5D"/>
            </w:tcBorders>
            <w:shd w:val="clear" w:color="auto" w:fill="auto"/>
            <w:noWrap/>
            <w:vAlign w:val="bottom"/>
            <w:hideMark/>
          </w:tcPr>
          <w:p w14:paraId="1154A27F"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777" w:type="dxa"/>
            <w:tcBorders>
              <w:top w:val="single" w:sz="4" w:space="0" w:color="002F5D"/>
              <w:left w:val="single" w:sz="4" w:space="0" w:color="002F5D"/>
              <w:bottom w:val="single" w:sz="12" w:space="0" w:color="002F5D"/>
              <w:right w:val="single" w:sz="4" w:space="0" w:color="002F5D"/>
            </w:tcBorders>
            <w:shd w:val="clear" w:color="auto" w:fill="auto"/>
            <w:noWrap/>
            <w:vAlign w:val="bottom"/>
            <w:hideMark/>
          </w:tcPr>
          <w:p w14:paraId="76EA8C18"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2,525</w:t>
            </w:r>
          </w:p>
        </w:tc>
        <w:tc>
          <w:tcPr>
            <w:tcW w:w="850" w:type="dxa"/>
            <w:tcBorders>
              <w:top w:val="single" w:sz="4" w:space="0" w:color="002F5D"/>
              <w:left w:val="single" w:sz="4" w:space="0" w:color="002F5D"/>
              <w:bottom w:val="single" w:sz="12" w:space="0" w:color="002F5D"/>
              <w:right w:val="single" w:sz="4" w:space="0" w:color="002F5D"/>
            </w:tcBorders>
            <w:shd w:val="clear" w:color="auto" w:fill="auto"/>
            <w:noWrap/>
            <w:vAlign w:val="bottom"/>
            <w:hideMark/>
          </w:tcPr>
          <w:p w14:paraId="1F0D6A22" w14:textId="3899AE1C" w:rsidR="008D4440" w:rsidRPr="00330B65" w:rsidRDefault="00D96FFE" w:rsidP="00936844">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w:t>
            </w:r>
            <w:r w:rsidR="008D4440" w:rsidRPr="00330B65">
              <w:rPr>
                <w:rFonts w:ascii="Calibri" w:eastAsia="Times New Roman" w:hAnsi="Calibri" w:cs="Calibri"/>
                <w:b/>
                <w:bCs/>
                <w:color w:val="002F5D"/>
                <w:lang w:eastAsia="en-GB"/>
              </w:rPr>
              <w:t> </w:t>
            </w:r>
          </w:p>
        </w:tc>
        <w:tc>
          <w:tcPr>
            <w:tcW w:w="2429" w:type="dxa"/>
            <w:tcBorders>
              <w:top w:val="single" w:sz="4" w:space="0" w:color="002F5D"/>
              <w:left w:val="single" w:sz="4" w:space="0" w:color="002F5D"/>
              <w:bottom w:val="single" w:sz="12" w:space="0" w:color="002F5D"/>
              <w:right w:val="single" w:sz="12" w:space="0" w:color="002F5D"/>
            </w:tcBorders>
            <w:shd w:val="clear" w:color="auto" w:fill="auto"/>
            <w:noWrap/>
            <w:vAlign w:val="bottom"/>
            <w:hideMark/>
          </w:tcPr>
          <w:p w14:paraId="60AD661A"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136.8</w:t>
            </w:r>
          </w:p>
        </w:tc>
      </w:tr>
    </w:tbl>
    <w:p w14:paraId="488E1C94" w14:textId="7135B5F7" w:rsidR="0070349A" w:rsidRDefault="0070349A" w:rsidP="00330B65">
      <w:pPr>
        <w:spacing w:line="240" w:lineRule="auto"/>
        <w:rPr>
          <w:rFonts w:ascii="Calibri" w:hAnsi="Calibri" w:cs="Calibri"/>
          <w:color w:val="002F5D"/>
          <w:sz w:val="18"/>
          <w:szCs w:val="18"/>
        </w:rPr>
      </w:pPr>
      <w:r>
        <w:rPr>
          <w:rFonts w:ascii="Calibri" w:hAnsi="Calibri" w:cs="Calibri"/>
          <w:color w:val="002F5D"/>
          <w:sz w:val="18"/>
          <w:szCs w:val="18"/>
        </w:rPr>
        <w:t>Note: *Cambridgeshire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09A929A1" w14:textId="77777777" w:rsidR="00782D43" w:rsidRDefault="00782D43" w:rsidP="00330B65">
      <w:pPr>
        <w:spacing w:line="240" w:lineRule="auto"/>
        <w:rPr>
          <w:rFonts w:ascii="Calibri" w:hAnsi="Calibri" w:cs="Calibri"/>
          <w:color w:val="002F5D"/>
        </w:rPr>
      </w:pPr>
    </w:p>
    <w:p w14:paraId="39AEC674"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76A630E6" w14:textId="77777777" w:rsidR="008D4440" w:rsidRPr="00330B65" w:rsidRDefault="008D4440" w:rsidP="00330B65">
      <w:pPr>
        <w:pStyle w:val="ListParagraph"/>
        <w:spacing w:line="240" w:lineRule="auto"/>
        <w:ind w:left="0"/>
        <w:rPr>
          <w:rFonts w:ascii="Calibri" w:hAnsi="Calibri" w:cs="Calibri"/>
          <w:color w:val="002F5D"/>
        </w:rPr>
      </w:pPr>
    </w:p>
    <w:p w14:paraId="72EA4799" w14:textId="06A13D94"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Whilst Fenland and Huntingdonshire have a similar number of S47 enquiries started within the year, there is a variation in terms of the rate per 10,000 of population.  The rate per 10,000 of population</w:t>
      </w:r>
      <w:r w:rsidR="00C65B87">
        <w:rPr>
          <w:rFonts w:ascii="Calibri" w:hAnsi="Calibri" w:cs="Calibri"/>
          <w:color w:val="002F5D"/>
        </w:rPr>
        <w:t xml:space="preserve"> in Fenland is numerically</w:t>
      </w:r>
      <w:r w:rsidRPr="00330B65">
        <w:rPr>
          <w:rFonts w:ascii="Calibri" w:hAnsi="Calibri" w:cs="Calibri"/>
          <w:color w:val="002F5D"/>
        </w:rPr>
        <w:t xml:space="preserve"> higher than the rate for Cambridgeshire, but is below England average (166.9)   </w:t>
      </w:r>
    </w:p>
    <w:p w14:paraId="43C4CB0E" w14:textId="77777777" w:rsidR="00837184" w:rsidRDefault="00837184" w:rsidP="00330B65">
      <w:pPr>
        <w:pStyle w:val="ListParagraph"/>
        <w:spacing w:line="240" w:lineRule="auto"/>
        <w:ind w:left="0"/>
        <w:rPr>
          <w:rFonts w:ascii="Calibri" w:hAnsi="Calibri" w:cs="Calibri"/>
          <w:color w:val="002F5D"/>
        </w:rPr>
      </w:pPr>
    </w:p>
    <w:p w14:paraId="30349847" w14:textId="42E1BF31" w:rsidR="008D4440" w:rsidRPr="00330B65" w:rsidRDefault="00A2366A" w:rsidP="00330B65">
      <w:pPr>
        <w:pStyle w:val="ListParagraph"/>
        <w:spacing w:line="240" w:lineRule="auto"/>
        <w:ind w:left="0"/>
        <w:rPr>
          <w:rFonts w:ascii="Calibri" w:hAnsi="Calibri" w:cs="Calibri"/>
          <w:color w:val="002F5D"/>
        </w:rPr>
      </w:pPr>
      <w:r>
        <w:rPr>
          <w:rFonts w:ascii="Calibri" w:hAnsi="Calibri" w:cs="Calibri"/>
          <w:b/>
          <w:color w:val="002F5D"/>
        </w:rPr>
        <w:t>Figure 51</w:t>
      </w:r>
      <w:r w:rsidR="00837184">
        <w:rPr>
          <w:rFonts w:ascii="Calibri" w:hAnsi="Calibri" w:cs="Calibri"/>
          <w:b/>
          <w:color w:val="002F5D"/>
        </w:rPr>
        <w:t>.</w:t>
      </w:r>
      <w:r w:rsidR="00D96FFE">
        <w:rPr>
          <w:rFonts w:ascii="Calibri" w:hAnsi="Calibri" w:cs="Calibri"/>
          <w:b/>
          <w:color w:val="002F5D"/>
        </w:rPr>
        <w:t xml:space="preserve"> </w:t>
      </w:r>
      <w:r w:rsidR="00837184" w:rsidRPr="00330B65">
        <w:rPr>
          <w:rFonts w:ascii="Calibri" w:hAnsi="Calibri" w:cs="Calibri"/>
          <w:color w:val="002F5D"/>
        </w:rPr>
        <w:t>Childre</w:t>
      </w:r>
      <w:r w:rsidR="008D4440" w:rsidRPr="00330B65">
        <w:rPr>
          <w:rFonts w:ascii="Calibri" w:hAnsi="Calibri" w:cs="Calibri"/>
          <w:color w:val="002F5D"/>
        </w:rPr>
        <w:t>n subject to a Child Protection Plan on the 31</w:t>
      </w:r>
      <w:r w:rsidR="008D4440" w:rsidRPr="00330B65">
        <w:rPr>
          <w:rFonts w:ascii="Calibri" w:hAnsi="Calibri" w:cs="Calibri"/>
          <w:color w:val="002F5D"/>
          <w:vertAlign w:val="superscript"/>
        </w:rPr>
        <w:t>st</w:t>
      </w:r>
      <w:r w:rsidR="008D4440" w:rsidRPr="00330B65">
        <w:rPr>
          <w:rFonts w:ascii="Calibri" w:hAnsi="Calibri" w:cs="Calibri"/>
          <w:color w:val="002F5D"/>
        </w:rPr>
        <w:t xml:space="preserve"> March, per 10,000 of population (aged 0-17)</w:t>
      </w:r>
      <w:r w:rsidR="00D96FFE" w:rsidRPr="00330B65">
        <w:rPr>
          <w:rFonts w:ascii="Calibri" w:hAnsi="Calibri" w:cs="Calibri"/>
          <w:color w:val="002F5D"/>
        </w:rPr>
        <w:t>, Cambridge</w:t>
      </w:r>
      <w:r w:rsidR="00FD323F">
        <w:rPr>
          <w:rFonts w:ascii="Calibri" w:hAnsi="Calibri" w:cs="Calibri"/>
          <w:color w:val="002F5D"/>
        </w:rPr>
        <w:t>s</w:t>
      </w:r>
      <w:r w:rsidR="00D96FFE" w:rsidRPr="00330B65">
        <w:rPr>
          <w:rFonts w:ascii="Calibri" w:hAnsi="Calibri" w:cs="Calibri"/>
          <w:color w:val="002F5D"/>
        </w:rPr>
        <w:t>hire</w:t>
      </w:r>
    </w:p>
    <w:p w14:paraId="6CC2A9B7" w14:textId="77777777" w:rsidR="008D4440" w:rsidRPr="00330B65" w:rsidRDefault="008D4440" w:rsidP="00330B65">
      <w:pPr>
        <w:pStyle w:val="ListParagraph"/>
        <w:spacing w:line="240" w:lineRule="auto"/>
        <w:ind w:left="0"/>
        <w:rPr>
          <w:rFonts w:ascii="Calibri" w:hAnsi="Calibri" w:cs="Calibri"/>
          <w:color w:val="002F5D"/>
        </w:rPr>
      </w:pPr>
    </w:p>
    <w:p w14:paraId="02F5CE17" w14:textId="49F4034B" w:rsidR="008D4440" w:rsidRPr="00330B65" w:rsidRDefault="008D4440">
      <w:pPr>
        <w:pStyle w:val="Default"/>
        <w:rPr>
          <w:rFonts w:ascii="Calibri" w:hAnsi="Calibri" w:cs="Calibri"/>
          <w:color w:val="002F5D"/>
          <w:sz w:val="22"/>
          <w:szCs w:val="22"/>
        </w:rPr>
      </w:pPr>
      <w:r w:rsidRPr="00330B65">
        <w:rPr>
          <w:rFonts w:ascii="Calibri" w:hAnsi="Calibri" w:cs="Calibri"/>
          <w:color w:val="002F5D"/>
          <w:sz w:val="22"/>
          <w:szCs w:val="22"/>
        </w:rPr>
        <w:t>A Child Protection Plan is designed to ensure the child is safe from harm and prevent them from suffering further harm, promote the child’s health and development, support the family and wider family members to safeguard and promote the welfare of their child, provided it is in the best interests of the child (Working Together to Safeguard Children, 2018</w:t>
      </w:r>
      <w:r w:rsidR="0099729C" w:rsidRPr="0041347C">
        <w:rPr>
          <w:rStyle w:val="FootnoteReference"/>
          <w:color w:val="002B61"/>
        </w:rPr>
        <w:footnoteReference w:id="18"/>
      </w:r>
      <w:r w:rsidRPr="00330B65">
        <w:rPr>
          <w:rFonts w:ascii="Calibri" w:hAnsi="Calibri" w:cs="Calibri"/>
          <w:color w:val="002F5D"/>
          <w:sz w:val="22"/>
          <w:szCs w:val="22"/>
        </w:rPr>
        <w:t>)</w:t>
      </w:r>
    </w:p>
    <w:p w14:paraId="2AEFFE88" w14:textId="77777777" w:rsidR="008D4440" w:rsidRPr="00330B65" w:rsidRDefault="008D4440" w:rsidP="008D4440">
      <w:pPr>
        <w:pStyle w:val="ListParagraph"/>
        <w:ind w:left="0"/>
        <w:rPr>
          <w:rFonts w:ascii="Calibri" w:hAnsi="Calibri" w:cs="Calibri"/>
          <w:b/>
          <w:color w:val="002F5D"/>
        </w:rPr>
      </w:pPr>
    </w:p>
    <w:p w14:paraId="54046765" w14:textId="01EF071D"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6416AE12" wp14:editId="0BC3E6F5">
            <wp:extent cx="5514109" cy="2195946"/>
            <wp:effectExtent l="0" t="0" r="10795" b="13970"/>
            <wp:docPr id="479" name="Chart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r w:rsidRPr="00330B65">
        <w:rPr>
          <w:rFonts w:ascii="Calibri" w:hAnsi="Calibri" w:cs="Calibri"/>
          <w:color w:val="002F5D"/>
          <w:highlight w:val="green"/>
        </w:rPr>
        <w:t xml:space="preserve"> </w:t>
      </w:r>
    </w:p>
    <w:p w14:paraId="37CBD04B" w14:textId="77777777" w:rsidR="00782D43" w:rsidRPr="00102750" w:rsidRDefault="00782D43" w:rsidP="00782D43">
      <w:pPr>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2102AA02" w14:textId="77777777" w:rsidR="00782D43" w:rsidRDefault="00782D43" w:rsidP="00782D43">
      <w:pPr>
        <w:rPr>
          <w:rFonts w:ascii="Calibri" w:hAnsi="Calibri" w:cs="Calibri"/>
          <w:color w:val="002F5D"/>
        </w:rPr>
      </w:pPr>
    </w:p>
    <w:p w14:paraId="7E40E39E" w14:textId="77777777" w:rsidR="00782D43" w:rsidRPr="00102750" w:rsidRDefault="00782D43" w:rsidP="00782D43">
      <w:pPr>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9F0930A" w14:textId="77777777" w:rsidR="00FD323F" w:rsidRPr="00330B65" w:rsidRDefault="00FD323F" w:rsidP="008D4440">
      <w:pPr>
        <w:rPr>
          <w:rFonts w:ascii="Calibri" w:hAnsi="Calibri" w:cs="Calibri"/>
          <w:color w:val="002F5D"/>
          <w:highlight w:val="green"/>
        </w:rPr>
      </w:pPr>
    </w:p>
    <w:p w14:paraId="69DC4C95" w14:textId="0AE021E7"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lastRenderedPageBreak/>
        <w:t xml:space="preserve">In Cambridgeshire, the number of children with a Child Protection Plan per 10,000 of population is </w:t>
      </w:r>
      <w:r w:rsidR="00746A25">
        <w:rPr>
          <w:rFonts w:ascii="Calibri" w:hAnsi="Calibri" w:cs="Calibri"/>
          <w:color w:val="002F5D"/>
        </w:rPr>
        <w:t xml:space="preserve">numerically </w:t>
      </w:r>
      <w:r w:rsidRPr="00330B65">
        <w:rPr>
          <w:rFonts w:ascii="Calibri" w:hAnsi="Calibri" w:cs="Calibri"/>
          <w:color w:val="002F5D"/>
        </w:rPr>
        <w:t>higher than the regional average, but fell against the England an</w:t>
      </w:r>
      <w:r w:rsidR="00746A25">
        <w:rPr>
          <w:rFonts w:ascii="Calibri" w:hAnsi="Calibri" w:cs="Calibri"/>
          <w:color w:val="002F5D"/>
        </w:rPr>
        <w:t>d statistical neighbour average</w:t>
      </w:r>
      <w:r w:rsidRPr="00330B65">
        <w:rPr>
          <w:rFonts w:ascii="Calibri" w:hAnsi="Calibri" w:cs="Calibri"/>
          <w:color w:val="002F5D"/>
        </w:rPr>
        <w:t xml:space="preserve"> in the last financial year.</w:t>
      </w:r>
    </w:p>
    <w:p w14:paraId="6B4CF138" w14:textId="77777777" w:rsidR="00746A25" w:rsidRDefault="00746A25" w:rsidP="008D4440">
      <w:pPr>
        <w:pStyle w:val="ListParagraph"/>
        <w:ind w:left="0"/>
        <w:rPr>
          <w:rFonts w:ascii="Calibri" w:hAnsi="Calibri" w:cs="Calibri"/>
          <w:color w:val="002F5D"/>
        </w:rPr>
      </w:pPr>
    </w:p>
    <w:p w14:paraId="54400ECC" w14:textId="57634938" w:rsidR="00D96FFE" w:rsidRPr="00330B65" w:rsidRDefault="00A2366A" w:rsidP="00330B65">
      <w:pPr>
        <w:spacing w:after="160" w:line="259" w:lineRule="auto"/>
        <w:rPr>
          <w:rFonts w:ascii="Calibri" w:hAnsi="Calibri" w:cs="Calibri"/>
          <w:b/>
          <w:color w:val="002F5D"/>
        </w:rPr>
      </w:pPr>
      <w:r>
        <w:rPr>
          <w:rFonts w:ascii="Calibri" w:hAnsi="Calibri" w:cs="Calibri"/>
          <w:b/>
          <w:color w:val="002F5D"/>
        </w:rPr>
        <w:t>Figure 52</w:t>
      </w:r>
      <w:r w:rsidR="00837184">
        <w:rPr>
          <w:rFonts w:ascii="Calibri" w:hAnsi="Calibri" w:cs="Calibri"/>
          <w:b/>
          <w:color w:val="002F5D"/>
        </w:rPr>
        <w:t>.</w:t>
      </w:r>
      <w:r w:rsidR="00D96FFE">
        <w:rPr>
          <w:rFonts w:ascii="Calibri" w:hAnsi="Calibri" w:cs="Calibri"/>
          <w:b/>
          <w:color w:val="002F5D"/>
        </w:rPr>
        <w:t xml:space="preserve"> </w:t>
      </w:r>
      <w:r w:rsidR="00D96FFE" w:rsidRPr="00330B65">
        <w:rPr>
          <w:rFonts w:ascii="Calibri" w:hAnsi="Calibri" w:cs="Calibri"/>
          <w:color w:val="002F5D"/>
        </w:rPr>
        <w:t>Children subject to a Child Protection Plan on the 31</w:t>
      </w:r>
      <w:r w:rsidR="00D96FFE" w:rsidRPr="00330B65">
        <w:rPr>
          <w:rFonts w:ascii="Calibri" w:hAnsi="Calibri" w:cs="Calibri"/>
          <w:color w:val="002F5D"/>
          <w:vertAlign w:val="superscript"/>
        </w:rPr>
        <w:t>st</w:t>
      </w:r>
      <w:r w:rsidR="00D96FFE" w:rsidRPr="00330B65">
        <w:rPr>
          <w:rFonts w:ascii="Calibri" w:hAnsi="Calibri" w:cs="Calibri"/>
          <w:color w:val="002F5D"/>
        </w:rPr>
        <w:t xml:space="preserve"> March, per 10,000 of population (aged 0-17), Peterborough</w:t>
      </w:r>
    </w:p>
    <w:p w14:paraId="30584E5C" w14:textId="4537B2FE"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67EFD0D3" wp14:editId="3DDB47CB">
            <wp:extent cx="5295900" cy="2181225"/>
            <wp:effectExtent l="0" t="0" r="0" b="9525"/>
            <wp:docPr id="480" name="Chart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r w:rsidRPr="00330B65">
        <w:rPr>
          <w:rFonts w:ascii="Calibri" w:hAnsi="Calibri" w:cs="Calibri"/>
          <w:color w:val="002F5D"/>
          <w:highlight w:val="green"/>
        </w:rPr>
        <w:t xml:space="preserve"> </w:t>
      </w:r>
    </w:p>
    <w:p w14:paraId="3063CBE2"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7F915ECF" w14:textId="77777777" w:rsidR="00782D43" w:rsidRDefault="00782D43" w:rsidP="00330B65">
      <w:pPr>
        <w:spacing w:line="240" w:lineRule="auto"/>
        <w:rPr>
          <w:rFonts w:ascii="Calibri" w:hAnsi="Calibri" w:cs="Calibri"/>
          <w:color w:val="002F5D"/>
        </w:rPr>
      </w:pPr>
    </w:p>
    <w:p w14:paraId="06EF36DF"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04DA8608" w14:textId="77777777" w:rsidR="002F6B4E" w:rsidRPr="00330B65" w:rsidRDefault="002F6B4E" w:rsidP="00330B65">
      <w:pPr>
        <w:spacing w:line="240" w:lineRule="auto"/>
        <w:rPr>
          <w:rFonts w:ascii="Calibri" w:hAnsi="Calibri" w:cs="Calibri"/>
          <w:color w:val="002F5D"/>
          <w:highlight w:val="green"/>
        </w:rPr>
      </w:pPr>
    </w:p>
    <w:p w14:paraId="46C2E04F" w14:textId="4B1DFB40"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In Peterborough, the number of children with a Child Protection Plan per 10,000 of population is </w:t>
      </w:r>
      <w:r w:rsidR="00746A25">
        <w:rPr>
          <w:rFonts w:ascii="Calibri" w:hAnsi="Calibri" w:cs="Calibri"/>
          <w:color w:val="002F5D"/>
        </w:rPr>
        <w:t xml:space="preserve">numerically </w:t>
      </w:r>
      <w:r w:rsidRPr="00330B65">
        <w:rPr>
          <w:rFonts w:ascii="Calibri" w:hAnsi="Calibri" w:cs="Calibri"/>
          <w:color w:val="002F5D"/>
        </w:rPr>
        <w:t xml:space="preserve">lower than the statistical neighbour average.  It is comparable with the England average but </w:t>
      </w:r>
      <w:r w:rsidR="00601976">
        <w:rPr>
          <w:rFonts w:ascii="Calibri" w:hAnsi="Calibri" w:cs="Calibri"/>
          <w:color w:val="002F5D"/>
        </w:rPr>
        <w:t xml:space="preserve">numerically </w:t>
      </w:r>
      <w:r w:rsidRPr="00330B65">
        <w:rPr>
          <w:rFonts w:ascii="Calibri" w:hAnsi="Calibri" w:cs="Calibri"/>
          <w:color w:val="002F5D"/>
        </w:rPr>
        <w:t xml:space="preserve">above the average for the Eastern Region. </w:t>
      </w:r>
    </w:p>
    <w:p w14:paraId="19F8EC85" w14:textId="45E4489B" w:rsidR="00837184" w:rsidRDefault="00837184" w:rsidP="00330B65">
      <w:pPr>
        <w:pStyle w:val="ListParagraph"/>
        <w:spacing w:line="240" w:lineRule="auto"/>
        <w:ind w:left="0"/>
        <w:rPr>
          <w:rFonts w:ascii="Calibri" w:hAnsi="Calibri" w:cs="Calibri"/>
          <w:color w:val="002F5D"/>
        </w:rPr>
      </w:pPr>
    </w:p>
    <w:p w14:paraId="61C22957" w14:textId="7D2F48DC" w:rsidR="00837184" w:rsidRPr="00330B65" w:rsidRDefault="00B81E4B" w:rsidP="00330B65">
      <w:pPr>
        <w:pStyle w:val="ListParagraph"/>
        <w:spacing w:line="240" w:lineRule="auto"/>
        <w:ind w:left="0"/>
        <w:rPr>
          <w:rFonts w:ascii="Calibri" w:hAnsi="Calibri" w:cs="Calibri"/>
          <w:color w:val="002F5D"/>
        </w:rPr>
      </w:pPr>
      <w:r>
        <w:rPr>
          <w:rFonts w:ascii="Calibri" w:eastAsia="Times New Roman" w:hAnsi="Calibri" w:cs="Calibri"/>
          <w:b/>
          <w:color w:val="002F5D"/>
          <w:lang w:eastAsia="en-GB"/>
        </w:rPr>
        <w:t>Table 86</w:t>
      </w:r>
      <w:r w:rsidR="00837184">
        <w:rPr>
          <w:rFonts w:ascii="Calibri" w:eastAsia="Times New Roman" w:hAnsi="Calibri" w:cs="Calibri"/>
          <w:b/>
          <w:color w:val="002F5D"/>
          <w:lang w:eastAsia="en-GB"/>
        </w:rPr>
        <w:t>.</w:t>
      </w:r>
      <w:r w:rsidR="00724819">
        <w:rPr>
          <w:rFonts w:ascii="Calibri" w:eastAsia="Times New Roman" w:hAnsi="Calibri" w:cs="Calibri"/>
          <w:b/>
          <w:color w:val="002F5D"/>
          <w:lang w:eastAsia="en-GB"/>
        </w:rPr>
        <w:t xml:space="preserve"> </w:t>
      </w:r>
      <w:r w:rsidR="00837184" w:rsidRPr="00330B65">
        <w:rPr>
          <w:rFonts w:ascii="Calibri" w:eastAsia="Times New Roman" w:hAnsi="Calibri" w:cs="Calibri"/>
          <w:color w:val="002F5D"/>
          <w:lang w:eastAsia="en-GB"/>
        </w:rPr>
        <w:t>Number of children with a Child Protection Plan on the 31st March 2018</w:t>
      </w:r>
    </w:p>
    <w:tbl>
      <w:tblPr>
        <w:tblW w:w="8789" w:type="dxa"/>
        <w:tblLook w:val="04A0" w:firstRow="1" w:lastRow="0" w:firstColumn="1" w:lastColumn="0" w:noHBand="0" w:noVBand="1"/>
      </w:tblPr>
      <w:tblGrid>
        <w:gridCol w:w="4678"/>
        <w:gridCol w:w="851"/>
        <w:gridCol w:w="850"/>
        <w:gridCol w:w="2410"/>
      </w:tblGrid>
      <w:tr w:rsidR="00936844" w:rsidRPr="00936844" w14:paraId="56AD1E63" w14:textId="77777777" w:rsidTr="00330B65">
        <w:trPr>
          <w:trHeight w:val="300"/>
        </w:trPr>
        <w:tc>
          <w:tcPr>
            <w:tcW w:w="8789" w:type="dxa"/>
            <w:gridSpan w:val="4"/>
            <w:tcBorders>
              <w:top w:val="nil"/>
              <w:left w:val="nil"/>
              <w:bottom w:val="single" w:sz="4" w:space="0" w:color="FFFFFF" w:themeColor="background1"/>
              <w:right w:val="nil"/>
            </w:tcBorders>
            <w:shd w:val="clear" w:color="auto" w:fill="auto"/>
            <w:noWrap/>
            <w:vAlign w:val="bottom"/>
            <w:hideMark/>
          </w:tcPr>
          <w:p w14:paraId="2D55FBE4" w14:textId="5BF3566C" w:rsidR="008D4440" w:rsidRPr="00330B65" w:rsidRDefault="008D4440" w:rsidP="00936844">
            <w:pPr>
              <w:spacing w:line="240" w:lineRule="auto"/>
              <w:rPr>
                <w:rFonts w:ascii="Calibri" w:eastAsia="Times New Roman" w:hAnsi="Calibri" w:cs="Calibri"/>
                <w:b/>
                <w:color w:val="002F5D"/>
                <w:lang w:eastAsia="en-GB"/>
              </w:rPr>
            </w:pPr>
          </w:p>
        </w:tc>
      </w:tr>
      <w:tr w:rsidR="00936844" w:rsidRPr="00936844" w14:paraId="056E24E3" w14:textId="77777777" w:rsidTr="00330B65">
        <w:trPr>
          <w:trHeight w:val="315"/>
        </w:trPr>
        <w:tc>
          <w:tcPr>
            <w:tcW w:w="4678" w:type="dxa"/>
            <w:tcBorders>
              <w:top w:val="single" w:sz="4" w:space="0" w:color="FFFFFF" w:themeColor="background1"/>
              <w:bottom w:val="single" w:sz="4" w:space="0" w:color="FFFFFF" w:themeColor="background1"/>
              <w:right w:val="single" w:sz="4" w:space="0" w:color="FFFFFF" w:themeColor="background1"/>
            </w:tcBorders>
            <w:shd w:val="clear" w:color="auto" w:fill="002F5D"/>
            <w:noWrap/>
            <w:vAlign w:val="bottom"/>
            <w:hideMark/>
          </w:tcPr>
          <w:p w14:paraId="4A739D85"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F5D"/>
            <w:noWrap/>
            <w:vAlign w:val="bottom"/>
            <w:hideMark/>
          </w:tcPr>
          <w:p w14:paraId="506EE430"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F5D"/>
            <w:noWrap/>
            <w:vAlign w:val="bottom"/>
            <w:hideMark/>
          </w:tcPr>
          <w:p w14:paraId="4934DC5B" w14:textId="35C1D7DC"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746A25">
              <w:rPr>
                <w:rFonts w:ascii="Calibri" w:eastAsia="Times New Roman" w:hAnsi="Calibri" w:cs="Calibri"/>
                <w:color w:val="FFFFFF" w:themeColor="background1"/>
                <w:lang w:eastAsia="en-GB"/>
              </w:rPr>
              <w:t>*</w:t>
            </w:r>
          </w:p>
        </w:tc>
        <w:tc>
          <w:tcPr>
            <w:tcW w:w="2410" w:type="dxa"/>
            <w:tcBorders>
              <w:top w:val="single" w:sz="4" w:space="0" w:color="FFFFFF" w:themeColor="background1"/>
              <w:left w:val="single" w:sz="4" w:space="0" w:color="FFFFFF" w:themeColor="background1"/>
              <w:bottom w:val="single" w:sz="4" w:space="0" w:color="FFFFFF" w:themeColor="background1"/>
            </w:tcBorders>
            <w:shd w:val="clear" w:color="auto" w:fill="002F5D"/>
            <w:noWrap/>
            <w:vAlign w:val="bottom"/>
            <w:hideMark/>
          </w:tcPr>
          <w:p w14:paraId="0BF65D83"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Rate per 10,000 of pop.</w:t>
            </w:r>
          </w:p>
        </w:tc>
      </w:tr>
      <w:tr w:rsidR="00936844" w:rsidRPr="00936844" w14:paraId="3F4A0F3B" w14:textId="77777777" w:rsidTr="00330B65">
        <w:trPr>
          <w:trHeight w:val="315"/>
        </w:trPr>
        <w:tc>
          <w:tcPr>
            <w:tcW w:w="4678" w:type="dxa"/>
            <w:tcBorders>
              <w:top w:val="single" w:sz="4" w:space="0" w:color="FFFFFF" w:themeColor="background1"/>
              <w:left w:val="single" w:sz="4" w:space="0" w:color="auto"/>
              <w:bottom w:val="nil"/>
              <w:right w:val="nil"/>
            </w:tcBorders>
            <w:shd w:val="clear" w:color="auto" w:fill="auto"/>
            <w:noWrap/>
            <w:vAlign w:val="bottom"/>
            <w:hideMark/>
          </w:tcPr>
          <w:p w14:paraId="6D89D81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851" w:type="dxa"/>
            <w:tcBorders>
              <w:top w:val="single" w:sz="4" w:space="0" w:color="FFFFFF" w:themeColor="background1"/>
              <w:left w:val="single" w:sz="4" w:space="0" w:color="auto"/>
              <w:bottom w:val="nil"/>
              <w:right w:val="single" w:sz="4" w:space="0" w:color="auto"/>
            </w:tcBorders>
            <w:shd w:val="clear" w:color="auto" w:fill="auto"/>
            <w:noWrap/>
            <w:vAlign w:val="bottom"/>
            <w:hideMark/>
          </w:tcPr>
          <w:p w14:paraId="5C33594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93</w:t>
            </w:r>
          </w:p>
        </w:tc>
        <w:tc>
          <w:tcPr>
            <w:tcW w:w="850" w:type="dxa"/>
            <w:tcBorders>
              <w:top w:val="single" w:sz="4" w:space="0" w:color="FFFFFF" w:themeColor="background1"/>
              <w:left w:val="nil"/>
              <w:bottom w:val="nil"/>
              <w:right w:val="single" w:sz="4" w:space="0" w:color="auto"/>
            </w:tcBorders>
            <w:shd w:val="clear" w:color="auto" w:fill="auto"/>
            <w:noWrap/>
            <w:vAlign w:val="bottom"/>
            <w:hideMark/>
          </w:tcPr>
          <w:p w14:paraId="38F49C6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w:t>
            </w:r>
          </w:p>
        </w:tc>
        <w:tc>
          <w:tcPr>
            <w:tcW w:w="2410" w:type="dxa"/>
            <w:tcBorders>
              <w:top w:val="single" w:sz="4" w:space="0" w:color="FFFFFF" w:themeColor="background1"/>
              <w:left w:val="nil"/>
              <w:bottom w:val="nil"/>
              <w:right w:val="single" w:sz="4" w:space="0" w:color="auto"/>
            </w:tcBorders>
            <w:shd w:val="clear" w:color="auto" w:fill="auto"/>
            <w:noWrap/>
            <w:vAlign w:val="bottom"/>
            <w:hideMark/>
          </w:tcPr>
          <w:p w14:paraId="1B20402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40.3</w:t>
            </w:r>
          </w:p>
        </w:tc>
      </w:tr>
      <w:tr w:rsidR="00936844" w:rsidRPr="00936844" w14:paraId="0DB06672" w14:textId="77777777" w:rsidTr="00936844">
        <w:trPr>
          <w:trHeight w:val="315"/>
        </w:trPr>
        <w:tc>
          <w:tcPr>
            <w:tcW w:w="4678" w:type="dxa"/>
            <w:tcBorders>
              <w:top w:val="nil"/>
              <w:left w:val="single" w:sz="4" w:space="0" w:color="auto"/>
              <w:bottom w:val="nil"/>
              <w:right w:val="nil"/>
            </w:tcBorders>
            <w:shd w:val="clear" w:color="auto" w:fill="auto"/>
            <w:noWrap/>
            <w:vAlign w:val="bottom"/>
            <w:hideMark/>
          </w:tcPr>
          <w:p w14:paraId="173715F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851" w:type="dxa"/>
            <w:tcBorders>
              <w:top w:val="nil"/>
              <w:left w:val="single" w:sz="4" w:space="0" w:color="auto"/>
              <w:bottom w:val="nil"/>
              <w:right w:val="single" w:sz="4" w:space="0" w:color="auto"/>
            </w:tcBorders>
            <w:shd w:val="clear" w:color="auto" w:fill="auto"/>
            <w:noWrap/>
            <w:vAlign w:val="bottom"/>
            <w:hideMark/>
          </w:tcPr>
          <w:p w14:paraId="37525BC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59</w:t>
            </w:r>
          </w:p>
        </w:tc>
        <w:tc>
          <w:tcPr>
            <w:tcW w:w="850" w:type="dxa"/>
            <w:tcBorders>
              <w:top w:val="nil"/>
              <w:left w:val="nil"/>
              <w:bottom w:val="nil"/>
              <w:right w:val="single" w:sz="4" w:space="0" w:color="auto"/>
            </w:tcBorders>
            <w:shd w:val="clear" w:color="auto" w:fill="auto"/>
            <w:noWrap/>
            <w:vAlign w:val="bottom"/>
            <w:hideMark/>
          </w:tcPr>
          <w:p w14:paraId="6D98B4B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c>
          <w:tcPr>
            <w:tcW w:w="2410" w:type="dxa"/>
            <w:tcBorders>
              <w:top w:val="nil"/>
              <w:left w:val="nil"/>
              <w:bottom w:val="nil"/>
              <w:right w:val="single" w:sz="4" w:space="0" w:color="auto"/>
            </w:tcBorders>
            <w:shd w:val="clear" w:color="auto" w:fill="auto"/>
            <w:noWrap/>
            <w:vAlign w:val="bottom"/>
            <w:hideMark/>
          </w:tcPr>
          <w:p w14:paraId="1659CA3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30.1</w:t>
            </w:r>
          </w:p>
        </w:tc>
      </w:tr>
      <w:tr w:rsidR="00936844" w:rsidRPr="00936844" w14:paraId="22850EB4" w14:textId="77777777" w:rsidTr="00936844">
        <w:trPr>
          <w:trHeight w:val="315"/>
        </w:trPr>
        <w:tc>
          <w:tcPr>
            <w:tcW w:w="4678" w:type="dxa"/>
            <w:tcBorders>
              <w:top w:val="nil"/>
              <w:left w:val="single" w:sz="4" w:space="0" w:color="auto"/>
              <w:bottom w:val="nil"/>
              <w:right w:val="nil"/>
            </w:tcBorders>
            <w:shd w:val="clear" w:color="auto" w:fill="auto"/>
            <w:noWrap/>
            <w:vAlign w:val="bottom"/>
            <w:hideMark/>
          </w:tcPr>
          <w:p w14:paraId="4356E68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851" w:type="dxa"/>
            <w:tcBorders>
              <w:top w:val="nil"/>
              <w:left w:val="single" w:sz="4" w:space="0" w:color="auto"/>
              <w:bottom w:val="nil"/>
              <w:right w:val="single" w:sz="4" w:space="0" w:color="auto"/>
            </w:tcBorders>
            <w:shd w:val="clear" w:color="auto" w:fill="auto"/>
            <w:noWrap/>
            <w:vAlign w:val="bottom"/>
            <w:hideMark/>
          </w:tcPr>
          <w:p w14:paraId="77D77F7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117</w:t>
            </w:r>
          </w:p>
        </w:tc>
        <w:tc>
          <w:tcPr>
            <w:tcW w:w="850" w:type="dxa"/>
            <w:tcBorders>
              <w:top w:val="nil"/>
              <w:left w:val="nil"/>
              <w:bottom w:val="nil"/>
              <w:right w:val="single" w:sz="4" w:space="0" w:color="auto"/>
            </w:tcBorders>
            <w:shd w:val="clear" w:color="auto" w:fill="auto"/>
            <w:noWrap/>
            <w:vAlign w:val="bottom"/>
            <w:hideMark/>
          </w:tcPr>
          <w:p w14:paraId="21420D0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25%</w:t>
            </w:r>
          </w:p>
        </w:tc>
        <w:tc>
          <w:tcPr>
            <w:tcW w:w="2410" w:type="dxa"/>
            <w:tcBorders>
              <w:top w:val="nil"/>
              <w:left w:val="nil"/>
              <w:bottom w:val="nil"/>
              <w:right w:val="single" w:sz="4" w:space="0" w:color="auto"/>
            </w:tcBorders>
            <w:shd w:val="clear" w:color="auto" w:fill="auto"/>
            <w:noWrap/>
            <w:vAlign w:val="bottom"/>
            <w:hideMark/>
          </w:tcPr>
          <w:p w14:paraId="7DFB089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58.2</w:t>
            </w:r>
          </w:p>
        </w:tc>
      </w:tr>
      <w:tr w:rsidR="00936844" w:rsidRPr="00936844" w14:paraId="13C5C06A" w14:textId="77777777" w:rsidTr="00936844">
        <w:trPr>
          <w:trHeight w:val="315"/>
        </w:trPr>
        <w:tc>
          <w:tcPr>
            <w:tcW w:w="4678" w:type="dxa"/>
            <w:tcBorders>
              <w:top w:val="nil"/>
              <w:left w:val="single" w:sz="4" w:space="0" w:color="auto"/>
              <w:bottom w:val="nil"/>
              <w:right w:val="nil"/>
            </w:tcBorders>
            <w:shd w:val="clear" w:color="auto" w:fill="auto"/>
            <w:noWrap/>
            <w:vAlign w:val="bottom"/>
            <w:hideMark/>
          </w:tcPr>
          <w:p w14:paraId="6591C975"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851" w:type="dxa"/>
            <w:tcBorders>
              <w:top w:val="nil"/>
              <w:left w:val="single" w:sz="4" w:space="0" w:color="auto"/>
              <w:bottom w:val="nil"/>
              <w:right w:val="single" w:sz="4" w:space="0" w:color="auto"/>
            </w:tcBorders>
            <w:shd w:val="clear" w:color="auto" w:fill="auto"/>
            <w:noWrap/>
            <w:vAlign w:val="bottom"/>
            <w:hideMark/>
          </w:tcPr>
          <w:p w14:paraId="24EA84F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88</w:t>
            </w:r>
          </w:p>
        </w:tc>
        <w:tc>
          <w:tcPr>
            <w:tcW w:w="850" w:type="dxa"/>
            <w:tcBorders>
              <w:top w:val="nil"/>
              <w:left w:val="nil"/>
              <w:bottom w:val="nil"/>
              <w:right w:val="single" w:sz="4" w:space="0" w:color="auto"/>
            </w:tcBorders>
            <w:shd w:val="clear" w:color="auto" w:fill="auto"/>
            <w:noWrap/>
            <w:vAlign w:val="bottom"/>
            <w:hideMark/>
          </w:tcPr>
          <w:p w14:paraId="53FAD98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w:t>
            </w:r>
          </w:p>
        </w:tc>
        <w:tc>
          <w:tcPr>
            <w:tcW w:w="2410" w:type="dxa"/>
            <w:tcBorders>
              <w:top w:val="nil"/>
              <w:left w:val="nil"/>
              <w:bottom w:val="nil"/>
              <w:right w:val="single" w:sz="4" w:space="0" w:color="auto"/>
            </w:tcBorders>
            <w:shd w:val="clear" w:color="auto" w:fill="auto"/>
            <w:noWrap/>
            <w:vAlign w:val="bottom"/>
            <w:hideMark/>
          </w:tcPr>
          <w:p w14:paraId="59790BC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24.1</w:t>
            </w:r>
          </w:p>
        </w:tc>
      </w:tr>
      <w:tr w:rsidR="00936844" w:rsidRPr="00936844" w14:paraId="199694FD" w14:textId="77777777" w:rsidTr="00936844">
        <w:trPr>
          <w:trHeight w:val="315"/>
        </w:trPr>
        <w:tc>
          <w:tcPr>
            <w:tcW w:w="4678" w:type="dxa"/>
            <w:tcBorders>
              <w:top w:val="nil"/>
              <w:left w:val="single" w:sz="4" w:space="0" w:color="auto"/>
              <w:bottom w:val="nil"/>
              <w:right w:val="nil"/>
            </w:tcBorders>
            <w:shd w:val="clear" w:color="auto" w:fill="auto"/>
            <w:noWrap/>
            <w:vAlign w:val="bottom"/>
            <w:hideMark/>
          </w:tcPr>
          <w:p w14:paraId="2473644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851" w:type="dxa"/>
            <w:tcBorders>
              <w:top w:val="nil"/>
              <w:left w:val="single" w:sz="4" w:space="0" w:color="auto"/>
              <w:bottom w:val="nil"/>
              <w:right w:val="single" w:sz="4" w:space="0" w:color="auto"/>
            </w:tcBorders>
            <w:shd w:val="clear" w:color="auto" w:fill="auto"/>
            <w:noWrap/>
            <w:vAlign w:val="bottom"/>
            <w:hideMark/>
          </w:tcPr>
          <w:p w14:paraId="79DB7D8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61</w:t>
            </w:r>
          </w:p>
        </w:tc>
        <w:tc>
          <w:tcPr>
            <w:tcW w:w="850" w:type="dxa"/>
            <w:tcBorders>
              <w:top w:val="nil"/>
              <w:left w:val="nil"/>
              <w:bottom w:val="nil"/>
              <w:right w:val="single" w:sz="4" w:space="0" w:color="auto"/>
            </w:tcBorders>
            <w:shd w:val="clear" w:color="auto" w:fill="auto"/>
            <w:noWrap/>
            <w:vAlign w:val="bottom"/>
            <w:hideMark/>
          </w:tcPr>
          <w:p w14:paraId="746B1CD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w:t>
            </w:r>
          </w:p>
        </w:tc>
        <w:tc>
          <w:tcPr>
            <w:tcW w:w="2410" w:type="dxa"/>
            <w:tcBorders>
              <w:top w:val="nil"/>
              <w:left w:val="nil"/>
              <w:bottom w:val="nil"/>
              <w:right w:val="single" w:sz="4" w:space="0" w:color="auto"/>
            </w:tcBorders>
            <w:shd w:val="clear" w:color="auto" w:fill="auto"/>
            <w:noWrap/>
            <w:vAlign w:val="bottom"/>
            <w:hideMark/>
          </w:tcPr>
          <w:p w14:paraId="4C3EA04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17.4</w:t>
            </w:r>
          </w:p>
        </w:tc>
      </w:tr>
      <w:tr w:rsidR="00936844" w:rsidRPr="00936844" w14:paraId="49B4C26F" w14:textId="77777777" w:rsidTr="00936844">
        <w:trPr>
          <w:trHeight w:val="315"/>
        </w:trPr>
        <w:tc>
          <w:tcPr>
            <w:tcW w:w="4678" w:type="dxa"/>
            <w:tcBorders>
              <w:top w:val="nil"/>
              <w:left w:val="single" w:sz="4" w:space="0" w:color="auto"/>
              <w:bottom w:val="single" w:sz="4" w:space="0" w:color="auto"/>
              <w:right w:val="nil"/>
            </w:tcBorders>
            <w:shd w:val="clear" w:color="auto" w:fill="auto"/>
            <w:noWrap/>
            <w:vAlign w:val="bottom"/>
            <w:hideMark/>
          </w:tcPr>
          <w:p w14:paraId="40DE6A4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FA0F54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58</w:t>
            </w:r>
          </w:p>
        </w:tc>
        <w:tc>
          <w:tcPr>
            <w:tcW w:w="850" w:type="dxa"/>
            <w:tcBorders>
              <w:top w:val="nil"/>
              <w:left w:val="nil"/>
              <w:bottom w:val="single" w:sz="4" w:space="0" w:color="auto"/>
              <w:right w:val="single" w:sz="4" w:space="0" w:color="auto"/>
            </w:tcBorders>
            <w:shd w:val="clear" w:color="auto" w:fill="auto"/>
            <w:noWrap/>
            <w:vAlign w:val="bottom"/>
            <w:hideMark/>
          </w:tcPr>
          <w:p w14:paraId="4CED539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c>
          <w:tcPr>
            <w:tcW w:w="2410" w:type="dxa"/>
            <w:tcBorders>
              <w:top w:val="nil"/>
              <w:left w:val="nil"/>
              <w:bottom w:val="single" w:sz="4" w:space="0" w:color="auto"/>
              <w:right w:val="single" w:sz="4" w:space="0" w:color="auto"/>
            </w:tcBorders>
            <w:shd w:val="clear" w:color="auto" w:fill="auto"/>
            <w:noWrap/>
            <w:vAlign w:val="bottom"/>
            <w:hideMark/>
          </w:tcPr>
          <w:p w14:paraId="47ACC2A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936844" w:rsidRPr="00936844" w14:paraId="5433B697" w14:textId="77777777" w:rsidTr="00936844">
        <w:trPr>
          <w:trHeight w:val="315"/>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3693EB86"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w:t>
            </w:r>
          </w:p>
        </w:tc>
        <w:tc>
          <w:tcPr>
            <w:tcW w:w="851" w:type="dxa"/>
            <w:tcBorders>
              <w:top w:val="nil"/>
              <w:left w:val="single" w:sz="4" w:space="0" w:color="auto"/>
              <w:bottom w:val="single" w:sz="4" w:space="0" w:color="auto"/>
              <w:right w:val="nil"/>
            </w:tcBorders>
            <w:shd w:val="clear" w:color="auto" w:fill="auto"/>
            <w:noWrap/>
            <w:vAlign w:val="bottom"/>
            <w:hideMark/>
          </w:tcPr>
          <w:p w14:paraId="63BF4D4B"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476</w:t>
            </w:r>
          </w:p>
        </w:tc>
        <w:tc>
          <w:tcPr>
            <w:tcW w:w="850" w:type="dxa"/>
            <w:tcBorders>
              <w:top w:val="nil"/>
              <w:left w:val="single" w:sz="4" w:space="0" w:color="auto"/>
              <w:bottom w:val="single" w:sz="4" w:space="0" w:color="auto"/>
              <w:right w:val="single" w:sz="4" w:space="0" w:color="auto"/>
            </w:tcBorders>
            <w:shd w:val="clear" w:color="auto" w:fill="auto"/>
            <w:noWrap/>
            <w:vAlign w:val="bottom"/>
            <w:hideMark/>
          </w:tcPr>
          <w:p w14:paraId="3D051960"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68%</w:t>
            </w:r>
          </w:p>
        </w:tc>
        <w:tc>
          <w:tcPr>
            <w:tcW w:w="2410" w:type="dxa"/>
            <w:tcBorders>
              <w:top w:val="nil"/>
              <w:left w:val="nil"/>
              <w:bottom w:val="single" w:sz="4" w:space="0" w:color="auto"/>
              <w:right w:val="single" w:sz="4" w:space="0" w:color="auto"/>
            </w:tcBorders>
            <w:shd w:val="clear" w:color="auto" w:fill="auto"/>
            <w:noWrap/>
            <w:vAlign w:val="bottom"/>
            <w:hideMark/>
          </w:tcPr>
          <w:p w14:paraId="07AB5DA2"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35.4</w:t>
            </w:r>
          </w:p>
        </w:tc>
      </w:tr>
      <w:tr w:rsidR="00936844" w:rsidRPr="00936844" w14:paraId="57E90BAD" w14:textId="77777777" w:rsidTr="00936844">
        <w:trPr>
          <w:trHeight w:val="315"/>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5EF0952C"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Peterborough</w:t>
            </w:r>
          </w:p>
        </w:tc>
        <w:tc>
          <w:tcPr>
            <w:tcW w:w="851" w:type="dxa"/>
            <w:tcBorders>
              <w:top w:val="nil"/>
              <w:left w:val="single" w:sz="4" w:space="0" w:color="auto"/>
              <w:bottom w:val="single" w:sz="4" w:space="0" w:color="auto"/>
              <w:right w:val="nil"/>
            </w:tcBorders>
            <w:shd w:val="clear" w:color="auto" w:fill="auto"/>
            <w:noWrap/>
            <w:vAlign w:val="bottom"/>
            <w:hideMark/>
          </w:tcPr>
          <w:p w14:paraId="4E979C6A"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228</w:t>
            </w:r>
          </w:p>
        </w:tc>
        <w:tc>
          <w:tcPr>
            <w:tcW w:w="850" w:type="dxa"/>
            <w:tcBorders>
              <w:top w:val="nil"/>
              <w:left w:val="single" w:sz="4" w:space="0" w:color="auto"/>
              <w:bottom w:val="single" w:sz="4" w:space="0" w:color="auto"/>
              <w:right w:val="single" w:sz="4" w:space="0" w:color="auto"/>
            </w:tcBorders>
            <w:shd w:val="clear" w:color="auto" w:fill="auto"/>
            <w:noWrap/>
            <w:vAlign w:val="bottom"/>
            <w:hideMark/>
          </w:tcPr>
          <w:p w14:paraId="295869C6"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32%</w:t>
            </w:r>
          </w:p>
        </w:tc>
        <w:tc>
          <w:tcPr>
            <w:tcW w:w="2410" w:type="dxa"/>
            <w:tcBorders>
              <w:top w:val="nil"/>
              <w:left w:val="nil"/>
              <w:bottom w:val="single" w:sz="4" w:space="0" w:color="auto"/>
              <w:right w:val="single" w:sz="4" w:space="0" w:color="auto"/>
            </w:tcBorders>
            <w:shd w:val="clear" w:color="auto" w:fill="auto"/>
            <w:noWrap/>
            <w:vAlign w:val="bottom"/>
            <w:hideMark/>
          </w:tcPr>
          <w:p w14:paraId="3FDE8D8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45.6</w:t>
            </w:r>
          </w:p>
        </w:tc>
      </w:tr>
      <w:tr w:rsidR="00936844" w:rsidRPr="00936844" w14:paraId="060E14CA" w14:textId="77777777" w:rsidTr="00936844">
        <w:trPr>
          <w:trHeight w:val="315"/>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2271C131"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851" w:type="dxa"/>
            <w:tcBorders>
              <w:top w:val="nil"/>
              <w:left w:val="single" w:sz="4" w:space="0" w:color="auto"/>
              <w:bottom w:val="single" w:sz="4" w:space="0" w:color="auto"/>
              <w:right w:val="nil"/>
            </w:tcBorders>
            <w:shd w:val="clear" w:color="auto" w:fill="auto"/>
            <w:noWrap/>
            <w:vAlign w:val="bottom"/>
            <w:hideMark/>
          </w:tcPr>
          <w:p w14:paraId="010D4A60"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704</w:t>
            </w:r>
          </w:p>
        </w:tc>
        <w:tc>
          <w:tcPr>
            <w:tcW w:w="850" w:type="dxa"/>
            <w:tcBorders>
              <w:top w:val="nil"/>
              <w:left w:val="single" w:sz="4" w:space="0" w:color="auto"/>
              <w:bottom w:val="single" w:sz="4" w:space="0" w:color="auto"/>
              <w:right w:val="single" w:sz="4" w:space="0" w:color="auto"/>
            </w:tcBorders>
            <w:shd w:val="clear" w:color="auto" w:fill="auto"/>
            <w:noWrap/>
            <w:vAlign w:val="bottom"/>
            <w:hideMark/>
          </w:tcPr>
          <w:p w14:paraId="75EAE29E"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 </w:t>
            </w:r>
          </w:p>
        </w:tc>
        <w:tc>
          <w:tcPr>
            <w:tcW w:w="2410" w:type="dxa"/>
            <w:tcBorders>
              <w:top w:val="nil"/>
              <w:left w:val="nil"/>
              <w:bottom w:val="single" w:sz="4" w:space="0" w:color="auto"/>
              <w:right w:val="single" w:sz="4" w:space="0" w:color="auto"/>
            </w:tcBorders>
            <w:shd w:val="clear" w:color="auto" w:fill="auto"/>
            <w:noWrap/>
            <w:vAlign w:val="bottom"/>
            <w:hideMark/>
          </w:tcPr>
          <w:p w14:paraId="4F04CBDF"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38.2</w:t>
            </w:r>
          </w:p>
        </w:tc>
      </w:tr>
    </w:tbl>
    <w:p w14:paraId="05047873" w14:textId="77777777" w:rsidR="00746A25" w:rsidRDefault="00746A25" w:rsidP="00746A25">
      <w:pPr>
        <w:rPr>
          <w:rFonts w:ascii="Calibri" w:hAnsi="Calibri" w:cs="Calibri"/>
          <w:color w:val="002F5D"/>
          <w:sz w:val="18"/>
          <w:szCs w:val="18"/>
        </w:rPr>
      </w:pPr>
      <w:r>
        <w:rPr>
          <w:rFonts w:ascii="Calibri" w:hAnsi="Calibri" w:cs="Calibri"/>
          <w:color w:val="002F5D"/>
          <w:sz w:val="18"/>
          <w:szCs w:val="18"/>
        </w:rPr>
        <w:t>Note: *Cambridgeshire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27D15C3E" w14:textId="77777777" w:rsidR="00782D43" w:rsidRDefault="00782D43" w:rsidP="00782D43">
      <w:pPr>
        <w:rPr>
          <w:rFonts w:ascii="Calibri" w:hAnsi="Calibri" w:cs="Calibri"/>
          <w:color w:val="002F5D"/>
        </w:rPr>
      </w:pPr>
    </w:p>
    <w:p w14:paraId="25CC6EF2" w14:textId="77777777" w:rsidR="00782D43" w:rsidRPr="00102750" w:rsidRDefault="00782D43" w:rsidP="00782D43">
      <w:pPr>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654036A3" w14:textId="77777777" w:rsidR="008D4440" w:rsidRPr="00330B65" w:rsidRDefault="008D4440" w:rsidP="008D4440">
      <w:pPr>
        <w:rPr>
          <w:rFonts w:ascii="Calibri" w:hAnsi="Calibri" w:cs="Calibri"/>
          <w:color w:val="002F5D"/>
        </w:rPr>
      </w:pPr>
    </w:p>
    <w:p w14:paraId="6B7D0053" w14:textId="34B060DA" w:rsidR="008D4440" w:rsidRPr="00330B65" w:rsidRDefault="008D4440" w:rsidP="008D4440">
      <w:pPr>
        <w:rPr>
          <w:rFonts w:ascii="Calibri" w:hAnsi="Calibri" w:cs="Calibri"/>
          <w:color w:val="002F5D"/>
          <w:highlight w:val="green"/>
        </w:rPr>
      </w:pPr>
      <w:r w:rsidRPr="00330B65">
        <w:rPr>
          <w:rFonts w:ascii="Calibri" w:hAnsi="Calibri" w:cs="Calibri"/>
          <w:color w:val="002F5D"/>
        </w:rPr>
        <w:t>In Cambridgeshire, Fenland accounts for 25% of Child Protection Plans open on the 31</w:t>
      </w:r>
      <w:r w:rsidRPr="00330B65">
        <w:rPr>
          <w:rFonts w:ascii="Calibri" w:hAnsi="Calibri" w:cs="Calibri"/>
          <w:color w:val="002F5D"/>
          <w:vertAlign w:val="superscript"/>
        </w:rPr>
        <w:t>st</w:t>
      </w:r>
      <w:r w:rsidRPr="00330B65">
        <w:rPr>
          <w:rFonts w:ascii="Calibri" w:hAnsi="Calibri" w:cs="Calibri"/>
          <w:color w:val="002F5D"/>
        </w:rPr>
        <w:t xml:space="preserve"> March 2018, equating to a rate of 58.2, </w:t>
      </w:r>
      <w:r w:rsidR="00601976">
        <w:rPr>
          <w:rFonts w:ascii="Calibri" w:hAnsi="Calibri" w:cs="Calibri"/>
          <w:color w:val="002F5D"/>
        </w:rPr>
        <w:t>numerically</w:t>
      </w:r>
      <w:r w:rsidRPr="00330B65">
        <w:rPr>
          <w:rFonts w:ascii="Calibri" w:hAnsi="Calibri" w:cs="Calibri"/>
          <w:color w:val="002F5D"/>
        </w:rPr>
        <w:t xml:space="preserve"> higher than the county </w:t>
      </w:r>
      <w:r w:rsidR="0099729C">
        <w:rPr>
          <w:rFonts w:ascii="Calibri" w:hAnsi="Calibri" w:cs="Calibri"/>
          <w:color w:val="002F5D"/>
        </w:rPr>
        <w:t>average of 35.4 per 10,000 of po</w:t>
      </w:r>
      <w:r w:rsidRPr="00330B65">
        <w:rPr>
          <w:rFonts w:ascii="Calibri" w:hAnsi="Calibri" w:cs="Calibri"/>
          <w:color w:val="002F5D"/>
        </w:rPr>
        <w:t xml:space="preserve">pulation.  </w:t>
      </w:r>
      <w:r w:rsidRPr="00330B65">
        <w:rPr>
          <w:rFonts w:ascii="Calibri" w:hAnsi="Calibri" w:cs="Calibri"/>
          <w:color w:val="002F5D"/>
          <w:highlight w:val="green"/>
        </w:rPr>
        <w:br w:type="page"/>
      </w:r>
    </w:p>
    <w:p w14:paraId="67904B37" w14:textId="24D60B23" w:rsidR="008D4440" w:rsidRPr="00330B65" w:rsidRDefault="00A2366A" w:rsidP="00330B65">
      <w:pPr>
        <w:spacing w:after="160" w:line="240" w:lineRule="auto"/>
        <w:rPr>
          <w:rFonts w:ascii="Calibri" w:hAnsi="Calibri" w:cs="Calibri"/>
          <w:b/>
          <w:color w:val="002F5D"/>
        </w:rPr>
      </w:pPr>
      <w:r>
        <w:rPr>
          <w:rFonts w:ascii="Calibri" w:hAnsi="Calibri" w:cs="Calibri"/>
          <w:b/>
          <w:color w:val="002F5D"/>
        </w:rPr>
        <w:lastRenderedPageBreak/>
        <w:t>Figure 53</w:t>
      </w:r>
      <w:r w:rsidR="00837184">
        <w:rPr>
          <w:rFonts w:ascii="Calibri" w:hAnsi="Calibri" w:cs="Calibri"/>
          <w:b/>
          <w:color w:val="002F5D"/>
        </w:rPr>
        <w:t xml:space="preserve">. </w:t>
      </w:r>
      <w:r w:rsidR="0099729C">
        <w:rPr>
          <w:rFonts w:ascii="Calibri" w:hAnsi="Calibri" w:cs="Calibri"/>
          <w:color w:val="002F5D"/>
        </w:rPr>
        <w:t>Lo</w:t>
      </w:r>
      <w:r w:rsidR="008D4440" w:rsidRPr="00330B65">
        <w:rPr>
          <w:rFonts w:ascii="Calibri" w:hAnsi="Calibri" w:cs="Calibri"/>
          <w:color w:val="002F5D"/>
        </w:rPr>
        <w:t>oked After Children per 10,000 of population (aged 0-17)</w:t>
      </w:r>
      <w:r w:rsidR="00931DDB" w:rsidRPr="00330B65">
        <w:rPr>
          <w:rFonts w:ascii="Calibri" w:hAnsi="Calibri" w:cs="Calibri"/>
          <w:color w:val="002F5D"/>
        </w:rPr>
        <w:t>, Cambridgeshire</w:t>
      </w:r>
    </w:p>
    <w:p w14:paraId="25A26E6D" w14:textId="77777777" w:rsidR="008D4440" w:rsidRPr="00330B65" w:rsidRDefault="008D4440">
      <w:pPr>
        <w:pStyle w:val="NoSpacing"/>
        <w:rPr>
          <w:rFonts w:ascii="Calibri" w:hAnsi="Calibri" w:cs="Calibri"/>
          <w:color w:val="002F5D"/>
        </w:rPr>
      </w:pPr>
      <w:r w:rsidRPr="00330B65">
        <w:rPr>
          <w:rFonts w:ascii="Calibri" w:hAnsi="Calibri" w:cs="Calibri"/>
          <w:color w:val="002F5D"/>
        </w:rPr>
        <w:t xml:space="preserve">Under the Children Act 1989, a child is looked after by a local authority if he or she falls into one of the following: </w:t>
      </w:r>
    </w:p>
    <w:p w14:paraId="6372FF39" w14:textId="77777777" w:rsidR="008D4440" w:rsidRPr="00330B65" w:rsidRDefault="008D4440">
      <w:pPr>
        <w:pStyle w:val="NoSpacing"/>
        <w:numPr>
          <w:ilvl w:val="0"/>
          <w:numId w:val="104"/>
        </w:numPr>
        <w:rPr>
          <w:rFonts w:ascii="Calibri" w:hAnsi="Calibri" w:cs="Calibri"/>
          <w:color w:val="002F5D"/>
        </w:rPr>
      </w:pPr>
      <w:r w:rsidRPr="00330B65">
        <w:rPr>
          <w:rFonts w:ascii="Calibri" w:hAnsi="Calibri" w:cs="Calibri"/>
          <w:color w:val="002F5D"/>
        </w:rPr>
        <w:t xml:space="preserve">is provided with accommodation, for a continuous period of more than 24 hours, [Children Act 1989, Section 20 and 21] </w:t>
      </w:r>
    </w:p>
    <w:p w14:paraId="4DB60D51" w14:textId="77777777" w:rsidR="008D4440" w:rsidRPr="00330B65" w:rsidRDefault="008D4440">
      <w:pPr>
        <w:pStyle w:val="NoSpacing"/>
        <w:numPr>
          <w:ilvl w:val="0"/>
          <w:numId w:val="104"/>
        </w:numPr>
        <w:rPr>
          <w:rFonts w:ascii="Calibri" w:hAnsi="Calibri" w:cs="Calibri"/>
          <w:color w:val="002F5D"/>
        </w:rPr>
      </w:pPr>
      <w:r w:rsidRPr="00330B65">
        <w:rPr>
          <w:rFonts w:ascii="Calibri" w:hAnsi="Calibri" w:cs="Calibri"/>
          <w:color w:val="002F5D"/>
        </w:rPr>
        <w:t xml:space="preserve">is subject to a care order [Children Act 1989, Part IV] </w:t>
      </w:r>
    </w:p>
    <w:p w14:paraId="5C29AD92" w14:textId="77777777" w:rsidR="008D4440" w:rsidRPr="00330B65" w:rsidRDefault="008D4440">
      <w:pPr>
        <w:pStyle w:val="NoSpacing"/>
        <w:numPr>
          <w:ilvl w:val="0"/>
          <w:numId w:val="104"/>
        </w:numPr>
        <w:rPr>
          <w:rFonts w:ascii="Calibri" w:hAnsi="Calibri" w:cs="Calibri"/>
          <w:color w:val="002F5D"/>
        </w:rPr>
      </w:pPr>
      <w:r w:rsidRPr="00330B65">
        <w:rPr>
          <w:rFonts w:ascii="Calibri" w:hAnsi="Calibri" w:cs="Calibri"/>
          <w:color w:val="002F5D"/>
        </w:rPr>
        <w:t>is subject to a placement order (SSDA903 guidance, 2018)</w:t>
      </w:r>
    </w:p>
    <w:p w14:paraId="45F4AF60" w14:textId="77777777" w:rsidR="008D4440" w:rsidRPr="00330B65" w:rsidRDefault="008D4440" w:rsidP="008D4440">
      <w:pPr>
        <w:pStyle w:val="ListParagraph"/>
        <w:rPr>
          <w:rFonts w:ascii="Calibri" w:hAnsi="Calibri" w:cs="Calibri"/>
          <w:b/>
          <w:color w:val="002F5D"/>
        </w:rPr>
      </w:pPr>
    </w:p>
    <w:p w14:paraId="56F8E0F2" w14:textId="76132270" w:rsidR="008D4440"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71CB3810" wp14:editId="31FDD918">
            <wp:extent cx="5583382" cy="2258291"/>
            <wp:effectExtent l="0" t="0" r="17780" b="8890"/>
            <wp:docPr id="481" name="Chart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51E3F15B"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30AF1DE8" w14:textId="77777777" w:rsidR="00782D43" w:rsidRDefault="00782D43" w:rsidP="00330B65">
      <w:pPr>
        <w:spacing w:line="240" w:lineRule="auto"/>
        <w:rPr>
          <w:rFonts w:ascii="Calibri" w:hAnsi="Calibri" w:cs="Calibri"/>
          <w:color w:val="002F5D"/>
        </w:rPr>
      </w:pPr>
    </w:p>
    <w:p w14:paraId="571D242A" w14:textId="074E004A" w:rsidR="002F6B4E"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566DC76F" w14:textId="77777777" w:rsidR="0099729C" w:rsidRPr="00330B65" w:rsidRDefault="0099729C" w:rsidP="00330B65">
      <w:pPr>
        <w:spacing w:line="240" w:lineRule="auto"/>
        <w:rPr>
          <w:rFonts w:ascii="Calibri" w:hAnsi="Calibri" w:cs="Calibri"/>
          <w:color w:val="002F5D"/>
          <w:highlight w:val="yellow"/>
        </w:rPr>
      </w:pPr>
    </w:p>
    <w:p w14:paraId="24DA9369" w14:textId="46FA7B4F"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The rate of looked after children per 10,000 of population has steadily increased in Cambridgeshire over the past three financial years, in line with the average for the East of England and for statistical neighbours.</w:t>
      </w:r>
    </w:p>
    <w:p w14:paraId="12595A4C" w14:textId="5EDF4E80" w:rsidR="00931DDB" w:rsidRDefault="00931DDB" w:rsidP="00330B65">
      <w:pPr>
        <w:pStyle w:val="ListParagraph"/>
        <w:spacing w:line="240" w:lineRule="auto"/>
        <w:ind w:left="0"/>
        <w:rPr>
          <w:rFonts w:ascii="Calibri" w:hAnsi="Calibri" w:cs="Calibri"/>
          <w:color w:val="002F5D"/>
        </w:rPr>
      </w:pPr>
    </w:p>
    <w:p w14:paraId="37D35FD7" w14:textId="610605D3" w:rsidR="00931DDB" w:rsidRPr="00330B65" w:rsidRDefault="00A2366A" w:rsidP="00330B65">
      <w:pPr>
        <w:spacing w:after="160" w:line="240" w:lineRule="auto"/>
        <w:rPr>
          <w:rFonts w:ascii="Calibri" w:hAnsi="Calibri" w:cs="Calibri"/>
          <w:b/>
          <w:color w:val="002F5D"/>
        </w:rPr>
      </w:pPr>
      <w:r>
        <w:rPr>
          <w:rFonts w:ascii="Calibri" w:hAnsi="Calibri" w:cs="Calibri"/>
          <w:b/>
          <w:color w:val="002F5D"/>
        </w:rPr>
        <w:t>Figure 54</w:t>
      </w:r>
      <w:r w:rsidR="00837184">
        <w:rPr>
          <w:rFonts w:ascii="Calibri" w:hAnsi="Calibri" w:cs="Calibri"/>
          <w:b/>
          <w:color w:val="002F5D"/>
        </w:rPr>
        <w:t xml:space="preserve">. </w:t>
      </w:r>
      <w:r w:rsidR="00931DDB" w:rsidRPr="00330B65">
        <w:rPr>
          <w:rFonts w:ascii="Calibri" w:hAnsi="Calibri" w:cs="Calibri"/>
          <w:color w:val="002F5D"/>
        </w:rPr>
        <w:t>Looked After Children per 10,000 of population (aged 0-17), Peterborough</w:t>
      </w:r>
    </w:p>
    <w:p w14:paraId="7055E168" w14:textId="77777777" w:rsidR="008D4440" w:rsidRPr="00330B65" w:rsidRDefault="008D4440" w:rsidP="008D4440">
      <w:pPr>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61D2EFA5" wp14:editId="2145EC42">
            <wp:extent cx="5701030" cy="2202873"/>
            <wp:effectExtent l="0" t="0" r="13970" b="6985"/>
            <wp:docPr id="482" name="Chart 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48911906"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0179DDB7" w14:textId="77777777" w:rsidR="00782D43" w:rsidRDefault="00782D43" w:rsidP="00330B65">
      <w:pPr>
        <w:spacing w:line="240" w:lineRule="auto"/>
        <w:rPr>
          <w:rFonts w:ascii="Calibri" w:hAnsi="Calibri" w:cs="Calibri"/>
          <w:color w:val="002F5D"/>
        </w:rPr>
      </w:pPr>
    </w:p>
    <w:p w14:paraId="6AD6A2F1" w14:textId="2273A047" w:rsidR="00FD323F"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8D88D13" w14:textId="77777777" w:rsidR="0099729C" w:rsidRPr="00330B65" w:rsidRDefault="0099729C" w:rsidP="00330B65">
      <w:pPr>
        <w:spacing w:line="240" w:lineRule="auto"/>
        <w:rPr>
          <w:rFonts w:ascii="Calibri" w:hAnsi="Calibri" w:cs="Calibri"/>
          <w:color w:val="002F5D"/>
          <w:highlight w:val="yellow"/>
        </w:rPr>
      </w:pPr>
    </w:p>
    <w:p w14:paraId="2BEA031F" w14:textId="00025322"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Peterborough the rate has remained fairly stable over the three year period.  Although it is</w:t>
      </w:r>
      <w:r w:rsidR="00746A25">
        <w:rPr>
          <w:rFonts w:ascii="Calibri" w:hAnsi="Calibri" w:cs="Calibri"/>
          <w:color w:val="002F5D"/>
        </w:rPr>
        <w:t xml:space="preserve"> numerically</w:t>
      </w:r>
      <w:r w:rsidRPr="00330B65">
        <w:rPr>
          <w:rFonts w:ascii="Calibri" w:hAnsi="Calibri" w:cs="Calibri"/>
          <w:color w:val="002F5D"/>
        </w:rPr>
        <w:t xml:space="preserve"> higher than the England average and the East of England average, it is lower than the statistical neighbour average.  The gap widened over the three year period.</w:t>
      </w:r>
      <w:r w:rsidRPr="00330B65">
        <w:rPr>
          <w:rFonts w:ascii="Calibri" w:hAnsi="Calibri" w:cs="Calibri"/>
          <w:color w:val="002F5D"/>
        </w:rPr>
        <w:br w:type="page"/>
      </w:r>
    </w:p>
    <w:tbl>
      <w:tblPr>
        <w:tblW w:w="9026" w:type="dxa"/>
        <w:tblLook w:val="04A0" w:firstRow="1" w:lastRow="0" w:firstColumn="1" w:lastColumn="0" w:noHBand="0" w:noVBand="1"/>
      </w:tblPr>
      <w:tblGrid>
        <w:gridCol w:w="4477"/>
        <w:gridCol w:w="1052"/>
        <w:gridCol w:w="1081"/>
        <w:gridCol w:w="2416"/>
      </w:tblGrid>
      <w:tr w:rsidR="00936844" w:rsidRPr="00936844" w14:paraId="0228786D" w14:textId="77777777" w:rsidTr="002816C8">
        <w:trPr>
          <w:trHeight w:val="300"/>
        </w:trPr>
        <w:tc>
          <w:tcPr>
            <w:tcW w:w="9026" w:type="dxa"/>
            <w:gridSpan w:val="4"/>
            <w:tcBorders>
              <w:top w:val="nil"/>
              <w:left w:val="nil"/>
              <w:bottom w:val="single" w:sz="12" w:space="0" w:color="002F5D"/>
              <w:right w:val="nil"/>
            </w:tcBorders>
            <w:shd w:val="clear" w:color="auto" w:fill="auto"/>
            <w:noWrap/>
            <w:vAlign w:val="bottom"/>
            <w:hideMark/>
          </w:tcPr>
          <w:p w14:paraId="5AEF8645" w14:textId="0AC2449A" w:rsidR="008D4440" w:rsidRDefault="00D603A2" w:rsidP="00936844">
            <w:pPr>
              <w:spacing w:line="240" w:lineRule="auto"/>
              <w:rPr>
                <w:rFonts w:ascii="Calibri" w:eastAsia="Times New Roman" w:hAnsi="Calibri" w:cs="Calibri"/>
                <w:b/>
                <w:bCs/>
                <w:color w:val="002F5D"/>
                <w:lang w:eastAsia="en-GB"/>
              </w:rPr>
            </w:pPr>
            <w:r>
              <w:rPr>
                <w:rFonts w:ascii="Calibri" w:eastAsia="Times New Roman" w:hAnsi="Calibri" w:cs="Calibri"/>
                <w:b/>
                <w:bCs/>
                <w:color w:val="002F5D"/>
                <w:lang w:eastAsia="en-GB"/>
              </w:rPr>
              <w:lastRenderedPageBreak/>
              <w:t>T</w:t>
            </w:r>
            <w:r w:rsidR="00B81E4B">
              <w:rPr>
                <w:rFonts w:ascii="Calibri" w:eastAsia="Times New Roman" w:hAnsi="Calibri" w:cs="Calibri"/>
                <w:b/>
                <w:bCs/>
                <w:color w:val="002F5D"/>
                <w:lang w:eastAsia="en-GB"/>
              </w:rPr>
              <w:t>able 87</w:t>
            </w:r>
            <w:r w:rsidR="00837184">
              <w:rPr>
                <w:rFonts w:ascii="Calibri" w:eastAsia="Times New Roman" w:hAnsi="Calibri" w:cs="Calibri"/>
                <w:b/>
                <w:bCs/>
                <w:color w:val="002F5D"/>
                <w:lang w:eastAsia="en-GB"/>
              </w:rPr>
              <w:t>.</w:t>
            </w:r>
            <w:r>
              <w:rPr>
                <w:rFonts w:ascii="Calibri" w:eastAsia="Times New Roman" w:hAnsi="Calibri" w:cs="Calibri"/>
                <w:b/>
                <w:bCs/>
                <w:color w:val="002F5D"/>
                <w:lang w:eastAsia="en-GB"/>
              </w:rPr>
              <w:t xml:space="preserve"> </w:t>
            </w:r>
            <w:r w:rsidR="008D4440" w:rsidRPr="00330B65">
              <w:rPr>
                <w:rFonts w:ascii="Calibri" w:eastAsia="Times New Roman" w:hAnsi="Calibri" w:cs="Calibri"/>
                <w:bCs/>
                <w:color w:val="002F5D"/>
                <w:lang w:eastAsia="en-GB"/>
              </w:rPr>
              <w:t>Number of Looked After Children 2017/18</w:t>
            </w:r>
          </w:p>
          <w:p w14:paraId="4B8681A5" w14:textId="1056545F" w:rsidR="00837184" w:rsidRPr="00330B65" w:rsidRDefault="00837184" w:rsidP="00936844">
            <w:pPr>
              <w:spacing w:line="240" w:lineRule="auto"/>
              <w:rPr>
                <w:rFonts w:ascii="Calibri" w:eastAsia="Times New Roman" w:hAnsi="Calibri" w:cs="Calibri"/>
                <w:b/>
                <w:bCs/>
                <w:color w:val="002F5D"/>
                <w:lang w:eastAsia="en-GB"/>
              </w:rPr>
            </w:pPr>
          </w:p>
        </w:tc>
      </w:tr>
      <w:tr w:rsidR="00931DDB" w:rsidRPr="00931DDB" w14:paraId="16BEE30E" w14:textId="77777777" w:rsidTr="002816C8">
        <w:trPr>
          <w:trHeight w:val="315"/>
        </w:trPr>
        <w:tc>
          <w:tcPr>
            <w:tcW w:w="4477" w:type="dxa"/>
            <w:tcBorders>
              <w:top w:val="single" w:sz="12" w:space="0" w:color="002F5D"/>
              <w:left w:val="single" w:sz="12" w:space="0" w:color="002F5D"/>
              <w:right w:val="single" w:sz="4" w:space="0" w:color="FFFFFF" w:themeColor="background1"/>
            </w:tcBorders>
            <w:shd w:val="clear" w:color="000000" w:fill="1F4E78"/>
            <w:noWrap/>
            <w:vAlign w:val="bottom"/>
            <w:hideMark/>
          </w:tcPr>
          <w:p w14:paraId="65A0AD23"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1052" w:type="dxa"/>
            <w:tcBorders>
              <w:top w:val="single" w:sz="12" w:space="0" w:color="002F5D"/>
              <w:left w:val="single" w:sz="4" w:space="0" w:color="FFFFFF" w:themeColor="background1"/>
              <w:right w:val="single" w:sz="4" w:space="0" w:color="FFFFFF" w:themeColor="background1"/>
            </w:tcBorders>
            <w:shd w:val="clear" w:color="000000" w:fill="1F4E78"/>
            <w:noWrap/>
            <w:vAlign w:val="bottom"/>
            <w:hideMark/>
          </w:tcPr>
          <w:p w14:paraId="601EF2C1"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w:t>
            </w:r>
          </w:p>
        </w:tc>
        <w:tc>
          <w:tcPr>
            <w:tcW w:w="1081" w:type="dxa"/>
            <w:tcBorders>
              <w:top w:val="single" w:sz="12" w:space="0" w:color="002F5D"/>
              <w:left w:val="single" w:sz="4" w:space="0" w:color="FFFFFF" w:themeColor="background1"/>
              <w:right w:val="single" w:sz="4" w:space="0" w:color="FFFFFF" w:themeColor="background1"/>
            </w:tcBorders>
            <w:shd w:val="clear" w:color="000000" w:fill="1F4E78"/>
            <w:noWrap/>
            <w:vAlign w:val="bottom"/>
            <w:hideMark/>
          </w:tcPr>
          <w:p w14:paraId="1E53BB32" w14:textId="30F997B1"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C65B87">
              <w:rPr>
                <w:rFonts w:ascii="Calibri" w:eastAsia="Times New Roman" w:hAnsi="Calibri" w:cs="Calibri"/>
                <w:color w:val="FFFFFF" w:themeColor="background1"/>
                <w:lang w:eastAsia="en-GB"/>
              </w:rPr>
              <w:t>*</w:t>
            </w:r>
          </w:p>
        </w:tc>
        <w:tc>
          <w:tcPr>
            <w:tcW w:w="2416" w:type="dxa"/>
            <w:tcBorders>
              <w:top w:val="single" w:sz="12" w:space="0" w:color="002F5D"/>
              <w:left w:val="single" w:sz="4" w:space="0" w:color="FFFFFF" w:themeColor="background1"/>
              <w:right w:val="single" w:sz="12" w:space="0" w:color="002F5D"/>
            </w:tcBorders>
            <w:shd w:val="clear" w:color="000000" w:fill="1F4E78"/>
            <w:noWrap/>
            <w:vAlign w:val="bottom"/>
            <w:hideMark/>
          </w:tcPr>
          <w:p w14:paraId="0D4121EB"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Rate per 10,000 of pop.</w:t>
            </w:r>
          </w:p>
        </w:tc>
      </w:tr>
      <w:tr w:rsidR="00936844" w:rsidRPr="00936844" w14:paraId="33493AE3" w14:textId="77777777" w:rsidTr="002816C8">
        <w:trPr>
          <w:trHeight w:val="315"/>
        </w:trPr>
        <w:tc>
          <w:tcPr>
            <w:tcW w:w="4477" w:type="dxa"/>
            <w:tcBorders>
              <w:left w:val="single" w:sz="12" w:space="0" w:color="002F5D"/>
              <w:bottom w:val="nil"/>
              <w:right w:val="single" w:sz="6" w:space="0" w:color="002F5D"/>
            </w:tcBorders>
            <w:shd w:val="clear" w:color="auto" w:fill="auto"/>
            <w:noWrap/>
            <w:vAlign w:val="bottom"/>
            <w:hideMark/>
          </w:tcPr>
          <w:p w14:paraId="341949C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1052" w:type="dxa"/>
            <w:tcBorders>
              <w:left w:val="single" w:sz="6" w:space="0" w:color="002F5D"/>
              <w:bottom w:val="nil"/>
              <w:right w:val="single" w:sz="6" w:space="0" w:color="002F5D"/>
            </w:tcBorders>
            <w:shd w:val="clear" w:color="auto" w:fill="auto"/>
            <w:noWrap/>
            <w:vAlign w:val="bottom"/>
            <w:hideMark/>
          </w:tcPr>
          <w:p w14:paraId="4930524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139</w:t>
            </w:r>
          </w:p>
        </w:tc>
        <w:tc>
          <w:tcPr>
            <w:tcW w:w="1081" w:type="dxa"/>
            <w:tcBorders>
              <w:left w:val="single" w:sz="6" w:space="0" w:color="002F5D"/>
              <w:bottom w:val="nil"/>
              <w:right w:val="single" w:sz="6" w:space="0" w:color="002F5D"/>
            </w:tcBorders>
            <w:shd w:val="clear" w:color="auto" w:fill="auto"/>
            <w:noWrap/>
            <w:vAlign w:val="bottom"/>
            <w:hideMark/>
          </w:tcPr>
          <w:p w14:paraId="5DD03DD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w:t>
            </w:r>
          </w:p>
        </w:tc>
        <w:tc>
          <w:tcPr>
            <w:tcW w:w="2416" w:type="dxa"/>
            <w:tcBorders>
              <w:left w:val="single" w:sz="6" w:space="0" w:color="002F5D"/>
              <w:bottom w:val="nil"/>
              <w:right w:val="single" w:sz="12" w:space="0" w:color="002F5D"/>
            </w:tcBorders>
            <w:shd w:val="clear" w:color="auto" w:fill="auto"/>
            <w:noWrap/>
            <w:vAlign w:val="bottom"/>
            <w:hideMark/>
          </w:tcPr>
          <w:p w14:paraId="18E20E3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60.2</w:t>
            </w:r>
          </w:p>
        </w:tc>
      </w:tr>
      <w:tr w:rsidR="00936844" w:rsidRPr="00936844" w14:paraId="62051D72" w14:textId="77777777" w:rsidTr="002816C8">
        <w:trPr>
          <w:trHeight w:val="315"/>
        </w:trPr>
        <w:tc>
          <w:tcPr>
            <w:tcW w:w="4477" w:type="dxa"/>
            <w:tcBorders>
              <w:top w:val="nil"/>
              <w:left w:val="single" w:sz="12" w:space="0" w:color="002F5D"/>
              <w:bottom w:val="nil"/>
              <w:right w:val="single" w:sz="6" w:space="0" w:color="002F5D"/>
            </w:tcBorders>
            <w:shd w:val="clear" w:color="auto" w:fill="auto"/>
            <w:noWrap/>
            <w:vAlign w:val="bottom"/>
            <w:hideMark/>
          </w:tcPr>
          <w:p w14:paraId="1B64F28E"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1052" w:type="dxa"/>
            <w:tcBorders>
              <w:top w:val="nil"/>
              <w:left w:val="single" w:sz="6" w:space="0" w:color="002F5D"/>
              <w:bottom w:val="nil"/>
              <w:right w:val="single" w:sz="6" w:space="0" w:color="002F5D"/>
            </w:tcBorders>
            <w:shd w:val="clear" w:color="auto" w:fill="auto"/>
            <w:noWrap/>
            <w:vAlign w:val="bottom"/>
            <w:hideMark/>
          </w:tcPr>
          <w:p w14:paraId="0AB9EE2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60</w:t>
            </w:r>
          </w:p>
        </w:tc>
        <w:tc>
          <w:tcPr>
            <w:tcW w:w="1081" w:type="dxa"/>
            <w:tcBorders>
              <w:top w:val="nil"/>
              <w:left w:val="single" w:sz="6" w:space="0" w:color="002F5D"/>
              <w:bottom w:val="nil"/>
              <w:right w:val="single" w:sz="6" w:space="0" w:color="002F5D"/>
            </w:tcBorders>
            <w:shd w:val="clear" w:color="auto" w:fill="auto"/>
            <w:noWrap/>
            <w:vAlign w:val="bottom"/>
            <w:hideMark/>
          </w:tcPr>
          <w:p w14:paraId="19F138D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w:t>
            </w:r>
          </w:p>
        </w:tc>
        <w:tc>
          <w:tcPr>
            <w:tcW w:w="2416" w:type="dxa"/>
            <w:tcBorders>
              <w:top w:val="nil"/>
              <w:left w:val="single" w:sz="6" w:space="0" w:color="002F5D"/>
              <w:bottom w:val="nil"/>
              <w:right w:val="single" w:sz="12" w:space="0" w:color="002F5D"/>
            </w:tcBorders>
            <w:shd w:val="clear" w:color="auto" w:fill="auto"/>
            <w:noWrap/>
            <w:vAlign w:val="bottom"/>
            <w:hideMark/>
          </w:tcPr>
          <w:p w14:paraId="561E433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30.6</w:t>
            </w:r>
          </w:p>
        </w:tc>
      </w:tr>
      <w:tr w:rsidR="00936844" w:rsidRPr="00936844" w14:paraId="0AF85AEB" w14:textId="77777777" w:rsidTr="002816C8">
        <w:trPr>
          <w:trHeight w:val="315"/>
        </w:trPr>
        <w:tc>
          <w:tcPr>
            <w:tcW w:w="4477" w:type="dxa"/>
            <w:tcBorders>
              <w:top w:val="nil"/>
              <w:left w:val="single" w:sz="12" w:space="0" w:color="002F5D"/>
              <w:bottom w:val="nil"/>
              <w:right w:val="single" w:sz="6" w:space="0" w:color="002F5D"/>
            </w:tcBorders>
            <w:shd w:val="clear" w:color="auto" w:fill="auto"/>
            <w:noWrap/>
            <w:vAlign w:val="bottom"/>
            <w:hideMark/>
          </w:tcPr>
          <w:p w14:paraId="79478C6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1052" w:type="dxa"/>
            <w:tcBorders>
              <w:top w:val="nil"/>
              <w:left w:val="single" w:sz="6" w:space="0" w:color="002F5D"/>
              <w:bottom w:val="nil"/>
              <w:right w:val="single" w:sz="6" w:space="0" w:color="002F5D"/>
            </w:tcBorders>
            <w:shd w:val="clear" w:color="auto" w:fill="auto"/>
            <w:noWrap/>
            <w:vAlign w:val="bottom"/>
            <w:hideMark/>
          </w:tcPr>
          <w:p w14:paraId="48E2647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163</w:t>
            </w:r>
          </w:p>
        </w:tc>
        <w:tc>
          <w:tcPr>
            <w:tcW w:w="1081" w:type="dxa"/>
            <w:tcBorders>
              <w:top w:val="nil"/>
              <w:left w:val="single" w:sz="6" w:space="0" w:color="002F5D"/>
              <w:bottom w:val="nil"/>
              <w:right w:val="single" w:sz="6" w:space="0" w:color="002F5D"/>
            </w:tcBorders>
            <w:shd w:val="clear" w:color="auto" w:fill="auto"/>
            <w:noWrap/>
            <w:vAlign w:val="bottom"/>
            <w:hideMark/>
          </w:tcPr>
          <w:p w14:paraId="3036399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23%</w:t>
            </w:r>
          </w:p>
        </w:tc>
        <w:tc>
          <w:tcPr>
            <w:tcW w:w="2416" w:type="dxa"/>
            <w:tcBorders>
              <w:top w:val="nil"/>
              <w:left w:val="single" w:sz="6" w:space="0" w:color="002F5D"/>
              <w:bottom w:val="nil"/>
              <w:right w:val="single" w:sz="12" w:space="0" w:color="002F5D"/>
            </w:tcBorders>
            <w:shd w:val="clear" w:color="auto" w:fill="auto"/>
            <w:noWrap/>
            <w:vAlign w:val="bottom"/>
            <w:hideMark/>
          </w:tcPr>
          <w:p w14:paraId="2B4B834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81.1</w:t>
            </w:r>
          </w:p>
        </w:tc>
      </w:tr>
      <w:tr w:rsidR="00936844" w:rsidRPr="00936844" w14:paraId="1141971E" w14:textId="77777777" w:rsidTr="002816C8">
        <w:trPr>
          <w:trHeight w:val="315"/>
        </w:trPr>
        <w:tc>
          <w:tcPr>
            <w:tcW w:w="4477" w:type="dxa"/>
            <w:tcBorders>
              <w:top w:val="nil"/>
              <w:left w:val="single" w:sz="12" w:space="0" w:color="002F5D"/>
              <w:bottom w:val="nil"/>
              <w:right w:val="single" w:sz="6" w:space="0" w:color="002F5D"/>
            </w:tcBorders>
            <w:shd w:val="clear" w:color="auto" w:fill="auto"/>
            <w:noWrap/>
            <w:vAlign w:val="bottom"/>
            <w:hideMark/>
          </w:tcPr>
          <w:p w14:paraId="74C4A33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1052" w:type="dxa"/>
            <w:tcBorders>
              <w:top w:val="nil"/>
              <w:left w:val="single" w:sz="6" w:space="0" w:color="002F5D"/>
              <w:bottom w:val="nil"/>
              <w:right w:val="single" w:sz="6" w:space="0" w:color="002F5D"/>
            </w:tcBorders>
            <w:shd w:val="clear" w:color="auto" w:fill="auto"/>
            <w:noWrap/>
            <w:vAlign w:val="bottom"/>
            <w:hideMark/>
          </w:tcPr>
          <w:p w14:paraId="36B6578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165</w:t>
            </w:r>
          </w:p>
        </w:tc>
        <w:tc>
          <w:tcPr>
            <w:tcW w:w="1081" w:type="dxa"/>
            <w:tcBorders>
              <w:top w:val="nil"/>
              <w:left w:val="single" w:sz="6" w:space="0" w:color="002F5D"/>
              <w:bottom w:val="nil"/>
              <w:right w:val="single" w:sz="6" w:space="0" w:color="002F5D"/>
            </w:tcBorders>
            <w:shd w:val="clear" w:color="auto" w:fill="auto"/>
            <w:noWrap/>
            <w:vAlign w:val="bottom"/>
            <w:hideMark/>
          </w:tcPr>
          <w:p w14:paraId="0C48110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23%</w:t>
            </w:r>
          </w:p>
        </w:tc>
        <w:tc>
          <w:tcPr>
            <w:tcW w:w="2416" w:type="dxa"/>
            <w:tcBorders>
              <w:top w:val="nil"/>
              <w:left w:val="single" w:sz="6" w:space="0" w:color="002F5D"/>
              <w:bottom w:val="nil"/>
              <w:right w:val="single" w:sz="12" w:space="0" w:color="002F5D"/>
            </w:tcBorders>
            <w:shd w:val="clear" w:color="auto" w:fill="auto"/>
            <w:noWrap/>
            <w:vAlign w:val="bottom"/>
            <w:hideMark/>
          </w:tcPr>
          <w:p w14:paraId="43C254F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45.1</w:t>
            </w:r>
          </w:p>
        </w:tc>
      </w:tr>
      <w:tr w:rsidR="00936844" w:rsidRPr="00936844" w14:paraId="535D540A" w14:textId="77777777" w:rsidTr="002816C8">
        <w:trPr>
          <w:trHeight w:val="315"/>
        </w:trPr>
        <w:tc>
          <w:tcPr>
            <w:tcW w:w="4477" w:type="dxa"/>
            <w:tcBorders>
              <w:top w:val="nil"/>
              <w:left w:val="single" w:sz="12" w:space="0" w:color="002F5D"/>
              <w:bottom w:val="nil"/>
              <w:right w:val="single" w:sz="6" w:space="0" w:color="002F5D"/>
            </w:tcBorders>
            <w:shd w:val="clear" w:color="auto" w:fill="auto"/>
            <w:noWrap/>
            <w:vAlign w:val="bottom"/>
            <w:hideMark/>
          </w:tcPr>
          <w:p w14:paraId="1C4F0D2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1052" w:type="dxa"/>
            <w:tcBorders>
              <w:top w:val="nil"/>
              <w:left w:val="single" w:sz="6" w:space="0" w:color="002F5D"/>
              <w:bottom w:val="nil"/>
              <w:right w:val="single" w:sz="6" w:space="0" w:color="002F5D"/>
            </w:tcBorders>
            <w:shd w:val="clear" w:color="auto" w:fill="auto"/>
            <w:noWrap/>
            <w:vAlign w:val="bottom"/>
            <w:hideMark/>
          </w:tcPr>
          <w:p w14:paraId="1FB84DF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98</w:t>
            </w:r>
          </w:p>
        </w:tc>
        <w:tc>
          <w:tcPr>
            <w:tcW w:w="1081" w:type="dxa"/>
            <w:tcBorders>
              <w:top w:val="nil"/>
              <w:left w:val="single" w:sz="6" w:space="0" w:color="002F5D"/>
              <w:bottom w:val="nil"/>
              <w:right w:val="single" w:sz="6" w:space="0" w:color="002F5D"/>
            </w:tcBorders>
            <w:shd w:val="clear" w:color="auto" w:fill="auto"/>
            <w:noWrap/>
            <w:vAlign w:val="bottom"/>
            <w:hideMark/>
          </w:tcPr>
          <w:p w14:paraId="7C92AF9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w:t>
            </w:r>
          </w:p>
        </w:tc>
        <w:tc>
          <w:tcPr>
            <w:tcW w:w="2416" w:type="dxa"/>
            <w:tcBorders>
              <w:top w:val="nil"/>
              <w:left w:val="single" w:sz="6" w:space="0" w:color="002F5D"/>
              <w:bottom w:val="nil"/>
              <w:right w:val="single" w:sz="12" w:space="0" w:color="002F5D"/>
            </w:tcBorders>
            <w:shd w:val="clear" w:color="auto" w:fill="auto"/>
            <w:noWrap/>
            <w:vAlign w:val="bottom"/>
            <w:hideMark/>
          </w:tcPr>
          <w:p w14:paraId="22668DD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27.9</w:t>
            </w:r>
          </w:p>
        </w:tc>
      </w:tr>
      <w:tr w:rsidR="00936844" w:rsidRPr="00936844" w14:paraId="489BBA08" w14:textId="77777777" w:rsidTr="002816C8">
        <w:trPr>
          <w:trHeight w:val="315"/>
        </w:trPr>
        <w:tc>
          <w:tcPr>
            <w:tcW w:w="4477" w:type="dxa"/>
            <w:tcBorders>
              <w:top w:val="nil"/>
              <w:left w:val="single" w:sz="12" w:space="0" w:color="002F5D"/>
              <w:bottom w:val="single" w:sz="6" w:space="0" w:color="002F5D"/>
              <w:right w:val="single" w:sz="6" w:space="0" w:color="002F5D"/>
            </w:tcBorders>
            <w:shd w:val="clear" w:color="auto" w:fill="auto"/>
            <w:noWrap/>
            <w:vAlign w:val="bottom"/>
            <w:hideMark/>
          </w:tcPr>
          <w:p w14:paraId="3E6DEE0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1052" w:type="dxa"/>
            <w:tcBorders>
              <w:top w:val="nil"/>
              <w:left w:val="single" w:sz="6" w:space="0" w:color="002F5D"/>
              <w:bottom w:val="single" w:sz="6" w:space="0" w:color="002F5D"/>
              <w:right w:val="single" w:sz="6" w:space="0" w:color="002F5D"/>
            </w:tcBorders>
            <w:shd w:val="clear" w:color="auto" w:fill="auto"/>
            <w:noWrap/>
            <w:vAlign w:val="bottom"/>
            <w:hideMark/>
          </w:tcPr>
          <w:p w14:paraId="1A51800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81</w:t>
            </w:r>
          </w:p>
        </w:tc>
        <w:tc>
          <w:tcPr>
            <w:tcW w:w="1081" w:type="dxa"/>
            <w:tcBorders>
              <w:top w:val="nil"/>
              <w:left w:val="single" w:sz="6" w:space="0" w:color="002F5D"/>
              <w:bottom w:val="single" w:sz="6" w:space="0" w:color="002F5D"/>
              <w:right w:val="single" w:sz="6" w:space="0" w:color="002F5D"/>
            </w:tcBorders>
            <w:shd w:val="clear" w:color="auto" w:fill="auto"/>
            <w:noWrap/>
            <w:vAlign w:val="bottom"/>
            <w:hideMark/>
          </w:tcPr>
          <w:p w14:paraId="43AA2FB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w:t>
            </w:r>
          </w:p>
        </w:tc>
        <w:tc>
          <w:tcPr>
            <w:tcW w:w="2416" w:type="dxa"/>
            <w:tcBorders>
              <w:top w:val="nil"/>
              <w:left w:val="single" w:sz="6" w:space="0" w:color="002F5D"/>
              <w:bottom w:val="single" w:sz="6" w:space="0" w:color="002F5D"/>
              <w:right w:val="single" w:sz="12" w:space="0" w:color="002F5D"/>
            </w:tcBorders>
            <w:shd w:val="clear" w:color="auto" w:fill="auto"/>
            <w:noWrap/>
            <w:vAlign w:val="bottom"/>
            <w:hideMark/>
          </w:tcPr>
          <w:p w14:paraId="72F553C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936844" w:rsidRPr="00936844" w14:paraId="69F5D5D2" w14:textId="77777777" w:rsidTr="002816C8">
        <w:trPr>
          <w:trHeight w:val="315"/>
        </w:trPr>
        <w:tc>
          <w:tcPr>
            <w:tcW w:w="4477" w:type="dxa"/>
            <w:tcBorders>
              <w:top w:val="single" w:sz="6" w:space="0" w:color="002F5D"/>
              <w:left w:val="single" w:sz="12" w:space="0" w:color="002F5D"/>
              <w:bottom w:val="single" w:sz="6" w:space="0" w:color="002F5D"/>
              <w:right w:val="single" w:sz="6" w:space="0" w:color="002F5D"/>
            </w:tcBorders>
            <w:shd w:val="clear" w:color="auto" w:fill="auto"/>
            <w:noWrap/>
            <w:vAlign w:val="bottom"/>
            <w:hideMark/>
          </w:tcPr>
          <w:p w14:paraId="193C9C5A"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w:t>
            </w:r>
          </w:p>
        </w:tc>
        <w:tc>
          <w:tcPr>
            <w:tcW w:w="1052" w:type="dxa"/>
            <w:tcBorders>
              <w:top w:val="single" w:sz="6" w:space="0" w:color="002F5D"/>
              <w:left w:val="single" w:sz="6" w:space="0" w:color="002F5D"/>
              <w:bottom w:val="single" w:sz="6" w:space="0" w:color="002F5D"/>
              <w:right w:val="single" w:sz="6" w:space="0" w:color="002F5D"/>
            </w:tcBorders>
            <w:shd w:val="clear" w:color="auto" w:fill="auto"/>
            <w:noWrap/>
            <w:vAlign w:val="bottom"/>
            <w:hideMark/>
          </w:tcPr>
          <w:p w14:paraId="4546DB32"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706</w:t>
            </w:r>
          </w:p>
        </w:tc>
        <w:tc>
          <w:tcPr>
            <w:tcW w:w="1081" w:type="dxa"/>
            <w:tcBorders>
              <w:top w:val="single" w:sz="6" w:space="0" w:color="002F5D"/>
              <w:left w:val="single" w:sz="6" w:space="0" w:color="002F5D"/>
              <w:bottom w:val="single" w:sz="6" w:space="0" w:color="002F5D"/>
              <w:right w:val="single" w:sz="6" w:space="0" w:color="002F5D"/>
            </w:tcBorders>
            <w:shd w:val="clear" w:color="auto" w:fill="auto"/>
            <w:noWrap/>
            <w:vAlign w:val="bottom"/>
            <w:hideMark/>
          </w:tcPr>
          <w:p w14:paraId="4A53F756" w14:textId="399F39D6" w:rsidR="008D4440" w:rsidRPr="00330B65" w:rsidRDefault="002816C8" w:rsidP="00936844">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6</w:t>
            </w:r>
            <w:r w:rsidR="008D4440" w:rsidRPr="00330B65">
              <w:rPr>
                <w:rFonts w:ascii="Calibri" w:eastAsia="Times New Roman" w:hAnsi="Calibri" w:cs="Calibri"/>
                <w:b/>
                <w:bCs/>
                <w:color w:val="002F5D"/>
                <w:lang w:eastAsia="en-GB"/>
              </w:rPr>
              <w:t>6%</w:t>
            </w:r>
          </w:p>
        </w:tc>
        <w:tc>
          <w:tcPr>
            <w:tcW w:w="2416" w:type="dxa"/>
            <w:tcBorders>
              <w:top w:val="single" w:sz="6" w:space="0" w:color="002F5D"/>
              <w:left w:val="single" w:sz="6" w:space="0" w:color="002F5D"/>
              <w:bottom w:val="single" w:sz="6" w:space="0" w:color="002F5D"/>
              <w:right w:val="single" w:sz="12" w:space="0" w:color="002F5D"/>
            </w:tcBorders>
            <w:shd w:val="clear" w:color="auto" w:fill="auto"/>
            <w:noWrap/>
            <w:vAlign w:val="bottom"/>
            <w:hideMark/>
          </w:tcPr>
          <w:p w14:paraId="124486D8"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52.5</w:t>
            </w:r>
          </w:p>
        </w:tc>
      </w:tr>
      <w:tr w:rsidR="00936844" w:rsidRPr="00936844" w14:paraId="6BF4B0B9" w14:textId="77777777" w:rsidTr="002816C8">
        <w:trPr>
          <w:trHeight w:val="315"/>
        </w:trPr>
        <w:tc>
          <w:tcPr>
            <w:tcW w:w="4477" w:type="dxa"/>
            <w:tcBorders>
              <w:top w:val="single" w:sz="6" w:space="0" w:color="002F5D"/>
              <w:left w:val="single" w:sz="12" w:space="0" w:color="002F5D"/>
              <w:bottom w:val="single" w:sz="6" w:space="0" w:color="002F5D"/>
              <w:right w:val="single" w:sz="6" w:space="0" w:color="002F5D"/>
            </w:tcBorders>
            <w:shd w:val="clear" w:color="auto" w:fill="auto"/>
            <w:noWrap/>
            <w:vAlign w:val="bottom"/>
            <w:hideMark/>
          </w:tcPr>
          <w:p w14:paraId="1718D2D3"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Peterborough</w:t>
            </w:r>
          </w:p>
        </w:tc>
        <w:tc>
          <w:tcPr>
            <w:tcW w:w="1052" w:type="dxa"/>
            <w:tcBorders>
              <w:top w:val="single" w:sz="6" w:space="0" w:color="002F5D"/>
              <w:left w:val="single" w:sz="6" w:space="0" w:color="002F5D"/>
              <w:bottom w:val="single" w:sz="6" w:space="0" w:color="002F5D"/>
              <w:right w:val="single" w:sz="6" w:space="0" w:color="002F5D"/>
            </w:tcBorders>
            <w:shd w:val="clear" w:color="auto" w:fill="auto"/>
            <w:noWrap/>
            <w:vAlign w:val="bottom"/>
            <w:hideMark/>
          </w:tcPr>
          <w:p w14:paraId="2E5CB3F5" w14:textId="07C0A358" w:rsidR="008D4440" w:rsidRPr="00330B65" w:rsidRDefault="002816C8" w:rsidP="002816C8">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370</w:t>
            </w:r>
          </w:p>
        </w:tc>
        <w:tc>
          <w:tcPr>
            <w:tcW w:w="1081" w:type="dxa"/>
            <w:tcBorders>
              <w:top w:val="single" w:sz="6" w:space="0" w:color="002F5D"/>
              <w:left w:val="single" w:sz="6" w:space="0" w:color="002F5D"/>
              <w:bottom w:val="single" w:sz="6" w:space="0" w:color="002F5D"/>
              <w:right w:val="single" w:sz="6" w:space="0" w:color="002F5D"/>
            </w:tcBorders>
            <w:shd w:val="clear" w:color="auto" w:fill="auto"/>
            <w:noWrap/>
            <w:vAlign w:val="bottom"/>
            <w:hideMark/>
          </w:tcPr>
          <w:p w14:paraId="35708689" w14:textId="779D43BA" w:rsidR="008D4440" w:rsidRPr="00330B65" w:rsidRDefault="002816C8" w:rsidP="002816C8">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3</w:t>
            </w:r>
            <w:r w:rsidR="008D4440" w:rsidRPr="00330B65">
              <w:rPr>
                <w:rFonts w:ascii="Calibri" w:eastAsia="Times New Roman" w:hAnsi="Calibri" w:cs="Calibri"/>
                <w:b/>
                <w:bCs/>
                <w:color w:val="002F5D"/>
                <w:lang w:eastAsia="en-GB"/>
              </w:rPr>
              <w:t>4%</w:t>
            </w:r>
          </w:p>
        </w:tc>
        <w:tc>
          <w:tcPr>
            <w:tcW w:w="2416" w:type="dxa"/>
            <w:tcBorders>
              <w:top w:val="single" w:sz="6" w:space="0" w:color="002F5D"/>
              <w:left w:val="single" w:sz="6" w:space="0" w:color="002F5D"/>
              <w:bottom w:val="single" w:sz="6" w:space="0" w:color="002F5D"/>
              <w:right w:val="single" w:sz="12" w:space="0" w:color="002F5D"/>
            </w:tcBorders>
            <w:shd w:val="clear" w:color="auto" w:fill="auto"/>
            <w:noWrap/>
            <w:vAlign w:val="bottom"/>
            <w:hideMark/>
          </w:tcPr>
          <w:p w14:paraId="38E60904" w14:textId="390556F9" w:rsidR="008D4440" w:rsidRPr="00330B65" w:rsidRDefault="002816C8" w:rsidP="002816C8">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74</w:t>
            </w:r>
            <w:r w:rsidR="008D4440" w:rsidRPr="00330B65">
              <w:rPr>
                <w:rFonts w:ascii="Calibri" w:eastAsia="Times New Roman" w:hAnsi="Calibri" w:cs="Calibri"/>
                <w:b/>
                <w:bCs/>
                <w:color w:val="002F5D"/>
                <w:lang w:eastAsia="en-GB"/>
              </w:rPr>
              <w:t>.6</w:t>
            </w:r>
          </w:p>
        </w:tc>
      </w:tr>
      <w:tr w:rsidR="00936844" w:rsidRPr="00936844" w14:paraId="472F9117" w14:textId="77777777" w:rsidTr="002816C8">
        <w:trPr>
          <w:trHeight w:val="315"/>
        </w:trPr>
        <w:tc>
          <w:tcPr>
            <w:tcW w:w="4477" w:type="dxa"/>
            <w:tcBorders>
              <w:top w:val="single" w:sz="6" w:space="0" w:color="002F5D"/>
              <w:left w:val="single" w:sz="12" w:space="0" w:color="002F5D"/>
              <w:bottom w:val="single" w:sz="12" w:space="0" w:color="002F5D"/>
              <w:right w:val="single" w:sz="6" w:space="0" w:color="002F5D"/>
            </w:tcBorders>
            <w:shd w:val="clear" w:color="auto" w:fill="auto"/>
            <w:noWrap/>
            <w:vAlign w:val="bottom"/>
            <w:hideMark/>
          </w:tcPr>
          <w:p w14:paraId="252C93FB"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1052" w:type="dxa"/>
            <w:tcBorders>
              <w:top w:val="single" w:sz="6" w:space="0" w:color="002F5D"/>
              <w:left w:val="single" w:sz="6" w:space="0" w:color="002F5D"/>
              <w:bottom w:val="single" w:sz="12" w:space="0" w:color="002F5D"/>
              <w:right w:val="single" w:sz="6" w:space="0" w:color="002F5D"/>
            </w:tcBorders>
            <w:shd w:val="clear" w:color="auto" w:fill="auto"/>
            <w:noWrap/>
            <w:vAlign w:val="bottom"/>
            <w:hideMark/>
          </w:tcPr>
          <w:p w14:paraId="3A35D7E1" w14:textId="1B19D3F9" w:rsidR="008D4440" w:rsidRPr="00330B65" w:rsidRDefault="002816C8" w:rsidP="002816C8">
            <w:pPr>
              <w:spacing w:line="240" w:lineRule="auto"/>
              <w:jc w:val="right"/>
              <w:rPr>
                <w:rFonts w:ascii="Calibri" w:eastAsia="Times New Roman" w:hAnsi="Calibri" w:cs="Calibri"/>
                <w:b/>
                <w:bCs/>
                <w:color w:val="002F5D"/>
                <w:lang w:eastAsia="en-GB"/>
              </w:rPr>
            </w:pPr>
            <w:r>
              <w:rPr>
                <w:rFonts w:ascii="Calibri" w:eastAsia="Times New Roman" w:hAnsi="Calibri" w:cs="Calibri"/>
                <w:b/>
                <w:bCs/>
                <w:color w:val="002F5D"/>
                <w:lang w:eastAsia="en-GB"/>
              </w:rPr>
              <w:t>1,076</w:t>
            </w:r>
          </w:p>
        </w:tc>
        <w:tc>
          <w:tcPr>
            <w:tcW w:w="1081" w:type="dxa"/>
            <w:tcBorders>
              <w:top w:val="single" w:sz="6" w:space="0" w:color="002F5D"/>
              <w:left w:val="single" w:sz="6" w:space="0" w:color="002F5D"/>
              <w:bottom w:val="single" w:sz="12" w:space="0" w:color="002F5D"/>
              <w:right w:val="single" w:sz="6" w:space="0" w:color="002F5D"/>
            </w:tcBorders>
            <w:shd w:val="clear" w:color="auto" w:fill="auto"/>
            <w:noWrap/>
            <w:vAlign w:val="bottom"/>
            <w:hideMark/>
          </w:tcPr>
          <w:p w14:paraId="3EA7A875" w14:textId="77777777" w:rsidR="008D4440" w:rsidRPr="00330B65" w:rsidRDefault="008D4440" w:rsidP="00936844">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 </w:t>
            </w:r>
          </w:p>
        </w:tc>
        <w:tc>
          <w:tcPr>
            <w:tcW w:w="2416" w:type="dxa"/>
            <w:tcBorders>
              <w:top w:val="single" w:sz="6" w:space="0" w:color="002F5D"/>
              <w:left w:val="single" w:sz="6" w:space="0" w:color="002F5D"/>
              <w:bottom w:val="single" w:sz="12" w:space="0" w:color="002F5D"/>
              <w:right w:val="single" w:sz="12" w:space="0" w:color="002F5D"/>
            </w:tcBorders>
            <w:shd w:val="clear" w:color="auto" w:fill="auto"/>
            <w:noWrap/>
            <w:vAlign w:val="bottom"/>
            <w:hideMark/>
          </w:tcPr>
          <w:p w14:paraId="40F6628D" w14:textId="1B4398DE" w:rsidR="008D4440" w:rsidRPr="00330B65" w:rsidRDefault="008D4440" w:rsidP="002816C8">
            <w:pPr>
              <w:spacing w:line="240" w:lineRule="auto"/>
              <w:jc w:val="right"/>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5</w:t>
            </w:r>
            <w:r w:rsidR="002816C8">
              <w:rPr>
                <w:rFonts w:ascii="Calibri" w:eastAsia="Times New Roman" w:hAnsi="Calibri" w:cs="Calibri"/>
                <w:b/>
                <w:bCs/>
                <w:color w:val="002F5D"/>
                <w:lang w:eastAsia="en-GB"/>
              </w:rPr>
              <w:t>8.3</w:t>
            </w:r>
          </w:p>
        </w:tc>
      </w:tr>
    </w:tbl>
    <w:p w14:paraId="22174D23" w14:textId="77777777" w:rsidR="00C65B87" w:rsidRDefault="00C65B87" w:rsidP="00330B65">
      <w:pPr>
        <w:spacing w:line="240" w:lineRule="auto"/>
        <w:rPr>
          <w:rFonts w:ascii="Calibri" w:hAnsi="Calibri" w:cs="Calibri"/>
          <w:color w:val="002F5D"/>
          <w:sz w:val="18"/>
          <w:szCs w:val="18"/>
        </w:rPr>
      </w:pPr>
      <w:r>
        <w:rPr>
          <w:rFonts w:ascii="Calibri" w:hAnsi="Calibri" w:cs="Calibri"/>
          <w:color w:val="002F5D"/>
          <w:sz w:val="18"/>
          <w:szCs w:val="18"/>
        </w:rPr>
        <w:t>Note: *Cambridgeshire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1870591F" w14:textId="77777777" w:rsidR="00782D43" w:rsidRDefault="00782D43" w:rsidP="00330B65">
      <w:pPr>
        <w:spacing w:line="240" w:lineRule="auto"/>
        <w:rPr>
          <w:rFonts w:ascii="Calibri" w:hAnsi="Calibri" w:cs="Calibri"/>
          <w:color w:val="002F5D"/>
        </w:rPr>
      </w:pPr>
    </w:p>
    <w:p w14:paraId="2917B0E3"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06DDFF58" w14:textId="77777777" w:rsidR="008D4440" w:rsidRPr="00330B65" w:rsidRDefault="008D4440" w:rsidP="00330B65">
      <w:pPr>
        <w:spacing w:line="240" w:lineRule="auto"/>
        <w:rPr>
          <w:rFonts w:ascii="Calibri" w:hAnsi="Calibri" w:cs="Calibri"/>
          <w:color w:val="002F5D"/>
        </w:rPr>
      </w:pPr>
    </w:p>
    <w:p w14:paraId="36E41134" w14:textId="33C4C686" w:rsidR="00837184" w:rsidRDefault="008D4440" w:rsidP="00330B65">
      <w:pPr>
        <w:spacing w:line="240" w:lineRule="auto"/>
        <w:rPr>
          <w:rFonts w:ascii="Calibri" w:hAnsi="Calibri" w:cs="Calibri"/>
          <w:color w:val="002F5D"/>
        </w:rPr>
      </w:pPr>
      <w:r w:rsidRPr="00330B65">
        <w:rPr>
          <w:rFonts w:ascii="Calibri" w:hAnsi="Calibri" w:cs="Calibri"/>
          <w:color w:val="002F5D"/>
        </w:rPr>
        <w:t xml:space="preserve">In Cambridgeshire, Fenland and Huntingdonshire account for nearly half of the number of looked after children in the 2017/18 financial year.  The number of looked after children per 10,000 of population in Cambridge and Fenland is </w:t>
      </w:r>
      <w:r w:rsidR="00C65B87">
        <w:rPr>
          <w:rFonts w:ascii="Calibri" w:hAnsi="Calibri" w:cs="Calibri"/>
          <w:color w:val="002F5D"/>
        </w:rPr>
        <w:t xml:space="preserve">numerically </w:t>
      </w:r>
      <w:r w:rsidRPr="00330B65">
        <w:rPr>
          <w:rFonts w:ascii="Calibri" w:hAnsi="Calibri" w:cs="Calibri"/>
          <w:color w:val="002F5D"/>
        </w:rPr>
        <w:t>higher</w:t>
      </w:r>
      <w:r w:rsidR="00FD323F">
        <w:rPr>
          <w:rFonts w:ascii="Calibri" w:hAnsi="Calibri" w:cs="Calibri"/>
          <w:color w:val="002F5D"/>
        </w:rPr>
        <w:t xml:space="preserve"> than the county average (52.5). </w:t>
      </w:r>
      <w:r w:rsidRPr="00330B65">
        <w:rPr>
          <w:rFonts w:ascii="Calibri" w:hAnsi="Calibri" w:cs="Calibri"/>
          <w:color w:val="002F5D"/>
        </w:rPr>
        <w:t xml:space="preserve"> The rate in Fenland </w:t>
      </w:r>
      <w:r w:rsidR="002816C8">
        <w:rPr>
          <w:rFonts w:ascii="Calibri" w:hAnsi="Calibri" w:cs="Calibri"/>
          <w:color w:val="002F5D"/>
        </w:rPr>
        <w:t xml:space="preserve">and Peterborough </w:t>
      </w:r>
      <w:r w:rsidRPr="00330B65">
        <w:rPr>
          <w:rFonts w:ascii="Calibri" w:hAnsi="Calibri" w:cs="Calibri"/>
          <w:color w:val="002F5D"/>
        </w:rPr>
        <w:t xml:space="preserve">is </w:t>
      </w:r>
      <w:r w:rsidR="00C65B87">
        <w:rPr>
          <w:rFonts w:ascii="Calibri" w:hAnsi="Calibri" w:cs="Calibri"/>
          <w:color w:val="002F5D"/>
        </w:rPr>
        <w:t>numerically</w:t>
      </w:r>
      <w:r w:rsidRPr="00330B65">
        <w:rPr>
          <w:rFonts w:ascii="Calibri" w:hAnsi="Calibri" w:cs="Calibri"/>
          <w:color w:val="002F5D"/>
        </w:rPr>
        <w:t xml:space="preserve"> above the England rate (64.0)</w:t>
      </w:r>
      <w:r w:rsidR="00C01322">
        <w:rPr>
          <w:rFonts w:ascii="Calibri" w:hAnsi="Calibri" w:cs="Calibri"/>
          <w:color w:val="002F5D"/>
        </w:rPr>
        <w:t>.</w:t>
      </w:r>
    </w:p>
    <w:p w14:paraId="05FBB573" w14:textId="77777777" w:rsidR="00837184" w:rsidRDefault="00837184" w:rsidP="00330B65">
      <w:pPr>
        <w:spacing w:line="240" w:lineRule="auto"/>
        <w:rPr>
          <w:rFonts w:ascii="Calibri" w:hAnsi="Calibri" w:cs="Calibri"/>
          <w:color w:val="002F5D"/>
        </w:rPr>
      </w:pPr>
    </w:p>
    <w:p w14:paraId="53F30A2A" w14:textId="6BA49E6C" w:rsidR="008D4440" w:rsidRPr="00330B65" w:rsidRDefault="00A2366A" w:rsidP="00330B65">
      <w:pPr>
        <w:spacing w:line="240" w:lineRule="auto"/>
        <w:rPr>
          <w:rFonts w:ascii="Calibri" w:hAnsi="Calibri" w:cs="Calibri"/>
          <w:b/>
          <w:color w:val="002F5D"/>
        </w:rPr>
      </w:pPr>
      <w:r>
        <w:rPr>
          <w:rFonts w:ascii="Calibri" w:hAnsi="Calibri" w:cs="Calibri"/>
          <w:b/>
          <w:color w:val="002F5D"/>
        </w:rPr>
        <w:t>Figure 55</w:t>
      </w:r>
      <w:r w:rsidR="00837184">
        <w:rPr>
          <w:rFonts w:ascii="Calibri" w:hAnsi="Calibri" w:cs="Calibri"/>
          <w:b/>
          <w:color w:val="002F5D"/>
        </w:rPr>
        <w:t>.</w:t>
      </w:r>
      <w:r w:rsidR="00D603A2">
        <w:rPr>
          <w:rFonts w:ascii="Calibri" w:hAnsi="Calibri" w:cs="Calibri"/>
          <w:b/>
          <w:color w:val="002F5D"/>
        </w:rPr>
        <w:t xml:space="preserve"> </w:t>
      </w:r>
      <w:r w:rsidR="008D4440" w:rsidRPr="00330B65">
        <w:rPr>
          <w:rFonts w:ascii="Calibri" w:hAnsi="Calibri" w:cs="Calibri"/>
          <w:color w:val="002F5D"/>
        </w:rPr>
        <w:t xml:space="preserve">Percentage of Looked After Children adopted within </w:t>
      </w:r>
      <w:r w:rsidR="00F564E6">
        <w:rPr>
          <w:rFonts w:ascii="Calibri" w:hAnsi="Calibri" w:cs="Calibri"/>
          <w:color w:val="002F5D"/>
        </w:rPr>
        <w:t>Y</w:t>
      </w:r>
      <w:r w:rsidR="008D4440" w:rsidRPr="00330B65">
        <w:rPr>
          <w:rFonts w:ascii="Calibri" w:hAnsi="Calibri" w:cs="Calibri"/>
          <w:color w:val="002F5D"/>
        </w:rPr>
        <w:t>ear</w:t>
      </w:r>
      <w:r w:rsidR="00D603A2" w:rsidRPr="00330B65">
        <w:rPr>
          <w:rFonts w:ascii="Calibri" w:hAnsi="Calibri" w:cs="Calibri"/>
          <w:color w:val="002F5D"/>
        </w:rPr>
        <w:t>, Cambridgeshire</w:t>
      </w:r>
    </w:p>
    <w:p w14:paraId="2DD9DA34" w14:textId="77777777" w:rsidR="008D4440" w:rsidRPr="00330B65" w:rsidRDefault="008D4440" w:rsidP="008D4440">
      <w:pPr>
        <w:pStyle w:val="ListParagraph"/>
        <w:rPr>
          <w:rFonts w:ascii="Calibri" w:hAnsi="Calibri" w:cs="Calibri"/>
          <w:b/>
          <w:color w:val="002F5D"/>
        </w:rPr>
      </w:pPr>
    </w:p>
    <w:p w14:paraId="1994DAC7" w14:textId="77777777"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noProof/>
          <w:color w:val="002F5D"/>
          <w:lang w:eastAsia="en-GB"/>
        </w:rPr>
        <w:drawing>
          <wp:inline distT="0" distB="0" distL="0" distR="0" wp14:anchorId="6AC43E00" wp14:editId="0D8FCF79">
            <wp:extent cx="5751830" cy="2562446"/>
            <wp:effectExtent l="0" t="0" r="1270" b="9525"/>
            <wp:docPr id="483" name="Chart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34B2E6E6"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4E50DA26" w14:textId="77777777" w:rsidR="00782D43" w:rsidRDefault="00782D43" w:rsidP="00330B65">
      <w:pPr>
        <w:spacing w:line="240" w:lineRule="auto"/>
        <w:rPr>
          <w:rFonts w:ascii="Calibri" w:hAnsi="Calibri" w:cs="Calibri"/>
          <w:color w:val="002F5D"/>
        </w:rPr>
      </w:pPr>
    </w:p>
    <w:p w14:paraId="0ECDC06B" w14:textId="77777777" w:rsidR="00782D43" w:rsidRPr="00102750" w:rsidRDefault="00782D43" w:rsidP="00330B65">
      <w:pPr>
        <w:spacing w:line="240" w:lineRule="auto"/>
        <w:rPr>
          <w:rFonts w:ascii="Calibri" w:hAnsi="Calibri" w:cs="Calibri"/>
          <w:color w:val="002F5D"/>
          <w:highlight w:val="yellow"/>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2DBB5F80" w14:textId="77777777" w:rsidR="00FD323F" w:rsidRDefault="00FD323F" w:rsidP="00330B65">
      <w:pPr>
        <w:pStyle w:val="ListParagraph"/>
        <w:spacing w:line="240" w:lineRule="auto"/>
        <w:ind w:left="0"/>
        <w:rPr>
          <w:rFonts w:ascii="Calibri" w:hAnsi="Calibri" w:cs="Calibri"/>
          <w:color w:val="002F5D"/>
        </w:rPr>
      </w:pPr>
    </w:p>
    <w:p w14:paraId="7E99CE9E" w14:textId="4F2085D7"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Cambridgeshire, the percentage of Looked After Children adopted within the year has decreased slightly over the three year period, but is broadly in line with the England, regional and statistical neighbour averages.</w:t>
      </w:r>
    </w:p>
    <w:p w14:paraId="3560B37B" w14:textId="30931F32" w:rsidR="00D603A2" w:rsidRDefault="00D603A2" w:rsidP="008D4440">
      <w:pPr>
        <w:pStyle w:val="ListParagraph"/>
        <w:ind w:left="0"/>
        <w:rPr>
          <w:rFonts w:ascii="Calibri" w:hAnsi="Calibri" w:cs="Calibri"/>
          <w:color w:val="002F5D"/>
        </w:rPr>
      </w:pPr>
    </w:p>
    <w:p w14:paraId="1720A08D" w14:textId="0D1ABD9B" w:rsidR="00837184" w:rsidRDefault="00837184" w:rsidP="008D4440">
      <w:pPr>
        <w:pStyle w:val="ListParagraph"/>
        <w:ind w:left="0"/>
        <w:rPr>
          <w:rFonts w:ascii="Calibri" w:hAnsi="Calibri" w:cs="Calibri"/>
          <w:color w:val="002F5D"/>
        </w:rPr>
      </w:pPr>
    </w:p>
    <w:p w14:paraId="55E8A16C" w14:textId="77777777" w:rsidR="00D075C4" w:rsidRDefault="00D075C4" w:rsidP="008D4440">
      <w:pPr>
        <w:pStyle w:val="ListParagraph"/>
        <w:ind w:left="0"/>
        <w:rPr>
          <w:rFonts w:ascii="Calibri" w:hAnsi="Calibri" w:cs="Calibri"/>
          <w:color w:val="002F5D"/>
        </w:rPr>
      </w:pPr>
    </w:p>
    <w:p w14:paraId="08A616C9" w14:textId="45C80C14" w:rsidR="00837184" w:rsidRDefault="00837184" w:rsidP="008D4440">
      <w:pPr>
        <w:pStyle w:val="ListParagraph"/>
        <w:ind w:left="0"/>
        <w:rPr>
          <w:rFonts w:ascii="Calibri" w:hAnsi="Calibri" w:cs="Calibri"/>
          <w:color w:val="002F5D"/>
        </w:rPr>
      </w:pPr>
    </w:p>
    <w:p w14:paraId="7762B9CD" w14:textId="2939FC1D" w:rsidR="00D603A2" w:rsidRPr="007F6F82" w:rsidRDefault="00A2366A" w:rsidP="00330B65">
      <w:pPr>
        <w:spacing w:line="240" w:lineRule="auto"/>
        <w:rPr>
          <w:rFonts w:ascii="Calibri" w:hAnsi="Calibri" w:cs="Calibri"/>
          <w:b/>
          <w:color w:val="002F5D"/>
        </w:rPr>
      </w:pPr>
      <w:r>
        <w:rPr>
          <w:rFonts w:ascii="Calibri" w:hAnsi="Calibri" w:cs="Calibri"/>
          <w:b/>
          <w:color w:val="002F5D"/>
        </w:rPr>
        <w:lastRenderedPageBreak/>
        <w:t>Figure 56</w:t>
      </w:r>
      <w:r w:rsidR="00837184">
        <w:rPr>
          <w:rFonts w:ascii="Calibri" w:hAnsi="Calibri" w:cs="Calibri"/>
          <w:b/>
          <w:color w:val="002F5D"/>
        </w:rPr>
        <w:t>.</w:t>
      </w:r>
      <w:r w:rsidR="00D603A2">
        <w:rPr>
          <w:rFonts w:ascii="Calibri" w:hAnsi="Calibri" w:cs="Calibri"/>
          <w:b/>
          <w:color w:val="002F5D"/>
        </w:rPr>
        <w:t xml:space="preserve"> </w:t>
      </w:r>
      <w:r w:rsidR="00D603A2" w:rsidRPr="00330B65">
        <w:rPr>
          <w:rFonts w:ascii="Calibri" w:hAnsi="Calibri" w:cs="Calibri"/>
          <w:color w:val="002F5D"/>
        </w:rPr>
        <w:t>Percentage of Looked After Children adopted within year, Peterborough</w:t>
      </w:r>
    </w:p>
    <w:p w14:paraId="23725688" w14:textId="480FEBB3" w:rsidR="00D603A2" w:rsidRPr="00330B65" w:rsidRDefault="00D603A2" w:rsidP="00330B65">
      <w:pPr>
        <w:pStyle w:val="ListParagraph"/>
        <w:spacing w:line="240" w:lineRule="auto"/>
        <w:ind w:left="0"/>
        <w:rPr>
          <w:rFonts w:ascii="Calibri" w:hAnsi="Calibri" w:cs="Calibri"/>
          <w:color w:val="002F5D"/>
        </w:rPr>
      </w:pPr>
    </w:p>
    <w:p w14:paraId="6D988ACB" w14:textId="77777777" w:rsidR="008D4440" w:rsidRPr="00330B65" w:rsidRDefault="008D4440" w:rsidP="00330B65">
      <w:pPr>
        <w:spacing w:line="240" w:lineRule="auto"/>
        <w:rPr>
          <w:rFonts w:ascii="Calibri" w:hAnsi="Calibri" w:cs="Calibri"/>
          <w:color w:val="002F5D"/>
          <w:highlight w:val="green"/>
        </w:rPr>
      </w:pPr>
      <w:r w:rsidRPr="00330B65">
        <w:rPr>
          <w:rFonts w:ascii="Calibri" w:hAnsi="Calibri" w:cs="Calibri"/>
          <w:noProof/>
          <w:color w:val="002F5D"/>
          <w:lang w:eastAsia="en-GB"/>
        </w:rPr>
        <w:drawing>
          <wp:inline distT="0" distB="0" distL="0" distR="0" wp14:anchorId="5207A8E6" wp14:editId="6F4ABEC7">
            <wp:extent cx="5826125" cy="2328530"/>
            <wp:effectExtent l="0" t="0" r="3175" b="15240"/>
            <wp:docPr id="484" name="Chart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3C817C99"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4E95C69C" w14:textId="77777777" w:rsidR="00782D43" w:rsidRDefault="00782D43" w:rsidP="00330B65">
      <w:pPr>
        <w:spacing w:line="240" w:lineRule="auto"/>
        <w:rPr>
          <w:rFonts w:ascii="Calibri" w:hAnsi="Calibri" w:cs="Calibri"/>
          <w:color w:val="002F5D"/>
        </w:rPr>
      </w:pPr>
    </w:p>
    <w:p w14:paraId="62F11E05" w14:textId="06EFE264"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3BCCC349" w14:textId="77777777" w:rsidR="00782D43" w:rsidRPr="00102750" w:rsidRDefault="00782D43" w:rsidP="00330B65">
      <w:pPr>
        <w:spacing w:line="240" w:lineRule="auto"/>
        <w:rPr>
          <w:rFonts w:ascii="Calibri" w:hAnsi="Calibri" w:cs="Calibri"/>
          <w:color w:val="002F5D"/>
          <w:highlight w:val="yellow"/>
        </w:rPr>
      </w:pPr>
    </w:p>
    <w:p w14:paraId="10117048" w14:textId="7131FF75"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The percentage of Looked After Children adopted within the year has decreased slightly over the three year period, and is fractionally below the England, regional and statistical neighbour averages.</w:t>
      </w:r>
    </w:p>
    <w:p w14:paraId="080D283E" w14:textId="77777777" w:rsidR="008D4440" w:rsidRPr="00330B65" w:rsidRDefault="008D4440" w:rsidP="00330B65">
      <w:pPr>
        <w:pStyle w:val="ListParagraph"/>
        <w:spacing w:line="240" w:lineRule="auto"/>
        <w:ind w:left="0"/>
        <w:rPr>
          <w:rFonts w:ascii="Calibri" w:hAnsi="Calibri" w:cs="Calibri"/>
          <w:color w:val="002F5D"/>
        </w:rPr>
      </w:pPr>
    </w:p>
    <w:p w14:paraId="557235F5" w14:textId="77777777"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The complexity of this dataset means a district level analysis is not available. </w:t>
      </w:r>
    </w:p>
    <w:p w14:paraId="58995A49" w14:textId="77777777" w:rsidR="00837184" w:rsidRDefault="00837184" w:rsidP="00330B65">
      <w:pPr>
        <w:pStyle w:val="ListParagraph"/>
        <w:spacing w:line="240" w:lineRule="auto"/>
        <w:ind w:left="0"/>
        <w:rPr>
          <w:rFonts w:ascii="Calibri" w:hAnsi="Calibri" w:cs="Calibri"/>
          <w:color w:val="002F5D"/>
        </w:rPr>
      </w:pPr>
    </w:p>
    <w:p w14:paraId="56A69ADF" w14:textId="77777777" w:rsidR="00837184" w:rsidRDefault="00837184" w:rsidP="00330B65">
      <w:pPr>
        <w:pStyle w:val="ListParagraph"/>
        <w:spacing w:line="240" w:lineRule="auto"/>
        <w:ind w:left="0"/>
        <w:rPr>
          <w:rFonts w:ascii="Calibri" w:hAnsi="Calibri" w:cs="Calibri"/>
          <w:b/>
          <w:color w:val="002F5D"/>
        </w:rPr>
      </w:pPr>
    </w:p>
    <w:p w14:paraId="14EE32F2" w14:textId="5D999EE1" w:rsidR="008D4440" w:rsidRDefault="00A2366A" w:rsidP="00330B65">
      <w:pPr>
        <w:pStyle w:val="ListParagraph"/>
        <w:spacing w:line="240" w:lineRule="auto"/>
        <w:ind w:left="0"/>
        <w:rPr>
          <w:rFonts w:ascii="Calibri" w:hAnsi="Calibri" w:cs="Calibri"/>
          <w:b/>
          <w:color w:val="002F5D"/>
        </w:rPr>
      </w:pPr>
      <w:r>
        <w:rPr>
          <w:rFonts w:ascii="Calibri" w:hAnsi="Calibri" w:cs="Calibri"/>
          <w:b/>
          <w:color w:val="002F5D"/>
        </w:rPr>
        <w:t>Figure 57.</w:t>
      </w:r>
      <w:r w:rsidR="00D603A2">
        <w:rPr>
          <w:rFonts w:ascii="Calibri" w:hAnsi="Calibri" w:cs="Calibri"/>
          <w:b/>
          <w:color w:val="002F5D"/>
        </w:rPr>
        <w:t xml:space="preserve"> </w:t>
      </w:r>
      <w:r w:rsidR="008D4440" w:rsidRPr="00330B65">
        <w:rPr>
          <w:rFonts w:ascii="Calibri" w:hAnsi="Calibri" w:cs="Calibri"/>
          <w:color w:val="002F5D"/>
        </w:rPr>
        <w:t>Percentage of Looke</w:t>
      </w:r>
      <w:r w:rsidR="00D603A2" w:rsidRPr="00330B65">
        <w:rPr>
          <w:rFonts w:ascii="Calibri" w:hAnsi="Calibri" w:cs="Calibri"/>
          <w:color w:val="002F5D"/>
        </w:rPr>
        <w:t>d After Children returning home, Cambridgeshire</w:t>
      </w:r>
    </w:p>
    <w:p w14:paraId="2C1AD2D1" w14:textId="77777777" w:rsidR="00837184" w:rsidRPr="00330B65" w:rsidRDefault="00837184" w:rsidP="00E61D24">
      <w:pPr>
        <w:pStyle w:val="ListParagraph"/>
        <w:ind w:left="0"/>
        <w:rPr>
          <w:rFonts w:ascii="Calibri" w:hAnsi="Calibri" w:cs="Calibri"/>
          <w:color w:val="002F5D"/>
          <w:highlight w:val="green"/>
        </w:rPr>
      </w:pPr>
    </w:p>
    <w:p w14:paraId="58790B42" w14:textId="77777777" w:rsidR="008D4440" w:rsidRPr="00330B65" w:rsidRDefault="008D4440" w:rsidP="008D4440">
      <w:pPr>
        <w:pStyle w:val="ListParagraph"/>
        <w:ind w:left="0"/>
        <w:rPr>
          <w:rFonts w:ascii="Calibri" w:hAnsi="Calibri" w:cs="Calibri"/>
          <w:color w:val="002F5D"/>
        </w:rPr>
      </w:pPr>
      <w:r w:rsidRPr="00330B65">
        <w:rPr>
          <w:rFonts w:ascii="Calibri" w:hAnsi="Calibri" w:cs="Calibri"/>
          <w:noProof/>
          <w:color w:val="002F5D"/>
          <w:lang w:eastAsia="en-GB"/>
        </w:rPr>
        <w:drawing>
          <wp:inline distT="0" distB="0" distL="0" distR="0" wp14:anchorId="6A20950F" wp14:editId="52AED664">
            <wp:extent cx="5709285" cy="2328530"/>
            <wp:effectExtent l="0" t="0" r="5715" b="15240"/>
            <wp:docPr id="485" name="Chart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140291CD" w14:textId="11E6D830" w:rsidR="00782D43" w:rsidRDefault="00782D43" w:rsidP="00330B65">
      <w:pPr>
        <w:spacing w:line="240" w:lineRule="auto"/>
        <w:rPr>
          <w:rFonts w:ascii="Calibri" w:hAnsi="Calibri" w:cs="Calibri"/>
          <w:color w:val="002F5D"/>
          <w:sz w:val="18"/>
          <w:szCs w:val="18"/>
        </w:rPr>
      </w:pPr>
      <w:r w:rsidRPr="00330B65">
        <w:rPr>
          <w:rFonts w:ascii="Calibri" w:hAnsi="Calibri" w:cs="Calibri"/>
          <w:color w:val="002F5D"/>
          <w:sz w:val="18"/>
          <w:szCs w:val="18"/>
        </w:rPr>
        <w:t>Note</w:t>
      </w:r>
      <w:r>
        <w:rPr>
          <w:rFonts w:ascii="Calibri" w:hAnsi="Calibri" w:cs="Calibri"/>
          <w:color w:val="002F5D"/>
          <w:sz w:val="18"/>
          <w:szCs w:val="18"/>
        </w:rPr>
        <w:t>s</w:t>
      </w:r>
      <w:r w:rsidRPr="00330B65">
        <w:rPr>
          <w:rFonts w:ascii="Calibri" w:hAnsi="Calibri" w:cs="Calibri"/>
          <w:color w:val="002F5D"/>
          <w:sz w:val="18"/>
          <w:szCs w:val="18"/>
        </w:rPr>
        <w:t xml:space="preserve"> – national data for the 2017/8 financial year has not yet been published by the Department for Education</w:t>
      </w:r>
    </w:p>
    <w:p w14:paraId="1026443D" w14:textId="7F2AFD01"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Statistical Neighbours</w:t>
      </w:r>
      <w:r>
        <w:rPr>
          <w:rFonts w:ascii="Calibri" w:hAnsi="Calibri" w:cs="Calibri"/>
          <w:color w:val="002F5D"/>
          <w:sz w:val="18"/>
          <w:szCs w:val="18"/>
        </w:rPr>
        <w:t xml:space="preserve"> are listed in Table 91 below</w:t>
      </w:r>
    </w:p>
    <w:p w14:paraId="2714880B" w14:textId="77777777" w:rsidR="00782D43" w:rsidRDefault="00782D43" w:rsidP="00330B65">
      <w:pPr>
        <w:spacing w:line="240" w:lineRule="auto"/>
        <w:rPr>
          <w:rFonts w:ascii="Calibri" w:hAnsi="Calibri" w:cs="Calibri"/>
          <w:color w:val="002F5D"/>
        </w:rPr>
      </w:pPr>
    </w:p>
    <w:p w14:paraId="59B3C418" w14:textId="77777777"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6497F5E9" w14:textId="77777777" w:rsidR="00782D43" w:rsidRPr="00330B65" w:rsidRDefault="00782D43" w:rsidP="00330B65">
      <w:pPr>
        <w:spacing w:line="240" w:lineRule="auto"/>
        <w:rPr>
          <w:rFonts w:ascii="Calibri" w:hAnsi="Calibri" w:cs="Calibri"/>
          <w:color w:val="002F5D"/>
          <w:sz w:val="18"/>
          <w:szCs w:val="18"/>
        </w:rPr>
      </w:pPr>
    </w:p>
    <w:p w14:paraId="36B1C49C" w14:textId="07C023F7"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Cambridgeshire, the percentage of children returning home after a period of being looked after is above the regional average, and is broadly in line with national and statistical neighbour averages.</w:t>
      </w:r>
    </w:p>
    <w:p w14:paraId="3517CF43" w14:textId="1FEB9092" w:rsidR="00D603A2" w:rsidRDefault="00D603A2" w:rsidP="00D603A2">
      <w:pPr>
        <w:spacing w:after="160" w:line="259" w:lineRule="auto"/>
        <w:rPr>
          <w:rFonts w:ascii="Calibri" w:hAnsi="Calibri" w:cs="Calibri"/>
          <w:b/>
          <w:color w:val="002F5D"/>
        </w:rPr>
      </w:pPr>
    </w:p>
    <w:p w14:paraId="2B16003D" w14:textId="77777777" w:rsidR="00483B56" w:rsidRDefault="00483B56" w:rsidP="00D603A2">
      <w:pPr>
        <w:spacing w:after="160" w:line="259" w:lineRule="auto"/>
        <w:rPr>
          <w:rFonts w:ascii="Calibri" w:hAnsi="Calibri" w:cs="Calibri"/>
          <w:b/>
          <w:color w:val="002F5D"/>
        </w:rPr>
      </w:pPr>
    </w:p>
    <w:p w14:paraId="1F60C749" w14:textId="6F328FCE" w:rsidR="00D603A2" w:rsidRPr="00330B65" w:rsidRDefault="00A2366A" w:rsidP="00330B65">
      <w:pPr>
        <w:spacing w:after="160" w:line="240" w:lineRule="auto"/>
        <w:rPr>
          <w:rFonts w:ascii="Calibri" w:hAnsi="Calibri" w:cs="Calibri"/>
          <w:b/>
          <w:color w:val="002F5D"/>
        </w:rPr>
      </w:pPr>
      <w:r>
        <w:rPr>
          <w:rFonts w:ascii="Calibri" w:hAnsi="Calibri" w:cs="Calibri"/>
          <w:b/>
          <w:color w:val="002F5D"/>
        </w:rPr>
        <w:lastRenderedPageBreak/>
        <w:t>Figure 58</w:t>
      </w:r>
      <w:r w:rsidR="00837184">
        <w:rPr>
          <w:rFonts w:ascii="Calibri" w:hAnsi="Calibri" w:cs="Calibri"/>
          <w:b/>
          <w:color w:val="002F5D"/>
        </w:rPr>
        <w:t>.</w:t>
      </w:r>
      <w:r w:rsidR="00D603A2">
        <w:rPr>
          <w:rFonts w:ascii="Calibri" w:hAnsi="Calibri" w:cs="Calibri"/>
          <w:b/>
          <w:color w:val="002F5D"/>
        </w:rPr>
        <w:t xml:space="preserve"> </w:t>
      </w:r>
      <w:r w:rsidR="00D603A2" w:rsidRPr="00330B65">
        <w:rPr>
          <w:rFonts w:ascii="Calibri" w:hAnsi="Calibri" w:cs="Calibri"/>
          <w:color w:val="002F5D"/>
        </w:rPr>
        <w:t>Percentage of Looked After Children returning home, Peterborough</w:t>
      </w:r>
    </w:p>
    <w:p w14:paraId="5CD06225" w14:textId="77777777" w:rsidR="008D4440" w:rsidRPr="00330B65" w:rsidRDefault="008D4440" w:rsidP="00330B65">
      <w:pPr>
        <w:spacing w:line="240" w:lineRule="auto"/>
        <w:rPr>
          <w:rFonts w:ascii="Calibri" w:hAnsi="Calibri" w:cs="Calibri"/>
          <w:color w:val="002F5D"/>
        </w:rPr>
      </w:pPr>
      <w:r w:rsidRPr="00330B65">
        <w:rPr>
          <w:rFonts w:ascii="Calibri" w:hAnsi="Calibri" w:cs="Calibri"/>
          <w:noProof/>
          <w:color w:val="002F5D"/>
          <w:lang w:eastAsia="en-GB"/>
        </w:rPr>
        <w:drawing>
          <wp:inline distT="0" distB="0" distL="0" distR="0" wp14:anchorId="3A951268" wp14:editId="6691FC61">
            <wp:extent cx="5709285" cy="2424223"/>
            <wp:effectExtent l="0" t="0" r="5715" b="14605"/>
            <wp:docPr id="486" name="Chart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1670035D" w14:textId="77777777" w:rsidR="00782D43"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w:t>
      </w:r>
      <w:r>
        <w:rPr>
          <w:rFonts w:ascii="Calibri" w:hAnsi="Calibri" w:cs="Calibri"/>
          <w:color w:val="002F5D"/>
          <w:sz w:val="18"/>
          <w:szCs w:val="18"/>
        </w:rPr>
        <w:t>s</w:t>
      </w:r>
      <w:r w:rsidRPr="00102750">
        <w:rPr>
          <w:rFonts w:ascii="Calibri" w:hAnsi="Calibri" w:cs="Calibri"/>
          <w:color w:val="002F5D"/>
          <w:sz w:val="18"/>
          <w:szCs w:val="18"/>
        </w:rPr>
        <w:t xml:space="preserve"> – national data for the 2017/8 financial year has not yet been published by the Department for Education</w:t>
      </w:r>
    </w:p>
    <w:p w14:paraId="1269DD36" w14:textId="585D9A88"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Statistical Neighbours</w:t>
      </w:r>
      <w:r>
        <w:rPr>
          <w:rFonts w:ascii="Calibri" w:hAnsi="Calibri" w:cs="Calibri"/>
          <w:color w:val="002F5D"/>
          <w:sz w:val="18"/>
          <w:szCs w:val="18"/>
        </w:rPr>
        <w:t xml:space="preserve"> are listed in Table 91 below</w:t>
      </w:r>
    </w:p>
    <w:p w14:paraId="025811B3" w14:textId="77777777" w:rsidR="00782D43" w:rsidRDefault="00782D43" w:rsidP="00330B65">
      <w:pPr>
        <w:spacing w:line="240" w:lineRule="auto"/>
        <w:rPr>
          <w:rFonts w:ascii="Calibri" w:hAnsi="Calibri" w:cs="Calibri"/>
          <w:color w:val="002F5D"/>
        </w:rPr>
      </w:pPr>
    </w:p>
    <w:p w14:paraId="07ABB288" w14:textId="77777777"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5137389" w14:textId="77777777" w:rsidR="00F564E6" w:rsidRDefault="00F564E6" w:rsidP="00330B65">
      <w:pPr>
        <w:pStyle w:val="ListParagraph"/>
        <w:spacing w:line="240" w:lineRule="auto"/>
        <w:ind w:left="0"/>
        <w:rPr>
          <w:rFonts w:ascii="Calibri" w:hAnsi="Calibri" w:cs="Calibri"/>
          <w:color w:val="002F5D"/>
        </w:rPr>
      </w:pPr>
    </w:p>
    <w:p w14:paraId="41521E9A" w14:textId="740D40F3"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Peterborough, the percentage of children returning home after a period of being looked after has increased over the three financial years and is now fractionally above the England, regional and statistical neighbour averages.</w:t>
      </w:r>
    </w:p>
    <w:p w14:paraId="066CC8C6" w14:textId="77777777" w:rsidR="008D4440" w:rsidRPr="00330B65" w:rsidRDefault="008D4440" w:rsidP="00330B65">
      <w:pPr>
        <w:pStyle w:val="ListParagraph"/>
        <w:spacing w:line="240" w:lineRule="auto"/>
        <w:ind w:left="0"/>
        <w:rPr>
          <w:rFonts w:ascii="Calibri" w:hAnsi="Calibri" w:cs="Calibri"/>
          <w:color w:val="002F5D"/>
        </w:rPr>
      </w:pPr>
    </w:p>
    <w:p w14:paraId="24D05806" w14:textId="77777777" w:rsidR="00837184"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The complexity of this dataset means a district level analysis is not available. </w:t>
      </w:r>
    </w:p>
    <w:p w14:paraId="4B1FAD22" w14:textId="4CCE6977" w:rsidR="00837184" w:rsidRDefault="00837184" w:rsidP="00330B65">
      <w:pPr>
        <w:pStyle w:val="ListParagraph"/>
        <w:ind w:left="0"/>
        <w:rPr>
          <w:rFonts w:ascii="Calibri" w:hAnsi="Calibri" w:cs="Calibri"/>
          <w:color w:val="002F5D"/>
        </w:rPr>
      </w:pPr>
    </w:p>
    <w:p w14:paraId="25B0DF76" w14:textId="01DBD396" w:rsidR="00483B56" w:rsidRDefault="00483B56" w:rsidP="00330B65">
      <w:pPr>
        <w:pStyle w:val="ListParagraph"/>
        <w:ind w:left="0"/>
        <w:rPr>
          <w:rFonts w:ascii="Calibri" w:hAnsi="Calibri" w:cs="Calibri"/>
          <w:color w:val="002F5D"/>
        </w:rPr>
      </w:pPr>
    </w:p>
    <w:p w14:paraId="6950D81D" w14:textId="439A6823" w:rsidR="00483B56" w:rsidRDefault="00483B56" w:rsidP="00330B65">
      <w:pPr>
        <w:pStyle w:val="ListParagraph"/>
        <w:ind w:left="0"/>
        <w:rPr>
          <w:rFonts w:ascii="Calibri" w:hAnsi="Calibri" w:cs="Calibri"/>
          <w:color w:val="002F5D"/>
        </w:rPr>
      </w:pPr>
    </w:p>
    <w:p w14:paraId="1599E86D" w14:textId="121172C9" w:rsidR="00483B56" w:rsidRDefault="00483B56" w:rsidP="00330B65">
      <w:pPr>
        <w:pStyle w:val="ListParagraph"/>
        <w:ind w:left="0"/>
        <w:rPr>
          <w:rFonts w:ascii="Calibri" w:hAnsi="Calibri" w:cs="Calibri"/>
          <w:color w:val="002F5D"/>
        </w:rPr>
      </w:pPr>
    </w:p>
    <w:p w14:paraId="426D3886" w14:textId="60845D68" w:rsidR="00483B56" w:rsidRDefault="00483B56" w:rsidP="00330B65">
      <w:pPr>
        <w:pStyle w:val="ListParagraph"/>
        <w:ind w:left="0"/>
        <w:rPr>
          <w:rFonts w:ascii="Calibri" w:hAnsi="Calibri" w:cs="Calibri"/>
          <w:color w:val="002F5D"/>
        </w:rPr>
      </w:pPr>
    </w:p>
    <w:p w14:paraId="510040F0" w14:textId="60E39FB7" w:rsidR="00483B56" w:rsidRDefault="00483B56" w:rsidP="00330B65">
      <w:pPr>
        <w:pStyle w:val="ListParagraph"/>
        <w:ind w:left="0"/>
        <w:rPr>
          <w:rFonts w:ascii="Calibri" w:hAnsi="Calibri" w:cs="Calibri"/>
          <w:color w:val="002F5D"/>
        </w:rPr>
      </w:pPr>
    </w:p>
    <w:p w14:paraId="177313B3" w14:textId="43F17F45" w:rsidR="00483B56" w:rsidRDefault="00483B56" w:rsidP="00330B65">
      <w:pPr>
        <w:pStyle w:val="ListParagraph"/>
        <w:ind w:left="0"/>
        <w:rPr>
          <w:rFonts w:ascii="Calibri" w:hAnsi="Calibri" w:cs="Calibri"/>
          <w:color w:val="002F5D"/>
        </w:rPr>
      </w:pPr>
    </w:p>
    <w:p w14:paraId="22AC455F" w14:textId="167BF84D" w:rsidR="00483B56" w:rsidRDefault="00483B56" w:rsidP="00330B65">
      <w:pPr>
        <w:pStyle w:val="ListParagraph"/>
        <w:ind w:left="0"/>
        <w:rPr>
          <w:rFonts w:ascii="Calibri" w:hAnsi="Calibri" w:cs="Calibri"/>
          <w:color w:val="002F5D"/>
        </w:rPr>
      </w:pPr>
    </w:p>
    <w:p w14:paraId="2CF16B8E" w14:textId="6DDB7781" w:rsidR="00483B56" w:rsidRDefault="00483B56" w:rsidP="00330B65">
      <w:pPr>
        <w:pStyle w:val="ListParagraph"/>
        <w:ind w:left="0"/>
        <w:rPr>
          <w:rFonts w:ascii="Calibri" w:hAnsi="Calibri" w:cs="Calibri"/>
          <w:color w:val="002F5D"/>
        </w:rPr>
      </w:pPr>
    </w:p>
    <w:p w14:paraId="17848BB9" w14:textId="4A9D94AB" w:rsidR="00483B56" w:rsidRDefault="00483B56" w:rsidP="00330B65">
      <w:pPr>
        <w:pStyle w:val="ListParagraph"/>
        <w:ind w:left="0"/>
        <w:rPr>
          <w:rFonts w:ascii="Calibri" w:hAnsi="Calibri" w:cs="Calibri"/>
          <w:color w:val="002F5D"/>
        </w:rPr>
      </w:pPr>
    </w:p>
    <w:p w14:paraId="1A5D357F" w14:textId="5E80DA9D" w:rsidR="00483B56" w:rsidRDefault="00483B56" w:rsidP="00330B65">
      <w:pPr>
        <w:pStyle w:val="ListParagraph"/>
        <w:ind w:left="0"/>
        <w:rPr>
          <w:rFonts w:ascii="Calibri" w:hAnsi="Calibri" w:cs="Calibri"/>
          <w:color w:val="002F5D"/>
        </w:rPr>
      </w:pPr>
    </w:p>
    <w:p w14:paraId="104FB38C" w14:textId="5D204E37" w:rsidR="00483B56" w:rsidRDefault="00483B56" w:rsidP="00330B65">
      <w:pPr>
        <w:pStyle w:val="ListParagraph"/>
        <w:ind w:left="0"/>
        <w:rPr>
          <w:rFonts w:ascii="Calibri" w:hAnsi="Calibri" w:cs="Calibri"/>
          <w:color w:val="002F5D"/>
        </w:rPr>
      </w:pPr>
    </w:p>
    <w:p w14:paraId="3B656FFE" w14:textId="13AF8E13" w:rsidR="00483B56" w:rsidRDefault="00483B56" w:rsidP="00330B65">
      <w:pPr>
        <w:pStyle w:val="ListParagraph"/>
        <w:ind w:left="0"/>
        <w:rPr>
          <w:rFonts w:ascii="Calibri" w:hAnsi="Calibri" w:cs="Calibri"/>
          <w:color w:val="002F5D"/>
        </w:rPr>
      </w:pPr>
    </w:p>
    <w:p w14:paraId="50EA1CD5" w14:textId="5C42E7B9" w:rsidR="00483B56" w:rsidRDefault="00483B56" w:rsidP="00330B65">
      <w:pPr>
        <w:pStyle w:val="ListParagraph"/>
        <w:ind w:left="0"/>
        <w:rPr>
          <w:rFonts w:ascii="Calibri" w:hAnsi="Calibri" w:cs="Calibri"/>
          <w:color w:val="002F5D"/>
        </w:rPr>
      </w:pPr>
    </w:p>
    <w:p w14:paraId="0DC09EDE" w14:textId="7ED9470E" w:rsidR="00483B56" w:rsidRDefault="00483B56" w:rsidP="00330B65">
      <w:pPr>
        <w:pStyle w:val="ListParagraph"/>
        <w:ind w:left="0"/>
        <w:rPr>
          <w:rFonts w:ascii="Calibri" w:hAnsi="Calibri" w:cs="Calibri"/>
          <w:color w:val="002F5D"/>
        </w:rPr>
      </w:pPr>
    </w:p>
    <w:p w14:paraId="7087DE84" w14:textId="478B6034" w:rsidR="00483B56" w:rsidRDefault="00483B56" w:rsidP="00330B65">
      <w:pPr>
        <w:pStyle w:val="ListParagraph"/>
        <w:ind w:left="0"/>
        <w:rPr>
          <w:rFonts w:ascii="Calibri" w:hAnsi="Calibri" w:cs="Calibri"/>
          <w:color w:val="002F5D"/>
        </w:rPr>
      </w:pPr>
    </w:p>
    <w:p w14:paraId="48F678E4" w14:textId="2D99F901" w:rsidR="00483B56" w:rsidRDefault="00483B56" w:rsidP="00330B65">
      <w:pPr>
        <w:pStyle w:val="ListParagraph"/>
        <w:ind w:left="0"/>
        <w:rPr>
          <w:rFonts w:ascii="Calibri" w:hAnsi="Calibri" w:cs="Calibri"/>
          <w:color w:val="002F5D"/>
        </w:rPr>
      </w:pPr>
    </w:p>
    <w:p w14:paraId="06F25968" w14:textId="5D4E385F" w:rsidR="00483B56" w:rsidRDefault="00483B56" w:rsidP="00330B65">
      <w:pPr>
        <w:pStyle w:val="ListParagraph"/>
        <w:ind w:left="0"/>
        <w:rPr>
          <w:rFonts w:ascii="Calibri" w:hAnsi="Calibri" w:cs="Calibri"/>
          <w:color w:val="002F5D"/>
        </w:rPr>
      </w:pPr>
    </w:p>
    <w:p w14:paraId="1CD5747F" w14:textId="29521C91" w:rsidR="00483B56" w:rsidRDefault="00483B56" w:rsidP="00330B65">
      <w:pPr>
        <w:pStyle w:val="ListParagraph"/>
        <w:ind w:left="0"/>
        <w:rPr>
          <w:rFonts w:ascii="Calibri" w:hAnsi="Calibri" w:cs="Calibri"/>
          <w:color w:val="002F5D"/>
        </w:rPr>
      </w:pPr>
    </w:p>
    <w:p w14:paraId="4E1EB460" w14:textId="47D732D1" w:rsidR="00483B56" w:rsidRDefault="00483B56" w:rsidP="00330B65">
      <w:pPr>
        <w:pStyle w:val="ListParagraph"/>
        <w:ind w:left="0"/>
        <w:rPr>
          <w:rFonts w:ascii="Calibri" w:hAnsi="Calibri" w:cs="Calibri"/>
          <w:color w:val="002F5D"/>
        </w:rPr>
      </w:pPr>
    </w:p>
    <w:p w14:paraId="25C54C8D" w14:textId="046C3DE1" w:rsidR="00483B56" w:rsidRDefault="00483B56" w:rsidP="00330B65">
      <w:pPr>
        <w:pStyle w:val="ListParagraph"/>
        <w:ind w:left="0"/>
        <w:rPr>
          <w:rFonts w:ascii="Calibri" w:hAnsi="Calibri" w:cs="Calibri"/>
          <w:color w:val="002F5D"/>
        </w:rPr>
      </w:pPr>
    </w:p>
    <w:p w14:paraId="478E9FC1" w14:textId="01DCFCC0" w:rsidR="00483B56" w:rsidRDefault="00483B56" w:rsidP="00330B65">
      <w:pPr>
        <w:pStyle w:val="ListParagraph"/>
        <w:ind w:left="0"/>
        <w:rPr>
          <w:rFonts w:ascii="Calibri" w:hAnsi="Calibri" w:cs="Calibri"/>
          <w:color w:val="002F5D"/>
        </w:rPr>
      </w:pPr>
    </w:p>
    <w:p w14:paraId="15D8F8B8" w14:textId="3092F033" w:rsidR="00483B56" w:rsidRDefault="00483B56" w:rsidP="00330B65">
      <w:pPr>
        <w:pStyle w:val="ListParagraph"/>
        <w:ind w:left="0"/>
        <w:rPr>
          <w:rFonts w:ascii="Calibri" w:hAnsi="Calibri" w:cs="Calibri"/>
          <w:color w:val="002F5D"/>
        </w:rPr>
      </w:pPr>
    </w:p>
    <w:p w14:paraId="10158EC0" w14:textId="3FCCB9E7" w:rsidR="00483B56" w:rsidRDefault="00483B56" w:rsidP="00330B65">
      <w:pPr>
        <w:pStyle w:val="ListParagraph"/>
        <w:ind w:left="0"/>
        <w:rPr>
          <w:rFonts w:ascii="Calibri" w:hAnsi="Calibri" w:cs="Calibri"/>
          <w:color w:val="002F5D"/>
        </w:rPr>
      </w:pPr>
    </w:p>
    <w:p w14:paraId="2C0498C1" w14:textId="5E5B1A4D" w:rsidR="00483B56" w:rsidRDefault="00483B56" w:rsidP="00330B65">
      <w:pPr>
        <w:pStyle w:val="ListParagraph"/>
        <w:ind w:left="0"/>
        <w:rPr>
          <w:rFonts w:ascii="Calibri" w:hAnsi="Calibri" w:cs="Calibri"/>
          <w:color w:val="002F5D"/>
        </w:rPr>
      </w:pPr>
    </w:p>
    <w:p w14:paraId="680CEDF0" w14:textId="77777777" w:rsidR="00483B56" w:rsidRDefault="00483B56" w:rsidP="00330B65">
      <w:pPr>
        <w:pStyle w:val="ListParagraph"/>
        <w:ind w:left="0"/>
        <w:rPr>
          <w:rFonts w:ascii="Calibri" w:hAnsi="Calibri" w:cs="Calibri"/>
          <w:color w:val="002F5D"/>
        </w:rPr>
      </w:pPr>
    </w:p>
    <w:p w14:paraId="119B58B9" w14:textId="05C5F62A" w:rsidR="008D4440" w:rsidRDefault="00A2366A" w:rsidP="00330B65">
      <w:pPr>
        <w:pStyle w:val="ListParagraph"/>
        <w:spacing w:line="240" w:lineRule="auto"/>
        <w:ind w:left="0"/>
        <w:rPr>
          <w:rFonts w:ascii="Calibri" w:hAnsi="Calibri" w:cs="Calibri"/>
          <w:b/>
          <w:color w:val="002F5D"/>
        </w:rPr>
      </w:pPr>
      <w:r>
        <w:rPr>
          <w:rFonts w:ascii="Calibri" w:hAnsi="Calibri" w:cs="Calibri"/>
          <w:b/>
          <w:color w:val="002F5D"/>
        </w:rPr>
        <w:lastRenderedPageBreak/>
        <w:t>Figure 59</w:t>
      </w:r>
      <w:r w:rsidR="00837184">
        <w:rPr>
          <w:rFonts w:ascii="Calibri" w:hAnsi="Calibri" w:cs="Calibri"/>
          <w:b/>
          <w:color w:val="002F5D"/>
        </w:rPr>
        <w:t>.</w:t>
      </w:r>
      <w:r w:rsidR="00D603A2">
        <w:rPr>
          <w:rFonts w:ascii="Calibri" w:hAnsi="Calibri" w:cs="Calibri"/>
          <w:b/>
          <w:color w:val="002F5D"/>
        </w:rPr>
        <w:t xml:space="preserve"> </w:t>
      </w:r>
      <w:r w:rsidR="008D4440" w:rsidRPr="00330B65">
        <w:rPr>
          <w:rFonts w:ascii="Calibri" w:hAnsi="Calibri" w:cs="Calibri"/>
          <w:color w:val="002F5D"/>
        </w:rPr>
        <w:t>Number of requests for support received from new clients per 100,000 of population aged 18+</w:t>
      </w:r>
      <w:r w:rsidR="00D603A2" w:rsidRPr="00330B65">
        <w:rPr>
          <w:rFonts w:ascii="Calibri" w:hAnsi="Calibri" w:cs="Calibri"/>
          <w:color w:val="002F5D"/>
        </w:rPr>
        <w:t>, Cambridgeshire</w:t>
      </w:r>
    </w:p>
    <w:p w14:paraId="49B321EF" w14:textId="77777777" w:rsidR="00837184" w:rsidRPr="00330B65" w:rsidRDefault="00837184" w:rsidP="00330B65">
      <w:pPr>
        <w:pStyle w:val="ListParagraph"/>
        <w:spacing w:line="240" w:lineRule="auto"/>
        <w:ind w:left="0"/>
        <w:rPr>
          <w:rFonts w:ascii="Calibri" w:hAnsi="Calibri" w:cs="Calibri"/>
          <w:color w:val="002F5D"/>
        </w:rPr>
      </w:pPr>
    </w:p>
    <w:p w14:paraId="0FA7698E" w14:textId="77777777" w:rsidR="008D4440" w:rsidRPr="00330B65" w:rsidRDefault="008D4440">
      <w:pPr>
        <w:pStyle w:val="NoSpacing"/>
        <w:rPr>
          <w:rFonts w:ascii="Calibri" w:hAnsi="Calibri" w:cs="Calibri"/>
          <w:color w:val="002F5D"/>
        </w:rPr>
      </w:pPr>
      <w:r w:rsidRPr="00330B65">
        <w:rPr>
          <w:rFonts w:ascii="Calibri" w:hAnsi="Calibri" w:cs="Calibri"/>
          <w:color w:val="002F5D"/>
        </w:rPr>
        <w:t xml:space="preserve">The dataset captures the number of requests received by the local authority from those clients not currently in receipt of long term support.  To be included, the following criteria must apply: </w:t>
      </w:r>
    </w:p>
    <w:p w14:paraId="248936D8" w14:textId="77777777" w:rsidR="008D4440" w:rsidRPr="00330B65" w:rsidRDefault="008D4440">
      <w:pPr>
        <w:pStyle w:val="NoSpacing"/>
        <w:numPr>
          <w:ilvl w:val="0"/>
          <w:numId w:val="106"/>
        </w:numPr>
        <w:rPr>
          <w:rFonts w:ascii="Calibri" w:hAnsi="Calibri" w:cs="Calibri"/>
          <w:color w:val="002F5D"/>
        </w:rPr>
      </w:pPr>
      <w:r w:rsidRPr="00330B65">
        <w:rPr>
          <w:rFonts w:ascii="Calibri" w:hAnsi="Calibri" w:cs="Calibri"/>
          <w:color w:val="002F5D"/>
        </w:rPr>
        <w:t xml:space="preserve">[The] number of requests for support, not numbers of clients </w:t>
      </w:r>
    </w:p>
    <w:p w14:paraId="3F09B02B" w14:textId="77777777" w:rsidR="008D4440" w:rsidRPr="00330B65" w:rsidRDefault="008D4440">
      <w:pPr>
        <w:pStyle w:val="NoSpacing"/>
        <w:numPr>
          <w:ilvl w:val="0"/>
          <w:numId w:val="106"/>
        </w:numPr>
        <w:rPr>
          <w:rFonts w:ascii="Calibri" w:hAnsi="Calibri" w:cs="Calibri"/>
          <w:color w:val="002F5D"/>
        </w:rPr>
      </w:pPr>
      <w:r w:rsidRPr="00330B65">
        <w:rPr>
          <w:rFonts w:ascii="Calibri" w:hAnsi="Calibri" w:cs="Calibri"/>
          <w:color w:val="002F5D"/>
        </w:rPr>
        <w:t xml:space="preserve">Requests may come from, or be made on behalf of, new clients (those not in receipt of long term support at the time of request). Requests from </w:t>
      </w:r>
      <w:r w:rsidRPr="00330B65">
        <w:rPr>
          <w:rFonts w:ascii="Calibri" w:hAnsi="Calibri" w:cs="Calibri"/>
          <w:i/>
          <w:iCs/>
          <w:color w:val="002F5D"/>
        </w:rPr>
        <w:t xml:space="preserve">existing </w:t>
      </w:r>
      <w:r w:rsidRPr="00330B65">
        <w:rPr>
          <w:rFonts w:ascii="Calibri" w:hAnsi="Calibri" w:cs="Calibri"/>
          <w:color w:val="002F5D"/>
        </w:rPr>
        <w:t xml:space="preserve">clients are NOT counted in this measure </w:t>
      </w:r>
    </w:p>
    <w:p w14:paraId="71B84832" w14:textId="77777777" w:rsidR="008D4440" w:rsidRPr="00330B65" w:rsidRDefault="008D4440">
      <w:pPr>
        <w:pStyle w:val="NoSpacing"/>
        <w:numPr>
          <w:ilvl w:val="0"/>
          <w:numId w:val="106"/>
        </w:numPr>
        <w:rPr>
          <w:rFonts w:ascii="Calibri" w:hAnsi="Calibri" w:cs="Calibri"/>
          <w:color w:val="002F5D"/>
        </w:rPr>
      </w:pPr>
      <w:r w:rsidRPr="00330B65">
        <w:rPr>
          <w:rFonts w:ascii="Calibri" w:hAnsi="Calibri" w:cs="Calibri"/>
          <w:color w:val="002F5D"/>
        </w:rPr>
        <w:t xml:space="preserve">Requests for support are included only where the </w:t>
      </w:r>
      <w:r w:rsidRPr="00330B65">
        <w:rPr>
          <w:rFonts w:ascii="Calibri" w:hAnsi="Calibri" w:cs="Calibri"/>
          <w:i/>
          <w:iCs/>
          <w:color w:val="002F5D"/>
        </w:rPr>
        <w:t xml:space="preserve">sequel </w:t>
      </w:r>
      <w:r w:rsidRPr="00330B65">
        <w:rPr>
          <w:rFonts w:ascii="Calibri" w:hAnsi="Calibri" w:cs="Calibri"/>
          <w:color w:val="002F5D"/>
        </w:rPr>
        <w:t>to that request has been determined during the year (April 1st – March 31st).  (SALT return guidance 2018, p12)</w:t>
      </w:r>
    </w:p>
    <w:p w14:paraId="45B6998E" w14:textId="77777777" w:rsidR="008D4440" w:rsidRPr="00330B65" w:rsidRDefault="008D4440" w:rsidP="008D4440">
      <w:pPr>
        <w:pStyle w:val="ListParagraph"/>
        <w:ind w:left="0"/>
        <w:rPr>
          <w:rFonts w:ascii="Calibri" w:hAnsi="Calibri" w:cs="Calibri"/>
          <w:color w:val="002F5D"/>
        </w:rPr>
      </w:pPr>
    </w:p>
    <w:p w14:paraId="092DABF0" w14:textId="77777777" w:rsidR="008D4440" w:rsidRPr="00330B65" w:rsidRDefault="008D4440" w:rsidP="008D4440">
      <w:pPr>
        <w:rPr>
          <w:rFonts w:ascii="Calibri" w:hAnsi="Calibri" w:cs="Calibri"/>
          <w:color w:val="002F5D"/>
        </w:rPr>
      </w:pPr>
      <w:r w:rsidRPr="00330B65">
        <w:rPr>
          <w:rFonts w:ascii="Calibri" w:hAnsi="Calibri" w:cs="Calibri"/>
          <w:noProof/>
          <w:color w:val="002F5D"/>
          <w:lang w:eastAsia="en-GB"/>
        </w:rPr>
        <w:drawing>
          <wp:inline distT="0" distB="0" distL="0" distR="0" wp14:anchorId="298FCBB1" wp14:editId="5815938B">
            <wp:extent cx="5680710" cy="2393005"/>
            <wp:effectExtent l="0" t="0" r="15240" b="7620"/>
            <wp:docPr id="487" name="Chart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r w:rsidRPr="00330B65">
        <w:rPr>
          <w:rFonts w:ascii="Calibri" w:hAnsi="Calibri" w:cs="Calibri"/>
          <w:color w:val="002F5D"/>
        </w:rPr>
        <w:t xml:space="preserve"> </w:t>
      </w:r>
    </w:p>
    <w:p w14:paraId="2DFB6865" w14:textId="3E7AEE45"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92 below</w:t>
      </w:r>
    </w:p>
    <w:p w14:paraId="20E0A97C" w14:textId="77777777" w:rsidR="00782D43" w:rsidRDefault="00782D43" w:rsidP="00330B65">
      <w:pPr>
        <w:spacing w:line="240" w:lineRule="auto"/>
        <w:rPr>
          <w:rFonts w:ascii="Calibri" w:hAnsi="Calibri" w:cs="Calibri"/>
          <w:color w:val="002F5D"/>
        </w:rPr>
      </w:pPr>
    </w:p>
    <w:p w14:paraId="65D2B5C3" w14:textId="7151165D"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ED3F03C" w14:textId="77777777" w:rsidR="00782D43" w:rsidRDefault="00782D43" w:rsidP="00330B65">
      <w:pPr>
        <w:spacing w:line="240" w:lineRule="auto"/>
        <w:rPr>
          <w:rFonts w:ascii="Calibri" w:hAnsi="Calibri" w:cs="Calibri"/>
          <w:color w:val="002F5D"/>
        </w:rPr>
      </w:pPr>
    </w:p>
    <w:p w14:paraId="3829D760" w14:textId="50CCEDA4"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Cambridgeshire the number of requests of support received from new clients dipped slightly in the 2016/17 financial year, and remains</w:t>
      </w:r>
      <w:r w:rsidR="00601976">
        <w:rPr>
          <w:rFonts w:ascii="Calibri" w:hAnsi="Calibri" w:cs="Calibri"/>
          <w:color w:val="002F5D"/>
        </w:rPr>
        <w:t xml:space="preserve"> numerically</w:t>
      </w:r>
      <w:r w:rsidRPr="00330B65">
        <w:rPr>
          <w:rFonts w:ascii="Calibri" w:hAnsi="Calibri" w:cs="Calibri"/>
          <w:color w:val="002F5D"/>
        </w:rPr>
        <w:t xml:space="preserve"> lower th</w:t>
      </w:r>
      <w:r w:rsidR="003813C9">
        <w:rPr>
          <w:rFonts w:ascii="Calibri" w:hAnsi="Calibri" w:cs="Calibri"/>
          <w:color w:val="002F5D"/>
        </w:rPr>
        <w:t>a</w:t>
      </w:r>
      <w:r w:rsidRPr="00330B65">
        <w:rPr>
          <w:rFonts w:ascii="Calibri" w:hAnsi="Calibri" w:cs="Calibri"/>
          <w:color w:val="002F5D"/>
        </w:rPr>
        <w:t>n national, regional an</w:t>
      </w:r>
      <w:r w:rsidR="00C65B87">
        <w:rPr>
          <w:rFonts w:ascii="Calibri" w:hAnsi="Calibri" w:cs="Calibri"/>
          <w:color w:val="002F5D"/>
        </w:rPr>
        <w:t>d statistical neighbour averag</w:t>
      </w:r>
      <w:r w:rsidR="003813C9">
        <w:rPr>
          <w:rFonts w:ascii="Calibri" w:hAnsi="Calibri" w:cs="Calibri"/>
          <w:color w:val="002F5D"/>
        </w:rPr>
        <w:t>es</w:t>
      </w:r>
      <w:r w:rsidRPr="00330B65">
        <w:rPr>
          <w:rFonts w:ascii="Calibri" w:hAnsi="Calibri" w:cs="Calibri"/>
          <w:color w:val="002F5D"/>
        </w:rPr>
        <w:t>.</w:t>
      </w:r>
    </w:p>
    <w:p w14:paraId="31DD17F1" w14:textId="68390B00" w:rsidR="00D603A2" w:rsidRDefault="00D603A2" w:rsidP="008D4440">
      <w:pPr>
        <w:pStyle w:val="ListParagraph"/>
        <w:ind w:left="0"/>
        <w:rPr>
          <w:rFonts w:ascii="Calibri" w:hAnsi="Calibri" w:cs="Calibri"/>
          <w:color w:val="002F5D"/>
        </w:rPr>
      </w:pPr>
    </w:p>
    <w:p w14:paraId="6F67DBAF" w14:textId="5A9826D4" w:rsidR="00483B56" w:rsidRDefault="00483B56" w:rsidP="008D4440">
      <w:pPr>
        <w:pStyle w:val="ListParagraph"/>
        <w:ind w:left="0"/>
        <w:rPr>
          <w:rFonts w:ascii="Calibri" w:hAnsi="Calibri" w:cs="Calibri"/>
          <w:color w:val="002F5D"/>
        </w:rPr>
      </w:pPr>
    </w:p>
    <w:p w14:paraId="1A16885B" w14:textId="4392FFFA" w:rsidR="00483B56" w:rsidRDefault="00483B56" w:rsidP="008D4440">
      <w:pPr>
        <w:pStyle w:val="ListParagraph"/>
        <w:ind w:left="0"/>
        <w:rPr>
          <w:rFonts w:ascii="Calibri" w:hAnsi="Calibri" w:cs="Calibri"/>
          <w:color w:val="002F5D"/>
        </w:rPr>
      </w:pPr>
    </w:p>
    <w:p w14:paraId="7972F53B" w14:textId="233AA984" w:rsidR="00483B56" w:rsidRDefault="00483B56" w:rsidP="008D4440">
      <w:pPr>
        <w:pStyle w:val="ListParagraph"/>
        <w:ind w:left="0"/>
        <w:rPr>
          <w:rFonts w:ascii="Calibri" w:hAnsi="Calibri" w:cs="Calibri"/>
          <w:color w:val="002F5D"/>
        </w:rPr>
      </w:pPr>
    </w:p>
    <w:p w14:paraId="1C85FB41" w14:textId="7DBD35B5" w:rsidR="00483B56" w:rsidRDefault="00483B56" w:rsidP="008D4440">
      <w:pPr>
        <w:pStyle w:val="ListParagraph"/>
        <w:ind w:left="0"/>
        <w:rPr>
          <w:rFonts w:ascii="Calibri" w:hAnsi="Calibri" w:cs="Calibri"/>
          <w:color w:val="002F5D"/>
        </w:rPr>
      </w:pPr>
    </w:p>
    <w:p w14:paraId="5EC267FF" w14:textId="77FC8827" w:rsidR="00483B56" w:rsidRDefault="00483B56" w:rsidP="008D4440">
      <w:pPr>
        <w:pStyle w:val="ListParagraph"/>
        <w:ind w:left="0"/>
        <w:rPr>
          <w:rFonts w:ascii="Calibri" w:hAnsi="Calibri" w:cs="Calibri"/>
          <w:color w:val="002F5D"/>
        </w:rPr>
      </w:pPr>
    </w:p>
    <w:p w14:paraId="2E003F8C" w14:textId="1A22F46E" w:rsidR="00483B56" w:rsidRDefault="00483B56" w:rsidP="008D4440">
      <w:pPr>
        <w:pStyle w:val="ListParagraph"/>
        <w:ind w:left="0"/>
        <w:rPr>
          <w:rFonts w:ascii="Calibri" w:hAnsi="Calibri" w:cs="Calibri"/>
          <w:color w:val="002F5D"/>
        </w:rPr>
      </w:pPr>
    </w:p>
    <w:p w14:paraId="4A07DD2D" w14:textId="3F86410E" w:rsidR="00483B56" w:rsidRDefault="00483B56" w:rsidP="008D4440">
      <w:pPr>
        <w:pStyle w:val="ListParagraph"/>
        <w:ind w:left="0"/>
        <w:rPr>
          <w:rFonts w:ascii="Calibri" w:hAnsi="Calibri" w:cs="Calibri"/>
          <w:color w:val="002F5D"/>
        </w:rPr>
      </w:pPr>
    </w:p>
    <w:p w14:paraId="1C7A8031" w14:textId="3FC4C30B" w:rsidR="00483B56" w:rsidRDefault="00483B56" w:rsidP="008D4440">
      <w:pPr>
        <w:pStyle w:val="ListParagraph"/>
        <w:ind w:left="0"/>
        <w:rPr>
          <w:rFonts w:ascii="Calibri" w:hAnsi="Calibri" w:cs="Calibri"/>
          <w:color w:val="002F5D"/>
        </w:rPr>
      </w:pPr>
    </w:p>
    <w:p w14:paraId="7A7B5F13" w14:textId="1872F66F" w:rsidR="00483B56" w:rsidRDefault="00483B56" w:rsidP="008D4440">
      <w:pPr>
        <w:pStyle w:val="ListParagraph"/>
        <w:ind w:left="0"/>
        <w:rPr>
          <w:rFonts w:ascii="Calibri" w:hAnsi="Calibri" w:cs="Calibri"/>
          <w:color w:val="002F5D"/>
        </w:rPr>
      </w:pPr>
    </w:p>
    <w:p w14:paraId="0D64B1A1" w14:textId="0D6F1BB9" w:rsidR="00483B56" w:rsidRDefault="00483B56" w:rsidP="008D4440">
      <w:pPr>
        <w:pStyle w:val="ListParagraph"/>
        <w:ind w:left="0"/>
        <w:rPr>
          <w:rFonts w:ascii="Calibri" w:hAnsi="Calibri" w:cs="Calibri"/>
          <w:color w:val="002F5D"/>
        </w:rPr>
      </w:pPr>
    </w:p>
    <w:p w14:paraId="7A873D07" w14:textId="4F20D776" w:rsidR="00483B56" w:rsidRDefault="00483B56" w:rsidP="008D4440">
      <w:pPr>
        <w:pStyle w:val="ListParagraph"/>
        <w:ind w:left="0"/>
        <w:rPr>
          <w:rFonts w:ascii="Calibri" w:hAnsi="Calibri" w:cs="Calibri"/>
          <w:color w:val="002F5D"/>
        </w:rPr>
      </w:pPr>
    </w:p>
    <w:p w14:paraId="39F6AE6C" w14:textId="493589D2" w:rsidR="00483B56" w:rsidRDefault="00483B56" w:rsidP="008D4440">
      <w:pPr>
        <w:pStyle w:val="ListParagraph"/>
        <w:ind w:left="0"/>
        <w:rPr>
          <w:rFonts w:ascii="Calibri" w:hAnsi="Calibri" w:cs="Calibri"/>
          <w:color w:val="002F5D"/>
        </w:rPr>
      </w:pPr>
    </w:p>
    <w:p w14:paraId="25F52B5C" w14:textId="373BE191" w:rsidR="00483B56" w:rsidRDefault="00483B56" w:rsidP="008D4440">
      <w:pPr>
        <w:pStyle w:val="ListParagraph"/>
        <w:ind w:left="0"/>
        <w:rPr>
          <w:rFonts w:ascii="Calibri" w:hAnsi="Calibri" w:cs="Calibri"/>
          <w:color w:val="002F5D"/>
        </w:rPr>
      </w:pPr>
    </w:p>
    <w:p w14:paraId="0F494F1F" w14:textId="529B9826" w:rsidR="00483B56" w:rsidRDefault="00483B56" w:rsidP="008D4440">
      <w:pPr>
        <w:pStyle w:val="ListParagraph"/>
        <w:ind w:left="0"/>
        <w:rPr>
          <w:rFonts w:ascii="Calibri" w:hAnsi="Calibri" w:cs="Calibri"/>
          <w:color w:val="002F5D"/>
        </w:rPr>
      </w:pPr>
    </w:p>
    <w:p w14:paraId="3628CA2A" w14:textId="251CFE84" w:rsidR="00483B56" w:rsidRDefault="00483B56" w:rsidP="008D4440">
      <w:pPr>
        <w:pStyle w:val="ListParagraph"/>
        <w:ind w:left="0"/>
        <w:rPr>
          <w:rFonts w:ascii="Calibri" w:hAnsi="Calibri" w:cs="Calibri"/>
          <w:color w:val="002F5D"/>
        </w:rPr>
      </w:pPr>
    </w:p>
    <w:p w14:paraId="645CDF40" w14:textId="3D927234" w:rsidR="00483B56" w:rsidRDefault="00483B56" w:rsidP="008D4440">
      <w:pPr>
        <w:pStyle w:val="ListParagraph"/>
        <w:ind w:left="0"/>
        <w:rPr>
          <w:rFonts w:ascii="Calibri" w:hAnsi="Calibri" w:cs="Calibri"/>
          <w:color w:val="002F5D"/>
        </w:rPr>
      </w:pPr>
    </w:p>
    <w:p w14:paraId="36341673" w14:textId="77777777" w:rsidR="00483B56" w:rsidRDefault="00483B56" w:rsidP="008D4440">
      <w:pPr>
        <w:pStyle w:val="ListParagraph"/>
        <w:ind w:left="0"/>
        <w:rPr>
          <w:rFonts w:ascii="Calibri" w:hAnsi="Calibri" w:cs="Calibri"/>
          <w:color w:val="002F5D"/>
        </w:rPr>
      </w:pPr>
    </w:p>
    <w:p w14:paraId="737A5800" w14:textId="381C0795" w:rsidR="00D603A2" w:rsidRPr="00172365" w:rsidRDefault="00A2366A" w:rsidP="00330B65">
      <w:pPr>
        <w:spacing w:after="160" w:line="240" w:lineRule="auto"/>
        <w:rPr>
          <w:rFonts w:ascii="Calibri" w:hAnsi="Calibri" w:cs="Calibri"/>
          <w:color w:val="002F5D"/>
        </w:rPr>
      </w:pPr>
      <w:r>
        <w:rPr>
          <w:rFonts w:ascii="Calibri" w:hAnsi="Calibri" w:cs="Calibri"/>
          <w:b/>
          <w:color w:val="002F5D"/>
        </w:rPr>
        <w:lastRenderedPageBreak/>
        <w:t>Figure 60</w:t>
      </w:r>
      <w:r w:rsidR="00837184">
        <w:rPr>
          <w:rFonts w:ascii="Calibri" w:hAnsi="Calibri" w:cs="Calibri"/>
          <w:b/>
          <w:color w:val="002F5D"/>
        </w:rPr>
        <w:t>.</w:t>
      </w:r>
      <w:r w:rsidR="00D603A2">
        <w:rPr>
          <w:rFonts w:ascii="Calibri" w:hAnsi="Calibri" w:cs="Calibri"/>
          <w:b/>
          <w:color w:val="002F5D"/>
        </w:rPr>
        <w:t xml:space="preserve"> </w:t>
      </w:r>
      <w:r w:rsidR="00D603A2" w:rsidRPr="00330B65">
        <w:rPr>
          <w:rFonts w:ascii="Calibri" w:hAnsi="Calibri" w:cs="Calibri"/>
          <w:color w:val="002F5D"/>
        </w:rPr>
        <w:t xml:space="preserve">Number of requests for support received from new clients per 100,000 of population aged 18+, </w:t>
      </w:r>
      <w:r w:rsidR="00172365">
        <w:rPr>
          <w:rFonts w:ascii="Calibri" w:hAnsi="Calibri" w:cs="Calibri"/>
          <w:color w:val="002F5D"/>
        </w:rPr>
        <w:t>Peterborough</w:t>
      </w:r>
    </w:p>
    <w:p w14:paraId="383858C4" w14:textId="77777777" w:rsidR="008D4440" w:rsidRPr="00330B65" w:rsidRDefault="008D4440" w:rsidP="00330B65">
      <w:pPr>
        <w:spacing w:line="240" w:lineRule="auto"/>
        <w:rPr>
          <w:rFonts w:ascii="Calibri" w:hAnsi="Calibri" w:cs="Calibri"/>
          <w:color w:val="002F5D"/>
        </w:rPr>
      </w:pPr>
      <w:r w:rsidRPr="00330B65">
        <w:rPr>
          <w:rFonts w:ascii="Calibri" w:hAnsi="Calibri" w:cs="Calibri"/>
          <w:noProof/>
          <w:color w:val="002F5D"/>
          <w:lang w:eastAsia="en-GB"/>
        </w:rPr>
        <w:drawing>
          <wp:inline distT="0" distB="0" distL="0" distR="0" wp14:anchorId="0EEA0AD3" wp14:editId="0E0DCD4C">
            <wp:extent cx="5543550" cy="2400300"/>
            <wp:effectExtent l="0" t="0" r="0" b="0"/>
            <wp:docPr id="488" name="Chart 4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r w:rsidRPr="00330B65">
        <w:rPr>
          <w:rFonts w:ascii="Calibri" w:hAnsi="Calibri" w:cs="Calibri"/>
          <w:color w:val="002F5D"/>
        </w:rPr>
        <w:t xml:space="preserve"> </w:t>
      </w:r>
    </w:p>
    <w:p w14:paraId="525C8C34" w14:textId="77777777" w:rsidR="00782D43" w:rsidRPr="00102750" w:rsidRDefault="00782D43"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91 below</w:t>
      </w:r>
    </w:p>
    <w:p w14:paraId="437B85C0" w14:textId="77777777" w:rsidR="00782D43" w:rsidRDefault="00782D43" w:rsidP="00330B65">
      <w:pPr>
        <w:spacing w:line="240" w:lineRule="auto"/>
        <w:rPr>
          <w:rFonts w:ascii="Calibri" w:hAnsi="Calibri" w:cs="Calibri"/>
          <w:color w:val="002F5D"/>
        </w:rPr>
      </w:pPr>
    </w:p>
    <w:p w14:paraId="74C6EEF0" w14:textId="77777777"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4ABA7053" w14:textId="77777777" w:rsidR="00BF3939" w:rsidRDefault="00BF3939" w:rsidP="00330B65">
      <w:pPr>
        <w:pStyle w:val="ListParagraph"/>
        <w:spacing w:line="240" w:lineRule="auto"/>
        <w:ind w:left="0"/>
        <w:rPr>
          <w:rFonts w:ascii="Calibri" w:hAnsi="Calibri" w:cs="Calibri"/>
          <w:color w:val="002F5D"/>
        </w:rPr>
      </w:pPr>
    </w:p>
    <w:p w14:paraId="64B21757" w14:textId="63653561"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Peterborough the number of requests of support received from new clients has decreased over the period, and remains</w:t>
      </w:r>
      <w:r w:rsidR="00BD7EFB">
        <w:rPr>
          <w:rFonts w:ascii="Calibri" w:hAnsi="Calibri" w:cs="Calibri"/>
          <w:color w:val="002F5D"/>
        </w:rPr>
        <w:t xml:space="preserve"> numerically</w:t>
      </w:r>
      <w:r w:rsidRPr="00330B65">
        <w:rPr>
          <w:rFonts w:ascii="Calibri" w:hAnsi="Calibri" w:cs="Calibri"/>
          <w:color w:val="002F5D"/>
        </w:rPr>
        <w:t xml:space="preserve"> lower th</w:t>
      </w:r>
      <w:r w:rsidR="003813C9">
        <w:rPr>
          <w:rFonts w:ascii="Calibri" w:hAnsi="Calibri" w:cs="Calibri"/>
          <w:color w:val="002F5D"/>
        </w:rPr>
        <w:t>a</w:t>
      </w:r>
      <w:r w:rsidRPr="00330B65">
        <w:rPr>
          <w:rFonts w:ascii="Calibri" w:hAnsi="Calibri" w:cs="Calibri"/>
          <w:color w:val="002F5D"/>
        </w:rPr>
        <w:t>n national, regional an</w:t>
      </w:r>
      <w:r w:rsidR="00C65B87">
        <w:rPr>
          <w:rFonts w:ascii="Calibri" w:hAnsi="Calibri" w:cs="Calibri"/>
          <w:color w:val="002F5D"/>
        </w:rPr>
        <w:t>d statistical neighbour average</w:t>
      </w:r>
      <w:r w:rsidR="003813C9">
        <w:rPr>
          <w:rFonts w:ascii="Calibri" w:hAnsi="Calibri" w:cs="Calibri"/>
          <w:color w:val="002F5D"/>
        </w:rPr>
        <w:t>s</w:t>
      </w:r>
      <w:r w:rsidRPr="00330B65">
        <w:rPr>
          <w:rFonts w:ascii="Calibri" w:hAnsi="Calibri" w:cs="Calibri"/>
          <w:color w:val="002F5D"/>
        </w:rPr>
        <w:t>.</w:t>
      </w:r>
    </w:p>
    <w:p w14:paraId="1F365107" w14:textId="64CEEF2D" w:rsidR="008D4440" w:rsidRPr="00330B65" w:rsidRDefault="008D4440" w:rsidP="00330B65">
      <w:pPr>
        <w:spacing w:line="240" w:lineRule="auto"/>
        <w:rPr>
          <w:rFonts w:ascii="Calibri" w:hAnsi="Calibri" w:cs="Calibri"/>
          <w:color w:val="002F5D"/>
        </w:rPr>
      </w:pPr>
    </w:p>
    <w:p w14:paraId="01CF4D04" w14:textId="50658845" w:rsidR="008D4440" w:rsidRPr="00330B65" w:rsidRDefault="00B81E4B" w:rsidP="00330B65">
      <w:pPr>
        <w:pStyle w:val="NoSpacing"/>
        <w:ind w:left="-993" w:firstLine="993"/>
        <w:rPr>
          <w:rFonts w:ascii="Calibri" w:hAnsi="Calibri" w:cs="Calibri"/>
          <w:color w:val="002F5D"/>
        </w:rPr>
      </w:pPr>
      <w:r>
        <w:rPr>
          <w:rFonts w:ascii="Calibri" w:hAnsi="Calibri" w:cs="Calibri"/>
          <w:b/>
          <w:color w:val="002F5D"/>
        </w:rPr>
        <w:t>Table 88</w:t>
      </w:r>
      <w:r w:rsidR="00837184">
        <w:rPr>
          <w:rFonts w:ascii="Calibri" w:hAnsi="Calibri" w:cs="Calibri"/>
          <w:b/>
          <w:color w:val="002F5D"/>
        </w:rPr>
        <w:t>.</w:t>
      </w:r>
      <w:r w:rsidR="00B80CC2">
        <w:rPr>
          <w:rFonts w:ascii="Calibri" w:hAnsi="Calibri" w:cs="Calibri"/>
          <w:b/>
          <w:color w:val="002F5D"/>
        </w:rPr>
        <w:t xml:space="preserve"> </w:t>
      </w:r>
      <w:r w:rsidR="008D4440" w:rsidRPr="00330B65">
        <w:rPr>
          <w:rFonts w:ascii="Calibri" w:hAnsi="Calibri" w:cs="Calibri"/>
          <w:color w:val="002F5D"/>
        </w:rPr>
        <w:t>Number of requests for support received from new clients</w:t>
      </w:r>
    </w:p>
    <w:p w14:paraId="75C902AD" w14:textId="77777777" w:rsidR="00C912DE" w:rsidRPr="00330B65" w:rsidRDefault="00C912DE" w:rsidP="00E61D24">
      <w:pPr>
        <w:pStyle w:val="NoSpacing"/>
        <w:ind w:left="-1020" w:firstLine="993"/>
        <w:rPr>
          <w:rFonts w:ascii="Calibri" w:hAnsi="Calibri" w:cs="Calibri"/>
          <w:b/>
          <w:color w:val="002F5D"/>
        </w:rPr>
      </w:pPr>
    </w:p>
    <w:tbl>
      <w:tblPr>
        <w:tblW w:w="9983" w:type="dxa"/>
        <w:tblInd w:w="-299" w:type="dxa"/>
        <w:tblBorders>
          <w:top w:val="single" w:sz="12" w:space="0" w:color="002F5D"/>
          <w:left w:val="single" w:sz="12" w:space="0" w:color="002F5D"/>
          <w:bottom w:val="single" w:sz="12" w:space="0" w:color="002F5D"/>
          <w:right w:val="single" w:sz="12" w:space="0" w:color="002F5D"/>
          <w:insideH w:val="single" w:sz="6" w:space="0" w:color="002F5D"/>
          <w:insideV w:val="single" w:sz="6" w:space="0" w:color="002F5D"/>
        </w:tblBorders>
        <w:tblLayout w:type="fixed"/>
        <w:tblLook w:val="04A0" w:firstRow="1" w:lastRow="0" w:firstColumn="1" w:lastColumn="0" w:noHBand="0" w:noVBand="1"/>
      </w:tblPr>
      <w:tblGrid>
        <w:gridCol w:w="2469"/>
        <w:gridCol w:w="841"/>
        <w:gridCol w:w="1316"/>
        <w:gridCol w:w="733"/>
        <w:gridCol w:w="1300"/>
        <w:gridCol w:w="867"/>
        <w:gridCol w:w="1301"/>
        <w:gridCol w:w="1156"/>
      </w:tblGrid>
      <w:tr w:rsidR="00B80CC2" w:rsidRPr="00936844" w14:paraId="03A8A1A5" w14:textId="77777777" w:rsidTr="00330B65">
        <w:trPr>
          <w:trHeight w:val="196"/>
        </w:trPr>
        <w:tc>
          <w:tcPr>
            <w:tcW w:w="2469" w:type="dxa"/>
            <w:tcBorders>
              <w:top w:val="single" w:sz="12" w:space="0" w:color="002F5D"/>
              <w:bottom w:val="single" w:sz="6" w:space="0" w:color="002F5D"/>
              <w:right w:val="single" w:sz="8" w:space="0" w:color="FFFFFF" w:themeColor="background1"/>
            </w:tcBorders>
            <w:shd w:val="clear" w:color="auto" w:fill="244061" w:themeFill="accent1" w:themeFillShade="80"/>
            <w:noWrap/>
            <w:vAlign w:val="center"/>
            <w:hideMark/>
          </w:tcPr>
          <w:p w14:paraId="08CA5345" w14:textId="77777777" w:rsidR="008D4440" w:rsidRPr="00330B65" w:rsidRDefault="008D4440" w:rsidP="00936844">
            <w:pPr>
              <w:spacing w:line="240" w:lineRule="auto"/>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841"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noWrap/>
            <w:vAlign w:val="center"/>
            <w:hideMark/>
          </w:tcPr>
          <w:p w14:paraId="54E9361D"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 aged 18-64</w:t>
            </w:r>
          </w:p>
        </w:tc>
        <w:tc>
          <w:tcPr>
            <w:tcW w:w="1316"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noWrap/>
            <w:vAlign w:val="center"/>
            <w:hideMark/>
          </w:tcPr>
          <w:p w14:paraId="11CDE247"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18-64</w:t>
            </w:r>
          </w:p>
        </w:tc>
        <w:tc>
          <w:tcPr>
            <w:tcW w:w="733"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noWrap/>
            <w:vAlign w:val="center"/>
            <w:hideMark/>
          </w:tcPr>
          <w:p w14:paraId="226E69A1"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 aged 65+</w:t>
            </w:r>
          </w:p>
        </w:tc>
        <w:tc>
          <w:tcPr>
            <w:tcW w:w="1300"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noWrap/>
            <w:vAlign w:val="center"/>
            <w:hideMark/>
          </w:tcPr>
          <w:p w14:paraId="00D702EF"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65+</w:t>
            </w:r>
          </w:p>
        </w:tc>
        <w:tc>
          <w:tcPr>
            <w:tcW w:w="867"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noWrap/>
            <w:vAlign w:val="center"/>
            <w:hideMark/>
          </w:tcPr>
          <w:p w14:paraId="53983C33"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 aged 18+</w:t>
            </w:r>
          </w:p>
        </w:tc>
        <w:tc>
          <w:tcPr>
            <w:tcW w:w="1301" w:type="dxa"/>
            <w:tcBorders>
              <w:top w:val="single" w:sz="12" w:space="0" w:color="002F5D"/>
              <w:left w:val="single" w:sz="8" w:space="0" w:color="FFFFFF" w:themeColor="background1"/>
              <w:bottom w:val="single" w:sz="6" w:space="0" w:color="002F5D"/>
              <w:right w:val="single" w:sz="8" w:space="0" w:color="FFFFFF" w:themeColor="background1"/>
            </w:tcBorders>
            <w:shd w:val="clear" w:color="auto" w:fill="244061" w:themeFill="accent1" w:themeFillShade="80"/>
          </w:tcPr>
          <w:p w14:paraId="124A6545"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18+</w:t>
            </w:r>
          </w:p>
        </w:tc>
        <w:tc>
          <w:tcPr>
            <w:tcW w:w="1156" w:type="dxa"/>
            <w:tcBorders>
              <w:top w:val="single" w:sz="12" w:space="0" w:color="002F5D"/>
              <w:left w:val="single" w:sz="8" w:space="0" w:color="FFFFFF" w:themeColor="background1"/>
              <w:bottom w:val="single" w:sz="6" w:space="0" w:color="002F5D"/>
            </w:tcBorders>
            <w:shd w:val="clear" w:color="auto" w:fill="244061" w:themeFill="accent1" w:themeFillShade="80"/>
            <w:noWrap/>
            <w:vAlign w:val="center"/>
            <w:hideMark/>
          </w:tcPr>
          <w:p w14:paraId="4B1BC6DB" w14:textId="06CC6726"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C65B87">
              <w:rPr>
                <w:rFonts w:ascii="Calibri" w:eastAsia="Times New Roman" w:hAnsi="Calibri" w:cs="Calibri"/>
                <w:color w:val="FFFFFF" w:themeColor="background1"/>
                <w:lang w:eastAsia="en-GB"/>
              </w:rPr>
              <w:t>*</w:t>
            </w:r>
          </w:p>
        </w:tc>
      </w:tr>
      <w:tr w:rsidR="00B80CC2" w:rsidRPr="00936844" w14:paraId="42D0AE36" w14:textId="77777777" w:rsidTr="00330B65">
        <w:trPr>
          <w:trHeight w:val="186"/>
        </w:trPr>
        <w:tc>
          <w:tcPr>
            <w:tcW w:w="2469" w:type="dxa"/>
            <w:tcBorders>
              <w:top w:val="single" w:sz="6" w:space="0" w:color="002F5D"/>
              <w:left w:val="single" w:sz="12" w:space="0" w:color="002F5D"/>
              <w:bottom w:val="nil"/>
            </w:tcBorders>
            <w:shd w:val="clear" w:color="auto" w:fill="auto"/>
            <w:noWrap/>
            <w:vAlign w:val="center"/>
          </w:tcPr>
          <w:p w14:paraId="774DE17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841" w:type="dxa"/>
            <w:tcBorders>
              <w:top w:val="single" w:sz="6" w:space="0" w:color="002F5D"/>
              <w:bottom w:val="nil"/>
            </w:tcBorders>
            <w:shd w:val="clear" w:color="auto" w:fill="auto"/>
            <w:noWrap/>
            <w:vAlign w:val="center"/>
          </w:tcPr>
          <w:p w14:paraId="01D0CBF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330</w:t>
            </w:r>
          </w:p>
        </w:tc>
        <w:tc>
          <w:tcPr>
            <w:tcW w:w="1316" w:type="dxa"/>
            <w:tcBorders>
              <w:top w:val="single" w:sz="6" w:space="0" w:color="002F5D"/>
              <w:bottom w:val="nil"/>
            </w:tcBorders>
            <w:shd w:val="clear" w:color="auto" w:fill="D9D9D9" w:themeFill="background1" w:themeFillShade="D9"/>
            <w:noWrap/>
            <w:vAlign w:val="center"/>
          </w:tcPr>
          <w:p w14:paraId="422C60F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384</w:t>
            </w:r>
          </w:p>
        </w:tc>
        <w:tc>
          <w:tcPr>
            <w:tcW w:w="733" w:type="dxa"/>
            <w:tcBorders>
              <w:top w:val="single" w:sz="6" w:space="0" w:color="002F5D"/>
              <w:bottom w:val="nil"/>
            </w:tcBorders>
            <w:shd w:val="clear" w:color="auto" w:fill="auto"/>
            <w:noWrap/>
            <w:vAlign w:val="center"/>
          </w:tcPr>
          <w:p w14:paraId="3B90FF6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1,480</w:t>
            </w:r>
          </w:p>
        </w:tc>
        <w:tc>
          <w:tcPr>
            <w:tcW w:w="1300" w:type="dxa"/>
            <w:tcBorders>
              <w:top w:val="single" w:sz="6" w:space="0" w:color="002F5D"/>
              <w:bottom w:val="nil"/>
            </w:tcBorders>
            <w:shd w:val="clear" w:color="auto" w:fill="D9D9D9" w:themeFill="background1" w:themeFillShade="D9"/>
            <w:noWrap/>
            <w:vAlign w:val="center"/>
          </w:tcPr>
          <w:p w14:paraId="44A4210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9,320</w:t>
            </w:r>
          </w:p>
        </w:tc>
        <w:tc>
          <w:tcPr>
            <w:tcW w:w="867" w:type="dxa"/>
            <w:tcBorders>
              <w:top w:val="single" w:sz="6" w:space="0" w:color="002F5D"/>
              <w:bottom w:val="nil"/>
            </w:tcBorders>
            <w:shd w:val="clear" w:color="auto" w:fill="auto"/>
            <w:noWrap/>
            <w:vAlign w:val="center"/>
          </w:tcPr>
          <w:p w14:paraId="67943CB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1,810</w:t>
            </w:r>
          </w:p>
        </w:tc>
        <w:tc>
          <w:tcPr>
            <w:tcW w:w="1301" w:type="dxa"/>
            <w:tcBorders>
              <w:top w:val="single" w:sz="6" w:space="0" w:color="002F5D"/>
              <w:bottom w:val="nil"/>
            </w:tcBorders>
            <w:shd w:val="clear" w:color="auto" w:fill="D9D9D9" w:themeFill="background1" w:themeFillShade="D9"/>
            <w:vAlign w:val="center"/>
          </w:tcPr>
          <w:p w14:paraId="3CE95E1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1,778</w:t>
            </w:r>
          </w:p>
        </w:tc>
        <w:tc>
          <w:tcPr>
            <w:tcW w:w="1156" w:type="dxa"/>
            <w:tcBorders>
              <w:top w:val="single" w:sz="6" w:space="0" w:color="002F5D"/>
              <w:bottom w:val="nil"/>
            </w:tcBorders>
            <w:shd w:val="clear" w:color="auto" w:fill="auto"/>
            <w:noWrap/>
            <w:vAlign w:val="center"/>
          </w:tcPr>
          <w:p w14:paraId="5FCC7C7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w:t>
            </w:r>
          </w:p>
        </w:tc>
      </w:tr>
      <w:tr w:rsidR="00B80CC2" w:rsidRPr="00936844" w14:paraId="07043F2D" w14:textId="77777777" w:rsidTr="00330B65">
        <w:trPr>
          <w:trHeight w:val="186"/>
        </w:trPr>
        <w:tc>
          <w:tcPr>
            <w:tcW w:w="2469" w:type="dxa"/>
            <w:tcBorders>
              <w:top w:val="nil"/>
              <w:left w:val="single" w:sz="12" w:space="0" w:color="002F5D"/>
              <w:bottom w:val="nil"/>
            </w:tcBorders>
            <w:shd w:val="clear" w:color="auto" w:fill="auto"/>
            <w:noWrap/>
            <w:vAlign w:val="center"/>
          </w:tcPr>
          <w:p w14:paraId="5AB82F8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841" w:type="dxa"/>
            <w:tcBorders>
              <w:top w:val="nil"/>
              <w:bottom w:val="nil"/>
            </w:tcBorders>
            <w:shd w:val="clear" w:color="auto" w:fill="auto"/>
            <w:noWrap/>
            <w:vAlign w:val="center"/>
          </w:tcPr>
          <w:p w14:paraId="6704F73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245</w:t>
            </w:r>
          </w:p>
        </w:tc>
        <w:tc>
          <w:tcPr>
            <w:tcW w:w="1316" w:type="dxa"/>
            <w:tcBorders>
              <w:top w:val="nil"/>
              <w:bottom w:val="nil"/>
            </w:tcBorders>
            <w:shd w:val="clear" w:color="auto" w:fill="D9D9D9" w:themeFill="background1" w:themeFillShade="D9"/>
            <w:noWrap/>
            <w:vAlign w:val="center"/>
          </w:tcPr>
          <w:p w14:paraId="448C94E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474</w:t>
            </w:r>
          </w:p>
        </w:tc>
        <w:tc>
          <w:tcPr>
            <w:tcW w:w="733" w:type="dxa"/>
            <w:tcBorders>
              <w:top w:val="nil"/>
              <w:bottom w:val="nil"/>
            </w:tcBorders>
            <w:shd w:val="clear" w:color="auto" w:fill="auto"/>
            <w:noWrap/>
            <w:vAlign w:val="center"/>
          </w:tcPr>
          <w:p w14:paraId="603A3EC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1,445</w:t>
            </w:r>
          </w:p>
        </w:tc>
        <w:tc>
          <w:tcPr>
            <w:tcW w:w="1300" w:type="dxa"/>
            <w:tcBorders>
              <w:top w:val="nil"/>
              <w:bottom w:val="nil"/>
            </w:tcBorders>
            <w:shd w:val="clear" w:color="auto" w:fill="D9D9D9" w:themeFill="background1" w:themeFillShade="D9"/>
            <w:noWrap/>
            <w:vAlign w:val="center"/>
          </w:tcPr>
          <w:p w14:paraId="3587741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8,231</w:t>
            </w:r>
          </w:p>
        </w:tc>
        <w:tc>
          <w:tcPr>
            <w:tcW w:w="867" w:type="dxa"/>
            <w:tcBorders>
              <w:top w:val="nil"/>
              <w:bottom w:val="nil"/>
            </w:tcBorders>
            <w:shd w:val="clear" w:color="auto" w:fill="auto"/>
            <w:noWrap/>
            <w:vAlign w:val="center"/>
          </w:tcPr>
          <w:p w14:paraId="287CA23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1,690</w:t>
            </w:r>
          </w:p>
        </w:tc>
        <w:tc>
          <w:tcPr>
            <w:tcW w:w="1301" w:type="dxa"/>
            <w:tcBorders>
              <w:top w:val="nil"/>
              <w:bottom w:val="nil"/>
            </w:tcBorders>
            <w:shd w:val="clear" w:color="auto" w:fill="D9D9D9" w:themeFill="background1" w:themeFillShade="D9"/>
            <w:vAlign w:val="center"/>
          </w:tcPr>
          <w:p w14:paraId="5068035A"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2,441</w:t>
            </w:r>
          </w:p>
        </w:tc>
        <w:tc>
          <w:tcPr>
            <w:tcW w:w="1156" w:type="dxa"/>
            <w:tcBorders>
              <w:top w:val="nil"/>
              <w:bottom w:val="nil"/>
            </w:tcBorders>
            <w:shd w:val="clear" w:color="auto" w:fill="auto"/>
            <w:noWrap/>
            <w:vAlign w:val="center"/>
          </w:tcPr>
          <w:p w14:paraId="415578B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w:t>
            </w:r>
          </w:p>
        </w:tc>
      </w:tr>
      <w:tr w:rsidR="00B80CC2" w:rsidRPr="00936844" w14:paraId="12D3F842" w14:textId="77777777" w:rsidTr="00330B65">
        <w:trPr>
          <w:trHeight w:val="186"/>
        </w:trPr>
        <w:tc>
          <w:tcPr>
            <w:tcW w:w="2469" w:type="dxa"/>
            <w:tcBorders>
              <w:top w:val="nil"/>
              <w:left w:val="single" w:sz="12" w:space="0" w:color="002F5D"/>
              <w:bottom w:val="nil"/>
            </w:tcBorders>
            <w:shd w:val="clear" w:color="auto" w:fill="auto"/>
            <w:noWrap/>
            <w:vAlign w:val="center"/>
          </w:tcPr>
          <w:p w14:paraId="48F8542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841" w:type="dxa"/>
            <w:tcBorders>
              <w:top w:val="nil"/>
              <w:bottom w:val="nil"/>
            </w:tcBorders>
            <w:shd w:val="clear" w:color="auto" w:fill="auto"/>
            <w:noWrap/>
            <w:vAlign w:val="center"/>
          </w:tcPr>
          <w:p w14:paraId="79C1157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420</w:t>
            </w:r>
          </w:p>
        </w:tc>
        <w:tc>
          <w:tcPr>
            <w:tcW w:w="1316" w:type="dxa"/>
            <w:tcBorders>
              <w:top w:val="nil"/>
              <w:bottom w:val="nil"/>
            </w:tcBorders>
            <w:shd w:val="clear" w:color="auto" w:fill="D9D9D9" w:themeFill="background1" w:themeFillShade="D9"/>
            <w:noWrap/>
            <w:vAlign w:val="center"/>
          </w:tcPr>
          <w:p w14:paraId="7F62348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723</w:t>
            </w:r>
          </w:p>
        </w:tc>
        <w:tc>
          <w:tcPr>
            <w:tcW w:w="733" w:type="dxa"/>
            <w:tcBorders>
              <w:top w:val="nil"/>
              <w:bottom w:val="nil"/>
            </w:tcBorders>
            <w:shd w:val="clear" w:color="auto" w:fill="auto"/>
            <w:noWrap/>
            <w:vAlign w:val="center"/>
          </w:tcPr>
          <w:p w14:paraId="7585E9E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2,000</w:t>
            </w:r>
          </w:p>
        </w:tc>
        <w:tc>
          <w:tcPr>
            <w:tcW w:w="1300" w:type="dxa"/>
            <w:tcBorders>
              <w:top w:val="nil"/>
              <w:bottom w:val="nil"/>
            </w:tcBorders>
            <w:shd w:val="clear" w:color="auto" w:fill="D9D9D9" w:themeFill="background1" w:themeFillShade="D9"/>
            <w:noWrap/>
            <w:vAlign w:val="center"/>
          </w:tcPr>
          <w:p w14:paraId="2D6AE1B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8,845</w:t>
            </w:r>
          </w:p>
        </w:tc>
        <w:tc>
          <w:tcPr>
            <w:tcW w:w="867" w:type="dxa"/>
            <w:tcBorders>
              <w:top w:val="nil"/>
              <w:bottom w:val="nil"/>
            </w:tcBorders>
            <w:shd w:val="clear" w:color="auto" w:fill="auto"/>
            <w:noWrap/>
            <w:vAlign w:val="center"/>
          </w:tcPr>
          <w:p w14:paraId="7861F62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2,420</w:t>
            </w:r>
          </w:p>
        </w:tc>
        <w:tc>
          <w:tcPr>
            <w:tcW w:w="1301" w:type="dxa"/>
            <w:tcBorders>
              <w:top w:val="nil"/>
              <w:bottom w:val="nil"/>
            </w:tcBorders>
            <w:shd w:val="clear" w:color="auto" w:fill="D9D9D9" w:themeFill="background1" w:themeFillShade="D9"/>
            <w:vAlign w:val="center"/>
          </w:tcPr>
          <w:p w14:paraId="612C4938"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3,000</w:t>
            </w:r>
          </w:p>
        </w:tc>
        <w:tc>
          <w:tcPr>
            <w:tcW w:w="1156" w:type="dxa"/>
            <w:tcBorders>
              <w:top w:val="nil"/>
              <w:bottom w:val="nil"/>
            </w:tcBorders>
            <w:shd w:val="clear" w:color="auto" w:fill="auto"/>
            <w:noWrap/>
            <w:vAlign w:val="center"/>
          </w:tcPr>
          <w:p w14:paraId="7B01E5A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w:t>
            </w:r>
          </w:p>
        </w:tc>
      </w:tr>
      <w:tr w:rsidR="00B80CC2" w:rsidRPr="00936844" w14:paraId="1A87B08A" w14:textId="77777777" w:rsidTr="00330B65">
        <w:trPr>
          <w:trHeight w:val="186"/>
        </w:trPr>
        <w:tc>
          <w:tcPr>
            <w:tcW w:w="2469" w:type="dxa"/>
            <w:tcBorders>
              <w:top w:val="nil"/>
              <w:left w:val="single" w:sz="12" w:space="0" w:color="002F5D"/>
              <w:bottom w:val="nil"/>
            </w:tcBorders>
            <w:shd w:val="clear" w:color="auto" w:fill="auto"/>
            <w:noWrap/>
            <w:vAlign w:val="center"/>
          </w:tcPr>
          <w:p w14:paraId="68E7C5A1"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841" w:type="dxa"/>
            <w:tcBorders>
              <w:top w:val="nil"/>
              <w:bottom w:val="nil"/>
            </w:tcBorders>
            <w:shd w:val="clear" w:color="auto" w:fill="auto"/>
            <w:noWrap/>
            <w:vAlign w:val="center"/>
          </w:tcPr>
          <w:p w14:paraId="1E95A08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485</w:t>
            </w:r>
          </w:p>
        </w:tc>
        <w:tc>
          <w:tcPr>
            <w:tcW w:w="1316" w:type="dxa"/>
            <w:tcBorders>
              <w:top w:val="nil"/>
              <w:bottom w:val="nil"/>
            </w:tcBorders>
            <w:shd w:val="clear" w:color="auto" w:fill="D9D9D9" w:themeFill="background1" w:themeFillShade="D9"/>
            <w:noWrap/>
            <w:vAlign w:val="center"/>
          </w:tcPr>
          <w:p w14:paraId="6D3C629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459</w:t>
            </w:r>
          </w:p>
        </w:tc>
        <w:tc>
          <w:tcPr>
            <w:tcW w:w="733" w:type="dxa"/>
            <w:tcBorders>
              <w:top w:val="nil"/>
              <w:bottom w:val="nil"/>
            </w:tcBorders>
            <w:shd w:val="clear" w:color="auto" w:fill="auto"/>
            <w:noWrap/>
            <w:vAlign w:val="center"/>
          </w:tcPr>
          <w:p w14:paraId="409F04E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2,640</w:t>
            </w:r>
          </w:p>
        </w:tc>
        <w:tc>
          <w:tcPr>
            <w:tcW w:w="1300" w:type="dxa"/>
            <w:tcBorders>
              <w:top w:val="nil"/>
              <w:bottom w:val="nil"/>
            </w:tcBorders>
            <w:shd w:val="clear" w:color="auto" w:fill="D9D9D9" w:themeFill="background1" w:themeFillShade="D9"/>
            <w:noWrap/>
            <w:vAlign w:val="center"/>
          </w:tcPr>
          <w:p w14:paraId="2F8B3DA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7,626</w:t>
            </w:r>
          </w:p>
        </w:tc>
        <w:tc>
          <w:tcPr>
            <w:tcW w:w="867" w:type="dxa"/>
            <w:tcBorders>
              <w:top w:val="nil"/>
              <w:bottom w:val="nil"/>
            </w:tcBorders>
            <w:shd w:val="clear" w:color="auto" w:fill="auto"/>
            <w:noWrap/>
            <w:vAlign w:val="center"/>
          </w:tcPr>
          <w:p w14:paraId="0BC7EFB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3,125</w:t>
            </w:r>
          </w:p>
        </w:tc>
        <w:tc>
          <w:tcPr>
            <w:tcW w:w="1301" w:type="dxa"/>
            <w:tcBorders>
              <w:top w:val="nil"/>
              <w:bottom w:val="nil"/>
            </w:tcBorders>
            <w:shd w:val="clear" w:color="auto" w:fill="D9D9D9" w:themeFill="background1" w:themeFillShade="D9"/>
            <w:vAlign w:val="center"/>
          </w:tcPr>
          <w:p w14:paraId="1043984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2,226</w:t>
            </w:r>
          </w:p>
        </w:tc>
        <w:tc>
          <w:tcPr>
            <w:tcW w:w="1156" w:type="dxa"/>
            <w:tcBorders>
              <w:top w:val="nil"/>
              <w:bottom w:val="nil"/>
            </w:tcBorders>
            <w:shd w:val="clear" w:color="auto" w:fill="auto"/>
            <w:noWrap/>
            <w:vAlign w:val="center"/>
          </w:tcPr>
          <w:p w14:paraId="0C364F2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23%</w:t>
            </w:r>
          </w:p>
        </w:tc>
      </w:tr>
      <w:tr w:rsidR="00B80CC2" w:rsidRPr="00936844" w14:paraId="48E2AD1B" w14:textId="77777777" w:rsidTr="00330B65">
        <w:trPr>
          <w:trHeight w:val="186"/>
        </w:trPr>
        <w:tc>
          <w:tcPr>
            <w:tcW w:w="2469" w:type="dxa"/>
            <w:tcBorders>
              <w:top w:val="nil"/>
              <w:left w:val="single" w:sz="12" w:space="0" w:color="002F5D"/>
              <w:bottom w:val="nil"/>
            </w:tcBorders>
            <w:shd w:val="clear" w:color="auto" w:fill="auto"/>
            <w:noWrap/>
            <w:vAlign w:val="center"/>
          </w:tcPr>
          <w:p w14:paraId="628C4D09"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841" w:type="dxa"/>
            <w:tcBorders>
              <w:top w:val="nil"/>
              <w:bottom w:val="nil"/>
            </w:tcBorders>
            <w:shd w:val="clear" w:color="auto" w:fill="auto"/>
            <w:noWrap/>
            <w:vAlign w:val="center"/>
          </w:tcPr>
          <w:p w14:paraId="3B74473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310</w:t>
            </w:r>
          </w:p>
        </w:tc>
        <w:tc>
          <w:tcPr>
            <w:tcW w:w="1316" w:type="dxa"/>
            <w:tcBorders>
              <w:top w:val="nil"/>
              <w:bottom w:val="nil"/>
            </w:tcBorders>
            <w:shd w:val="clear" w:color="auto" w:fill="D9D9D9" w:themeFill="background1" w:themeFillShade="D9"/>
            <w:noWrap/>
            <w:vAlign w:val="center"/>
          </w:tcPr>
          <w:p w14:paraId="76DD910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339</w:t>
            </w:r>
          </w:p>
        </w:tc>
        <w:tc>
          <w:tcPr>
            <w:tcW w:w="733" w:type="dxa"/>
            <w:tcBorders>
              <w:top w:val="nil"/>
              <w:bottom w:val="nil"/>
            </w:tcBorders>
            <w:shd w:val="clear" w:color="auto" w:fill="auto"/>
            <w:noWrap/>
            <w:vAlign w:val="center"/>
          </w:tcPr>
          <w:p w14:paraId="2D11974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2,380</w:t>
            </w:r>
          </w:p>
        </w:tc>
        <w:tc>
          <w:tcPr>
            <w:tcW w:w="1300" w:type="dxa"/>
            <w:tcBorders>
              <w:top w:val="nil"/>
              <w:bottom w:val="nil"/>
            </w:tcBorders>
            <w:shd w:val="clear" w:color="auto" w:fill="D9D9D9" w:themeFill="background1" w:themeFillShade="D9"/>
            <w:noWrap/>
            <w:vAlign w:val="center"/>
          </w:tcPr>
          <w:p w14:paraId="16E561A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7,910</w:t>
            </w:r>
          </w:p>
        </w:tc>
        <w:tc>
          <w:tcPr>
            <w:tcW w:w="867" w:type="dxa"/>
            <w:tcBorders>
              <w:top w:val="nil"/>
              <w:bottom w:val="nil"/>
            </w:tcBorders>
            <w:shd w:val="clear" w:color="auto" w:fill="auto"/>
            <w:noWrap/>
            <w:vAlign w:val="center"/>
          </w:tcPr>
          <w:p w14:paraId="78DF010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2,690</w:t>
            </w:r>
          </w:p>
        </w:tc>
        <w:tc>
          <w:tcPr>
            <w:tcW w:w="1301" w:type="dxa"/>
            <w:tcBorders>
              <w:top w:val="nil"/>
              <w:bottom w:val="nil"/>
            </w:tcBorders>
            <w:shd w:val="clear" w:color="auto" w:fill="D9D9D9" w:themeFill="background1" w:themeFillShade="D9"/>
            <w:vAlign w:val="center"/>
          </w:tcPr>
          <w:p w14:paraId="1E3660F3"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2,212</w:t>
            </w:r>
          </w:p>
        </w:tc>
        <w:tc>
          <w:tcPr>
            <w:tcW w:w="1156" w:type="dxa"/>
            <w:tcBorders>
              <w:top w:val="nil"/>
              <w:bottom w:val="nil"/>
            </w:tcBorders>
            <w:shd w:val="clear" w:color="auto" w:fill="auto"/>
            <w:noWrap/>
            <w:vAlign w:val="center"/>
          </w:tcPr>
          <w:p w14:paraId="27321F2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20%</w:t>
            </w:r>
          </w:p>
        </w:tc>
      </w:tr>
      <w:tr w:rsidR="00B80CC2" w:rsidRPr="00936844" w14:paraId="545BF2F0" w14:textId="77777777" w:rsidTr="00330B65">
        <w:trPr>
          <w:trHeight w:val="196"/>
        </w:trPr>
        <w:tc>
          <w:tcPr>
            <w:tcW w:w="2469" w:type="dxa"/>
            <w:tcBorders>
              <w:top w:val="nil"/>
              <w:left w:val="single" w:sz="12" w:space="0" w:color="002F5D"/>
              <w:bottom w:val="single" w:sz="6" w:space="0" w:color="002F5D"/>
            </w:tcBorders>
            <w:shd w:val="clear" w:color="auto" w:fill="auto"/>
            <w:noWrap/>
            <w:vAlign w:val="center"/>
          </w:tcPr>
          <w:p w14:paraId="3B17C1A5"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841" w:type="dxa"/>
            <w:tcBorders>
              <w:top w:val="nil"/>
              <w:bottom w:val="single" w:sz="6" w:space="0" w:color="002F5D"/>
            </w:tcBorders>
            <w:shd w:val="clear" w:color="auto" w:fill="auto"/>
            <w:noWrap/>
            <w:vAlign w:val="center"/>
          </w:tcPr>
          <w:p w14:paraId="196CB2C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190</w:t>
            </w:r>
          </w:p>
        </w:tc>
        <w:tc>
          <w:tcPr>
            <w:tcW w:w="1316" w:type="dxa"/>
            <w:tcBorders>
              <w:top w:val="nil"/>
              <w:bottom w:val="single" w:sz="6" w:space="0" w:color="002F5D"/>
            </w:tcBorders>
            <w:shd w:val="clear" w:color="auto" w:fill="D9D9D9" w:themeFill="background1" w:themeFillShade="D9"/>
            <w:noWrap/>
            <w:vAlign w:val="center"/>
          </w:tcPr>
          <w:p w14:paraId="7A1456D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c>
          <w:tcPr>
            <w:tcW w:w="733" w:type="dxa"/>
            <w:tcBorders>
              <w:top w:val="nil"/>
              <w:bottom w:val="single" w:sz="6" w:space="0" w:color="002F5D"/>
            </w:tcBorders>
            <w:shd w:val="clear" w:color="auto" w:fill="auto"/>
            <w:noWrap/>
            <w:vAlign w:val="center"/>
          </w:tcPr>
          <w:p w14:paraId="79542CF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1,415</w:t>
            </w:r>
          </w:p>
        </w:tc>
        <w:tc>
          <w:tcPr>
            <w:tcW w:w="1300" w:type="dxa"/>
            <w:tcBorders>
              <w:top w:val="nil"/>
              <w:bottom w:val="single" w:sz="6" w:space="0" w:color="002F5D"/>
            </w:tcBorders>
            <w:shd w:val="clear" w:color="auto" w:fill="D9D9D9" w:themeFill="background1" w:themeFillShade="D9"/>
            <w:noWrap/>
            <w:vAlign w:val="center"/>
          </w:tcPr>
          <w:p w14:paraId="2D4D64F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c>
          <w:tcPr>
            <w:tcW w:w="867" w:type="dxa"/>
            <w:tcBorders>
              <w:top w:val="nil"/>
              <w:bottom w:val="single" w:sz="6" w:space="0" w:color="002F5D"/>
            </w:tcBorders>
            <w:shd w:val="clear" w:color="auto" w:fill="auto"/>
            <w:noWrap/>
            <w:vAlign w:val="center"/>
          </w:tcPr>
          <w:p w14:paraId="0D27D10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1,605</w:t>
            </w:r>
          </w:p>
        </w:tc>
        <w:tc>
          <w:tcPr>
            <w:tcW w:w="1301" w:type="dxa"/>
            <w:tcBorders>
              <w:top w:val="nil"/>
              <w:bottom w:val="single" w:sz="6" w:space="0" w:color="002F5D"/>
            </w:tcBorders>
            <w:shd w:val="clear" w:color="auto" w:fill="D9D9D9" w:themeFill="background1" w:themeFillShade="D9"/>
            <w:vAlign w:val="center"/>
          </w:tcPr>
          <w:p w14:paraId="4B8A6C8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 </w:t>
            </w:r>
          </w:p>
        </w:tc>
        <w:tc>
          <w:tcPr>
            <w:tcW w:w="1156" w:type="dxa"/>
            <w:tcBorders>
              <w:top w:val="nil"/>
              <w:bottom w:val="single" w:sz="6" w:space="0" w:color="002F5D"/>
            </w:tcBorders>
            <w:shd w:val="clear" w:color="auto" w:fill="auto"/>
            <w:noWrap/>
            <w:vAlign w:val="center"/>
          </w:tcPr>
          <w:p w14:paraId="187179D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r>
      <w:tr w:rsidR="00B80CC2" w:rsidRPr="00936844" w14:paraId="75595427" w14:textId="77777777" w:rsidTr="00330B65">
        <w:trPr>
          <w:trHeight w:val="196"/>
        </w:trPr>
        <w:tc>
          <w:tcPr>
            <w:tcW w:w="2469" w:type="dxa"/>
            <w:tcBorders>
              <w:top w:val="single" w:sz="6" w:space="0" w:color="002F5D"/>
              <w:bottom w:val="single" w:sz="6" w:space="0" w:color="002F5D"/>
            </w:tcBorders>
            <w:shd w:val="clear" w:color="auto" w:fill="auto"/>
            <w:noWrap/>
            <w:vAlign w:val="center"/>
          </w:tcPr>
          <w:p w14:paraId="6683C61D"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w:t>
            </w:r>
          </w:p>
        </w:tc>
        <w:tc>
          <w:tcPr>
            <w:tcW w:w="841" w:type="dxa"/>
            <w:tcBorders>
              <w:top w:val="single" w:sz="6" w:space="0" w:color="002F5D"/>
              <w:bottom w:val="single" w:sz="6" w:space="0" w:color="002F5D"/>
            </w:tcBorders>
            <w:shd w:val="clear" w:color="auto" w:fill="auto"/>
            <w:noWrap/>
            <w:vAlign w:val="center"/>
          </w:tcPr>
          <w:p w14:paraId="68543A13"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1,980</w:t>
            </w:r>
          </w:p>
        </w:tc>
        <w:tc>
          <w:tcPr>
            <w:tcW w:w="1316" w:type="dxa"/>
            <w:tcBorders>
              <w:top w:val="single" w:sz="6" w:space="0" w:color="002F5D"/>
              <w:bottom w:val="single" w:sz="6" w:space="0" w:color="002F5D"/>
            </w:tcBorders>
            <w:shd w:val="clear" w:color="auto" w:fill="D9D9D9" w:themeFill="background1" w:themeFillShade="D9"/>
            <w:noWrap/>
            <w:vAlign w:val="center"/>
          </w:tcPr>
          <w:p w14:paraId="0244C83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504</w:t>
            </w:r>
          </w:p>
        </w:tc>
        <w:tc>
          <w:tcPr>
            <w:tcW w:w="733" w:type="dxa"/>
            <w:tcBorders>
              <w:top w:val="single" w:sz="6" w:space="0" w:color="002F5D"/>
              <w:bottom w:val="single" w:sz="6" w:space="0" w:color="002F5D"/>
            </w:tcBorders>
            <w:shd w:val="clear" w:color="auto" w:fill="auto"/>
            <w:noWrap/>
            <w:vAlign w:val="center"/>
          </w:tcPr>
          <w:p w14:paraId="23C0B8C0"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11,360</w:t>
            </w:r>
          </w:p>
        </w:tc>
        <w:tc>
          <w:tcPr>
            <w:tcW w:w="1300" w:type="dxa"/>
            <w:tcBorders>
              <w:top w:val="single" w:sz="6" w:space="0" w:color="002F5D"/>
              <w:bottom w:val="single" w:sz="6" w:space="0" w:color="002F5D"/>
            </w:tcBorders>
            <w:shd w:val="clear" w:color="auto" w:fill="D9D9D9" w:themeFill="background1" w:themeFillShade="D9"/>
            <w:noWrap/>
            <w:vAlign w:val="center"/>
          </w:tcPr>
          <w:p w14:paraId="337C530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9,407</w:t>
            </w:r>
          </w:p>
        </w:tc>
        <w:tc>
          <w:tcPr>
            <w:tcW w:w="867" w:type="dxa"/>
            <w:tcBorders>
              <w:top w:val="single" w:sz="6" w:space="0" w:color="002F5D"/>
              <w:bottom w:val="single" w:sz="6" w:space="0" w:color="002F5D"/>
            </w:tcBorders>
            <w:shd w:val="clear" w:color="auto" w:fill="auto"/>
            <w:noWrap/>
            <w:vAlign w:val="center"/>
          </w:tcPr>
          <w:p w14:paraId="438A03A4"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13,340</w:t>
            </w:r>
          </w:p>
        </w:tc>
        <w:tc>
          <w:tcPr>
            <w:tcW w:w="1301" w:type="dxa"/>
            <w:tcBorders>
              <w:top w:val="single" w:sz="6" w:space="0" w:color="002F5D"/>
              <w:bottom w:val="single" w:sz="6" w:space="0" w:color="002F5D"/>
            </w:tcBorders>
            <w:shd w:val="clear" w:color="auto" w:fill="D9D9D9" w:themeFill="background1" w:themeFillShade="D9"/>
            <w:vAlign w:val="center"/>
          </w:tcPr>
          <w:p w14:paraId="20BA8B1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2,597</w:t>
            </w:r>
          </w:p>
        </w:tc>
        <w:tc>
          <w:tcPr>
            <w:tcW w:w="1156" w:type="dxa"/>
            <w:tcBorders>
              <w:top w:val="single" w:sz="6" w:space="0" w:color="002F5D"/>
              <w:bottom w:val="single" w:sz="6" w:space="0" w:color="002F5D"/>
            </w:tcBorders>
            <w:shd w:val="clear" w:color="auto" w:fill="auto"/>
            <w:noWrap/>
            <w:vAlign w:val="center"/>
          </w:tcPr>
          <w:p w14:paraId="2F76A309"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78%</w:t>
            </w:r>
          </w:p>
        </w:tc>
      </w:tr>
      <w:tr w:rsidR="00B80CC2" w:rsidRPr="00936844" w14:paraId="7C96448D" w14:textId="77777777" w:rsidTr="00330B65">
        <w:trPr>
          <w:trHeight w:val="196"/>
        </w:trPr>
        <w:tc>
          <w:tcPr>
            <w:tcW w:w="2469" w:type="dxa"/>
            <w:tcBorders>
              <w:top w:val="single" w:sz="6" w:space="0" w:color="002F5D"/>
              <w:bottom w:val="single" w:sz="6" w:space="0" w:color="002F5D"/>
            </w:tcBorders>
            <w:shd w:val="clear" w:color="auto" w:fill="auto"/>
            <w:noWrap/>
            <w:vAlign w:val="center"/>
          </w:tcPr>
          <w:p w14:paraId="7EFE4BBC"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Peterborough</w:t>
            </w:r>
          </w:p>
        </w:tc>
        <w:tc>
          <w:tcPr>
            <w:tcW w:w="841" w:type="dxa"/>
            <w:tcBorders>
              <w:top w:val="single" w:sz="6" w:space="0" w:color="002F5D"/>
              <w:bottom w:val="single" w:sz="6" w:space="0" w:color="002F5D"/>
            </w:tcBorders>
            <w:shd w:val="clear" w:color="auto" w:fill="auto"/>
            <w:noWrap/>
            <w:vAlign w:val="center"/>
          </w:tcPr>
          <w:p w14:paraId="7CAC56F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1,095</w:t>
            </w:r>
          </w:p>
        </w:tc>
        <w:tc>
          <w:tcPr>
            <w:tcW w:w="1316" w:type="dxa"/>
            <w:tcBorders>
              <w:top w:val="single" w:sz="6" w:space="0" w:color="002F5D"/>
              <w:bottom w:val="single" w:sz="6" w:space="0" w:color="002F5D"/>
            </w:tcBorders>
            <w:shd w:val="clear" w:color="auto" w:fill="D9D9D9" w:themeFill="background1" w:themeFillShade="D9"/>
            <w:noWrap/>
            <w:vAlign w:val="center"/>
          </w:tcPr>
          <w:p w14:paraId="7A9142A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913</w:t>
            </w:r>
          </w:p>
        </w:tc>
        <w:tc>
          <w:tcPr>
            <w:tcW w:w="733" w:type="dxa"/>
            <w:tcBorders>
              <w:top w:val="single" w:sz="6" w:space="0" w:color="002F5D"/>
              <w:bottom w:val="single" w:sz="6" w:space="0" w:color="002F5D"/>
            </w:tcBorders>
            <w:shd w:val="clear" w:color="auto" w:fill="auto"/>
            <w:noWrap/>
            <w:vAlign w:val="center"/>
          </w:tcPr>
          <w:p w14:paraId="31B7FE4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2,720</w:t>
            </w:r>
          </w:p>
        </w:tc>
        <w:tc>
          <w:tcPr>
            <w:tcW w:w="1300" w:type="dxa"/>
            <w:tcBorders>
              <w:top w:val="single" w:sz="6" w:space="0" w:color="002F5D"/>
              <w:bottom w:val="single" w:sz="6" w:space="0" w:color="002F5D"/>
            </w:tcBorders>
            <w:shd w:val="clear" w:color="auto" w:fill="D9D9D9" w:themeFill="background1" w:themeFillShade="D9"/>
            <w:noWrap/>
            <w:vAlign w:val="center"/>
          </w:tcPr>
          <w:p w14:paraId="7AA2C760"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9,389</w:t>
            </w:r>
          </w:p>
        </w:tc>
        <w:tc>
          <w:tcPr>
            <w:tcW w:w="867" w:type="dxa"/>
            <w:tcBorders>
              <w:top w:val="single" w:sz="6" w:space="0" w:color="002F5D"/>
              <w:bottom w:val="single" w:sz="6" w:space="0" w:color="002F5D"/>
            </w:tcBorders>
            <w:shd w:val="clear" w:color="auto" w:fill="auto"/>
            <w:noWrap/>
            <w:vAlign w:val="center"/>
          </w:tcPr>
          <w:p w14:paraId="51C7A90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3,815</w:t>
            </w:r>
          </w:p>
        </w:tc>
        <w:tc>
          <w:tcPr>
            <w:tcW w:w="1301" w:type="dxa"/>
            <w:tcBorders>
              <w:top w:val="single" w:sz="6" w:space="0" w:color="002F5D"/>
              <w:bottom w:val="single" w:sz="6" w:space="0" w:color="002F5D"/>
            </w:tcBorders>
            <w:shd w:val="clear" w:color="auto" w:fill="D9D9D9" w:themeFill="background1" w:themeFillShade="D9"/>
            <w:vAlign w:val="center"/>
          </w:tcPr>
          <w:p w14:paraId="73AD6F99"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2,562</w:t>
            </w:r>
          </w:p>
        </w:tc>
        <w:tc>
          <w:tcPr>
            <w:tcW w:w="1156" w:type="dxa"/>
            <w:tcBorders>
              <w:top w:val="single" w:sz="6" w:space="0" w:color="002F5D"/>
              <w:bottom w:val="single" w:sz="6" w:space="0" w:color="002F5D"/>
            </w:tcBorders>
            <w:shd w:val="clear" w:color="auto" w:fill="auto"/>
            <w:noWrap/>
            <w:vAlign w:val="center"/>
          </w:tcPr>
          <w:p w14:paraId="5F9F47E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22%</w:t>
            </w:r>
          </w:p>
        </w:tc>
      </w:tr>
      <w:tr w:rsidR="00B80CC2" w:rsidRPr="00936844" w14:paraId="3DF70CB3" w14:textId="77777777" w:rsidTr="00330B65">
        <w:trPr>
          <w:trHeight w:val="196"/>
        </w:trPr>
        <w:tc>
          <w:tcPr>
            <w:tcW w:w="2469" w:type="dxa"/>
            <w:tcBorders>
              <w:top w:val="single" w:sz="6" w:space="0" w:color="002F5D"/>
              <w:bottom w:val="single" w:sz="12" w:space="0" w:color="002F5D"/>
            </w:tcBorders>
            <w:shd w:val="clear" w:color="auto" w:fill="auto"/>
            <w:noWrap/>
            <w:vAlign w:val="center"/>
          </w:tcPr>
          <w:p w14:paraId="2BD0DB0C" w14:textId="77777777" w:rsidR="008D4440" w:rsidRPr="00330B65" w:rsidRDefault="008D4440">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 &amp; Peterborough</w:t>
            </w:r>
          </w:p>
        </w:tc>
        <w:tc>
          <w:tcPr>
            <w:tcW w:w="841" w:type="dxa"/>
            <w:tcBorders>
              <w:top w:val="single" w:sz="6" w:space="0" w:color="002F5D"/>
              <w:bottom w:val="single" w:sz="12" w:space="0" w:color="002F5D"/>
            </w:tcBorders>
            <w:shd w:val="clear" w:color="auto" w:fill="auto"/>
            <w:noWrap/>
            <w:vAlign w:val="center"/>
          </w:tcPr>
          <w:p w14:paraId="06701EB9"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3,075</w:t>
            </w:r>
          </w:p>
        </w:tc>
        <w:tc>
          <w:tcPr>
            <w:tcW w:w="1316" w:type="dxa"/>
            <w:tcBorders>
              <w:top w:val="single" w:sz="6" w:space="0" w:color="002F5D"/>
              <w:bottom w:val="single" w:sz="12" w:space="0" w:color="002F5D"/>
            </w:tcBorders>
            <w:shd w:val="clear" w:color="auto" w:fill="D9D9D9" w:themeFill="background1" w:themeFillShade="D9"/>
            <w:noWrap/>
            <w:vAlign w:val="center"/>
          </w:tcPr>
          <w:p w14:paraId="16575E00"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600</w:t>
            </w:r>
          </w:p>
        </w:tc>
        <w:tc>
          <w:tcPr>
            <w:tcW w:w="733" w:type="dxa"/>
            <w:tcBorders>
              <w:top w:val="single" w:sz="6" w:space="0" w:color="002F5D"/>
              <w:bottom w:val="single" w:sz="12" w:space="0" w:color="002F5D"/>
            </w:tcBorders>
            <w:shd w:val="clear" w:color="auto" w:fill="auto"/>
            <w:noWrap/>
            <w:vAlign w:val="center"/>
          </w:tcPr>
          <w:p w14:paraId="30BDE1B8"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14,080</w:t>
            </w:r>
          </w:p>
        </w:tc>
        <w:tc>
          <w:tcPr>
            <w:tcW w:w="1300" w:type="dxa"/>
            <w:tcBorders>
              <w:top w:val="single" w:sz="6" w:space="0" w:color="002F5D"/>
              <w:bottom w:val="single" w:sz="12" w:space="0" w:color="002F5D"/>
            </w:tcBorders>
            <w:shd w:val="clear" w:color="auto" w:fill="D9D9D9" w:themeFill="background1" w:themeFillShade="D9"/>
            <w:noWrap/>
            <w:vAlign w:val="center"/>
          </w:tcPr>
          <w:p w14:paraId="7F8920C3"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9,404</w:t>
            </w:r>
          </w:p>
        </w:tc>
        <w:tc>
          <w:tcPr>
            <w:tcW w:w="867" w:type="dxa"/>
            <w:tcBorders>
              <w:top w:val="single" w:sz="6" w:space="0" w:color="002F5D"/>
              <w:bottom w:val="single" w:sz="12" w:space="0" w:color="002F5D"/>
            </w:tcBorders>
            <w:shd w:val="clear" w:color="auto" w:fill="auto"/>
            <w:noWrap/>
            <w:vAlign w:val="center"/>
          </w:tcPr>
          <w:p w14:paraId="4ABADFA3"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17,155</w:t>
            </w:r>
          </w:p>
        </w:tc>
        <w:tc>
          <w:tcPr>
            <w:tcW w:w="1301" w:type="dxa"/>
            <w:tcBorders>
              <w:top w:val="single" w:sz="6" w:space="0" w:color="002F5D"/>
              <w:bottom w:val="single" w:sz="12" w:space="0" w:color="002F5D"/>
            </w:tcBorders>
            <w:shd w:val="clear" w:color="auto" w:fill="D9D9D9" w:themeFill="background1" w:themeFillShade="D9"/>
            <w:vAlign w:val="center"/>
          </w:tcPr>
          <w:p w14:paraId="7E22415C" w14:textId="77777777" w:rsidR="008D4440" w:rsidRPr="00330B65" w:rsidRDefault="008D4440">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2,589</w:t>
            </w:r>
          </w:p>
        </w:tc>
        <w:tc>
          <w:tcPr>
            <w:tcW w:w="1156" w:type="dxa"/>
            <w:tcBorders>
              <w:top w:val="single" w:sz="6" w:space="0" w:color="002F5D"/>
              <w:bottom w:val="single" w:sz="12" w:space="0" w:color="002F5D"/>
            </w:tcBorders>
            <w:shd w:val="clear" w:color="auto" w:fill="auto"/>
            <w:noWrap/>
            <w:vAlign w:val="center"/>
          </w:tcPr>
          <w:p w14:paraId="03325BC3" w14:textId="270DDCC6" w:rsidR="008D4440" w:rsidRPr="00330B65" w:rsidRDefault="005E1A1A">
            <w:pPr>
              <w:spacing w:line="240" w:lineRule="auto"/>
              <w:jc w:val="right"/>
              <w:rPr>
                <w:rFonts w:ascii="Calibri" w:eastAsia="Times New Roman" w:hAnsi="Calibri" w:cs="Calibri"/>
                <w:b/>
                <w:color w:val="002F5D"/>
                <w:lang w:eastAsia="en-GB"/>
              </w:rPr>
            </w:pPr>
            <w:r>
              <w:rPr>
                <w:rFonts w:ascii="Calibri" w:eastAsia="Times New Roman" w:hAnsi="Calibri" w:cs="Calibri"/>
                <w:b/>
                <w:color w:val="002F5D"/>
                <w:lang w:eastAsia="en-GB"/>
              </w:rPr>
              <w:t>-</w:t>
            </w:r>
            <w:r w:rsidR="008D4440" w:rsidRPr="00330B65">
              <w:rPr>
                <w:rFonts w:ascii="Calibri" w:eastAsia="Times New Roman" w:hAnsi="Calibri" w:cs="Calibri"/>
                <w:b/>
                <w:color w:val="002F5D"/>
                <w:lang w:eastAsia="en-GB"/>
              </w:rPr>
              <w:t> </w:t>
            </w:r>
          </w:p>
        </w:tc>
      </w:tr>
    </w:tbl>
    <w:p w14:paraId="49AF0619" w14:textId="77777777" w:rsidR="008D4440" w:rsidRPr="00330B65" w:rsidRDefault="008D4440" w:rsidP="00E61D24">
      <w:pPr>
        <w:pStyle w:val="NoSpacing"/>
        <w:ind w:left="-993" w:firstLine="993"/>
        <w:rPr>
          <w:rFonts w:ascii="Calibri" w:hAnsi="Calibri" w:cs="Calibri"/>
          <w:color w:val="002F5D"/>
          <w:sz w:val="18"/>
          <w:szCs w:val="18"/>
        </w:rPr>
      </w:pPr>
      <w:r w:rsidRPr="00330B65">
        <w:rPr>
          <w:rFonts w:ascii="Calibri" w:hAnsi="Calibri" w:cs="Calibri"/>
          <w:color w:val="002F5D"/>
          <w:sz w:val="18"/>
          <w:szCs w:val="18"/>
        </w:rPr>
        <w:t>Note – local figures will not always match national figures due to rounding</w:t>
      </w:r>
    </w:p>
    <w:p w14:paraId="2E5979D1" w14:textId="314701FE" w:rsidR="00782D43" w:rsidRDefault="00C65B87" w:rsidP="00330B65">
      <w:pPr>
        <w:spacing w:line="240" w:lineRule="auto"/>
        <w:rPr>
          <w:rFonts w:ascii="Calibri" w:hAnsi="Calibri" w:cs="Calibri"/>
          <w:color w:val="002F5D"/>
          <w:sz w:val="18"/>
          <w:szCs w:val="18"/>
        </w:rPr>
      </w:pPr>
      <w:r>
        <w:rPr>
          <w:rFonts w:ascii="Calibri" w:hAnsi="Calibri" w:cs="Calibri"/>
          <w:color w:val="002F5D"/>
          <w:sz w:val="18"/>
          <w:szCs w:val="18"/>
        </w:rPr>
        <w:t>*Cambridgeshire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0C243CED" w14:textId="77777777" w:rsidR="00C65B87" w:rsidRDefault="00C65B87" w:rsidP="00330B65">
      <w:pPr>
        <w:spacing w:line="240" w:lineRule="auto"/>
        <w:rPr>
          <w:rFonts w:ascii="Calibri" w:hAnsi="Calibri" w:cs="Calibri"/>
          <w:color w:val="002F5D"/>
        </w:rPr>
      </w:pPr>
    </w:p>
    <w:p w14:paraId="39A3244A" w14:textId="0C9C8965" w:rsidR="00782D43"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p>
    <w:p w14:paraId="6C4F9745" w14:textId="77777777" w:rsidR="00782D43" w:rsidRDefault="00782D43" w:rsidP="00330B65">
      <w:pPr>
        <w:spacing w:line="240" w:lineRule="auto"/>
        <w:rPr>
          <w:rFonts w:ascii="Calibri" w:hAnsi="Calibri" w:cs="Calibri"/>
          <w:color w:val="002F5D"/>
        </w:rPr>
      </w:pPr>
    </w:p>
    <w:p w14:paraId="7DA49BC4" w14:textId="66A514FB" w:rsidR="008D4440" w:rsidRDefault="008D4440" w:rsidP="00330B65">
      <w:pPr>
        <w:pStyle w:val="NoSpacing"/>
        <w:rPr>
          <w:rFonts w:ascii="Calibri" w:hAnsi="Calibri" w:cs="Calibri"/>
          <w:color w:val="002F5D"/>
        </w:rPr>
      </w:pPr>
      <w:r w:rsidRPr="00330B65">
        <w:rPr>
          <w:rFonts w:ascii="Calibri" w:hAnsi="Calibri" w:cs="Calibri"/>
          <w:color w:val="002F5D"/>
        </w:rPr>
        <w:t>Across both authorities, the majority of requests for support received for new clients are for people aged 65+.  In Cambridgeshire, the number of requests received per 100,000 of population aged 18+ is</w:t>
      </w:r>
      <w:r w:rsidR="00BD7EFB">
        <w:rPr>
          <w:rFonts w:ascii="Calibri" w:hAnsi="Calibri" w:cs="Calibri"/>
          <w:color w:val="002F5D"/>
        </w:rPr>
        <w:t xml:space="preserve"> numerically</w:t>
      </w:r>
      <w:r w:rsidRPr="00330B65">
        <w:rPr>
          <w:rFonts w:ascii="Calibri" w:hAnsi="Calibri" w:cs="Calibri"/>
          <w:color w:val="002F5D"/>
        </w:rPr>
        <w:t xml:space="preserve"> highest in Fenland, although this is still lower than the England rate (4,215)</w:t>
      </w:r>
      <w:r w:rsidR="003813C9">
        <w:rPr>
          <w:rFonts w:ascii="Calibri" w:hAnsi="Calibri" w:cs="Calibri"/>
          <w:color w:val="002F5D"/>
        </w:rPr>
        <w:t>.</w:t>
      </w:r>
      <w:r w:rsidRPr="00330B65">
        <w:rPr>
          <w:rFonts w:ascii="Calibri" w:hAnsi="Calibri" w:cs="Calibri"/>
          <w:color w:val="002F5D"/>
        </w:rPr>
        <w:br w:type="page"/>
      </w:r>
      <w:r w:rsidR="00001B2F">
        <w:rPr>
          <w:rFonts w:ascii="Calibri" w:hAnsi="Calibri" w:cs="Calibri"/>
          <w:b/>
          <w:color w:val="002F5D"/>
        </w:rPr>
        <w:lastRenderedPageBreak/>
        <w:t>Figure 6</w:t>
      </w:r>
      <w:r w:rsidR="00A2366A">
        <w:rPr>
          <w:rFonts w:ascii="Calibri" w:hAnsi="Calibri" w:cs="Calibri"/>
          <w:b/>
          <w:color w:val="002F5D"/>
        </w:rPr>
        <w:t>1</w:t>
      </w:r>
      <w:r w:rsidR="00837184" w:rsidRPr="00330B65">
        <w:rPr>
          <w:rFonts w:ascii="Calibri" w:hAnsi="Calibri" w:cs="Calibri"/>
          <w:color w:val="002F5D"/>
        </w:rPr>
        <w:t>.</w:t>
      </w:r>
      <w:r w:rsidR="00001B2F" w:rsidRPr="00330B65">
        <w:rPr>
          <w:rFonts w:ascii="Calibri" w:hAnsi="Calibri" w:cs="Calibri"/>
          <w:color w:val="002F5D"/>
        </w:rPr>
        <w:t xml:space="preserve"> </w:t>
      </w:r>
      <w:r w:rsidRPr="00330B65">
        <w:rPr>
          <w:rFonts w:ascii="Calibri" w:hAnsi="Calibri" w:cs="Calibri"/>
          <w:color w:val="002F5D"/>
        </w:rPr>
        <w:t>Number of people receiving long term support in the year, per 100,000 of population aged 18+</w:t>
      </w:r>
      <w:r w:rsidR="00922FDA" w:rsidRPr="00330B65">
        <w:rPr>
          <w:rFonts w:ascii="Calibri" w:hAnsi="Calibri" w:cs="Calibri"/>
          <w:color w:val="002F5D"/>
        </w:rPr>
        <w:t>, Cambridgeshire</w:t>
      </w:r>
    </w:p>
    <w:p w14:paraId="6BE09E92" w14:textId="77777777" w:rsidR="00483B56" w:rsidRPr="00330B65" w:rsidRDefault="00483B56" w:rsidP="00330B65">
      <w:pPr>
        <w:pStyle w:val="NoSpacing"/>
        <w:rPr>
          <w:rFonts w:ascii="Calibri" w:hAnsi="Calibri" w:cs="Calibri"/>
          <w:color w:val="002F5D"/>
        </w:rPr>
      </w:pPr>
    </w:p>
    <w:p w14:paraId="05019B11" w14:textId="7C3E8CD5" w:rsidR="008D4440" w:rsidRDefault="008D4440" w:rsidP="008D4440">
      <w:pPr>
        <w:pStyle w:val="NoSpacing"/>
        <w:rPr>
          <w:rFonts w:ascii="Calibri" w:hAnsi="Calibri" w:cs="Calibri"/>
          <w:color w:val="002F5D"/>
        </w:rPr>
      </w:pPr>
      <w:r w:rsidRPr="00330B65">
        <w:rPr>
          <w:rFonts w:ascii="Calibri" w:hAnsi="Calibri" w:cs="Calibri"/>
          <w:color w:val="002F5D"/>
        </w:rPr>
        <w:t>Long Term support encompasses services provided with the intention of maintaining quality of life for an individual on an ongoing basis, and which has been allocated on the basis of eligibility criteria / policies (i.e. an assessment of need has taken place) and are subject to regular review. (</w:t>
      </w:r>
      <w:r w:rsidR="00483B56">
        <w:rPr>
          <w:rFonts w:ascii="Calibri" w:hAnsi="Calibri" w:cs="Calibri"/>
          <w:color w:val="002F5D"/>
        </w:rPr>
        <w:t>SALT return guidance 2018</w:t>
      </w:r>
      <w:r w:rsidR="00483B56" w:rsidRPr="0041347C">
        <w:rPr>
          <w:rStyle w:val="FootnoteReference"/>
          <w:color w:val="002B61"/>
        </w:rPr>
        <w:footnoteReference w:id="19"/>
      </w:r>
      <w:r w:rsidR="00483B56">
        <w:rPr>
          <w:rFonts w:ascii="Calibri" w:hAnsi="Calibri" w:cs="Calibri"/>
          <w:color w:val="002F5D"/>
        </w:rPr>
        <w:t>, p38)</w:t>
      </w:r>
      <w:r w:rsidR="00C01322">
        <w:rPr>
          <w:rFonts w:ascii="Calibri" w:hAnsi="Calibri" w:cs="Calibri"/>
          <w:color w:val="002F5D"/>
        </w:rPr>
        <w:t>.</w:t>
      </w:r>
    </w:p>
    <w:p w14:paraId="1F00C97D" w14:textId="77777777" w:rsidR="00C01322" w:rsidRDefault="00C01322" w:rsidP="008D4440">
      <w:pPr>
        <w:pStyle w:val="NoSpacing"/>
        <w:rPr>
          <w:rFonts w:ascii="Calibri" w:hAnsi="Calibri" w:cs="Calibri"/>
          <w:color w:val="002F5D"/>
        </w:rPr>
      </w:pPr>
    </w:p>
    <w:p w14:paraId="513769B6" w14:textId="30C092A2" w:rsidR="00C01322" w:rsidRDefault="00C01322" w:rsidP="008D4440">
      <w:pPr>
        <w:pStyle w:val="NoSpacing"/>
        <w:rPr>
          <w:rFonts w:ascii="Calibri" w:hAnsi="Calibri" w:cs="Calibri"/>
          <w:color w:val="002F5D"/>
        </w:rPr>
      </w:pPr>
      <w:r>
        <w:rPr>
          <w:rFonts w:ascii="Calibri" w:hAnsi="Calibri" w:cs="Calibri"/>
          <w:noProof/>
          <w:color w:val="002F5D"/>
          <w:lang w:eastAsia="en-GB"/>
        </w:rPr>
        <w:drawing>
          <wp:inline distT="0" distB="0" distL="0" distR="0" wp14:anchorId="590A5A7C" wp14:editId="724B74B6">
            <wp:extent cx="5211670" cy="2446317"/>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21535" cy="2450948"/>
                    </a:xfrm>
                    <a:prstGeom prst="rect">
                      <a:avLst/>
                    </a:prstGeom>
                    <a:noFill/>
                  </pic:spPr>
                </pic:pic>
              </a:graphicData>
            </a:graphic>
          </wp:inline>
        </w:drawing>
      </w:r>
    </w:p>
    <w:p w14:paraId="2606F4FB" w14:textId="77777777" w:rsidR="00875854" w:rsidRPr="00330B65" w:rsidRDefault="00875854" w:rsidP="008D4440">
      <w:pPr>
        <w:pStyle w:val="NoSpacing"/>
        <w:rPr>
          <w:rFonts w:ascii="Calibri" w:hAnsi="Calibri" w:cs="Calibri"/>
          <w:color w:val="002F5D"/>
        </w:rPr>
      </w:pPr>
    </w:p>
    <w:p w14:paraId="0636298F" w14:textId="77777777" w:rsidR="00385DD0" w:rsidRPr="00102750" w:rsidRDefault="00385DD0"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92</w:t>
      </w:r>
    </w:p>
    <w:p w14:paraId="66E51017" w14:textId="77777777" w:rsidR="00385DD0" w:rsidRDefault="00385DD0" w:rsidP="00330B65">
      <w:pPr>
        <w:spacing w:line="240" w:lineRule="auto"/>
        <w:rPr>
          <w:rFonts w:ascii="Calibri" w:hAnsi="Calibri" w:cs="Calibri"/>
          <w:color w:val="002F5D"/>
        </w:rPr>
      </w:pPr>
    </w:p>
    <w:p w14:paraId="7CA72495" w14:textId="75320635" w:rsidR="00385DD0" w:rsidRPr="00102750"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483B56">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201ACD8D" w14:textId="77777777" w:rsidR="00F564E6" w:rsidRDefault="00F564E6" w:rsidP="00330B65">
      <w:pPr>
        <w:pStyle w:val="ListParagraph"/>
        <w:spacing w:line="240" w:lineRule="auto"/>
        <w:ind w:left="0"/>
        <w:rPr>
          <w:rFonts w:ascii="Calibri" w:hAnsi="Calibri" w:cs="Calibri"/>
          <w:color w:val="002F5D"/>
        </w:rPr>
      </w:pPr>
    </w:p>
    <w:p w14:paraId="74797CD2" w14:textId="778A8B23"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Cambridgeshire the number of people aged 18+ receiving long-term support within the year has decreased over the period, and remains</w:t>
      </w:r>
      <w:r w:rsidR="00875854">
        <w:rPr>
          <w:rFonts w:ascii="Calibri" w:hAnsi="Calibri" w:cs="Calibri"/>
          <w:color w:val="002F5D"/>
        </w:rPr>
        <w:t xml:space="preserve"> numerically lower tha</w:t>
      </w:r>
      <w:r w:rsidRPr="00330B65">
        <w:rPr>
          <w:rFonts w:ascii="Calibri" w:hAnsi="Calibri" w:cs="Calibri"/>
          <w:color w:val="002F5D"/>
        </w:rPr>
        <w:t>n national, regional and statistical neighbour averages.</w:t>
      </w:r>
    </w:p>
    <w:p w14:paraId="73B6853D" w14:textId="47D6309D" w:rsidR="008D4440" w:rsidRDefault="008D4440" w:rsidP="00330B65">
      <w:pPr>
        <w:pStyle w:val="ListParagraph"/>
        <w:spacing w:line="240" w:lineRule="auto"/>
        <w:ind w:left="0"/>
        <w:rPr>
          <w:rFonts w:ascii="Calibri" w:hAnsi="Calibri" w:cs="Calibri"/>
          <w:color w:val="002F5D"/>
        </w:rPr>
      </w:pPr>
    </w:p>
    <w:p w14:paraId="408E6109" w14:textId="77777777" w:rsidR="00C01322" w:rsidRDefault="00C01322" w:rsidP="00330B65">
      <w:pPr>
        <w:pStyle w:val="ListParagraph"/>
        <w:spacing w:line="240" w:lineRule="auto"/>
        <w:ind w:left="0"/>
        <w:rPr>
          <w:rFonts w:ascii="Calibri" w:hAnsi="Calibri" w:cs="Calibri"/>
          <w:color w:val="002F5D"/>
        </w:rPr>
      </w:pPr>
    </w:p>
    <w:p w14:paraId="312D6D56" w14:textId="77777777" w:rsidR="00C01322" w:rsidRDefault="00C01322" w:rsidP="00330B65">
      <w:pPr>
        <w:pStyle w:val="ListParagraph"/>
        <w:spacing w:line="240" w:lineRule="auto"/>
        <w:ind w:left="0"/>
        <w:rPr>
          <w:rFonts w:ascii="Calibri" w:hAnsi="Calibri" w:cs="Calibri"/>
          <w:color w:val="002F5D"/>
        </w:rPr>
      </w:pPr>
    </w:p>
    <w:p w14:paraId="36C858A1" w14:textId="77777777" w:rsidR="00C01322" w:rsidRDefault="00C01322" w:rsidP="00330B65">
      <w:pPr>
        <w:pStyle w:val="ListParagraph"/>
        <w:spacing w:line="240" w:lineRule="auto"/>
        <w:ind w:left="0"/>
        <w:rPr>
          <w:rFonts w:ascii="Calibri" w:hAnsi="Calibri" w:cs="Calibri"/>
          <w:color w:val="002F5D"/>
        </w:rPr>
      </w:pPr>
    </w:p>
    <w:p w14:paraId="3EFCF0E7" w14:textId="77777777" w:rsidR="00C01322" w:rsidRDefault="00C01322" w:rsidP="00330B65">
      <w:pPr>
        <w:pStyle w:val="ListParagraph"/>
        <w:spacing w:line="240" w:lineRule="auto"/>
        <w:ind w:left="0"/>
        <w:rPr>
          <w:rFonts w:ascii="Calibri" w:hAnsi="Calibri" w:cs="Calibri"/>
          <w:color w:val="002F5D"/>
        </w:rPr>
      </w:pPr>
    </w:p>
    <w:p w14:paraId="08B2B4A6" w14:textId="77777777" w:rsidR="00C01322" w:rsidRDefault="00C01322" w:rsidP="00330B65">
      <w:pPr>
        <w:pStyle w:val="ListParagraph"/>
        <w:spacing w:line="240" w:lineRule="auto"/>
        <w:ind w:left="0"/>
        <w:rPr>
          <w:rFonts w:ascii="Calibri" w:hAnsi="Calibri" w:cs="Calibri"/>
          <w:color w:val="002F5D"/>
        </w:rPr>
      </w:pPr>
    </w:p>
    <w:p w14:paraId="4AC8F8E7" w14:textId="77777777" w:rsidR="00C01322" w:rsidRDefault="00C01322" w:rsidP="00330B65">
      <w:pPr>
        <w:pStyle w:val="ListParagraph"/>
        <w:spacing w:line="240" w:lineRule="auto"/>
        <w:ind w:left="0"/>
        <w:rPr>
          <w:rFonts w:ascii="Calibri" w:hAnsi="Calibri" w:cs="Calibri"/>
          <w:color w:val="002F5D"/>
        </w:rPr>
      </w:pPr>
    </w:p>
    <w:p w14:paraId="1B01A364" w14:textId="77777777" w:rsidR="00C01322" w:rsidRDefault="00C01322" w:rsidP="00330B65">
      <w:pPr>
        <w:pStyle w:val="ListParagraph"/>
        <w:spacing w:line="240" w:lineRule="auto"/>
        <w:ind w:left="0"/>
        <w:rPr>
          <w:rFonts w:ascii="Calibri" w:hAnsi="Calibri" w:cs="Calibri"/>
          <w:color w:val="002F5D"/>
        </w:rPr>
      </w:pPr>
    </w:p>
    <w:p w14:paraId="28E5F544" w14:textId="77777777" w:rsidR="00C01322" w:rsidRDefault="00C01322" w:rsidP="00330B65">
      <w:pPr>
        <w:pStyle w:val="ListParagraph"/>
        <w:spacing w:line="240" w:lineRule="auto"/>
        <w:ind w:left="0"/>
        <w:rPr>
          <w:rFonts w:ascii="Calibri" w:hAnsi="Calibri" w:cs="Calibri"/>
          <w:color w:val="002F5D"/>
        </w:rPr>
      </w:pPr>
    </w:p>
    <w:p w14:paraId="18FF058D" w14:textId="77777777" w:rsidR="00C01322" w:rsidRDefault="00C01322" w:rsidP="00330B65">
      <w:pPr>
        <w:pStyle w:val="ListParagraph"/>
        <w:spacing w:line="240" w:lineRule="auto"/>
        <w:ind w:left="0"/>
        <w:rPr>
          <w:rFonts w:ascii="Calibri" w:hAnsi="Calibri" w:cs="Calibri"/>
          <w:color w:val="002F5D"/>
        </w:rPr>
      </w:pPr>
    </w:p>
    <w:p w14:paraId="0A84AF85" w14:textId="77777777" w:rsidR="00C01322" w:rsidRDefault="00C01322" w:rsidP="00330B65">
      <w:pPr>
        <w:pStyle w:val="ListParagraph"/>
        <w:spacing w:line="240" w:lineRule="auto"/>
        <w:ind w:left="0"/>
        <w:rPr>
          <w:rFonts w:ascii="Calibri" w:hAnsi="Calibri" w:cs="Calibri"/>
          <w:color w:val="002F5D"/>
        </w:rPr>
      </w:pPr>
    </w:p>
    <w:p w14:paraId="1F4E24C3" w14:textId="77777777" w:rsidR="00C01322" w:rsidRDefault="00C01322" w:rsidP="00330B65">
      <w:pPr>
        <w:pStyle w:val="ListParagraph"/>
        <w:spacing w:line="240" w:lineRule="auto"/>
        <w:ind w:left="0"/>
        <w:rPr>
          <w:rFonts w:ascii="Calibri" w:hAnsi="Calibri" w:cs="Calibri"/>
          <w:color w:val="002F5D"/>
        </w:rPr>
      </w:pPr>
    </w:p>
    <w:p w14:paraId="13E4FD19" w14:textId="77777777" w:rsidR="00C01322" w:rsidRDefault="00C01322" w:rsidP="00330B65">
      <w:pPr>
        <w:pStyle w:val="ListParagraph"/>
        <w:spacing w:line="240" w:lineRule="auto"/>
        <w:ind w:left="0"/>
        <w:rPr>
          <w:rFonts w:ascii="Calibri" w:hAnsi="Calibri" w:cs="Calibri"/>
          <w:color w:val="002F5D"/>
        </w:rPr>
      </w:pPr>
    </w:p>
    <w:p w14:paraId="52CE5AA8" w14:textId="77777777" w:rsidR="00C01322" w:rsidRDefault="00C01322" w:rsidP="00330B65">
      <w:pPr>
        <w:pStyle w:val="ListParagraph"/>
        <w:spacing w:line="240" w:lineRule="auto"/>
        <w:ind w:left="0"/>
        <w:rPr>
          <w:rFonts w:ascii="Calibri" w:hAnsi="Calibri" w:cs="Calibri"/>
          <w:color w:val="002F5D"/>
        </w:rPr>
      </w:pPr>
    </w:p>
    <w:p w14:paraId="5178D02C" w14:textId="77777777" w:rsidR="00C01322" w:rsidRDefault="00C01322" w:rsidP="00330B65">
      <w:pPr>
        <w:pStyle w:val="ListParagraph"/>
        <w:spacing w:line="240" w:lineRule="auto"/>
        <w:ind w:left="0"/>
        <w:rPr>
          <w:rFonts w:ascii="Calibri" w:hAnsi="Calibri" w:cs="Calibri"/>
          <w:color w:val="002F5D"/>
        </w:rPr>
      </w:pPr>
    </w:p>
    <w:p w14:paraId="22D70C77" w14:textId="77777777" w:rsidR="00C01322" w:rsidRDefault="00C01322" w:rsidP="00330B65">
      <w:pPr>
        <w:pStyle w:val="ListParagraph"/>
        <w:spacing w:line="240" w:lineRule="auto"/>
        <w:ind w:left="0"/>
        <w:rPr>
          <w:rFonts w:ascii="Calibri" w:hAnsi="Calibri" w:cs="Calibri"/>
          <w:color w:val="002F5D"/>
        </w:rPr>
      </w:pPr>
    </w:p>
    <w:p w14:paraId="2F05FAF6" w14:textId="77777777" w:rsidR="00C01322" w:rsidRDefault="00C01322" w:rsidP="00330B65">
      <w:pPr>
        <w:pStyle w:val="ListParagraph"/>
        <w:spacing w:line="240" w:lineRule="auto"/>
        <w:ind w:left="0"/>
        <w:rPr>
          <w:rFonts w:ascii="Calibri" w:hAnsi="Calibri" w:cs="Calibri"/>
          <w:color w:val="002F5D"/>
        </w:rPr>
      </w:pPr>
    </w:p>
    <w:p w14:paraId="13797F05" w14:textId="77777777" w:rsidR="00C01322" w:rsidRDefault="00C01322" w:rsidP="00330B65">
      <w:pPr>
        <w:pStyle w:val="ListParagraph"/>
        <w:spacing w:line="240" w:lineRule="auto"/>
        <w:ind w:left="0"/>
        <w:rPr>
          <w:rFonts w:ascii="Calibri" w:hAnsi="Calibri" w:cs="Calibri"/>
          <w:color w:val="002F5D"/>
        </w:rPr>
      </w:pPr>
    </w:p>
    <w:p w14:paraId="370A9984" w14:textId="77777777" w:rsidR="00C01322" w:rsidRDefault="00C01322" w:rsidP="00330B65">
      <w:pPr>
        <w:pStyle w:val="ListParagraph"/>
        <w:spacing w:line="240" w:lineRule="auto"/>
        <w:ind w:left="0"/>
        <w:rPr>
          <w:rFonts w:ascii="Calibri" w:hAnsi="Calibri" w:cs="Calibri"/>
          <w:color w:val="002F5D"/>
        </w:rPr>
      </w:pPr>
    </w:p>
    <w:p w14:paraId="5485A2F2" w14:textId="64728DD1" w:rsidR="00922FDA" w:rsidRDefault="00A2366A" w:rsidP="00330B65">
      <w:pPr>
        <w:spacing w:after="160" w:line="240" w:lineRule="auto"/>
        <w:rPr>
          <w:rFonts w:ascii="Calibri" w:hAnsi="Calibri" w:cs="Calibri"/>
          <w:color w:val="002F5D"/>
        </w:rPr>
      </w:pPr>
      <w:r>
        <w:rPr>
          <w:rFonts w:ascii="Calibri" w:hAnsi="Calibri" w:cs="Calibri"/>
          <w:b/>
          <w:color w:val="002F5D"/>
        </w:rPr>
        <w:lastRenderedPageBreak/>
        <w:t>Figure 62</w:t>
      </w:r>
      <w:r w:rsidR="00837184">
        <w:rPr>
          <w:rFonts w:ascii="Calibri" w:hAnsi="Calibri" w:cs="Calibri"/>
          <w:b/>
          <w:color w:val="002F5D"/>
        </w:rPr>
        <w:t>.</w:t>
      </w:r>
      <w:r w:rsidR="00922FDA">
        <w:rPr>
          <w:rFonts w:ascii="Calibri" w:hAnsi="Calibri" w:cs="Calibri"/>
          <w:b/>
          <w:color w:val="002F5D"/>
        </w:rPr>
        <w:t xml:space="preserve"> </w:t>
      </w:r>
      <w:r w:rsidR="00922FDA" w:rsidRPr="00330B65">
        <w:rPr>
          <w:rFonts w:ascii="Calibri" w:hAnsi="Calibri" w:cs="Calibri"/>
          <w:color w:val="002F5D"/>
        </w:rPr>
        <w:t>Number of people receiving long term support in the year, per 100,000 of population aged 18+, Peterborough</w:t>
      </w:r>
    </w:p>
    <w:p w14:paraId="6DE4616E" w14:textId="4F8AEC57" w:rsidR="00C01322" w:rsidRDefault="00C01322" w:rsidP="00330B65">
      <w:pPr>
        <w:spacing w:after="160" w:line="240" w:lineRule="auto"/>
        <w:rPr>
          <w:rFonts w:ascii="Calibri" w:hAnsi="Calibri" w:cs="Calibri"/>
          <w:color w:val="002F5D"/>
        </w:rPr>
      </w:pPr>
      <w:r>
        <w:rPr>
          <w:rFonts w:ascii="Calibri" w:hAnsi="Calibri" w:cs="Calibri"/>
          <w:noProof/>
          <w:color w:val="002F5D"/>
          <w:lang w:eastAsia="en-GB"/>
        </w:rPr>
        <w:drawing>
          <wp:inline distT="0" distB="0" distL="0" distR="0" wp14:anchorId="0F6070A8" wp14:editId="3D185B6D">
            <wp:extent cx="5337769" cy="2434442"/>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372673" cy="2450361"/>
                    </a:xfrm>
                    <a:prstGeom prst="rect">
                      <a:avLst/>
                    </a:prstGeom>
                    <a:noFill/>
                  </pic:spPr>
                </pic:pic>
              </a:graphicData>
            </a:graphic>
          </wp:inline>
        </w:drawing>
      </w:r>
    </w:p>
    <w:p w14:paraId="6D7ABD48" w14:textId="77777777" w:rsidR="00C01322" w:rsidRDefault="00C01322" w:rsidP="00330B65">
      <w:pPr>
        <w:spacing w:after="160" w:line="240" w:lineRule="auto"/>
        <w:rPr>
          <w:rFonts w:ascii="Calibri" w:hAnsi="Calibri" w:cs="Calibri"/>
          <w:color w:val="002F5D"/>
        </w:rPr>
      </w:pPr>
    </w:p>
    <w:p w14:paraId="66ACB683" w14:textId="6A7847E0" w:rsidR="002753DE" w:rsidRPr="00330B65" w:rsidRDefault="002753DE" w:rsidP="00330B65">
      <w:pPr>
        <w:spacing w:after="160" w:line="240" w:lineRule="auto"/>
        <w:rPr>
          <w:rFonts w:ascii="Calibri" w:hAnsi="Calibri" w:cs="Calibri"/>
          <w:color w:val="002F5D"/>
        </w:rPr>
      </w:pPr>
    </w:p>
    <w:p w14:paraId="3C553193" w14:textId="77777777" w:rsidR="00385DD0" w:rsidRPr="00102750" w:rsidRDefault="00385DD0" w:rsidP="00330B65">
      <w:pPr>
        <w:spacing w:line="240" w:lineRule="auto"/>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92</w:t>
      </w:r>
    </w:p>
    <w:p w14:paraId="2B5B9884" w14:textId="77777777" w:rsidR="00385DD0" w:rsidRDefault="00385DD0" w:rsidP="00330B65">
      <w:pPr>
        <w:spacing w:line="240" w:lineRule="auto"/>
        <w:rPr>
          <w:rFonts w:ascii="Calibri" w:hAnsi="Calibri" w:cs="Calibri"/>
          <w:color w:val="002F5D"/>
        </w:rPr>
      </w:pPr>
    </w:p>
    <w:p w14:paraId="73F6C329" w14:textId="35B4178A" w:rsidR="00385DD0" w:rsidRPr="00102750"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483B56">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0EB89CA9" w14:textId="77777777" w:rsidR="008D4440" w:rsidRPr="00330B65" w:rsidRDefault="008D4440" w:rsidP="00330B65">
      <w:pPr>
        <w:pStyle w:val="ListParagraph"/>
        <w:spacing w:line="240" w:lineRule="auto"/>
        <w:ind w:left="0"/>
        <w:rPr>
          <w:rFonts w:ascii="Calibri" w:hAnsi="Calibri" w:cs="Calibri"/>
          <w:color w:val="002F5D"/>
        </w:rPr>
      </w:pPr>
    </w:p>
    <w:p w14:paraId="7030EA49" w14:textId="33EFBC0F"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Peterborough the number of people aged 18+ receiving long-term support within the year is in line with national, regional and statistical neighbour averages.</w:t>
      </w:r>
      <w:r w:rsidRPr="00330B65">
        <w:rPr>
          <w:rFonts w:ascii="Calibri" w:hAnsi="Calibri" w:cs="Calibri"/>
          <w:color w:val="002F5D"/>
        </w:rPr>
        <w:br w:type="page"/>
      </w:r>
    </w:p>
    <w:p w14:paraId="11E1B3FE" w14:textId="54AA8DCF" w:rsidR="00483B56" w:rsidRDefault="00B81E4B" w:rsidP="009B42BA">
      <w:pPr>
        <w:pStyle w:val="NoSpacing"/>
        <w:rPr>
          <w:rFonts w:ascii="Calibri" w:hAnsi="Calibri" w:cs="Calibri"/>
          <w:color w:val="002F5D"/>
        </w:rPr>
      </w:pPr>
      <w:r>
        <w:rPr>
          <w:rFonts w:ascii="Calibri" w:hAnsi="Calibri" w:cs="Calibri"/>
          <w:b/>
          <w:color w:val="002F5D"/>
        </w:rPr>
        <w:lastRenderedPageBreak/>
        <w:t>Table 89</w:t>
      </w:r>
      <w:r w:rsidR="00837184">
        <w:rPr>
          <w:rFonts w:ascii="Calibri" w:hAnsi="Calibri" w:cs="Calibri"/>
          <w:b/>
          <w:color w:val="002F5D"/>
        </w:rPr>
        <w:t>.</w:t>
      </w:r>
      <w:r w:rsidR="00922FDA">
        <w:rPr>
          <w:rFonts w:ascii="Calibri" w:hAnsi="Calibri" w:cs="Calibri"/>
          <w:b/>
          <w:color w:val="002F5D"/>
        </w:rPr>
        <w:t xml:space="preserve"> </w:t>
      </w:r>
      <w:r w:rsidR="008D4440" w:rsidRPr="00330B65">
        <w:rPr>
          <w:rFonts w:ascii="Calibri" w:hAnsi="Calibri" w:cs="Calibri"/>
          <w:color w:val="002F5D"/>
        </w:rPr>
        <w:t>Number of people receiving long term support, 2017/18 financial year</w:t>
      </w:r>
    </w:p>
    <w:p w14:paraId="2E0F0EBB" w14:textId="77777777" w:rsidR="00483B56" w:rsidRPr="00330B65" w:rsidRDefault="00483B56" w:rsidP="009B42BA">
      <w:pPr>
        <w:pStyle w:val="NoSpacing"/>
        <w:rPr>
          <w:rFonts w:ascii="Calibri" w:hAnsi="Calibri" w:cs="Calibri"/>
          <w:color w:val="002F5D"/>
        </w:rPr>
      </w:pPr>
    </w:p>
    <w:tbl>
      <w:tblPr>
        <w:tblW w:w="10626" w:type="dxa"/>
        <w:tblInd w:w="-441" w:type="dxa"/>
        <w:tblLayout w:type="fixed"/>
        <w:tblLook w:val="04A0" w:firstRow="1" w:lastRow="0" w:firstColumn="1" w:lastColumn="0" w:noHBand="0" w:noVBand="1"/>
      </w:tblPr>
      <w:tblGrid>
        <w:gridCol w:w="2472"/>
        <w:gridCol w:w="1015"/>
        <w:gridCol w:w="1452"/>
        <w:gridCol w:w="869"/>
        <w:gridCol w:w="1452"/>
        <w:gridCol w:w="1195"/>
        <w:gridCol w:w="1416"/>
        <w:gridCol w:w="755"/>
      </w:tblGrid>
      <w:tr w:rsidR="00936844" w:rsidRPr="00936844" w14:paraId="42DE2944" w14:textId="77777777" w:rsidTr="00330B65">
        <w:trPr>
          <w:trHeight w:val="17"/>
        </w:trPr>
        <w:tc>
          <w:tcPr>
            <w:tcW w:w="2472" w:type="dxa"/>
            <w:tcBorders>
              <w:top w:val="single" w:sz="12" w:space="0" w:color="002F5D"/>
              <w:left w:val="single" w:sz="12" w:space="0" w:color="002F5D"/>
              <w:bottom w:val="single" w:sz="4" w:space="0" w:color="auto"/>
              <w:right w:val="single" w:sz="8" w:space="0" w:color="FFFFFF" w:themeColor="background1"/>
            </w:tcBorders>
            <w:shd w:val="clear" w:color="auto" w:fill="244061" w:themeFill="accent1" w:themeFillShade="80"/>
            <w:noWrap/>
            <w:hideMark/>
          </w:tcPr>
          <w:p w14:paraId="49E3B21C"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Area</w:t>
            </w:r>
          </w:p>
        </w:tc>
        <w:tc>
          <w:tcPr>
            <w:tcW w:w="1015"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noWrap/>
            <w:hideMark/>
          </w:tcPr>
          <w:p w14:paraId="3F34AE98"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 aged 18-64</w:t>
            </w:r>
          </w:p>
        </w:tc>
        <w:tc>
          <w:tcPr>
            <w:tcW w:w="1452"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noWrap/>
            <w:hideMark/>
          </w:tcPr>
          <w:p w14:paraId="631ACF90"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18-64</w:t>
            </w:r>
          </w:p>
        </w:tc>
        <w:tc>
          <w:tcPr>
            <w:tcW w:w="869"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noWrap/>
            <w:hideMark/>
          </w:tcPr>
          <w:p w14:paraId="1699B90E"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No. aged 65+</w:t>
            </w:r>
          </w:p>
        </w:tc>
        <w:tc>
          <w:tcPr>
            <w:tcW w:w="1452"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noWrap/>
            <w:hideMark/>
          </w:tcPr>
          <w:p w14:paraId="225D1D96"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65+</w:t>
            </w:r>
          </w:p>
        </w:tc>
        <w:tc>
          <w:tcPr>
            <w:tcW w:w="1195"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noWrap/>
            <w:hideMark/>
          </w:tcPr>
          <w:p w14:paraId="6944D29D"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Total supported aged 18+</w:t>
            </w:r>
          </w:p>
        </w:tc>
        <w:tc>
          <w:tcPr>
            <w:tcW w:w="1416" w:type="dxa"/>
            <w:tcBorders>
              <w:top w:val="single" w:sz="12" w:space="0" w:color="002F5D"/>
              <w:left w:val="single" w:sz="8" w:space="0" w:color="FFFFFF" w:themeColor="background1"/>
              <w:bottom w:val="single" w:sz="4" w:space="0" w:color="FFFFFF" w:themeColor="background1"/>
              <w:right w:val="single" w:sz="8" w:space="0" w:color="FFFFFF" w:themeColor="background1"/>
            </w:tcBorders>
            <w:shd w:val="clear" w:color="auto" w:fill="244061" w:themeFill="accent1" w:themeFillShade="80"/>
          </w:tcPr>
          <w:p w14:paraId="1050CA0C" w14:textId="77777777"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Per 100,000 Population aged 18+</w:t>
            </w:r>
          </w:p>
        </w:tc>
        <w:tc>
          <w:tcPr>
            <w:tcW w:w="755" w:type="dxa"/>
            <w:tcBorders>
              <w:top w:val="single" w:sz="12" w:space="0" w:color="002F5D"/>
              <w:left w:val="single" w:sz="8" w:space="0" w:color="FFFFFF" w:themeColor="background1"/>
              <w:bottom w:val="single" w:sz="4" w:space="0" w:color="auto"/>
              <w:right w:val="single" w:sz="12" w:space="0" w:color="002F5D"/>
            </w:tcBorders>
            <w:shd w:val="clear" w:color="auto" w:fill="244061" w:themeFill="accent1" w:themeFillShade="80"/>
            <w:noWrap/>
            <w:hideMark/>
          </w:tcPr>
          <w:p w14:paraId="0663EF40" w14:textId="16EAB8D9" w:rsidR="008D4440" w:rsidRPr="00330B65" w:rsidRDefault="008D4440" w:rsidP="00936844">
            <w:pPr>
              <w:spacing w:line="240" w:lineRule="auto"/>
              <w:jc w:val="center"/>
              <w:rPr>
                <w:rFonts w:ascii="Calibri" w:eastAsia="Times New Roman" w:hAnsi="Calibri" w:cs="Calibri"/>
                <w:color w:val="FFFFFF" w:themeColor="background1"/>
                <w:lang w:eastAsia="en-GB"/>
              </w:rPr>
            </w:pPr>
            <w:r w:rsidRPr="00330B65">
              <w:rPr>
                <w:rFonts w:ascii="Calibri" w:eastAsia="Times New Roman" w:hAnsi="Calibri" w:cs="Calibri"/>
                <w:color w:val="FFFFFF" w:themeColor="background1"/>
                <w:lang w:eastAsia="en-GB"/>
              </w:rPr>
              <w:t>%</w:t>
            </w:r>
            <w:r w:rsidR="00875854">
              <w:rPr>
                <w:rFonts w:ascii="Calibri" w:eastAsia="Times New Roman" w:hAnsi="Calibri" w:cs="Calibri"/>
                <w:color w:val="FFFFFF" w:themeColor="background1"/>
                <w:lang w:eastAsia="en-GB"/>
              </w:rPr>
              <w:t>*</w:t>
            </w:r>
          </w:p>
        </w:tc>
      </w:tr>
      <w:tr w:rsidR="00936844" w:rsidRPr="00936844" w14:paraId="55BCCF85" w14:textId="77777777" w:rsidTr="00330B65">
        <w:trPr>
          <w:trHeight w:val="17"/>
        </w:trPr>
        <w:tc>
          <w:tcPr>
            <w:tcW w:w="2472" w:type="dxa"/>
            <w:tcBorders>
              <w:top w:val="single" w:sz="4" w:space="0" w:color="auto"/>
              <w:left w:val="single" w:sz="12" w:space="0" w:color="002F5D"/>
              <w:bottom w:val="nil"/>
              <w:right w:val="single" w:sz="4" w:space="0" w:color="auto"/>
            </w:tcBorders>
            <w:shd w:val="clear" w:color="auto" w:fill="auto"/>
            <w:noWrap/>
            <w:hideMark/>
          </w:tcPr>
          <w:p w14:paraId="5FE1E65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1015" w:type="dxa"/>
            <w:tcBorders>
              <w:top w:val="single" w:sz="4" w:space="0" w:color="FFFFFF" w:themeColor="background1"/>
              <w:left w:val="single" w:sz="4" w:space="0" w:color="auto"/>
              <w:bottom w:val="nil"/>
              <w:right w:val="single" w:sz="4" w:space="0" w:color="auto"/>
            </w:tcBorders>
            <w:shd w:val="clear" w:color="auto" w:fill="auto"/>
            <w:noWrap/>
            <w:vAlign w:val="center"/>
            <w:hideMark/>
          </w:tcPr>
          <w:p w14:paraId="784DE91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475</w:t>
            </w:r>
          </w:p>
        </w:tc>
        <w:tc>
          <w:tcPr>
            <w:tcW w:w="1452" w:type="dxa"/>
            <w:tcBorders>
              <w:top w:val="single" w:sz="4" w:space="0" w:color="FFFFFF" w:themeColor="background1"/>
              <w:left w:val="single" w:sz="4" w:space="0" w:color="auto"/>
              <w:right w:val="single" w:sz="4" w:space="0" w:color="auto"/>
            </w:tcBorders>
            <w:shd w:val="clear" w:color="auto" w:fill="D9D9D9" w:themeFill="background1" w:themeFillShade="D9"/>
            <w:noWrap/>
            <w:vAlign w:val="center"/>
            <w:hideMark/>
          </w:tcPr>
          <w:p w14:paraId="5FF35F7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553</w:t>
            </w:r>
          </w:p>
        </w:tc>
        <w:tc>
          <w:tcPr>
            <w:tcW w:w="869" w:type="dxa"/>
            <w:tcBorders>
              <w:top w:val="single" w:sz="4" w:space="0" w:color="FFFFFF" w:themeColor="background1"/>
              <w:left w:val="single" w:sz="4" w:space="0" w:color="auto"/>
              <w:right w:val="single" w:sz="4" w:space="0" w:color="auto"/>
            </w:tcBorders>
            <w:shd w:val="clear" w:color="auto" w:fill="auto"/>
            <w:noWrap/>
            <w:vAlign w:val="center"/>
            <w:hideMark/>
          </w:tcPr>
          <w:p w14:paraId="16A1F88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825</w:t>
            </w:r>
          </w:p>
        </w:tc>
        <w:tc>
          <w:tcPr>
            <w:tcW w:w="1452" w:type="dxa"/>
            <w:tcBorders>
              <w:top w:val="single" w:sz="4" w:space="0" w:color="FFFFFF" w:themeColor="background1"/>
              <w:left w:val="single" w:sz="4" w:space="0" w:color="auto"/>
              <w:right w:val="single" w:sz="4" w:space="0" w:color="auto"/>
            </w:tcBorders>
            <w:shd w:val="clear" w:color="auto" w:fill="D9D9D9" w:themeFill="background1" w:themeFillShade="D9"/>
            <w:noWrap/>
            <w:vAlign w:val="center"/>
            <w:hideMark/>
          </w:tcPr>
          <w:p w14:paraId="5EC8118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5,195</w:t>
            </w:r>
          </w:p>
        </w:tc>
        <w:tc>
          <w:tcPr>
            <w:tcW w:w="1195" w:type="dxa"/>
            <w:tcBorders>
              <w:top w:val="single" w:sz="4" w:space="0" w:color="FFFFFF" w:themeColor="background1"/>
              <w:left w:val="single" w:sz="4" w:space="0" w:color="auto"/>
              <w:right w:val="single" w:sz="4" w:space="0" w:color="auto"/>
            </w:tcBorders>
            <w:shd w:val="clear" w:color="auto" w:fill="auto"/>
            <w:noWrap/>
            <w:vAlign w:val="center"/>
            <w:hideMark/>
          </w:tcPr>
          <w:p w14:paraId="3C557AF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1,300</w:t>
            </w:r>
          </w:p>
        </w:tc>
        <w:tc>
          <w:tcPr>
            <w:tcW w:w="1416" w:type="dxa"/>
            <w:tcBorders>
              <w:top w:val="single" w:sz="4" w:space="0" w:color="FFFFFF" w:themeColor="background1"/>
              <w:left w:val="single" w:sz="4" w:space="0" w:color="auto"/>
              <w:right w:val="single" w:sz="4" w:space="0" w:color="auto"/>
            </w:tcBorders>
            <w:shd w:val="clear" w:color="auto" w:fill="D9D9D9" w:themeFill="background1" w:themeFillShade="D9"/>
            <w:vAlign w:val="center"/>
          </w:tcPr>
          <w:p w14:paraId="365BAA3A"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1,277</w:t>
            </w:r>
          </w:p>
        </w:tc>
        <w:tc>
          <w:tcPr>
            <w:tcW w:w="755" w:type="dxa"/>
            <w:tcBorders>
              <w:top w:val="single" w:sz="4" w:space="0" w:color="auto"/>
              <w:left w:val="single" w:sz="4" w:space="0" w:color="auto"/>
              <w:bottom w:val="nil"/>
              <w:right w:val="single" w:sz="12" w:space="0" w:color="002F5D"/>
            </w:tcBorders>
            <w:shd w:val="clear" w:color="auto" w:fill="auto"/>
            <w:noWrap/>
            <w:vAlign w:val="center"/>
            <w:hideMark/>
          </w:tcPr>
          <w:p w14:paraId="759E520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w:t>
            </w:r>
          </w:p>
        </w:tc>
      </w:tr>
      <w:tr w:rsidR="00936844" w:rsidRPr="00936844" w14:paraId="79ADB452" w14:textId="77777777" w:rsidTr="00330B65">
        <w:trPr>
          <w:trHeight w:val="17"/>
        </w:trPr>
        <w:tc>
          <w:tcPr>
            <w:tcW w:w="2472" w:type="dxa"/>
            <w:tcBorders>
              <w:top w:val="nil"/>
              <w:left w:val="single" w:sz="12" w:space="0" w:color="002F5D"/>
              <w:bottom w:val="nil"/>
              <w:right w:val="single" w:sz="4" w:space="0" w:color="auto"/>
            </w:tcBorders>
            <w:shd w:val="clear" w:color="auto" w:fill="auto"/>
            <w:noWrap/>
            <w:hideMark/>
          </w:tcPr>
          <w:p w14:paraId="4772158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1015" w:type="dxa"/>
            <w:tcBorders>
              <w:top w:val="nil"/>
              <w:left w:val="single" w:sz="4" w:space="0" w:color="auto"/>
              <w:bottom w:val="nil"/>
              <w:right w:val="single" w:sz="4" w:space="0" w:color="auto"/>
            </w:tcBorders>
            <w:shd w:val="clear" w:color="auto" w:fill="auto"/>
            <w:noWrap/>
            <w:vAlign w:val="center"/>
            <w:hideMark/>
          </w:tcPr>
          <w:p w14:paraId="7EB0D1A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280</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6068E0CB"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542</w:t>
            </w:r>
          </w:p>
        </w:tc>
        <w:tc>
          <w:tcPr>
            <w:tcW w:w="869" w:type="dxa"/>
            <w:tcBorders>
              <w:top w:val="nil"/>
              <w:left w:val="single" w:sz="4" w:space="0" w:color="auto"/>
              <w:bottom w:val="nil"/>
              <w:right w:val="single" w:sz="4" w:space="0" w:color="auto"/>
            </w:tcBorders>
            <w:shd w:val="clear" w:color="auto" w:fill="auto"/>
            <w:noWrap/>
            <w:vAlign w:val="center"/>
            <w:hideMark/>
          </w:tcPr>
          <w:p w14:paraId="3284AAD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640</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269A741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3,645</w:t>
            </w:r>
          </w:p>
        </w:tc>
        <w:tc>
          <w:tcPr>
            <w:tcW w:w="1195" w:type="dxa"/>
            <w:tcBorders>
              <w:top w:val="nil"/>
              <w:left w:val="single" w:sz="4" w:space="0" w:color="auto"/>
              <w:bottom w:val="nil"/>
              <w:right w:val="single" w:sz="4" w:space="0" w:color="auto"/>
            </w:tcBorders>
            <w:shd w:val="clear" w:color="auto" w:fill="auto"/>
            <w:noWrap/>
            <w:vAlign w:val="center"/>
            <w:hideMark/>
          </w:tcPr>
          <w:p w14:paraId="0E6541F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920</w:t>
            </w:r>
          </w:p>
        </w:tc>
        <w:tc>
          <w:tcPr>
            <w:tcW w:w="1416" w:type="dxa"/>
            <w:tcBorders>
              <w:top w:val="nil"/>
              <w:left w:val="single" w:sz="4" w:space="0" w:color="auto"/>
              <w:bottom w:val="nil"/>
              <w:right w:val="single" w:sz="4" w:space="0" w:color="auto"/>
            </w:tcBorders>
            <w:shd w:val="clear" w:color="auto" w:fill="D9D9D9" w:themeFill="background1" w:themeFillShade="D9"/>
            <w:vAlign w:val="center"/>
          </w:tcPr>
          <w:p w14:paraId="5DA195B9"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1,329</w:t>
            </w:r>
          </w:p>
        </w:tc>
        <w:tc>
          <w:tcPr>
            <w:tcW w:w="755" w:type="dxa"/>
            <w:tcBorders>
              <w:top w:val="nil"/>
              <w:left w:val="single" w:sz="4" w:space="0" w:color="auto"/>
              <w:bottom w:val="nil"/>
              <w:right w:val="single" w:sz="12" w:space="0" w:color="002F5D"/>
            </w:tcBorders>
            <w:shd w:val="clear" w:color="auto" w:fill="auto"/>
            <w:noWrap/>
            <w:vAlign w:val="center"/>
            <w:hideMark/>
          </w:tcPr>
          <w:p w14:paraId="1AF9BBF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r>
      <w:tr w:rsidR="00936844" w:rsidRPr="00936844" w14:paraId="74680F55" w14:textId="77777777" w:rsidTr="00330B65">
        <w:trPr>
          <w:trHeight w:val="17"/>
        </w:trPr>
        <w:tc>
          <w:tcPr>
            <w:tcW w:w="2472" w:type="dxa"/>
            <w:tcBorders>
              <w:top w:val="nil"/>
              <w:left w:val="single" w:sz="12" w:space="0" w:color="002F5D"/>
              <w:bottom w:val="nil"/>
              <w:right w:val="single" w:sz="4" w:space="0" w:color="auto"/>
            </w:tcBorders>
            <w:shd w:val="clear" w:color="auto" w:fill="auto"/>
            <w:noWrap/>
            <w:hideMark/>
          </w:tcPr>
          <w:p w14:paraId="17EB9EB5"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1015" w:type="dxa"/>
            <w:tcBorders>
              <w:top w:val="nil"/>
              <w:left w:val="single" w:sz="4" w:space="0" w:color="auto"/>
              <w:bottom w:val="nil"/>
              <w:right w:val="single" w:sz="4" w:space="0" w:color="auto"/>
            </w:tcBorders>
            <w:shd w:val="clear" w:color="auto" w:fill="auto"/>
            <w:noWrap/>
            <w:vAlign w:val="center"/>
            <w:hideMark/>
          </w:tcPr>
          <w:p w14:paraId="4534556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445</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03BD2D7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766</w:t>
            </w:r>
          </w:p>
        </w:tc>
        <w:tc>
          <w:tcPr>
            <w:tcW w:w="869" w:type="dxa"/>
            <w:tcBorders>
              <w:top w:val="nil"/>
              <w:left w:val="single" w:sz="4" w:space="0" w:color="auto"/>
              <w:bottom w:val="nil"/>
              <w:right w:val="single" w:sz="4" w:space="0" w:color="auto"/>
            </w:tcBorders>
            <w:shd w:val="clear" w:color="auto" w:fill="auto"/>
            <w:noWrap/>
            <w:vAlign w:val="center"/>
            <w:hideMark/>
          </w:tcPr>
          <w:p w14:paraId="0B86921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910</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449F3DF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4,025</w:t>
            </w:r>
          </w:p>
        </w:tc>
        <w:tc>
          <w:tcPr>
            <w:tcW w:w="1195" w:type="dxa"/>
            <w:tcBorders>
              <w:top w:val="nil"/>
              <w:left w:val="single" w:sz="4" w:space="0" w:color="auto"/>
              <w:bottom w:val="nil"/>
              <w:right w:val="single" w:sz="4" w:space="0" w:color="auto"/>
            </w:tcBorders>
            <w:shd w:val="clear" w:color="auto" w:fill="auto"/>
            <w:noWrap/>
            <w:vAlign w:val="center"/>
            <w:hideMark/>
          </w:tcPr>
          <w:p w14:paraId="2C1A179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1,355</w:t>
            </w:r>
          </w:p>
        </w:tc>
        <w:tc>
          <w:tcPr>
            <w:tcW w:w="1416" w:type="dxa"/>
            <w:tcBorders>
              <w:top w:val="nil"/>
              <w:left w:val="single" w:sz="4" w:space="0" w:color="auto"/>
              <w:bottom w:val="nil"/>
              <w:right w:val="single" w:sz="4" w:space="0" w:color="auto"/>
            </w:tcBorders>
            <w:shd w:val="clear" w:color="auto" w:fill="D9D9D9" w:themeFill="background1" w:themeFillShade="D9"/>
            <w:vAlign w:val="center"/>
          </w:tcPr>
          <w:p w14:paraId="00088974"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1,680</w:t>
            </w:r>
          </w:p>
        </w:tc>
        <w:tc>
          <w:tcPr>
            <w:tcW w:w="755" w:type="dxa"/>
            <w:tcBorders>
              <w:top w:val="nil"/>
              <w:left w:val="single" w:sz="4" w:space="0" w:color="auto"/>
              <w:bottom w:val="nil"/>
              <w:right w:val="single" w:sz="12" w:space="0" w:color="002F5D"/>
            </w:tcBorders>
            <w:shd w:val="clear" w:color="auto" w:fill="auto"/>
            <w:noWrap/>
            <w:vAlign w:val="center"/>
            <w:hideMark/>
          </w:tcPr>
          <w:p w14:paraId="628DC915"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18%</w:t>
            </w:r>
          </w:p>
        </w:tc>
      </w:tr>
      <w:tr w:rsidR="00936844" w:rsidRPr="00936844" w14:paraId="7DF277B3" w14:textId="77777777" w:rsidTr="00330B65">
        <w:trPr>
          <w:trHeight w:val="17"/>
        </w:trPr>
        <w:tc>
          <w:tcPr>
            <w:tcW w:w="2472" w:type="dxa"/>
            <w:tcBorders>
              <w:top w:val="nil"/>
              <w:left w:val="single" w:sz="12" w:space="0" w:color="002F5D"/>
              <w:bottom w:val="nil"/>
              <w:right w:val="single" w:sz="4" w:space="0" w:color="auto"/>
            </w:tcBorders>
            <w:shd w:val="clear" w:color="auto" w:fill="auto"/>
            <w:noWrap/>
            <w:hideMark/>
          </w:tcPr>
          <w:p w14:paraId="57211C2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1015" w:type="dxa"/>
            <w:tcBorders>
              <w:top w:val="nil"/>
              <w:left w:val="single" w:sz="4" w:space="0" w:color="auto"/>
              <w:bottom w:val="nil"/>
              <w:right w:val="single" w:sz="4" w:space="0" w:color="auto"/>
            </w:tcBorders>
            <w:shd w:val="clear" w:color="auto" w:fill="auto"/>
            <w:noWrap/>
            <w:vAlign w:val="center"/>
            <w:hideMark/>
          </w:tcPr>
          <w:p w14:paraId="2C41C9C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575</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72E6A750"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544</w:t>
            </w:r>
          </w:p>
        </w:tc>
        <w:tc>
          <w:tcPr>
            <w:tcW w:w="869" w:type="dxa"/>
            <w:tcBorders>
              <w:top w:val="nil"/>
              <w:left w:val="single" w:sz="4" w:space="0" w:color="auto"/>
              <w:bottom w:val="nil"/>
              <w:right w:val="single" w:sz="4" w:space="0" w:color="auto"/>
            </w:tcBorders>
            <w:shd w:val="clear" w:color="auto" w:fill="auto"/>
            <w:noWrap/>
            <w:vAlign w:val="center"/>
            <w:hideMark/>
          </w:tcPr>
          <w:p w14:paraId="15ADA7F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1355</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42118AF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3,914</w:t>
            </w:r>
          </w:p>
        </w:tc>
        <w:tc>
          <w:tcPr>
            <w:tcW w:w="1195" w:type="dxa"/>
            <w:tcBorders>
              <w:top w:val="nil"/>
              <w:left w:val="single" w:sz="4" w:space="0" w:color="auto"/>
              <w:bottom w:val="nil"/>
              <w:right w:val="single" w:sz="4" w:space="0" w:color="auto"/>
            </w:tcBorders>
            <w:shd w:val="clear" w:color="auto" w:fill="auto"/>
            <w:noWrap/>
            <w:vAlign w:val="center"/>
            <w:hideMark/>
          </w:tcPr>
          <w:p w14:paraId="360D1693"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1,930</w:t>
            </w:r>
          </w:p>
        </w:tc>
        <w:tc>
          <w:tcPr>
            <w:tcW w:w="1416" w:type="dxa"/>
            <w:tcBorders>
              <w:top w:val="nil"/>
              <w:left w:val="single" w:sz="4" w:space="0" w:color="auto"/>
              <w:bottom w:val="nil"/>
              <w:right w:val="single" w:sz="4" w:space="0" w:color="auto"/>
            </w:tcBorders>
            <w:shd w:val="clear" w:color="auto" w:fill="D9D9D9" w:themeFill="background1" w:themeFillShade="D9"/>
            <w:vAlign w:val="center"/>
          </w:tcPr>
          <w:p w14:paraId="2F27CE02"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1,375</w:t>
            </w:r>
          </w:p>
        </w:tc>
        <w:tc>
          <w:tcPr>
            <w:tcW w:w="755" w:type="dxa"/>
            <w:tcBorders>
              <w:top w:val="nil"/>
              <w:left w:val="single" w:sz="4" w:space="0" w:color="auto"/>
              <w:bottom w:val="nil"/>
              <w:right w:val="single" w:sz="12" w:space="0" w:color="002F5D"/>
            </w:tcBorders>
            <w:shd w:val="clear" w:color="auto" w:fill="auto"/>
            <w:noWrap/>
            <w:vAlign w:val="center"/>
            <w:hideMark/>
          </w:tcPr>
          <w:p w14:paraId="2516FCF1"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25%</w:t>
            </w:r>
          </w:p>
        </w:tc>
      </w:tr>
      <w:tr w:rsidR="00936844" w:rsidRPr="00936844" w14:paraId="5C06B330" w14:textId="77777777" w:rsidTr="00330B65">
        <w:trPr>
          <w:trHeight w:val="17"/>
        </w:trPr>
        <w:tc>
          <w:tcPr>
            <w:tcW w:w="2472" w:type="dxa"/>
            <w:tcBorders>
              <w:top w:val="nil"/>
              <w:left w:val="single" w:sz="12" w:space="0" w:color="002F5D"/>
              <w:bottom w:val="nil"/>
              <w:right w:val="single" w:sz="4" w:space="0" w:color="auto"/>
            </w:tcBorders>
            <w:shd w:val="clear" w:color="auto" w:fill="auto"/>
            <w:noWrap/>
            <w:hideMark/>
          </w:tcPr>
          <w:p w14:paraId="59E6F92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1015" w:type="dxa"/>
            <w:tcBorders>
              <w:top w:val="nil"/>
              <w:left w:val="single" w:sz="4" w:space="0" w:color="auto"/>
              <w:bottom w:val="nil"/>
              <w:right w:val="single" w:sz="4" w:space="0" w:color="auto"/>
            </w:tcBorders>
            <w:shd w:val="clear" w:color="auto" w:fill="auto"/>
            <w:noWrap/>
            <w:vAlign w:val="center"/>
            <w:hideMark/>
          </w:tcPr>
          <w:p w14:paraId="0CF20399"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540</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3B80CCAA"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590</w:t>
            </w:r>
          </w:p>
        </w:tc>
        <w:tc>
          <w:tcPr>
            <w:tcW w:w="869" w:type="dxa"/>
            <w:tcBorders>
              <w:top w:val="nil"/>
              <w:left w:val="single" w:sz="4" w:space="0" w:color="auto"/>
              <w:bottom w:val="nil"/>
              <w:right w:val="single" w:sz="4" w:space="0" w:color="auto"/>
            </w:tcBorders>
            <w:shd w:val="clear" w:color="auto" w:fill="auto"/>
            <w:noWrap/>
            <w:vAlign w:val="center"/>
            <w:hideMark/>
          </w:tcPr>
          <w:p w14:paraId="5738658E"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895</w:t>
            </w:r>
          </w:p>
        </w:tc>
        <w:tc>
          <w:tcPr>
            <w:tcW w:w="1452" w:type="dxa"/>
            <w:tcBorders>
              <w:top w:val="nil"/>
              <w:left w:val="single" w:sz="4" w:space="0" w:color="auto"/>
              <w:bottom w:val="nil"/>
              <w:right w:val="single" w:sz="4" w:space="0" w:color="auto"/>
            </w:tcBorders>
            <w:shd w:val="clear" w:color="auto" w:fill="D9D9D9" w:themeFill="background1" w:themeFillShade="D9"/>
            <w:noWrap/>
            <w:vAlign w:val="center"/>
            <w:hideMark/>
          </w:tcPr>
          <w:p w14:paraId="299CE396"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2,974</w:t>
            </w:r>
          </w:p>
        </w:tc>
        <w:tc>
          <w:tcPr>
            <w:tcW w:w="1195" w:type="dxa"/>
            <w:tcBorders>
              <w:top w:val="nil"/>
              <w:left w:val="single" w:sz="4" w:space="0" w:color="auto"/>
              <w:bottom w:val="nil"/>
              <w:right w:val="single" w:sz="4" w:space="0" w:color="auto"/>
            </w:tcBorders>
            <w:shd w:val="clear" w:color="auto" w:fill="auto"/>
            <w:noWrap/>
            <w:vAlign w:val="center"/>
            <w:hideMark/>
          </w:tcPr>
          <w:p w14:paraId="02D3B3A8"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1,435</w:t>
            </w:r>
          </w:p>
        </w:tc>
        <w:tc>
          <w:tcPr>
            <w:tcW w:w="1416" w:type="dxa"/>
            <w:tcBorders>
              <w:top w:val="nil"/>
              <w:left w:val="single" w:sz="4" w:space="0" w:color="auto"/>
              <w:bottom w:val="nil"/>
              <w:right w:val="single" w:sz="4" w:space="0" w:color="auto"/>
            </w:tcBorders>
            <w:shd w:val="clear" w:color="auto" w:fill="D9D9D9" w:themeFill="background1" w:themeFillShade="D9"/>
            <w:vAlign w:val="center"/>
          </w:tcPr>
          <w:p w14:paraId="0E9FF66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1,180</w:t>
            </w:r>
          </w:p>
        </w:tc>
        <w:tc>
          <w:tcPr>
            <w:tcW w:w="755" w:type="dxa"/>
            <w:tcBorders>
              <w:top w:val="nil"/>
              <w:left w:val="single" w:sz="4" w:space="0" w:color="auto"/>
              <w:bottom w:val="nil"/>
              <w:right w:val="single" w:sz="12" w:space="0" w:color="002F5D"/>
            </w:tcBorders>
            <w:shd w:val="clear" w:color="auto" w:fill="auto"/>
            <w:noWrap/>
            <w:vAlign w:val="center"/>
            <w:hideMark/>
          </w:tcPr>
          <w:p w14:paraId="29BD3E2B"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w:t>
            </w:r>
          </w:p>
        </w:tc>
      </w:tr>
      <w:tr w:rsidR="00936844" w:rsidRPr="00936844" w14:paraId="7824D298" w14:textId="77777777" w:rsidTr="00330B65">
        <w:trPr>
          <w:trHeight w:val="71"/>
        </w:trPr>
        <w:tc>
          <w:tcPr>
            <w:tcW w:w="2472" w:type="dxa"/>
            <w:tcBorders>
              <w:top w:val="nil"/>
              <w:left w:val="single" w:sz="12" w:space="0" w:color="002F5D"/>
              <w:bottom w:val="single" w:sz="4" w:space="0" w:color="auto"/>
              <w:right w:val="single" w:sz="4" w:space="0" w:color="auto"/>
            </w:tcBorders>
            <w:shd w:val="clear" w:color="auto" w:fill="auto"/>
            <w:noWrap/>
            <w:hideMark/>
          </w:tcPr>
          <w:p w14:paraId="081521CA"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1015" w:type="dxa"/>
            <w:tcBorders>
              <w:top w:val="nil"/>
              <w:left w:val="single" w:sz="4" w:space="0" w:color="auto"/>
              <w:bottom w:val="single" w:sz="4" w:space="0" w:color="auto"/>
              <w:right w:val="single" w:sz="4" w:space="0" w:color="auto"/>
            </w:tcBorders>
            <w:shd w:val="clear" w:color="auto" w:fill="auto"/>
            <w:noWrap/>
            <w:vAlign w:val="center"/>
            <w:hideMark/>
          </w:tcPr>
          <w:p w14:paraId="2DBE04B2"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225</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6DC6F0FC"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c>
          <w:tcPr>
            <w:tcW w:w="869" w:type="dxa"/>
            <w:tcBorders>
              <w:top w:val="nil"/>
              <w:left w:val="single" w:sz="4" w:space="0" w:color="auto"/>
              <w:bottom w:val="single" w:sz="8" w:space="0" w:color="auto"/>
              <w:right w:val="single" w:sz="4" w:space="0" w:color="auto"/>
            </w:tcBorders>
            <w:shd w:val="clear" w:color="auto" w:fill="auto"/>
            <w:noWrap/>
            <w:vAlign w:val="center"/>
            <w:hideMark/>
          </w:tcPr>
          <w:p w14:paraId="0417E8F7"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540</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2450F11F"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c>
          <w:tcPr>
            <w:tcW w:w="1195" w:type="dxa"/>
            <w:tcBorders>
              <w:top w:val="nil"/>
              <w:left w:val="single" w:sz="4" w:space="0" w:color="auto"/>
              <w:bottom w:val="single" w:sz="8" w:space="0" w:color="auto"/>
              <w:right w:val="single" w:sz="4" w:space="0" w:color="auto"/>
            </w:tcBorders>
            <w:shd w:val="clear" w:color="auto" w:fill="auto"/>
            <w:noWrap/>
            <w:vAlign w:val="center"/>
            <w:hideMark/>
          </w:tcPr>
          <w:p w14:paraId="503EFE3D"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765</w:t>
            </w:r>
          </w:p>
        </w:tc>
        <w:tc>
          <w:tcPr>
            <w:tcW w:w="1416" w:type="dxa"/>
            <w:tcBorders>
              <w:top w:val="nil"/>
              <w:left w:val="single" w:sz="4" w:space="0" w:color="auto"/>
              <w:bottom w:val="single" w:sz="8" w:space="0" w:color="auto"/>
              <w:right w:val="single" w:sz="4" w:space="0" w:color="auto"/>
            </w:tcBorders>
            <w:shd w:val="clear" w:color="auto" w:fill="D9D9D9" w:themeFill="background1" w:themeFillShade="D9"/>
            <w:vAlign w:val="center"/>
          </w:tcPr>
          <w:p w14:paraId="1BAC4B0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 </w:t>
            </w:r>
          </w:p>
        </w:tc>
        <w:tc>
          <w:tcPr>
            <w:tcW w:w="755" w:type="dxa"/>
            <w:tcBorders>
              <w:top w:val="nil"/>
              <w:left w:val="single" w:sz="4" w:space="0" w:color="auto"/>
              <w:bottom w:val="single" w:sz="8" w:space="0" w:color="auto"/>
              <w:right w:val="single" w:sz="12" w:space="0" w:color="002F5D"/>
            </w:tcBorders>
            <w:shd w:val="clear" w:color="auto" w:fill="auto"/>
            <w:noWrap/>
            <w:vAlign w:val="center"/>
            <w:hideMark/>
          </w:tcPr>
          <w:p w14:paraId="3BC7B984" w14:textId="77777777" w:rsidR="008D4440" w:rsidRPr="00330B65" w:rsidRDefault="008D4440" w:rsidP="00936844">
            <w:pPr>
              <w:spacing w:line="240" w:lineRule="auto"/>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10%</w:t>
            </w:r>
          </w:p>
        </w:tc>
      </w:tr>
      <w:tr w:rsidR="00936844" w:rsidRPr="00936844" w14:paraId="0C73E2D6" w14:textId="77777777" w:rsidTr="00330B65">
        <w:trPr>
          <w:trHeight w:val="17"/>
        </w:trPr>
        <w:tc>
          <w:tcPr>
            <w:tcW w:w="2472" w:type="dxa"/>
            <w:tcBorders>
              <w:top w:val="single" w:sz="4" w:space="0" w:color="auto"/>
              <w:left w:val="single" w:sz="12" w:space="0" w:color="002F5D"/>
              <w:bottom w:val="single" w:sz="4" w:space="0" w:color="auto"/>
              <w:right w:val="single" w:sz="4" w:space="0" w:color="auto"/>
            </w:tcBorders>
            <w:shd w:val="clear" w:color="auto" w:fill="auto"/>
            <w:noWrap/>
            <w:vAlign w:val="center"/>
            <w:hideMark/>
          </w:tcPr>
          <w:p w14:paraId="37B002A9"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w:t>
            </w:r>
          </w:p>
        </w:tc>
        <w:tc>
          <w:tcPr>
            <w:tcW w:w="1015"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7662E788"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2,540</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4B5939F3"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646</w:t>
            </w:r>
          </w:p>
        </w:tc>
        <w:tc>
          <w:tcPr>
            <w:tcW w:w="869" w:type="dxa"/>
            <w:tcBorders>
              <w:top w:val="nil"/>
              <w:left w:val="single" w:sz="4" w:space="0" w:color="auto"/>
              <w:bottom w:val="single" w:sz="8" w:space="0" w:color="auto"/>
              <w:right w:val="single" w:sz="4" w:space="0" w:color="auto"/>
            </w:tcBorders>
            <w:shd w:val="clear" w:color="auto" w:fill="auto"/>
            <w:noWrap/>
            <w:vAlign w:val="center"/>
            <w:hideMark/>
          </w:tcPr>
          <w:p w14:paraId="39110EB2"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5,165</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5E6DA053"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4,277</w:t>
            </w:r>
          </w:p>
        </w:tc>
        <w:tc>
          <w:tcPr>
            <w:tcW w:w="1195" w:type="dxa"/>
            <w:tcBorders>
              <w:top w:val="nil"/>
              <w:left w:val="single" w:sz="4" w:space="0" w:color="auto"/>
              <w:bottom w:val="single" w:sz="8" w:space="0" w:color="auto"/>
              <w:right w:val="single" w:sz="4" w:space="0" w:color="auto"/>
            </w:tcBorders>
            <w:shd w:val="clear" w:color="auto" w:fill="auto"/>
            <w:noWrap/>
            <w:vAlign w:val="center"/>
            <w:hideMark/>
          </w:tcPr>
          <w:p w14:paraId="2EAC6BF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7,705</w:t>
            </w:r>
          </w:p>
        </w:tc>
        <w:tc>
          <w:tcPr>
            <w:tcW w:w="1416" w:type="dxa"/>
            <w:tcBorders>
              <w:top w:val="nil"/>
              <w:left w:val="single" w:sz="4" w:space="0" w:color="auto"/>
              <w:bottom w:val="single" w:sz="8" w:space="0" w:color="auto"/>
              <w:right w:val="single" w:sz="4" w:space="0" w:color="auto"/>
            </w:tcBorders>
            <w:shd w:val="clear" w:color="auto" w:fill="D9D9D9" w:themeFill="background1" w:themeFillShade="D9"/>
            <w:vAlign w:val="center"/>
          </w:tcPr>
          <w:p w14:paraId="27B5C396"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1,500</w:t>
            </w:r>
          </w:p>
        </w:tc>
        <w:tc>
          <w:tcPr>
            <w:tcW w:w="755" w:type="dxa"/>
            <w:tcBorders>
              <w:top w:val="nil"/>
              <w:left w:val="single" w:sz="4" w:space="0" w:color="auto"/>
              <w:bottom w:val="single" w:sz="8" w:space="0" w:color="auto"/>
              <w:right w:val="single" w:sz="12" w:space="0" w:color="002F5D"/>
            </w:tcBorders>
            <w:shd w:val="clear" w:color="auto" w:fill="auto"/>
            <w:noWrap/>
            <w:vAlign w:val="center"/>
            <w:hideMark/>
          </w:tcPr>
          <w:p w14:paraId="031D0C77"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72%</w:t>
            </w:r>
          </w:p>
        </w:tc>
      </w:tr>
      <w:tr w:rsidR="00936844" w:rsidRPr="00936844" w14:paraId="56D322E3" w14:textId="77777777" w:rsidTr="00330B65">
        <w:trPr>
          <w:trHeight w:val="17"/>
        </w:trPr>
        <w:tc>
          <w:tcPr>
            <w:tcW w:w="2472" w:type="dxa"/>
            <w:tcBorders>
              <w:top w:val="single" w:sz="4" w:space="0" w:color="auto"/>
              <w:left w:val="single" w:sz="12" w:space="0" w:color="002F5D"/>
              <w:bottom w:val="single" w:sz="4" w:space="0" w:color="auto"/>
              <w:right w:val="single" w:sz="4" w:space="0" w:color="auto"/>
            </w:tcBorders>
            <w:shd w:val="clear" w:color="auto" w:fill="auto"/>
            <w:noWrap/>
            <w:vAlign w:val="center"/>
            <w:hideMark/>
          </w:tcPr>
          <w:p w14:paraId="54D1E8A9"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Peterborough</w:t>
            </w:r>
          </w:p>
        </w:tc>
        <w:tc>
          <w:tcPr>
            <w:tcW w:w="1015" w:type="dxa"/>
            <w:tcBorders>
              <w:top w:val="nil"/>
              <w:left w:val="single" w:sz="4" w:space="0" w:color="auto"/>
              <w:bottom w:val="single" w:sz="4" w:space="0" w:color="auto"/>
              <w:right w:val="single" w:sz="4" w:space="0" w:color="auto"/>
            </w:tcBorders>
            <w:shd w:val="clear" w:color="auto" w:fill="auto"/>
            <w:noWrap/>
            <w:vAlign w:val="center"/>
            <w:hideMark/>
          </w:tcPr>
          <w:p w14:paraId="13D77FB8"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995</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4D4B625A"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830</w:t>
            </w:r>
          </w:p>
        </w:tc>
        <w:tc>
          <w:tcPr>
            <w:tcW w:w="869" w:type="dxa"/>
            <w:tcBorders>
              <w:top w:val="nil"/>
              <w:left w:val="single" w:sz="4" w:space="0" w:color="auto"/>
              <w:bottom w:val="single" w:sz="8" w:space="0" w:color="auto"/>
              <w:right w:val="single" w:sz="4" w:space="0" w:color="auto"/>
            </w:tcBorders>
            <w:shd w:val="clear" w:color="auto" w:fill="auto"/>
            <w:noWrap/>
            <w:vAlign w:val="center"/>
            <w:hideMark/>
          </w:tcPr>
          <w:p w14:paraId="6008EC7D"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1,990</w:t>
            </w:r>
          </w:p>
        </w:tc>
        <w:tc>
          <w:tcPr>
            <w:tcW w:w="1452"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5165506D"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6,869</w:t>
            </w:r>
          </w:p>
        </w:tc>
        <w:tc>
          <w:tcPr>
            <w:tcW w:w="1195" w:type="dxa"/>
            <w:tcBorders>
              <w:top w:val="nil"/>
              <w:left w:val="single" w:sz="4" w:space="0" w:color="auto"/>
              <w:bottom w:val="single" w:sz="8" w:space="0" w:color="auto"/>
              <w:right w:val="single" w:sz="4" w:space="0" w:color="auto"/>
            </w:tcBorders>
            <w:shd w:val="clear" w:color="auto" w:fill="auto"/>
            <w:noWrap/>
            <w:vAlign w:val="center"/>
            <w:hideMark/>
          </w:tcPr>
          <w:p w14:paraId="36CB3758"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2,985</w:t>
            </w:r>
          </w:p>
        </w:tc>
        <w:tc>
          <w:tcPr>
            <w:tcW w:w="1416" w:type="dxa"/>
            <w:tcBorders>
              <w:top w:val="nil"/>
              <w:left w:val="single" w:sz="4" w:space="0" w:color="auto"/>
              <w:bottom w:val="single" w:sz="8" w:space="0" w:color="auto"/>
              <w:right w:val="single" w:sz="4" w:space="0" w:color="auto"/>
            </w:tcBorders>
            <w:shd w:val="clear" w:color="auto" w:fill="D9D9D9" w:themeFill="background1" w:themeFillShade="D9"/>
            <w:vAlign w:val="center"/>
          </w:tcPr>
          <w:p w14:paraId="2D170B54"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2,005</w:t>
            </w:r>
          </w:p>
        </w:tc>
        <w:tc>
          <w:tcPr>
            <w:tcW w:w="755" w:type="dxa"/>
            <w:tcBorders>
              <w:top w:val="nil"/>
              <w:left w:val="single" w:sz="4" w:space="0" w:color="auto"/>
              <w:bottom w:val="single" w:sz="8" w:space="0" w:color="auto"/>
              <w:right w:val="single" w:sz="12" w:space="0" w:color="002F5D"/>
            </w:tcBorders>
            <w:shd w:val="clear" w:color="auto" w:fill="auto"/>
            <w:noWrap/>
            <w:vAlign w:val="center"/>
            <w:hideMark/>
          </w:tcPr>
          <w:p w14:paraId="681A5F9E"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28%</w:t>
            </w:r>
          </w:p>
        </w:tc>
      </w:tr>
      <w:tr w:rsidR="00936844" w:rsidRPr="00936844" w14:paraId="2D8283EB" w14:textId="77777777" w:rsidTr="00330B65">
        <w:trPr>
          <w:trHeight w:val="17"/>
        </w:trPr>
        <w:tc>
          <w:tcPr>
            <w:tcW w:w="2472" w:type="dxa"/>
            <w:tcBorders>
              <w:top w:val="single" w:sz="4" w:space="0" w:color="auto"/>
              <w:left w:val="single" w:sz="12" w:space="0" w:color="002F5D"/>
              <w:bottom w:val="single" w:sz="12" w:space="0" w:color="002F5D"/>
              <w:right w:val="single" w:sz="4" w:space="0" w:color="auto"/>
            </w:tcBorders>
            <w:shd w:val="clear" w:color="auto" w:fill="auto"/>
            <w:noWrap/>
            <w:vAlign w:val="center"/>
            <w:hideMark/>
          </w:tcPr>
          <w:p w14:paraId="7CEE4D48" w14:textId="77777777" w:rsidR="008D4440" w:rsidRPr="00330B65" w:rsidRDefault="008D4440" w:rsidP="00936844">
            <w:pPr>
              <w:spacing w:line="240" w:lineRule="auto"/>
              <w:rPr>
                <w:rFonts w:ascii="Calibri" w:eastAsia="Times New Roman" w:hAnsi="Calibri" w:cs="Calibri"/>
                <w:b/>
                <w:color w:val="002F5D"/>
                <w:lang w:eastAsia="en-GB"/>
              </w:rPr>
            </w:pPr>
            <w:r w:rsidRPr="00330B65">
              <w:rPr>
                <w:rFonts w:ascii="Calibri" w:eastAsia="Times New Roman" w:hAnsi="Calibri" w:cs="Calibri"/>
                <w:b/>
                <w:color w:val="002F5D"/>
                <w:lang w:eastAsia="en-GB"/>
              </w:rPr>
              <w:t>Cambridgeshire &amp; Peterborough</w:t>
            </w:r>
          </w:p>
        </w:tc>
        <w:tc>
          <w:tcPr>
            <w:tcW w:w="1015" w:type="dxa"/>
            <w:tcBorders>
              <w:top w:val="single" w:sz="4" w:space="0" w:color="auto"/>
              <w:left w:val="single" w:sz="4" w:space="0" w:color="auto"/>
              <w:bottom w:val="single" w:sz="12" w:space="0" w:color="002F5D"/>
              <w:right w:val="single" w:sz="4" w:space="0" w:color="auto"/>
            </w:tcBorders>
            <w:shd w:val="clear" w:color="auto" w:fill="auto"/>
            <w:noWrap/>
            <w:vAlign w:val="center"/>
            <w:hideMark/>
          </w:tcPr>
          <w:p w14:paraId="5D17B5CC"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3,535</w:t>
            </w:r>
          </w:p>
        </w:tc>
        <w:tc>
          <w:tcPr>
            <w:tcW w:w="1452" w:type="dxa"/>
            <w:tcBorders>
              <w:top w:val="nil"/>
              <w:left w:val="single" w:sz="4" w:space="0" w:color="auto"/>
              <w:bottom w:val="single" w:sz="12" w:space="0" w:color="002F5D"/>
              <w:right w:val="single" w:sz="4" w:space="0" w:color="auto"/>
            </w:tcBorders>
            <w:shd w:val="clear" w:color="auto" w:fill="D9D9D9" w:themeFill="background1" w:themeFillShade="D9"/>
            <w:noWrap/>
            <w:vAlign w:val="center"/>
            <w:hideMark/>
          </w:tcPr>
          <w:p w14:paraId="71A629A6"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689</w:t>
            </w:r>
          </w:p>
        </w:tc>
        <w:tc>
          <w:tcPr>
            <w:tcW w:w="869" w:type="dxa"/>
            <w:tcBorders>
              <w:top w:val="nil"/>
              <w:left w:val="single" w:sz="4" w:space="0" w:color="auto"/>
              <w:bottom w:val="single" w:sz="12" w:space="0" w:color="002F5D"/>
              <w:right w:val="single" w:sz="4" w:space="0" w:color="auto"/>
            </w:tcBorders>
            <w:shd w:val="clear" w:color="auto" w:fill="auto"/>
            <w:noWrap/>
            <w:vAlign w:val="center"/>
            <w:hideMark/>
          </w:tcPr>
          <w:p w14:paraId="0E98BDA5"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7,155</w:t>
            </w:r>
          </w:p>
        </w:tc>
        <w:tc>
          <w:tcPr>
            <w:tcW w:w="1452" w:type="dxa"/>
            <w:tcBorders>
              <w:top w:val="nil"/>
              <w:left w:val="single" w:sz="4" w:space="0" w:color="auto"/>
              <w:bottom w:val="single" w:sz="12" w:space="0" w:color="002F5D"/>
              <w:right w:val="single" w:sz="4" w:space="0" w:color="auto"/>
            </w:tcBorders>
            <w:shd w:val="clear" w:color="auto" w:fill="D9D9D9" w:themeFill="background1" w:themeFillShade="D9"/>
            <w:noWrap/>
            <w:vAlign w:val="center"/>
            <w:hideMark/>
          </w:tcPr>
          <w:p w14:paraId="14B00BA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4,779</w:t>
            </w:r>
          </w:p>
        </w:tc>
        <w:tc>
          <w:tcPr>
            <w:tcW w:w="1195" w:type="dxa"/>
            <w:tcBorders>
              <w:top w:val="nil"/>
              <w:left w:val="single" w:sz="4" w:space="0" w:color="auto"/>
              <w:bottom w:val="single" w:sz="12" w:space="0" w:color="002F5D"/>
              <w:right w:val="single" w:sz="4" w:space="0" w:color="auto"/>
            </w:tcBorders>
            <w:shd w:val="clear" w:color="auto" w:fill="auto"/>
            <w:noWrap/>
            <w:vAlign w:val="center"/>
            <w:hideMark/>
          </w:tcPr>
          <w:p w14:paraId="40BAEB2B"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10,690</w:t>
            </w:r>
          </w:p>
        </w:tc>
        <w:tc>
          <w:tcPr>
            <w:tcW w:w="1416" w:type="dxa"/>
            <w:tcBorders>
              <w:top w:val="nil"/>
              <w:left w:val="single" w:sz="4" w:space="0" w:color="auto"/>
              <w:bottom w:val="single" w:sz="12" w:space="0" w:color="002F5D"/>
              <w:right w:val="single" w:sz="4" w:space="0" w:color="auto"/>
            </w:tcBorders>
            <w:shd w:val="clear" w:color="auto" w:fill="D9D9D9" w:themeFill="background1" w:themeFillShade="D9"/>
            <w:vAlign w:val="center"/>
          </w:tcPr>
          <w:p w14:paraId="5DDC95A1"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1,613</w:t>
            </w:r>
          </w:p>
        </w:tc>
        <w:tc>
          <w:tcPr>
            <w:tcW w:w="755" w:type="dxa"/>
            <w:tcBorders>
              <w:top w:val="nil"/>
              <w:left w:val="single" w:sz="4" w:space="0" w:color="auto"/>
              <w:bottom w:val="single" w:sz="12" w:space="0" w:color="002F5D"/>
              <w:right w:val="single" w:sz="12" w:space="0" w:color="002F5D"/>
            </w:tcBorders>
            <w:shd w:val="clear" w:color="auto" w:fill="auto"/>
            <w:noWrap/>
            <w:vAlign w:val="center"/>
            <w:hideMark/>
          </w:tcPr>
          <w:p w14:paraId="7265267D" w14:textId="77777777" w:rsidR="008D4440" w:rsidRPr="00330B65" w:rsidRDefault="008D4440" w:rsidP="00936844">
            <w:pPr>
              <w:spacing w:line="240" w:lineRule="auto"/>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 </w:t>
            </w:r>
          </w:p>
        </w:tc>
      </w:tr>
    </w:tbl>
    <w:p w14:paraId="6E17592A" w14:textId="31B1243B" w:rsidR="00782D43" w:rsidRPr="00102750" w:rsidRDefault="008D4440" w:rsidP="00330B65">
      <w:pPr>
        <w:spacing w:line="240" w:lineRule="auto"/>
        <w:rPr>
          <w:rFonts w:ascii="Calibri" w:hAnsi="Calibri" w:cs="Calibri"/>
          <w:color w:val="002F5D"/>
          <w:sz w:val="18"/>
          <w:szCs w:val="18"/>
        </w:rPr>
      </w:pPr>
      <w:r w:rsidRPr="00330B65">
        <w:rPr>
          <w:rFonts w:ascii="Calibri" w:hAnsi="Calibri" w:cs="Calibri"/>
          <w:color w:val="002F5D"/>
          <w:sz w:val="18"/>
          <w:szCs w:val="18"/>
        </w:rPr>
        <w:t>Note – local figures will not always match national figures due to rounding</w:t>
      </w:r>
    </w:p>
    <w:p w14:paraId="10C4A4E2" w14:textId="14453622" w:rsidR="00782D43" w:rsidRDefault="00875854" w:rsidP="00330B65">
      <w:pPr>
        <w:spacing w:line="240" w:lineRule="auto"/>
        <w:rPr>
          <w:rFonts w:ascii="Calibri" w:hAnsi="Calibri" w:cs="Calibri"/>
          <w:color w:val="002F5D"/>
          <w:sz w:val="18"/>
          <w:szCs w:val="18"/>
        </w:rPr>
      </w:pPr>
      <w:r>
        <w:rPr>
          <w:rFonts w:ascii="Calibri" w:hAnsi="Calibri" w:cs="Calibri"/>
          <w:color w:val="002F5D"/>
          <w:sz w:val="18"/>
          <w:szCs w:val="18"/>
        </w:rPr>
        <w:t>*Cambridgeshire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3E3A7392" w14:textId="77777777" w:rsidR="00875854" w:rsidRDefault="00875854" w:rsidP="00330B65">
      <w:pPr>
        <w:spacing w:line="240" w:lineRule="auto"/>
        <w:rPr>
          <w:rFonts w:ascii="Calibri" w:hAnsi="Calibri" w:cs="Calibri"/>
          <w:color w:val="002F5D"/>
        </w:rPr>
      </w:pPr>
    </w:p>
    <w:p w14:paraId="1E71B327" w14:textId="37ACC3DF" w:rsidR="00385DD0" w:rsidRPr="00330B65" w:rsidRDefault="00782D43" w:rsidP="00330B65">
      <w:pPr>
        <w:spacing w:line="240" w:lineRule="auto"/>
        <w:rPr>
          <w:rFonts w:ascii="Calibri" w:hAnsi="Calibri" w:cs="Calibri"/>
          <w:color w:val="002F5D"/>
        </w:rPr>
      </w:pPr>
      <w:r w:rsidRPr="00102750">
        <w:rPr>
          <w:rFonts w:ascii="Calibri" w:hAnsi="Calibri" w:cs="Calibri"/>
          <w:b/>
          <w:color w:val="002F5D"/>
        </w:rPr>
        <w:t>Sour</w:t>
      </w:r>
      <w:r>
        <w:rPr>
          <w:rFonts w:ascii="Calibri" w:hAnsi="Calibri" w:cs="Calibri"/>
          <w:b/>
          <w:color w:val="002F5D"/>
        </w:rPr>
        <w:t>c</w:t>
      </w:r>
      <w:r w:rsidRPr="00102750">
        <w:rPr>
          <w:rFonts w:ascii="Calibri" w:hAnsi="Calibri" w:cs="Calibri"/>
          <w:b/>
          <w:color w:val="002F5D"/>
        </w:rPr>
        <w:t>es</w:t>
      </w:r>
      <w:r>
        <w:rPr>
          <w:rFonts w:ascii="Calibri" w:hAnsi="Calibri" w:cs="Calibri"/>
          <w:color w:val="002F5D"/>
        </w:rPr>
        <w:t xml:space="preserve">: see Data sources on page 168 </w:t>
      </w:r>
      <w:r w:rsidR="00385DD0">
        <w:rPr>
          <w:rFonts w:ascii="Calibri" w:hAnsi="Calibri" w:cs="Calibri"/>
          <w:color w:val="002F5D"/>
        </w:rPr>
        <w:t xml:space="preserve"> </w:t>
      </w:r>
    </w:p>
    <w:p w14:paraId="30A8877D" w14:textId="77777777" w:rsidR="00385DD0" w:rsidRPr="00330B65" w:rsidRDefault="00385DD0" w:rsidP="00330B65">
      <w:pPr>
        <w:spacing w:line="240" w:lineRule="auto"/>
        <w:ind w:left="-993" w:firstLine="993"/>
        <w:rPr>
          <w:rFonts w:ascii="Calibri" w:hAnsi="Calibri" w:cs="Calibri"/>
          <w:color w:val="002F5D"/>
          <w:highlight w:val="yellow"/>
        </w:rPr>
      </w:pPr>
    </w:p>
    <w:p w14:paraId="7129F252" w14:textId="77777777" w:rsidR="008D4440" w:rsidRPr="00330B65" w:rsidRDefault="008D4440">
      <w:pPr>
        <w:pStyle w:val="NoSpacing"/>
        <w:rPr>
          <w:rFonts w:ascii="Calibri" w:hAnsi="Calibri" w:cs="Calibri"/>
          <w:color w:val="002F5D"/>
        </w:rPr>
      </w:pPr>
      <w:r w:rsidRPr="00330B65">
        <w:rPr>
          <w:rFonts w:ascii="Calibri" w:hAnsi="Calibri" w:cs="Calibri"/>
          <w:color w:val="002F5D"/>
        </w:rPr>
        <w:t xml:space="preserve">Across both authorities, the majority of people receiving long term support aged 65+.  In Cambridgeshire, the number of people receiving long term support per 100,000 of population aged 18+ is marginally higher in Fenland.  South Cambridgeshire has a noticeably lower number of people receiving long term support per 100,000 of population aged 18+.  All district areas within Cambridgeshire have a rate lower than England (1,960) </w:t>
      </w:r>
    </w:p>
    <w:p w14:paraId="62343A72" w14:textId="77777777" w:rsidR="00346A1B" w:rsidRDefault="00346A1B" w:rsidP="00330B65">
      <w:pPr>
        <w:spacing w:line="240" w:lineRule="auto"/>
        <w:rPr>
          <w:rFonts w:ascii="Calibri" w:hAnsi="Calibri" w:cs="Calibri"/>
          <w:color w:val="002F5D"/>
        </w:rPr>
      </w:pPr>
    </w:p>
    <w:p w14:paraId="4DB21A34" w14:textId="4F2ED22E" w:rsidR="008D4440" w:rsidRPr="00330B65" w:rsidRDefault="00A2366A" w:rsidP="00330B65">
      <w:pPr>
        <w:spacing w:line="240" w:lineRule="auto"/>
        <w:rPr>
          <w:rFonts w:ascii="Calibri" w:hAnsi="Calibri" w:cs="Calibri"/>
          <w:color w:val="002F5D"/>
          <w:highlight w:val="yellow"/>
        </w:rPr>
      </w:pPr>
      <w:r>
        <w:rPr>
          <w:rFonts w:ascii="Calibri" w:hAnsi="Calibri" w:cs="Calibri"/>
          <w:b/>
          <w:color w:val="002F5D"/>
        </w:rPr>
        <w:t>Figure 63</w:t>
      </w:r>
      <w:r w:rsidR="00346A1B">
        <w:rPr>
          <w:rFonts w:ascii="Calibri" w:hAnsi="Calibri" w:cs="Calibri"/>
          <w:b/>
          <w:color w:val="002F5D"/>
        </w:rPr>
        <w:t>.</w:t>
      </w:r>
      <w:r w:rsidR="00922FDA">
        <w:rPr>
          <w:rFonts w:ascii="Calibri" w:hAnsi="Calibri" w:cs="Calibri"/>
          <w:b/>
          <w:color w:val="002F5D"/>
        </w:rPr>
        <w:t xml:space="preserve"> </w:t>
      </w:r>
      <w:r w:rsidR="008D4440" w:rsidRPr="00330B65">
        <w:rPr>
          <w:rFonts w:ascii="Calibri" w:hAnsi="Calibri" w:cs="Calibri"/>
          <w:color w:val="002F5D"/>
        </w:rPr>
        <w:t>Carers supported within the year per 100,000 of population, aged 18+</w:t>
      </w:r>
      <w:r w:rsidR="00922FDA" w:rsidRPr="00330B65">
        <w:rPr>
          <w:rFonts w:ascii="Calibri" w:hAnsi="Calibri" w:cs="Calibri"/>
          <w:color w:val="002F5D"/>
        </w:rPr>
        <w:t>, Cambridgeshire</w:t>
      </w:r>
    </w:p>
    <w:p w14:paraId="44A41C0D" w14:textId="77777777" w:rsidR="008D4440" w:rsidRPr="00330B65" w:rsidRDefault="008D4440" w:rsidP="00E61D24">
      <w:pPr>
        <w:pStyle w:val="ListParagraph"/>
        <w:spacing w:line="240" w:lineRule="auto"/>
        <w:rPr>
          <w:rFonts w:ascii="Calibri" w:hAnsi="Calibri" w:cs="Calibri"/>
          <w:color w:val="002F5D"/>
        </w:rPr>
      </w:pPr>
    </w:p>
    <w:p w14:paraId="66D4EC6C" w14:textId="65AB5953" w:rsidR="008D4440" w:rsidRPr="00330B65" w:rsidRDefault="008D4440">
      <w:pPr>
        <w:pStyle w:val="NoSpacing"/>
        <w:rPr>
          <w:rFonts w:ascii="Calibri" w:hAnsi="Calibri" w:cs="Calibri"/>
          <w:color w:val="002F5D"/>
        </w:rPr>
      </w:pPr>
      <w:r w:rsidRPr="00330B65">
        <w:rPr>
          <w:rFonts w:ascii="Calibri" w:hAnsi="Calibri" w:cs="Calibri"/>
          <w:color w:val="002F5D"/>
        </w:rPr>
        <w:t>This dataset includes both support for new carers and support for those already known to the council. Carers are included if they were receiving ongoing support during the year, even if no review of those arrangements took place. Carers assessed during the year but provided no support [are] also be included</w:t>
      </w:r>
      <w:r w:rsidR="00F564E6">
        <w:rPr>
          <w:rFonts w:ascii="Calibri" w:hAnsi="Calibri" w:cs="Calibri"/>
          <w:color w:val="002F5D"/>
        </w:rPr>
        <w:t xml:space="preserve"> (</w:t>
      </w:r>
      <w:r w:rsidRPr="00330B65">
        <w:rPr>
          <w:rFonts w:ascii="Calibri" w:hAnsi="Calibri" w:cs="Calibri"/>
          <w:color w:val="002F5D"/>
        </w:rPr>
        <w:t>SALT guidance 2018</w:t>
      </w:r>
      <w:r w:rsidR="00875854" w:rsidRPr="00330B65">
        <w:rPr>
          <w:rFonts w:ascii="Calibri" w:hAnsi="Calibri" w:cs="Calibri"/>
          <w:color w:val="002F5D"/>
          <w:vertAlign w:val="superscript"/>
        </w:rPr>
        <w:t>21</w:t>
      </w:r>
      <w:r w:rsidRPr="00330B65">
        <w:rPr>
          <w:rFonts w:ascii="Calibri" w:hAnsi="Calibri" w:cs="Calibri"/>
          <w:color w:val="002F5D"/>
        </w:rPr>
        <w:t>, p</w:t>
      </w:r>
      <w:r w:rsidR="00F564E6">
        <w:rPr>
          <w:rFonts w:ascii="Calibri" w:hAnsi="Calibri" w:cs="Calibri"/>
          <w:color w:val="002F5D"/>
        </w:rPr>
        <w:t>.</w:t>
      </w:r>
      <w:r w:rsidRPr="00E61D24">
        <w:rPr>
          <w:rFonts w:ascii="Calibri" w:hAnsi="Calibri" w:cs="Calibri"/>
          <w:color w:val="002F5D"/>
        </w:rPr>
        <w:t>62)</w:t>
      </w:r>
      <w:r w:rsidR="00F564E6">
        <w:rPr>
          <w:rFonts w:ascii="Calibri" w:hAnsi="Calibri" w:cs="Calibri"/>
          <w:color w:val="002F5D"/>
        </w:rPr>
        <w:t>.</w:t>
      </w:r>
    </w:p>
    <w:p w14:paraId="117ED2F0" w14:textId="77777777" w:rsidR="008D4440" w:rsidRPr="00330B65" w:rsidRDefault="008D4440" w:rsidP="008D4440">
      <w:pPr>
        <w:pStyle w:val="ListParagraph"/>
        <w:rPr>
          <w:rFonts w:ascii="Calibri" w:hAnsi="Calibri" w:cs="Calibri"/>
          <w:b/>
          <w:color w:val="002F5D"/>
        </w:rPr>
      </w:pPr>
    </w:p>
    <w:p w14:paraId="496F03A6" w14:textId="77777777" w:rsidR="008D4440" w:rsidRPr="00330B65" w:rsidRDefault="008D4440" w:rsidP="008D4440">
      <w:pPr>
        <w:pStyle w:val="ListParagraph"/>
        <w:ind w:left="0"/>
        <w:rPr>
          <w:rFonts w:ascii="Calibri" w:hAnsi="Calibri" w:cs="Calibri"/>
          <w:color w:val="002F5D"/>
        </w:rPr>
      </w:pPr>
      <w:r w:rsidRPr="00330B65">
        <w:rPr>
          <w:rFonts w:ascii="Calibri" w:hAnsi="Calibri" w:cs="Calibri"/>
          <w:noProof/>
          <w:color w:val="002F5D"/>
          <w:lang w:eastAsia="en-GB"/>
        </w:rPr>
        <w:drawing>
          <wp:inline distT="0" distB="0" distL="0" distR="0" wp14:anchorId="6677AD95" wp14:editId="1227B65C">
            <wp:extent cx="5548745" cy="2306782"/>
            <wp:effectExtent l="0" t="0" r="13970" b="17780"/>
            <wp:docPr id="492" name="Chart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r w:rsidRPr="00330B65">
        <w:rPr>
          <w:rFonts w:ascii="Calibri" w:hAnsi="Calibri" w:cs="Calibri"/>
          <w:color w:val="002F5D"/>
        </w:rPr>
        <w:t xml:space="preserve"> </w:t>
      </w:r>
    </w:p>
    <w:p w14:paraId="0E65E52F" w14:textId="77777777" w:rsidR="00385DD0" w:rsidRPr="00102750" w:rsidRDefault="00385DD0" w:rsidP="00385DD0">
      <w:pPr>
        <w:rPr>
          <w:rFonts w:ascii="Calibri" w:hAnsi="Calibri" w:cs="Calibri"/>
          <w:color w:val="002F5D"/>
          <w:sz w:val="18"/>
          <w:szCs w:val="18"/>
        </w:rPr>
      </w:pPr>
      <w:r w:rsidRPr="00102750">
        <w:rPr>
          <w:rFonts w:ascii="Calibri" w:hAnsi="Calibri" w:cs="Calibri"/>
          <w:color w:val="002F5D"/>
          <w:sz w:val="18"/>
          <w:szCs w:val="18"/>
        </w:rPr>
        <w:t>Note: Statistical Neighbours</w:t>
      </w:r>
      <w:r>
        <w:rPr>
          <w:rFonts w:ascii="Calibri" w:hAnsi="Calibri" w:cs="Calibri"/>
          <w:color w:val="002F5D"/>
          <w:sz w:val="18"/>
          <w:szCs w:val="18"/>
        </w:rPr>
        <w:t xml:space="preserve"> are listed in Table 92</w:t>
      </w:r>
    </w:p>
    <w:p w14:paraId="7615E3EF" w14:textId="77777777" w:rsidR="00385DD0" w:rsidRDefault="00385DD0" w:rsidP="00385DD0">
      <w:pPr>
        <w:rPr>
          <w:rFonts w:ascii="Calibri" w:hAnsi="Calibri" w:cs="Calibri"/>
          <w:color w:val="002F5D"/>
        </w:rPr>
      </w:pPr>
    </w:p>
    <w:p w14:paraId="40D639F1" w14:textId="57692E27" w:rsidR="00385DD0" w:rsidRPr="00102750"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483B56">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42EBD591" w14:textId="77777777" w:rsidR="008D4440" w:rsidRPr="00330B65" w:rsidRDefault="008D4440" w:rsidP="00330B65">
      <w:pPr>
        <w:pStyle w:val="ListParagraph"/>
        <w:spacing w:line="240" w:lineRule="auto"/>
        <w:ind w:left="0"/>
        <w:rPr>
          <w:rFonts w:ascii="Calibri" w:hAnsi="Calibri" w:cs="Calibri"/>
          <w:color w:val="002F5D"/>
        </w:rPr>
      </w:pPr>
    </w:p>
    <w:p w14:paraId="6C6CE27B" w14:textId="2DD13298" w:rsidR="008D4440"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Cambridgeshire, the number of carers supported within the year per 100,000 of population has fallen, but remains in line wit</w:t>
      </w:r>
      <w:r w:rsidR="003813C9">
        <w:rPr>
          <w:rFonts w:ascii="Calibri" w:hAnsi="Calibri" w:cs="Calibri"/>
          <w:color w:val="002F5D"/>
        </w:rPr>
        <w:t>h statistical neighbour average</w:t>
      </w:r>
      <w:r w:rsidRPr="00330B65">
        <w:rPr>
          <w:rFonts w:ascii="Calibri" w:hAnsi="Calibri" w:cs="Calibri"/>
          <w:color w:val="002F5D"/>
        </w:rPr>
        <w:t xml:space="preserve"> and above the regional average.</w:t>
      </w:r>
    </w:p>
    <w:p w14:paraId="527FCE0B" w14:textId="325F61B6" w:rsidR="00346A1B" w:rsidRDefault="00346A1B" w:rsidP="00330B65">
      <w:pPr>
        <w:pStyle w:val="ListParagraph"/>
        <w:spacing w:line="240" w:lineRule="auto"/>
        <w:ind w:left="0"/>
        <w:rPr>
          <w:rFonts w:ascii="Calibri" w:hAnsi="Calibri" w:cs="Calibri"/>
          <w:color w:val="002F5D"/>
        </w:rPr>
      </w:pPr>
    </w:p>
    <w:p w14:paraId="22C06000" w14:textId="06199F63" w:rsidR="00922FDA" w:rsidRPr="00330B65" w:rsidRDefault="00A2366A" w:rsidP="00330B65">
      <w:pPr>
        <w:pStyle w:val="ListParagraph"/>
        <w:spacing w:line="240" w:lineRule="auto"/>
        <w:ind w:left="0"/>
        <w:rPr>
          <w:rFonts w:ascii="Calibri" w:hAnsi="Calibri" w:cs="Calibri"/>
          <w:color w:val="002F5D"/>
        </w:rPr>
      </w:pPr>
      <w:r>
        <w:rPr>
          <w:rFonts w:ascii="Calibri" w:hAnsi="Calibri" w:cs="Calibri"/>
          <w:b/>
          <w:color w:val="002F5D"/>
        </w:rPr>
        <w:t>Figure 64</w:t>
      </w:r>
      <w:r w:rsidR="00346A1B">
        <w:rPr>
          <w:rFonts w:ascii="Calibri" w:hAnsi="Calibri" w:cs="Calibri"/>
          <w:b/>
          <w:color w:val="002F5D"/>
        </w:rPr>
        <w:t>.</w:t>
      </w:r>
      <w:r w:rsidR="00922FDA">
        <w:rPr>
          <w:rFonts w:ascii="Calibri" w:hAnsi="Calibri" w:cs="Calibri"/>
          <w:b/>
          <w:color w:val="002F5D"/>
        </w:rPr>
        <w:t xml:space="preserve"> </w:t>
      </w:r>
      <w:r w:rsidR="00922FDA" w:rsidRPr="00330B65">
        <w:rPr>
          <w:rFonts w:ascii="Calibri" w:hAnsi="Calibri" w:cs="Calibri"/>
          <w:color w:val="002F5D"/>
        </w:rPr>
        <w:t>Carers supported within the year per 100,000 of population, aged 18+, Peterborough</w:t>
      </w:r>
    </w:p>
    <w:p w14:paraId="62257F48" w14:textId="77777777" w:rsidR="00922FDA" w:rsidRPr="00330B65" w:rsidRDefault="00922FDA" w:rsidP="008D4440">
      <w:pPr>
        <w:pStyle w:val="ListParagraph"/>
        <w:ind w:left="0"/>
        <w:rPr>
          <w:rFonts w:ascii="Calibri" w:hAnsi="Calibri" w:cs="Calibri"/>
          <w:color w:val="002F5D"/>
        </w:rPr>
      </w:pPr>
    </w:p>
    <w:p w14:paraId="28397B7A" w14:textId="41CA8B69" w:rsidR="008D4440" w:rsidRDefault="008D4440" w:rsidP="008D4440">
      <w:pPr>
        <w:rPr>
          <w:rFonts w:ascii="Calibri" w:hAnsi="Calibri" w:cs="Calibri"/>
          <w:color w:val="002F5D"/>
        </w:rPr>
      </w:pPr>
      <w:r w:rsidRPr="00330B65">
        <w:rPr>
          <w:rFonts w:ascii="Calibri" w:hAnsi="Calibri" w:cs="Calibri"/>
          <w:noProof/>
          <w:color w:val="002F5D"/>
          <w:lang w:eastAsia="en-GB"/>
        </w:rPr>
        <w:drawing>
          <wp:inline distT="0" distB="0" distL="0" distR="0" wp14:anchorId="1495E465" wp14:editId="7FF3E3FF">
            <wp:extent cx="5631873" cy="2473036"/>
            <wp:effectExtent l="0" t="0" r="6985" b="3810"/>
            <wp:docPr id="493" name="Chart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r w:rsidRPr="00330B65">
        <w:rPr>
          <w:rFonts w:ascii="Calibri" w:hAnsi="Calibri" w:cs="Calibri"/>
          <w:color w:val="002F5D"/>
        </w:rPr>
        <w:t xml:space="preserve"> </w:t>
      </w:r>
    </w:p>
    <w:p w14:paraId="03CA0E96" w14:textId="3C3E2947" w:rsidR="00385DD0" w:rsidRPr="00330B65" w:rsidRDefault="00385DD0" w:rsidP="00330B65">
      <w:pPr>
        <w:spacing w:line="240" w:lineRule="auto"/>
        <w:rPr>
          <w:rFonts w:ascii="Calibri" w:hAnsi="Calibri" w:cs="Calibri"/>
          <w:color w:val="002F5D"/>
          <w:sz w:val="18"/>
          <w:szCs w:val="18"/>
        </w:rPr>
      </w:pPr>
      <w:r w:rsidRPr="00330B65">
        <w:rPr>
          <w:rFonts w:ascii="Calibri" w:hAnsi="Calibri" w:cs="Calibri"/>
          <w:color w:val="002F5D"/>
          <w:sz w:val="18"/>
          <w:szCs w:val="18"/>
        </w:rPr>
        <w:t>Note: Statistical Neighbours</w:t>
      </w:r>
      <w:r>
        <w:rPr>
          <w:rFonts w:ascii="Calibri" w:hAnsi="Calibri" w:cs="Calibri"/>
          <w:color w:val="002F5D"/>
          <w:sz w:val="18"/>
          <w:szCs w:val="18"/>
        </w:rPr>
        <w:t xml:space="preserve"> are listed in Table 92</w:t>
      </w:r>
    </w:p>
    <w:p w14:paraId="52573091" w14:textId="77777777" w:rsidR="00385DD0" w:rsidRDefault="00385DD0" w:rsidP="00330B65">
      <w:pPr>
        <w:spacing w:line="240" w:lineRule="auto"/>
        <w:rPr>
          <w:rFonts w:ascii="Calibri" w:hAnsi="Calibri" w:cs="Calibri"/>
          <w:color w:val="002F5D"/>
        </w:rPr>
      </w:pPr>
    </w:p>
    <w:p w14:paraId="1E9996AD" w14:textId="007900BB" w:rsidR="00385DD0" w:rsidRPr="00102750"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483B56">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3F769E36" w14:textId="77777777" w:rsidR="00F564E6" w:rsidRPr="00330B65" w:rsidRDefault="00F564E6" w:rsidP="00330B65">
      <w:pPr>
        <w:spacing w:line="240" w:lineRule="auto"/>
        <w:rPr>
          <w:rFonts w:ascii="Calibri" w:hAnsi="Calibri" w:cs="Calibri"/>
          <w:color w:val="002F5D"/>
        </w:rPr>
      </w:pPr>
    </w:p>
    <w:p w14:paraId="4042B549" w14:textId="77777777"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Peterborough, the number of carers supported within the year per 100,000 of population has fallen, but remains in line with the England average and above the regional average.</w:t>
      </w:r>
    </w:p>
    <w:p w14:paraId="3AFB2BBD" w14:textId="5762EE2E" w:rsidR="008D4440" w:rsidRPr="00330B65" w:rsidRDefault="008D4440" w:rsidP="00330B65">
      <w:pPr>
        <w:pStyle w:val="ListParagraph"/>
        <w:spacing w:line="240" w:lineRule="auto"/>
        <w:ind w:left="0"/>
        <w:rPr>
          <w:rFonts w:ascii="Calibri" w:hAnsi="Calibri" w:cs="Calibri"/>
          <w:color w:val="002F5D"/>
        </w:rPr>
      </w:pPr>
    </w:p>
    <w:p w14:paraId="50C9CDF9" w14:textId="3A8D3BE7" w:rsidR="008D4440" w:rsidRDefault="00B81E4B">
      <w:pPr>
        <w:pStyle w:val="NoSpacing"/>
        <w:rPr>
          <w:rFonts w:ascii="Calibri" w:hAnsi="Calibri" w:cs="Calibri"/>
          <w:b/>
          <w:color w:val="002F5D"/>
        </w:rPr>
      </w:pPr>
      <w:r>
        <w:rPr>
          <w:rFonts w:ascii="Calibri" w:hAnsi="Calibri" w:cs="Calibri"/>
          <w:b/>
          <w:color w:val="002F5D"/>
        </w:rPr>
        <w:t>Table 90</w:t>
      </w:r>
      <w:r w:rsidR="00346A1B">
        <w:rPr>
          <w:rFonts w:ascii="Calibri" w:hAnsi="Calibri" w:cs="Calibri"/>
          <w:b/>
          <w:color w:val="002F5D"/>
        </w:rPr>
        <w:t>.</w:t>
      </w:r>
      <w:r w:rsidR="000E43C2">
        <w:rPr>
          <w:rFonts w:ascii="Calibri" w:hAnsi="Calibri" w:cs="Calibri"/>
          <w:b/>
          <w:color w:val="002F5D"/>
        </w:rPr>
        <w:t xml:space="preserve"> </w:t>
      </w:r>
      <w:r w:rsidR="008D4440" w:rsidRPr="00330B65">
        <w:rPr>
          <w:rFonts w:ascii="Calibri" w:hAnsi="Calibri" w:cs="Calibri"/>
          <w:color w:val="002F5D"/>
        </w:rPr>
        <w:t>Number of carers supported in the 2017/18 financial year</w:t>
      </w:r>
    </w:p>
    <w:p w14:paraId="4041F7F4" w14:textId="77777777" w:rsidR="000E43C2" w:rsidRPr="00330B65" w:rsidRDefault="000E43C2" w:rsidP="008D4440">
      <w:pPr>
        <w:pStyle w:val="NoSpacing"/>
        <w:rPr>
          <w:rFonts w:ascii="Calibri" w:hAnsi="Calibri" w:cs="Calibri"/>
          <w:b/>
          <w:color w:val="002F5D"/>
        </w:rPr>
      </w:pPr>
    </w:p>
    <w:tbl>
      <w:tblPr>
        <w:tblW w:w="8859" w:type="dxa"/>
        <w:tblCellMar>
          <w:left w:w="0" w:type="dxa"/>
          <w:right w:w="0" w:type="dxa"/>
        </w:tblCellMar>
        <w:tblLook w:val="04A0" w:firstRow="1" w:lastRow="0" w:firstColumn="1" w:lastColumn="0" w:noHBand="0" w:noVBand="1"/>
      </w:tblPr>
      <w:tblGrid>
        <w:gridCol w:w="4590"/>
        <w:gridCol w:w="1812"/>
        <w:gridCol w:w="16"/>
        <w:gridCol w:w="541"/>
        <w:gridCol w:w="1910"/>
      </w:tblGrid>
      <w:tr w:rsidR="000E43C2" w:rsidRPr="00936844" w14:paraId="7FCDFA6A" w14:textId="77777777" w:rsidTr="00330B65">
        <w:trPr>
          <w:trHeight w:val="502"/>
        </w:trPr>
        <w:tc>
          <w:tcPr>
            <w:tcW w:w="4590" w:type="dxa"/>
            <w:tcBorders>
              <w:top w:val="single" w:sz="12" w:space="0" w:color="002F5D"/>
              <w:left w:val="single" w:sz="12" w:space="0" w:color="002F5D"/>
              <w:bottom w:val="single" w:sz="8" w:space="0" w:color="auto"/>
              <w:right w:val="single" w:sz="8" w:space="0" w:color="auto"/>
            </w:tcBorders>
            <w:shd w:val="clear" w:color="000000" w:fill="1F4E78"/>
            <w:noWrap/>
            <w:tcMar>
              <w:top w:w="15" w:type="dxa"/>
              <w:left w:w="15" w:type="dxa"/>
              <w:bottom w:w="0" w:type="dxa"/>
              <w:right w:w="15" w:type="dxa"/>
            </w:tcMar>
            <w:vAlign w:val="center"/>
            <w:hideMark/>
          </w:tcPr>
          <w:p w14:paraId="68EF9AE7" w14:textId="77777777" w:rsidR="000E43C2" w:rsidRPr="00330B65" w:rsidRDefault="000E43C2" w:rsidP="00936844">
            <w:pPr>
              <w:rPr>
                <w:rFonts w:ascii="Calibri" w:hAnsi="Calibri" w:cs="Calibri"/>
                <w:color w:val="FFFFFF" w:themeColor="background1"/>
              </w:rPr>
            </w:pPr>
            <w:r w:rsidRPr="00330B65">
              <w:rPr>
                <w:rFonts w:ascii="Calibri" w:hAnsi="Calibri" w:cs="Calibri"/>
                <w:color w:val="FFFFFF" w:themeColor="background1"/>
              </w:rPr>
              <w:t>Area</w:t>
            </w:r>
          </w:p>
        </w:tc>
        <w:tc>
          <w:tcPr>
            <w:tcW w:w="1812" w:type="dxa"/>
            <w:tcBorders>
              <w:top w:val="single" w:sz="12" w:space="0" w:color="002F5D"/>
              <w:left w:val="nil"/>
              <w:bottom w:val="single" w:sz="8" w:space="0" w:color="auto"/>
              <w:right w:val="single" w:sz="8" w:space="0" w:color="auto"/>
            </w:tcBorders>
            <w:shd w:val="clear" w:color="000000" w:fill="1F4E78"/>
            <w:noWrap/>
            <w:tcMar>
              <w:top w:w="15" w:type="dxa"/>
              <w:left w:w="15" w:type="dxa"/>
              <w:bottom w:w="0" w:type="dxa"/>
              <w:right w:w="15" w:type="dxa"/>
            </w:tcMar>
            <w:vAlign w:val="center"/>
            <w:hideMark/>
          </w:tcPr>
          <w:p w14:paraId="4B167AC4" w14:textId="77777777" w:rsidR="000E43C2" w:rsidRPr="00330B65" w:rsidRDefault="000E43C2" w:rsidP="00936844">
            <w:pPr>
              <w:jc w:val="center"/>
              <w:rPr>
                <w:rFonts w:ascii="Calibri" w:hAnsi="Calibri" w:cs="Calibri"/>
                <w:color w:val="FFFFFF" w:themeColor="background1"/>
              </w:rPr>
            </w:pPr>
            <w:r w:rsidRPr="00330B65">
              <w:rPr>
                <w:rFonts w:ascii="Calibri" w:hAnsi="Calibri" w:cs="Calibri"/>
                <w:color w:val="FFFFFF" w:themeColor="background1"/>
              </w:rPr>
              <w:t>No. Carers supported</w:t>
            </w:r>
          </w:p>
        </w:tc>
        <w:tc>
          <w:tcPr>
            <w:tcW w:w="15" w:type="dxa"/>
            <w:tcBorders>
              <w:top w:val="single" w:sz="12" w:space="0" w:color="002F5D"/>
              <w:left w:val="nil"/>
              <w:bottom w:val="single" w:sz="8" w:space="0" w:color="auto"/>
              <w:right w:val="nil"/>
            </w:tcBorders>
            <w:shd w:val="clear" w:color="000000" w:fill="1F4E78"/>
          </w:tcPr>
          <w:p w14:paraId="73EF84A6" w14:textId="77777777" w:rsidR="000E43C2" w:rsidRPr="00330B65" w:rsidRDefault="000E43C2" w:rsidP="00936844">
            <w:pPr>
              <w:jc w:val="center"/>
              <w:rPr>
                <w:rFonts w:ascii="Calibri" w:hAnsi="Calibri" w:cs="Calibri"/>
                <w:color w:val="FFFFFF" w:themeColor="background1"/>
              </w:rPr>
            </w:pPr>
          </w:p>
        </w:tc>
        <w:tc>
          <w:tcPr>
            <w:tcW w:w="532" w:type="dxa"/>
            <w:tcBorders>
              <w:top w:val="single" w:sz="12" w:space="0" w:color="002F5D"/>
              <w:left w:val="nil"/>
              <w:bottom w:val="single" w:sz="8" w:space="0" w:color="auto"/>
              <w:right w:val="single" w:sz="8" w:space="0" w:color="auto"/>
            </w:tcBorders>
            <w:shd w:val="clear" w:color="000000" w:fill="1F4E78"/>
            <w:noWrap/>
            <w:tcMar>
              <w:top w:w="15" w:type="dxa"/>
              <w:left w:w="15" w:type="dxa"/>
              <w:bottom w:w="0" w:type="dxa"/>
              <w:right w:w="15" w:type="dxa"/>
            </w:tcMar>
            <w:vAlign w:val="center"/>
            <w:hideMark/>
          </w:tcPr>
          <w:p w14:paraId="38708BCB" w14:textId="45EEC230" w:rsidR="000E43C2" w:rsidRPr="00330B65" w:rsidRDefault="000E43C2" w:rsidP="00936844">
            <w:pPr>
              <w:jc w:val="center"/>
              <w:rPr>
                <w:rFonts w:ascii="Calibri" w:hAnsi="Calibri" w:cs="Calibri"/>
                <w:color w:val="FFFFFF" w:themeColor="background1"/>
              </w:rPr>
            </w:pPr>
            <w:r w:rsidRPr="00330B65">
              <w:rPr>
                <w:rFonts w:ascii="Calibri" w:hAnsi="Calibri" w:cs="Calibri"/>
                <w:color w:val="FFFFFF" w:themeColor="background1"/>
              </w:rPr>
              <w:t>%</w:t>
            </w:r>
            <w:r w:rsidR="00875854">
              <w:rPr>
                <w:rFonts w:ascii="Calibri" w:hAnsi="Calibri" w:cs="Calibri"/>
                <w:color w:val="FFFFFF" w:themeColor="background1"/>
              </w:rPr>
              <w:t>*</w:t>
            </w:r>
          </w:p>
        </w:tc>
        <w:tc>
          <w:tcPr>
            <w:tcW w:w="1910" w:type="dxa"/>
            <w:tcBorders>
              <w:top w:val="single" w:sz="12" w:space="0" w:color="002F5D"/>
              <w:left w:val="nil"/>
              <w:bottom w:val="single" w:sz="8" w:space="0" w:color="auto"/>
              <w:right w:val="single" w:sz="12" w:space="0" w:color="002F5D"/>
            </w:tcBorders>
            <w:shd w:val="clear" w:color="000000" w:fill="1F4E78"/>
            <w:noWrap/>
            <w:tcMar>
              <w:top w:w="15" w:type="dxa"/>
              <w:left w:w="15" w:type="dxa"/>
              <w:bottom w:w="0" w:type="dxa"/>
              <w:right w:w="15" w:type="dxa"/>
            </w:tcMar>
            <w:vAlign w:val="center"/>
            <w:hideMark/>
          </w:tcPr>
          <w:p w14:paraId="50AFB560" w14:textId="77777777" w:rsidR="000E43C2" w:rsidRPr="00330B65" w:rsidRDefault="000E43C2" w:rsidP="00936844">
            <w:pPr>
              <w:jc w:val="center"/>
              <w:rPr>
                <w:rFonts w:ascii="Calibri" w:hAnsi="Calibri" w:cs="Calibri"/>
                <w:color w:val="FFFFFF" w:themeColor="background1"/>
              </w:rPr>
            </w:pPr>
            <w:r w:rsidRPr="00330B65">
              <w:rPr>
                <w:rFonts w:ascii="Calibri" w:hAnsi="Calibri" w:cs="Calibri"/>
                <w:color w:val="FFFFFF" w:themeColor="background1"/>
              </w:rPr>
              <w:t>Per 100,000 Population aged 18+</w:t>
            </w:r>
          </w:p>
        </w:tc>
      </w:tr>
      <w:tr w:rsidR="000E43C2" w:rsidRPr="00936844" w14:paraId="73C95BF1" w14:textId="77777777" w:rsidTr="00330B65">
        <w:trPr>
          <w:trHeight w:val="243"/>
        </w:trPr>
        <w:tc>
          <w:tcPr>
            <w:tcW w:w="4590" w:type="dxa"/>
            <w:tcBorders>
              <w:top w:val="nil"/>
              <w:left w:val="single" w:sz="12" w:space="0" w:color="002F5D"/>
              <w:bottom w:val="nil"/>
              <w:right w:val="single" w:sz="8" w:space="0" w:color="002F5D"/>
            </w:tcBorders>
            <w:shd w:val="clear" w:color="auto" w:fill="auto"/>
            <w:noWrap/>
            <w:tcMar>
              <w:top w:w="15" w:type="dxa"/>
              <w:left w:w="15" w:type="dxa"/>
              <w:bottom w:w="0" w:type="dxa"/>
              <w:right w:w="15" w:type="dxa"/>
            </w:tcMar>
            <w:vAlign w:val="center"/>
            <w:hideMark/>
          </w:tcPr>
          <w:p w14:paraId="1C0CACD8"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w:t>
            </w:r>
          </w:p>
        </w:tc>
        <w:tc>
          <w:tcPr>
            <w:tcW w:w="1812" w:type="dxa"/>
            <w:tcBorders>
              <w:top w:val="single" w:sz="8" w:space="0" w:color="auto"/>
              <w:left w:val="single" w:sz="8" w:space="0" w:color="002F5D"/>
              <w:bottom w:val="nil"/>
              <w:right w:val="single" w:sz="8" w:space="0" w:color="002F5D"/>
            </w:tcBorders>
            <w:shd w:val="clear" w:color="auto" w:fill="auto"/>
            <w:noWrap/>
            <w:tcMar>
              <w:top w:w="15" w:type="dxa"/>
              <w:left w:w="15" w:type="dxa"/>
              <w:bottom w:w="0" w:type="dxa"/>
              <w:right w:w="15" w:type="dxa"/>
            </w:tcMar>
            <w:vAlign w:val="center"/>
            <w:hideMark/>
          </w:tcPr>
          <w:p w14:paraId="2D4FA985"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470</w:t>
            </w:r>
          </w:p>
        </w:tc>
        <w:tc>
          <w:tcPr>
            <w:tcW w:w="15" w:type="dxa"/>
            <w:tcBorders>
              <w:top w:val="single" w:sz="8" w:space="0" w:color="auto"/>
              <w:left w:val="single" w:sz="8" w:space="0" w:color="002F5D"/>
              <w:bottom w:val="nil"/>
              <w:right w:val="nil"/>
            </w:tcBorders>
          </w:tcPr>
          <w:p w14:paraId="6BFEEF7E"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single" w:sz="8" w:space="0" w:color="auto"/>
              <w:left w:val="nil"/>
              <w:bottom w:val="nil"/>
              <w:right w:val="single" w:sz="8" w:space="0" w:color="002F5D"/>
            </w:tcBorders>
            <w:shd w:val="clear" w:color="auto" w:fill="auto"/>
            <w:noWrap/>
            <w:tcMar>
              <w:top w:w="15" w:type="dxa"/>
              <w:left w:w="15" w:type="dxa"/>
              <w:bottom w:w="0" w:type="dxa"/>
              <w:right w:w="15" w:type="dxa"/>
            </w:tcMar>
            <w:vAlign w:val="center"/>
            <w:hideMark/>
          </w:tcPr>
          <w:p w14:paraId="64271EFE" w14:textId="46C0C2D3"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11%</w:t>
            </w:r>
          </w:p>
        </w:tc>
        <w:tc>
          <w:tcPr>
            <w:tcW w:w="1910" w:type="dxa"/>
            <w:tcBorders>
              <w:top w:val="nil"/>
              <w:left w:val="single" w:sz="8" w:space="0" w:color="002F5D"/>
              <w:bottom w:val="nil"/>
              <w:right w:val="single" w:sz="12" w:space="0" w:color="002F5D"/>
            </w:tcBorders>
            <w:shd w:val="clear" w:color="auto" w:fill="auto"/>
            <w:noWrap/>
            <w:tcMar>
              <w:top w:w="15" w:type="dxa"/>
              <w:left w:w="15" w:type="dxa"/>
              <w:bottom w:w="0" w:type="dxa"/>
              <w:right w:w="15" w:type="dxa"/>
            </w:tcMar>
            <w:vAlign w:val="center"/>
            <w:hideMark/>
          </w:tcPr>
          <w:p w14:paraId="4BDCE1A5"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462</w:t>
            </w:r>
          </w:p>
        </w:tc>
      </w:tr>
      <w:tr w:rsidR="000E43C2" w:rsidRPr="00936844" w14:paraId="3CCFDF6D" w14:textId="77777777" w:rsidTr="00330B65">
        <w:trPr>
          <w:trHeight w:val="243"/>
        </w:trPr>
        <w:tc>
          <w:tcPr>
            <w:tcW w:w="4590" w:type="dxa"/>
            <w:tcBorders>
              <w:top w:val="nil"/>
              <w:left w:val="single" w:sz="12" w:space="0" w:color="002F5D"/>
              <w:bottom w:val="nil"/>
              <w:right w:val="single" w:sz="8" w:space="0" w:color="002F5D"/>
            </w:tcBorders>
            <w:shd w:val="clear" w:color="auto" w:fill="auto"/>
            <w:noWrap/>
            <w:tcMar>
              <w:top w:w="15" w:type="dxa"/>
              <w:left w:w="15" w:type="dxa"/>
              <w:bottom w:w="0" w:type="dxa"/>
              <w:right w:w="15" w:type="dxa"/>
            </w:tcMar>
            <w:vAlign w:val="center"/>
            <w:hideMark/>
          </w:tcPr>
          <w:p w14:paraId="0ED92710"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Cambridgeshire</w:t>
            </w:r>
          </w:p>
        </w:tc>
        <w:tc>
          <w:tcPr>
            <w:tcW w:w="1812" w:type="dxa"/>
            <w:tcBorders>
              <w:top w:val="nil"/>
              <w:left w:val="single" w:sz="8" w:space="0" w:color="002F5D"/>
              <w:bottom w:val="nil"/>
              <w:right w:val="single" w:sz="8" w:space="0" w:color="002F5D"/>
            </w:tcBorders>
            <w:shd w:val="clear" w:color="auto" w:fill="auto"/>
            <w:noWrap/>
            <w:tcMar>
              <w:top w:w="15" w:type="dxa"/>
              <w:left w:w="15" w:type="dxa"/>
              <w:bottom w:w="0" w:type="dxa"/>
              <w:right w:w="15" w:type="dxa"/>
            </w:tcMar>
            <w:vAlign w:val="center"/>
            <w:hideMark/>
          </w:tcPr>
          <w:p w14:paraId="3BBC43B0"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520</w:t>
            </w:r>
          </w:p>
        </w:tc>
        <w:tc>
          <w:tcPr>
            <w:tcW w:w="15" w:type="dxa"/>
            <w:tcBorders>
              <w:top w:val="nil"/>
              <w:left w:val="single" w:sz="8" w:space="0" w:color="002F5D"/>
              <w:bottom w:val="nil"/>
              <w:right w:val="nil"/>
            </w:tcBorders>
          </w:tcPr>
          <w:p w14:paraId="01096C55"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nil"/>
              <w:left w:val="nil"/>
              <w:bottom w:val="nil"/>
              <w:right w:val="single" w:sz="8" w:space="0" w:color="002F5D"/>
            </w:tcBorders>
            <w:shd w:val="clear" w:color="auto" w:fill="auto"/>
            <w:noWrap/>
            <w:tcMar>
              <w:top w:w="15" w:type="dxa"/>
              <w:left w:w="15" w:type="dxa"/>
              <w:bottom w:w="0" w:type="dxa"/>
              <w:right w:w="15" w:type="dxa"/>
            </w:tcMar>
            <w:vAlign w:val="center"/>
            <w:hideMark/>
          </w:tcPr>
          <w:p w14:paraId="407D9D97" w14:textId="2E36A29F"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12%</w:t>
            </w:r>
          </w:p>
        </w:tc>
        <w:tc>
          <w:tcPr>
            <w:tcW w:w="1910" w:type="dxa"/>
            <w:tcBorders>
              <w:top w:val="nil"/>
              <w:left w:val="single" w:sz="8" w:space="0" w:color="002F5D"/>
              <w:bottom w:val="nil"/>
              <w:right w:val="single" w:sz="12" w:space="0" w:color="002F5D"/>
            </w:tcBorders>
            <w:shd w:val="clear" w:color="auto" w:fill="auto"/>
            <w:noWrap/>
            <w:tcMar>
              <w:top w:w="15" w:type="dxa"/>
              <w:left w:w="15" w:type="dxa"/>
              <w:bottom w:w="0" w:type="dxa"/>
              <w:right w:w="15" w:type="dxa"/>
            </w:tcMar>
            <w:vAlign w:val="center"/>
            <w:hideMark/>
          </w:tcPr>
          <w:p w14:paraId="2E137DDA"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751</w:t>
            </w:r>
          </w:p>
        </w:tc>
      </w:tr>
      <w:tr w:rsidR="000E43C2" w:rsidRPr="00936844" w14:paraId="49E2F895" w14:textId="77777777" w:rsidTr="00330B65">
        <w:trPr>
          <w:trHeight w:val="243"/>
        </w:trPr>
        <w:tc>
          <w:tcPr>
            <w:tcW w:w="4590" w:type="dxa"/>
            <w:tcBorders>
              <w:top w:val="nil"/>
              <w:left w:val="single" w:sz="12" w:space="0" w:color="002F5D"/>
              <w:bottom w:val="nil"/>
              <w:right w:val="single" w:sz="8" w:space="0" w:color="002F5D"/>
            </w:tcBorders>
            <w:shd w:val="clear" w:color="auto" w:fill="auto"/>
            <w:noWrap/>
            <w:tcMar>
              <w:top w:w="15" w:type="dxa"/>
              <w:left w:w="15" w:type="dxa"/>
              <w:bottom w:w="0" w:type="dxa"/>
              <w:right w:w="15" w:type="dxa"/>
            </w:tcMar>
            <w:vAlign w:val="center"/>
            <w:hideMark/>
          </w:tcPr>
          <w:p w14:paraId="0DBB1A2A"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Fenland</w:t>
            </w:r>
          </w:p>
        </w:tc>
        <w:tc>
          <w:tcPr>
            <w:tcW w:w="1812" w:type="dxa"/>
            <w:tcBorders>
              <w:top w:val="nil"/>
              <w:left w:val="single" w:sz="8" w:space="0" w:color="002F5D"/>
              <w:bottom w:val="nil"/>
              <w:right w:val="single" w:sz="8" w:space="0" w:color="002F5D"/>
            </w:tcBorders>
            <w:shd w:val="clear" w:color="auto" w:fill="auto"/>
            <w:noWrap/>
            <w:tcMar>
              <w:top w:w="15" w:type="dxa"/>
              <w:left w:w="15" w:type="dxa"/>
              <w:bottom w:w="0" w:type="dxa"/>
              <w:right w:w="15" w:type="dxa"/>
            </w:tcMar>
            <w:vAlign w:val="center"/>
            <w:hideMark/>
          </w:tcPr>
          <w:p w14:paraId="5DE76E42"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715</w:t>
            </w:r>
          </w:p>
        </w:tc>
        <w:tc>
          <w:tcPr>
            <w:tcW w:w="15" w:type="dxa"/>
            <w:tcBorders>
              <w:top w:val="nil"/>
              <w:left w:val="single" w:sz="8" w:space="0" w:color="002F5D"/>
              <w:bottom w:val="nil"/>
              <w:right w:val="nil"/>
            </w:tcBorders>
          </w:tcPr>
          <w:p w14:paraId="11342697"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nil"/>
              <w:left w:val="nil"/>
              <w:bottom w:val="nil"/>
              <w:right w:val="single" w:sz="8" w:space="0" w:color="002F5D"/>
            </w:tcBorders>
            <w:shd w:val="clear" w:color="auto" w:fill="auto"/>
            <w:noWrap/>
            <w:tcMar>
              <w:top w:w="15" w:type="dxa"/>
              <w:left w:w="15" w:type="dxa"/>
              <w:bottom w:w="0" w:type="dxa"/>
              <w:right w:w="15" w:type="dxa"/>
            </w:tcMar>
            <w:vAlign w:val="center"/>
            <w:hideMark/>
          </w:tcPr>
          <w:p w14:paraId="127DD23D" w14:textId="618D9FB1"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17%</w:t>
            </w:r>
          </w:p>
        </w:tc>
        <w:tc>
          <w:tcPr>
            <w:tcW w:w="1910" w:type="dxa"/>
            <w:tcBorders>
              <w:top w:val="nil"/>
              <w:left w:val="single" w:sz="8" w:space="0" w:color="002F5D"/>
              <w:bottom w:val="nil"/>
              <w:right w:val="single" w:sz="12" w:space="0" w:color="002F5D"/>
            </w:tcBorders>
            <w:shd w:val="clear" w:color="auto" w:fill="auto"/>
            <w:noWrap/>
            <w:tcMar>
              <w:top w:w="15" w:type="dxa"/>
              <w:left w:w="15" w:type="dxa"/>
              <w:bottom w:w="0" w:type="dxa"/>
              <w:right w:w="15" w:type="dxa"/>
            </w:tcMar>
            <w:vAlign w:val="center"/>
            <w:hideMark/>
          </w:tcPr>
          <w:p w14:paraId="7FF73616"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886</w:t>
            </w:r>
          </w:p>
        </w:tc>
      </w:tr>
      <w:tr w:rsidR="000E43C2" w:rsidRPr="00936844" w14:paraId="1BBA82B4" w14:textId="77777777" w:rsidTr="00330B65">
        <w:trPr>
          <w:trHeight w:val="243"/>
        </w:trPr>
        <w:tc>
          <w:tcPr>
            <w:tcW w:w="4590" w:type="dxa"/>
            <w:tcBorders>
              <w:top w:val="nil"/>
              <w:left w:val="single" w:sz="12" w:space="0" w:color="002F5D"/>
              <w:bottom w:val="nil"/>
              <w:right w:val="single" w:sz="8" w:space="0" w:color="002F5D"/>
            </w:tcBorders>
            <w:shd w:val="clear" w:color="auto" w:fill="auto"/>
            <w:noWrap/>
            <w:tcMar>
              <w:top w:w="15" w:type="dxa"/>
              <w:left w:w="15" w:type="dxa"/>
              <w:bottom w:w="0" w:type="dxa"/>
              <w:right w:w="15" w:type="dxa"/>
            </w:tcMar>
            <w:vAlign w:val="center"/>
            <w:hideMark/>
          </w:tcPr>
          <w:p w14:paraId="23673915"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Huntingdonshire</w:t>
            </w:r>
          </w:p>
        </w:tc>
        <w:tc>
          <w:tcPr>
            <w:tcW w:w="1812" w:type="dxa"/>
            <w:tcBorders>
              <w:top w:val="nil"/>
              <w:left w:val="single" w:sz="8" w:space="0" w:color="002F5D"/>
              <w:bottom w:val="nil"/>
              <w:right w:val="single" w:sz="8" w:space="0" w:color="002F5D"/>
            </w:tcBorders>
            <w:shd w:val="clear" w:color="auto" w:fill="auto"/>
            <w:noWrap/>
            <w:tcMar>
              <w:top w:w="15" w:type="dxa"/>
              <w:left w:w="15" w:type="dxa"/>
              <w:bottom w:w="0" w:type="dxa"/>
              <w:right w:w="15" w:type="dxa"/>
            </w:tcMar>
            <w:vAlign w:val="center"/>
            <w:hideMark/>
          </w:tcPr>
          <w:p w14:paraId="4A05A302"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960</w:t>
            </w:r>
          </w:p>
        </w:tc>
        <w:tc>
          <w:tcPr>
            <w:tcW w:w="15" w:type="dxa"/>
            <w:tcBorders>
              <w:top w:val="nil"/>
              <w:left w:val="single" w:sz="8" w:space="0" w:color="002F5D"/>
              <w:bottom w:val="nil"/>
              <w:right w:val="nil"/>
            </w:tcBorders>
          </w:tcPr>
          <w:p w14:paraId="13F08B53"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nil"/>
              <w:left w:val="nil"/>
              <w:bottom w:val="nil"/>
              <w:right w:val="single" w:sz="8" w:space="0" w:color="002F5D"/>
            </w:tcBorders>
            <w:shd w:val="clear" w:color="auto" w:fill="auto"/>
            <w:noWrap/>
            <w:tcMar>
              <w:top w:w="15" w:type="dxa"/>
              <w:left w:w="15" w:type="dxa"/>
              <w:bottom w:w="0" w:type="dxa"/>
              <w:right w:w="15" w:type="dxa"/>
            </w:tcMar>
            <w:vAlign w:val="center"/>
            <w:hideMark/>
          </w:tcPr>
          <w:p w14:paraId="554B6F66" w14:textId="18B93345"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22%</w:t>
            </w:r>
          </w:p>
        </w:tc>
        <w:tc>
          <w:tcPr>
            <w:tcW w:w="1910" w:type="dxa"/>
            <w:tcBorders>
              <w:top w:val="nil"/>
              <w:left w:val="single" w:sz="8" w:space="0" w:color="002F5D"/>
              <w:bottom w:val="nil"/>
              <w:right w:val="single" w:sz="12" w:space="0" w:color="002F5D"/>
            </w:tcBorders>
            <w:shd w:val="clear" w:color="auto" w:fill="auto"/>
            <w:noWrap/>
            <w:tcMar>
              <w:top w:w="15" w:type="dxa"/>
              <w:left w:w="15" w:type="dxa"/>
              <w:bottom w:w="0" w:type="dxa"/>
              <w:right w:w="15" w:type="dxa"/>
            </w:tcMar>
            <w:vAlign w:val="center"/>
            <w:hideMark/>
          </w:tcPr>
          <w:p w14:paraId="49FD7691"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684</w:t>
            </w:r>
          </w:p>
        </w:tc>
      </w:tr>
      <w:tr w:rsidR="000E43C2" w:rsidRPr="00936844" w14:paraId="65115CFF" w14:textId="77777777" w:rsidTr="00330B65">
        <w:trPr>
          <w:trHeight w:val="243"/>
        </w:trPr>
        <w:tc>
          <w:tcPr>
            <w:tcW w:w="4590" w:type="dxa"/>
            <w:tcBorders>
              <w:top w:val="nil"/>
              <w:left w:val="single" w:sz="12" w:space="0" w:color="002F5D"/>
              <w:bottom w:val="nil"/>
              <w:right w:val="single" w:sz="8" w:space="0" w:color="002F5D"/>
            </w:tcBorders>
            <w:shd w:val="clear" w:color="auto" w:fill="auto"/>
            <w:noWrap/>
            <w:tcMar>
              <w:top w:w="15" w:type="dxa"/>
              <w:left w:w="15" w:type="dxa"/>
              <w:bottom w:w="0" w:type="dxa"/>
              <w:right w:w="15" w:type="dxa"/>
            </w:tcMar>
            <w:vAlign w:val="center"/>
            <w:hideMark/>
          </w:tcPr>
          <w:p w14:paraId="5D34E7B0"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 Cambridgeshire</w:t>
            </w:r>
          </w:p>
        </w:tc>
        <w:tc>
          <w:tcPr>
            <w:tcW w:w="1812" w:type="dxa"/>
            <w:tcBorders>
              <w:top w:val="nil"/>
              <w:left w:val="single" w:sz="8" w:space="0" w:color="002F5D"/>
              <w:bottom w:val="nil"/>
              <w:right w:val="single" w:sz="8" w:space="0" w:color="002F5D"/>
            </w:tcBorders>
            <w:shd w:val="clear" w:color="auto" w:fill="auto"/>
            <w:noWrap/>
            <w:tcMar>
              <w:top w:w="15" w:type="dxa"/>
              <w:left w:w="15" w:type="dxa"/>
              <w:bottom w:w="0" w:type="dxa"/>
              <w:right w:w="15" w:type="dxa"/>
            </w:tcMar>
            <w:vAlign w:val="center"/>
            <w:hideMark/>
          </w:tcPr>
          <w:p w14:paraId="51A942E6"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815</w:t>
            </w:r>
          </w:p>
        </w:tc>
        <w:tc>
          <w:tcPr>
            <w:tcW w:w="15" w:type="dxa"/>
            <w:tcBorders>
              <w:top w:val="nil"/>
              <w:left w:val="single" w:sz="8" w:space="0" w:color="002F5D"/>
              <w:bottom w:val="nil"/>
              <w:right w:val="nil"/>
            </w:tcBorders>
          </w:tcPr>
          <w:p w14:paraId="260B1D16"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nil"/>
              <w:left w:val="nil"/>
              <w:bottom w:val="nil"/>
              <w:right w:val="single" w:sz="8" w:space="0" w:color="002F5D"/>
            </w:tcBorders>
            <w:shd w:val="clear" w:color="auto" w:fill="auto"/>
            <w:noWrap/>
            <w:tcMar>
              <w:top w:w="15" w:type="dxa"/>
              <w:left w:w="15" w:type="dxa"/>
              <w:bottom w:w="0" w:type="dxa"/>
              <w:right w:w="15" w:type="dxa"/>
            </w:tcMar>
            <w:vAlign w:val="center"/>
            <w:hideMark/>
          </w:tcPr>
          <w:p w14:paraId="657843F9" w14:textId="0E1DBDE8"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19%</w:t>
            </w:r>
          </w:p>
        </w:tc>
        <w:tc>
          <w:tcPr>
            <w:tcW w:w="1910" w:type="dxa"/>
            <w:tcBorders>
              <w:top w:val="nil"/>
              <w:left w:val="single" w:sz="8" w:space="0" w:color="002F5D"/>
              <w:bottom w:val="nil"/>
              <w:right w:val="single" w:sz="12" w:space="0" w:color="002F5D"/>
            </w:tcBorders>
            <w:shd w:val="clear" w:color="auto" w:fill="auto"/>
            <w:noWrap/>
            <w:tcMar>
              <w:top w:w="15" w:type="dxa"/>
              <w:left w:w="15" w:type="dxa"/>
              <w:bottom w:w="0" w:type="dxa"/>
              <w:right w:w="15" w:type="dxa"/>
            </w:tcMar>
            <w:vAlign w:val="center"/>
            <w:hideMark/>
          </w:tcPr>
          <w:p w14:paraId="51D4A02A"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670</w:t>
            </w:r>
          </w:p>
        </w:tc>
      </w:tr>
      <w:tr w:rsidR="000E43C2" w:rsidRPr="00936844" w14:paraId="2482A84E" w14:textId="77777777" w:rsidTr="00330B65">
        <w:trPr>
          <w:trHeight w:val="257"/>
        </w:trPr>
        <w:tc>
          <w:tcPr>
            <w:tcW w:w="4590" w:type="dxa"/>
            <w:tcBorders>
              <w:top w:val="nil"/>
              <w:left w:val="single" w:sz="12"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6629987F" w14:textId="77777777" w:rsidR="000E43C2" w:rsidRPr="00330B65" w:rsidRDefault="000E43C2"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Non-Cambridgeshire postcode</w:t>
            </w:r>
          </w:p>
        </w:tc>
        <w:tc>
          <w:tcPr>
            <w:tcW w:w="1812" w:type="dxa"/>
            <w:tcBorders>
              <w:top w:val="nil"/>
              <w:left w:val="single" w:sz="8"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64CC359F"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105</w:t>
            </w:r>
          </w:p>
        </w:tc>
        <w:tc>
          <w:tcPr>
            <w:tcW w:w="15" w:type="dxa"/>
            <w:tcBorders>
              <w:top w:val="nil"/>
              <w:left w:val="single" w:sz="8" w:space="0" w:color="002F5D"/>
              <w:bottom w:val="single" w:sz="8" w:space="0" w:color="002F5D"/>
              <w:right w:val="nil"/>
            </w:tcBorders>
          </w:tcPr>
          <w:p w14:paraId="0B043A8E" w14:textId="77777777" w:rsidR="000E43C2" w:rsidRPr="00936844" w:rsidRDefault="000E43C2" w:rsidP="00936844">
            <w:pPr>
              <w:spacing w:line="240" w:lineRule="auto"/>
              <w:ind w:right="127"/>
              <w:jc w:val="right"/>
              <w:rPr>
                <w:rFonts w:ascii="Calibri" w:eastAsia="Times New Roman" w:hAnsi="Calibri" w:cs="Calibri"/>
                <w:color w:val="002F5D"/>
                <w:lang w:eastAsia="en-GB"/>
              </w:rPr>
            </w:pPr>
          </w:p>
        </w:tc>
        <w:tc>
          <w:tcPr>
            <w:tcW w:w="532" w:type="dxa"/>
            <w:tcBorders>
              <w:top w:val="nil"/>
              <w:left w:val="nil"/>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09320DC6" w14:textId="1367AA7D"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3%</w:t>
            </w:r>
          </w:p>
        </w:tc>
        <w:tc>
          <w:tcPr>
            <w:tcW w:w="1910" w:type="dxa"/>
            <w:tcBorders>
              <w:top w:val="nil"/>
              <w:left w:val="single" w:sz="8" w:space="0" w:color="002F5D"/>
              <w:bottom w:val="single" w:sz="8" w:space="0" w:color="002F5D"/>
              <w:right w:val="single" w:sz="12" w:space="0" w:color="002F5D"/>
            </w:tcBorders>
            <w:shd w:val="clear" w:color="auto" w:fill="auto"/>
            <w:noWrap/>
            <w:tcMar>
              <w:top w:w="15" w:type="dxa"/>
              <w:left w:w="15" w:type="dxa"/>
              <w:bottom w:w="0" w:type="dxa"/>
              <w:right w:w="15" w:type="dxa"/>
            </w:tcMar>
            <w:vAlign w:val="center"/>
            <w:hideMark/>
          </w:tcPr>
          <w:p w14:paraId="604725D1" w14:textId="77777777" w:rsidR="000E43C2" w:rsidRPr="00330B65" w:rsidRDefault="000E43C2" w:rsidP="00936844">
            <w:pPr>
              <w:spacing w:line="240" w:lineRule="auto"/>
              <w:ind w:right="127"/>
              <w:jc w:val="right"/>
              <w:rPr>
                <w:rFonts w:ascii="Calibri" w:eastAsia="Times New Roman" w:hAnsi="Calibri" w:cs="Calibri"/>
                <w:color w:val="002F5D"/>
                <w:lang w:eastAsia="en-GB"/>
              </w:rPr>
            </w:pPr>
            <w:r w:rsidRPr="00330B65">
              <w:rPr>
                <w:rFonts w:ascii="Calibri" w:eastAsia="Times New Roman" w:hAnsi="Calibri" w:cs="Calibri"/>
                <w:color w:val="002F5D"/>
                <w:lang w:eastAsia="en-GB"/>
              </w:rPr>
              <w:t>- </w:t>
            </w:r>
          </w:p>
        </w:tc>
      </w:tr>
      <w:tr w:rsidR="000E43C2" w:rsidRPr="00936844" w14:paraId="7423461F" w14:textId="77777777" w:rsidTr="00330B65">
        <w:trPr>
          <w:trHeight w:val="257"/>
        </w:trPr>
        <w:tc>
          <w:tcPr>
            <w:tcW w:w="4590" w:type="dxa"/>
            <w:tcBorders>
              <w:top w:val="single" w:sz="8" w:space="0" w:color="002F5D"/>
              <w:left w:val="single" w:sz="12"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437F88F5" w14:textId="77777777" w:rsidR="000E43C2" w:rsidRPr="00330B65" w:rsidRDefault="000E43C2"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w:t>
            </w:r>
          </w:p>
        </w:tc>
        <w:tc>
          <w:tcPr>
            <w:tcW w:w="1812" w:type="dxa"/>
            <w:tcBorders>
              <w:top w:val="single" w:sz="8" w:space="0" w:color="002F5D"/>
              <w:left w:val="single" w:sz="8"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0EB609EE"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3,585</w:t>
            </w:r>
          </w:p>
        </w:tc>
        <w:tc>
          <w:tcPr>
            <w:tcW w:w="15" w:type="dxa"/>
            <w:tcBorders>
              <w:top w:val="single" w:sz="8" w:space="0" w:color="002F5D"/>
              <w:left w:val="single" w:sz="8" w:space="0" w:color="002F5D"/>
              <w:bottom w:val="single" w:sz="8" w:space="0" w:color="002F5D"/>
              <w:right w:val="nil"/>
            </w:tcBorders>
          </w:tcPr>
          <w:p w14:paraId="0E0EE201" w14:textId="77777777" w:rsidR="000E43C2" w:rsidRPr="00936844" w:rsidRDefault="000E43C2" w:rsidP="00936844">
            <w:pPr>
              <w:spacing w:line="240" w:lineRule="auto"/>
              <w:ind w:right="127"/>
              <w:jc w:val="right"/>
              <w:rPr>
                <w:rFonts w:ascii="Calibri" w:eastAsia="Times New Roman" w:hAnsi="Calibri" w:cs="Calibri"/>
                <w:b/>
                <w:color w:val="002F5D"/>
                <w:lang w:eastAsia="en-GB"/>
              </w:rPr>
            </w:pPr>
          </w:p>
        </w:tc>
        <w:tc>
          <w:tcPr>
            <w:tcW w:w="532" w:type="dxa"/>
            <w:tcBorders>
              <w:top w:val="single" w:sz="8" w:space="0" w:color="002F5D"/>
              <w:left w:val="nil"/>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78A7AAA7" w14:textId="3C471574"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77%</w:t>
            </w:r>
          </w:p>
        </w:tc>
        <w:tc>
          <w:tcPr>
            <w:tcW w:w="1910" w:type="dxa"/>
            <w:tcBorders>
              <w:top w:val="single" w:sz="8" w:space="0" w:color="002F5D"/>
              <w:left w:val="single" w:sz="8" w:space="0" w:color="002F5D"/>
              <w:bottom w:val="single" w:sz="8" w:space="0" w:color="002F5D"/>
              <w:right w:val="single" w:sz="12" w:space="0" w:color="002F5D"/>
            </w:tcBorders>
            <w:shd w:val="clear" w:color="auto" w:fill="auto"/>
            <w:noWrap/>
            <w:tcMar>
              <w:top w:w="15" w:type="dxa"/>
              <w:left w:w="15" w:type="dxa"/>
              <w:bottom w:w="0" w:type="dxa"/>
              <w:right w:w="15" w:type="dxa"/>
            </w:tcMar>
            <w:vAlign w:val="center"/>
            <w:hideMark/>
          </w:tcPr>
          <w:p w14:paraId="534AB58A"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698</w:t>
            </w:r>
          </w:p>
        </w:tc>
      </w:tr>
      <w:tr w:rsidR="000E43C2" w:rsidRPr="00936844" w14:paraId="5EAD8815" w14:textId="77777777" w:rsidTr="00330B65">
        <w:trPr>
          <w:trHeight w:val="257"/>
        </w:trPr>
        <w:tc>
          <w:tcPr>
            <w:tcW w:w="4590" w:type="dxa"/>
            <w:tcBorders>
              <w:top w:val="single" w:sz="8" w:space="0" w:color="002F5D"/>
              <w:left w:val="single" w:sz="12"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08460F0C" w14:textId="77777777" w:rsidR="000E43C2" w:rsidRPr="00330B65" w:rsidRDefault="000E43C2"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Peterborough</w:t>
            </w:r>
          </w:p>
        </w:tc>
        <w:tc>
          <w:tcPr>
            <w:tcW w:w="1812" w:type="dxa"/>
            <w:tcBorders>
              <w:top w:val="single" w:sz="8" w:space="0" w:color="002F5D"/>
              <w:left w:val="single" w:sz="8" w:space="0" w:color="002F5D"/>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02BBF589"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1,100</w:t>
            </w:r>
          </w:p>
        </w:tc>
        <w:tc>
          <w:tcPr>
            <w:tcW w:w="15" w:type="dxa"/>
            <w:tcBorders>
              <w:top w:val="single" w:sz="8" w:space="0" w:color="002F5D"/>
              <w:left w:val="single" w:sz="8" w:space="0" w:color="002F5D"/>
              <w:bottom w:val="single" w:sz="8" w:space="0" w:color="002F5D"/>
              <w:right w:val="nil"/>
            </w:tcBorders>
          </w:tcPr>
          <w:p w14:paraId="7B58139F" w14:textId="77777777" w:rsidR="000E43C2" w:rsidRPr="00936844" w:rsidRDefault="000E43C2" w:rsidP="00936844">
            <w:pPr>
              <w:spacing w:line="240" w:lineRule="auto"/>
              <w:ind w:right="127"/>
              <w:jc w:val="right"/>
              <w:rPr>
                <w:rFonts w:ascii="Calibri" w:eastAsia="Times New Roman" w:hAnsi="Calibri" w:cs="Calibri"/>
                <w:b/>
                <w:color w:val="002F5D"/>
                <w:lang w:eastAsia="en-GB"/>
              </w:rPr>
            </w:pPr>
          </w:p>
        </w:tc>
        <w:tc>
          <w:tcPr>
            <w:tcW w:w="532" w:type="dxa"/>
            <w:tcBorders>
              <w:top w:val="single" w:sz="8" w:space="0" w:color="002F5D"/>
              <w:left w:val="nil"/>
              <w:bottom w:val="single" w:sz="8" w:space="0" w:color="002F5D"/>
              <w:right w:val="single" w:sz="8" w:space="0" w:color="002F5D"/>
            </w:tcBorders>
            <w:shd w:val="clear" w:color="auto" w:fill="auto"/>
            <w:noWrap/>
            <w:tcMar>
              <w:top w:w="15" w:type="dxa"/>
              <w:left w:w="15" w:type="dxa"/>
              <w:bottom w:w="0" w:type="dxa"/>
              <w:right w:w="15" w:type="dxa"/>
            </w:tcMar>
            <w:vAlign w:val="center"/>
            <w:hideMark/>
          </w:tcPr>
          <w:p w14:paraId="7FC748C1" w14:textId="6C00F230"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23%</w:t>
            </w:r>
          </w:p>
        </w:tc>
        <w:tc>
          <w:tcPr>
            <w:tcW w:w="1910" w:type="dxa"/>
            <w:tcBorders>
              <w:top w:val="single" w:sz="8" w:space="0" w:color="002F5D"/>
              <w:left w:val="single" w:sz="8" w:space="0" w:color="002F5D"/>
              <w:bottom w:val="single" w:sz="8" w:space="0" w:color="002F5D"/>
              <w:right w:val="single" w:sz="12" w:space="0" w:color="002F5D"/>
            </w:tcBorders>
            <w:shd w:val="clear" w:color="auto" w:fill="auto"/>
            <w:noWrap/>
            <w:tcMar>
              <w:top w:w="15" w:type="dxa"/>
              <w:left w:w="15" w:type="dxa"/>
              <w:bottom w:w="0" w:type="dxa"/>
              <w:right w:w="15" w:type="dxa"/>
            </w:tcMar>
            <w:vAlign w:val="center"/>
            <w:hideMark/>
          </w:tcPr>
          <w:p w14:paraId="1B3F18F7"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739</w:t>
            </w:r>
          </w:p>
        </w:tc>
      </w:tr>
      <w:tr w:rsidR="000E43C2" w:rsidRPr="00936844" w14:paraId="513B9A02" w14:textId="77777777" w:rsidTr="00330B65">
        <w:trPr>
          <w:trHeight w:val="257"/>
        </w:trPr>
        <w:tc>
          <w:tcPr>
            <w:tcW w:w="4590" w:type="dxa"/>
            <w:tcBorders>
              <w:top w:val="single" w:sz="8" w:space="0" w:color="002F5D"/>
              <w:left w:val="single" w:sz="12" w:space="0" w:color="002F5D"/>
              <w:bottom w:val="single" w:sz="12" w:space="0" w:color="002F5D"/>
              <w:right w:val="single" w:sz="8" w:space="0" w:color="002F5D"/>
            </w:tcBorders>
            <w:shd w:val="clear" w:color="auto" w:fill="auto"/>
            <w:noWrap/>
            <w:tcMar>
              <w:top w:w="15" w:type="dxa"/>
              <w:left w:w="15" w:type="dxa"/>
              <w:bottom w:w="0" w:type="dxa"/>
              <w:right w:w="15" w:type="dxa"/>
            </w:tcMar>
            <w:vAlign w:val="center"/>
            <w:hideMark/>
          </w:tcPr>
          <w:p w14:paraId="424A6AFD" w14:textId="77777777" w:rsidR="000E43C2" w:rsidRPr="00330B65" w:rsidRDefault="000E43C2"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Cambridgeshire &amp; Peterborough</w:t>
            </w:r>
          </w:p>
        </w:tc>
        <w:tc>
          <w:tcPr>
            <w:tcW w:w="1812" w:type="dxa"/>
            <w:tcBorders>
              <w:top w:val="single" w:sz="8" w:space="0" w:color="002F5D"/>
              <w:left w:val="single" w:sz="8" w:space="0" w:color="002F5D"/>
              <w:bottom w:val="single" w:sz="12" w:space="0" w:color="002F5D"/>
              <w:right w:val="single" w:sz="8" w:space="0" w:color="002F5D"/>
            </w:tcBorders>
            <w:shd w:val="clear" w:color="auto" w:fill="auto"/>
            <w:noWrap/>
            <w:tcMar>
              <w:top w:w="15" w:type="dxa"/>
              <w:left w:w="15" w:type="dxa"/>
              <w:bottom w:w="0" w:type="dxa"/>
              <w:right w:w="15" w:type="dxa"/>
            </w:tcMar>
            <w:vAlign w:val="center"/>
            <w:hideMark/>
          </w:tcPr>
          <w:p w14:paraId="3BF75230"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4,685</w:t>
            </w:r>
          </w:p>
        </w:tc>
        <w:tc>
          <w:tcPr>
            <w:tcW w:w="15" w:type="dxa"/>
            <w:tcBorders>
              <w:top w:val="single" w:sz="8" w:space="0" w:color="002F5D"/>
              <w:left w:val="single" w:sz="8" w:space="0" w:color="002F5D"/>
              <w:bottom w:val="single" w:sz="12" w:space="0" w:color="002F5D"/>
              <w:right w:val="nil"/>
            </w:tcBorders>
          </w:tcPr>
          <w:p w14:paraId="76581269" w14:textId="77777777" w:rsidR="000E43C2" w:rsidRPr="00936844" w:rsidRDefault="000E43C2" w:rsidP="00936844">
            <w:pPr>
              <w:spacing w:line="240" w:lineRule="auto"/>
              <w:ind w:right="127"/>
              <w:jc w:val="right"/>
              <w:rPr>
                <w:rFonts w:ascii="Calibri" w:eastAsia="Times New Roman" w:hAnsi="Calibri" w:cs="Calibri"/>
                <w:b/>
                <w:color w:val="002F5D"/>
                <w:lang w:eastAsia="en-GB"/>
              </w:rPr>
            </w:pPr>
          </w:p>
        </w:tc>
        <w:tc>
          <w:tcPr>
            <w:tcW w:w="532" w:type="dxa"/>
            <w:tcBorders>
              <w:top w:val="single" w:sz="8" w:space="0" w:color="002F5D"/>
              <w:left w:val="nil"/>
              <w:bottom w:val="single" w:sz="12" w:space="0" w:color="002F5D"/>
              <w:right w:val="single" w:sz="8" w:space="0" w:color="002F5D"/>
            </w:tcBorders>
            <w:shd w:val="clear" w:color="auto" w:fill="auto"/>
            <w:noWrap/>
            <w:tcMar>
              <w:top w:w="15" w:type="dxa"/>
              <w:left w:w="15" w:type="dxa"/>
              <w:bottom w:w="0" w:type="dxa"/>
              <w:right w:w="15" w:type="dxa"/>
            </w:tcMar>
            <w:vAlign w:val="center"/>
            <w:hideMark/>
          </w:tcPr>
          <w:p w14:paraId="1A18D2F5" w14:textId="7CF5A216"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 </w:t>
            </w:r>
          </w:p>
        </w:tc>
        <w:tc>
          <w:tcPr>
            <w:tcW w:w="1910" w:type="dxa"/>
            <w:tcBorders>
              <w:top w:val="single" w:sz="8" w:space="0" w:color="002F5D"/>
              <w:left w:val="single" w:sz="8" w:space="0" w:color="002F5D"/>
              <w:bottom w:val="single" w:sz="12" w:space="0" w:color="002F5D"/>
              <w:right w:val="single" w:sz="12" w:space="0" w:color="002F5D"/>
            </w:tcBorders>
            <w:shd w:val="clear" w:color="auto" w:fill="auto"/>
            <w:noWrap/>
            <w:tcMar>
              <w:top w:w="15" w:type="dxa"/>
              <w:left w:w="15" w:type="dxa"/>
              <w:bottom w:w="0" w:type="dxa"/>
              <w:right w:w="15" w:type="dxa"/>
            </w:tcMar>
            <w:vAlign w:val="center"/>
            <w:hideMark/>
          </w:tcPr>
          <w:p w14:paraId="4561BA79" w14:textId="77777777" w:rsidR="000E43C2" w:rsidRPr="00330B65" w:rsidRDefault="000E43C2" w:rsidP="00936844">
            <w:pPr>
              <w:spacing w:line="240" w:lineRule="auto"/>
              <w:ind w:right="127"/>
              <w:jc w:val="right"/>
              <w:rPr>
                <w:rFonts w:ascii="Calibri" w:eastAsia="Times New Roman" w:hAnsi="Calibri" w:cs="Calibri"/>
                <w:b/>
                <w:color w:val="002F5D"/>
                <w:lang w:eastAsia="en-GB"/>
              </w:rPr>
            </w:pPr>
            <w:r w:rsidRPr="00330B65">
              <w:rPr>
                <w:rFonts w:ascii="Calibri" w:eastAsia="Times New Roman" w:hAnsi="Calibri" w:cs="Calibri"/>
                <w:b/>
                <w:color w:val="002F5D"/>
                <w:lang w:eastAsia="en-GB"/>
              </w:rPr>
              <w:t>707</w:t>
            </w:r>
          </w:p>
        </w:tc>
      </w:tr>
    </w:tbl>
    <w:p w14:paraId="08DFF587" w14:textId="6BCDDB55" w:rsidR="00385DD0" w:rsidRPr="00330B65" w:rsidRDefault="008D4440" w:rsidP="00330B65">
      <w:pPr>
        <w:spacing w:line="240" w:lineRule="auto"/>
        <w:rPr>
          <w:rFonts w:ascii="Calibri" w:hAnsi="Calibri" w:cs="Calibri"/>
          <w:color w:val="002F5D"/>
          <w:sz w:val="18"/>
          <w:szCs w:val="18"/>
        </w:rPr>
      </w:pPr>
      <w:r w:rsidRPr="00330B65">
        <w:rPr>
          <w:rFonts w:ascii="Calibri" w:hAnsi="Calibri" w:cs="Calibri"/>
          <w:color w:val="002F5D"/>
          <w:sz w:val="18"/>
          <w:szCs w:val="18"/>
        </w:rPr>
        <w:t>Note – local figures will not always match national figures due to rounding</w:t>
      </w:r>
    </w:p>
    <w:p w14:paraId="5A27DBFF" w14:textId="32EF9395" w:rsidR="00385DD0" w:rsidRDefault="00875854" w:rsidP="00330B65">
      <w:pPr>
        <w:spacing w:line="240" w:lineRule="auto"/>
        <w:rPr>
          <w:rFonts w:ascii="Calibri" w:hAnsi="Calibri" w:cs="Calibri"/>
          <w:color w:val="002F5D"/>
          <w:sz w:val="18"/>
          <w:szCs w:val="18"/>
        </w:rPr>
      </w:pPr>
      <w:r>
        <w:rPr>
          <w:rFonts w:ascii="Calibri" w:hAnsi="Calibri" w:cs="Calibri"/>
          <w:color w:val="002F5D"/>
          <w:sz w:val="18"/>
          <w:szCs w:val="18"/>
        </w:rPr>
        <w:t>*Cambridgeshire district</w:t>
      </w:r>
      <w:r w:rsidRPr="007525E0">
        <w:rPr>
          <w:rFonts w:ascii="Calibri" w:hAnsi="Calibri" w:cs="Calibri"/>
          <w:color w:val="002F5D"/>
          <w:sz w:val="18"/>
          <w:szCs w:val="18"/>
        </w:rPr>
        <w:t xml:space="preserve"> percentages relate to Cambridgeshire total and Cambridgeshire and Peterborough percentages relate to Cambridgeshire and Peterborough Combined Authority total</w:t>
      </w:r>
    </w:p>
    <w:p w14:paraId="2BFD80F7" w14:textId="77777777" w:rsidR="00875854" w:rsidRDefault="00875854" w:rsidP="00330B65">
      <w:pPr>
        <w:spacing w:line="240" w:lineRule="auto"/>
        <w:rPr>
          <w:rFonts w:ascii="Calibri" w:hAnsi="Calibri" w:cs="Calibri"/>
          <w:color w:val="002F5D"/>
        </w:rPr>
      </w:pPr>
    </w:p>
    <w:p w14:paraId="6FEE2387" w14:textId="0DD60986" w:rsidR="00385DD0" w:rsidRPr="00330B65" w:rsidRDefault="00385DD0" w:rsidP="00330B65">
      <w:pPr>
        <w:spacing w:line="240" w:lineRule="auto"/>
        <w:rPr>
          <w:rFonts w:ascii="Calibri" w:hAnsi="Calibri" w:cs="Calibri"/>
          <w:color w:val="002F5D"/>
          <w:highlight w:val="yellow"/>
        </w:rPr>
      </w:pPr>
      <w:r w:rsidRPr="00330B65">
        <w:rPr>
          <w:rFonts w:ascii="Calibri" w:hAnsi="Calibri" w:cs="Calibri"/>
          <w:b/>
          <w:color w:val="002F5D"/>
        </w:rPr>
        <w:t>Sour</w:t>
      </w:r>
      <w:r w:rsidR="00483B56">
        <w:rPr>
          <w:rFonts w:ascii="Calibri" w:hAnsi="Calibri" w:cs="Calibri"/>
          <w:b/>
          <w:color w:val="002F5D"/>
        </w:rPr>
        <w:t>c</w:t>
      </w:r>
      <w:r w:rsidRPr="00330B65">
        <w:rPr>
          <w:rFonts w:ascii="Calibri" w:hAnsi="Calibri" w:cs="Calibri"/>
          <w:b/>
          <w:color w:val="002F5D"/>
        </w:rPr>
        <w:t>es</w:t>
      </w:r>
      <w:r>
        <w:rPr>
          <w:rFonts w:ascii="Calibri" w:hAnsi="Calibri" w:cs="Calibri"/>
          <w:color w:val="002F5D"/>
        </w:rPr>
        <w:t xml:space="preserve">: see Data sources on page 168 </w:t>
      </w:r>
    </w:p>
    <w:p w14:paraId="134FEA3A" w14:textId="77777777"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 xml:space="preserve"> </w:t>
      </w:r>
    </w:p>
    <w:p w14:paraId="7BD971A2" w14:textId="10D27831" w:rsidR="008D4440" w:rsidRPr="00330B65" w:rsidRDefault="008D4440" w:rsidP="00330B65">
      <w:pPr>
        <w:pStyle w:val="ListParagraph"/>
        <w:spacing w:line="240" w:lineRule="auto"/>
        <w:ind w:left="0"/>
        <w:rPr>
          <w:rFonts w:ascii="Calibri" w:hAnsi="Calibri" w:cs="Calibri"/>
          <w:color w:val="002F5D"/>
        </w:rPr>
      </w:pPr>
      <w:r w:rsidRPr="00330B65">
        <w:rPr>
          <w:rFonts w:ascii="Calibri" w:hAnsi="Calibri" w:cs="Calibri"/>
          <w:color w:val="002F5D"/>
        </w:rPr>
        <w:t>In absolute numbers, Huntingdonshire has the highest number of carers supported within Cambridgeshire, although Fenland has the highest rate per 100,000 of population aged 18+.  All districts, and both local authority areas, have a</w:t>
      </w:r>
      <w:r w:rsidR="003813C9">
        <w:rPr>
          <w:rFonts w:ascii="Calibri" w:hAnsi="Calibri" w:cs="Calibri"/>
          <w:color w:val="002F5D"/>
        </w:rPr>
        <w:t xml:space="preserve"> numerically</w:t>
      </w:r>
      <w:r w:rsidRPr="00330B65">
        <w:rPr>
          <w:rFonts w:ascii="Calibri" w:hAnsi="Calibri" w:cs="Calibri"/>
          <w:color w:val="002F5D"/>
        </w:rPr>
        <w:t xml:space="preserve"> lower rate of carers support</w:t>
      </w:r>
      <w:r w:rsidR="003813C9">
        <w:rPr>
          <w:rFonts w:ascii="Calibri" w:hAnsi="Calibri" w:cs="Calibri"/>
          <w:color w:val="002F5D"/>
        </w:rPr>
        <w:t>ed per 100,000 of population tha</w:t>
      </w:r>
      <w:r w:rsidRPr="00330B65">
        <w:rPr>
          <w:rFonts w:ascii="Calibri" w:hAnsi="Calibri" w:cs="Calibri"/>
          <w:color w:val="002F5D"/>
        </w:rPr>
        <w:t>n the England average (825)</w:t>
      </w:r>
      <w:r w:rsidRPr="00330B65">
        <w:rPr>
          <w:rFonts w:ascii="Calibri" w:hAnsi="Calibri" w:cs="Calibri"/>
          <w:color w:val="002F5D"/>
        </w:rPr>
        <w:br w:type="page"/>
      </w:r>
    </w:p>
    <w:p w14:paraId="5FE94764" w14:textId="77777777" w:rsidR="008D4440" w:rsidRPr="00330B65" w:rsidRDefault="008D4440" w:rsidP="00330B65">
      <w:pPr>
        <w:spacing w:after="160" w:line="240" w:lineRule="auto"/>
        <w:rPr>
          <w:rFonts w:ascii="Calibri" w:hAnsi="Calibri" w:cs="Calibri"/>
          <w:b/>
          <w:color w:val="002F5D"/>
        </w:rPr>
      </w:pPr>
      <w:r w:rsidRPr="00330B65">
        <w:rPr>
          <w:rFonts w:ascii="Calibri" w:hAnsi="Calibri" w:cs="Calibri"/>
          <w:b/>
          <w:color w:val="002F5D"/>
        </w:rPr>
        <w:lastRenderedPageBreak/>
        <w:t>Data sources</w:t>
      </w:r>
    </w:p>
    <w:p w14:paraId="1364A4C4" w14:textId="77777777" w:rsidR="008D4440" w:rsidRPr="00330B65" w:rsidRDefault="008D4440" w:rsidP="00330B65">
      <w:pPr>
        <w:spacing w:line="240" w:lineRule="auto"/>
        <w:rPr>
          <w:rFonts w:ascii="Calibri" w:hAnsi="Calibri" w:cs="Calibri"/>
          <w:b/>
          <w:color w:val="002F5D"/>
        </w:rPr>
      </w:pPr>
    </w:p>
    <w:p w14:paraId="1711BA17" w14:textId="77777777" w:rsidR="008D4440" w:rsidRPr="00330B65" w:rsidRDefault="008D4440" w:rsidP="00330B65">
      <w:pPr>
        <w:spacing w:line="240" w:lineRule="auto"/>
        <w:rPr>
          <w:rFonts w:ascii="Calibri" w:hAnsi="Calibri" w:cs="Calibri"/>
          <w:b/>
          <w:color w:val="002F5D"/>
        </w:rPr>
      </w:pPr>
      <w:r w:rsidRPr="00330B65">
        <w:rPr>
          <w:rFonts w:ascii="Calibri" w:hAnsi="Calibri" w:cs="Calibri"/>
          <w:b/>
          <w:color w:val="002F5D"/>
        </w:rPr>
        <w:t>Children’s social care data</w:t>
      </w:r>
    </w:p>
    <w:p w14:paraId="1E1CB164" w14:textId="77777777" w:rsidR="008D4440" w:rsidRPr="00330B65" w:rsidRDefault="008D4440" w:rsidP="00330B65">
      <w:pPr>
        <w:spacing w:line="240" w:lineRule="auto"/>
        <w:rPr>
          <w:rFonts w:ascii="Calibri" w:hAnsi="Calibri" w:cs="Calibri"/>
          <w:color w:val="002F5D"/>
        </w:rPr>
      </w:pPr>
      <w:r w:rsidRPr="00330B65">
        <w:rPr>
          <w:rFonts w:ascii="Calibri" w:hAnsi="Calibri" w:cs="Calibri"/>
          <w:color w:val="002F5D"/>
        </w:rPr>
        <w:t xml:space="preserve">National, Regional, and statistical neighbour datasets were obtained from the Local Authority Interactive Tool (LAIT): </w:t>
      </w:r>
    </w:p>
    <w:p w14:paraId="4DCE032C" w14:textId="77777777" w:rsidR="008D4440" w:rsidRPr="00330B65" w:rsidRDefault="00E80CFE" w:rsidP="00330B65">
      <w:pPr>
        <w:spacing w:line="240" w:lineRule="auto"/>
        <w:rPr>
          <w:rFonts w:ascii="Calibri" w:hAnsi="Calibri" w:cs="Calibri"/>
          <w:color w:val="002F5D"/>
        </w:rPr>
      </w:pPr>
      <w:hyperlink r:id="rId260" w:history="1">
        <w:r w:rsidR="008D4440" w:rsidRPr="00330B65">
          <w:rPr>
            <w:rStyle w:val="Hyperlink"/>
            <w:rFonts w:ascii="Calibri" w:hAnsi="Calibri" w:cs="Calibri"/>
            <w:color w:val="002F5D"/>
          </w:rPr>
          <w:t>https://www.gov.uk/government/publications/local-authority-interactive-tool-lait</w:t>
        </w:r>
      </w:hyperlink>
    </w:p>
    <w:p w14:paraId="735C9183" w14:textId="77777777" w:rsidR="008D4440" w:rsidRPr="00330B65" w:rsidRDefault="008D4440" w:rsidP="00330B65">
      <w:pPr>
        <w:spacing w:line="240" w:lineRule="auto"/>
        <w:rPr>
          <w:rFonts w:ascii="Calibri" w:hAnsi="Calibri" w:cs="Calibri"/>
          <w:color w:val="002F5D"/>
        </w:rPr>
      </w:pPr>
      <w:r w:rsidRPr="00330B65">
        <w:rPr>
          <w:rFonts w:ascii="Calibri" w:hAnsi="Calibri" w:cs="Calibri"/>
          <w:color w:val="002F5D"/>
        </w:rPr>
        <w:t>Actual numbers (e.g. total number of Children’s Social Care referrals per local authority) were taken from the main DfE statistical release, published December 2018</w:t>
      </w:r>
    </w:p>
    <w:p w14:paraId="41474953" w14:textId="77777777" w:rsidR="008D4440" w:rsidRPr="00330B65" w:rsidRDefault="00E80CFE" w:rsidP="00330B65">
      <w:pPr>
        <w:spacing w:line="240" w:lineRule="auto"/>
        <w:rPr>
          <w:rFonts w:ascii="Calibri" w:hAnsi="Calibri" w:cs="Calibri"/>
          <w:color w:val="002F5D"/>
        </w:rPr>
      </w:pPr>
      <w:hyperlink r:id="rId261" w:history="1">
        <w:r w:rsidR="008D4440" w:rsidRPr="00330B65">
          <w:rPr>
            <w:rStyle w:val="Hyperlink"/>
            <w:rFonts w:ascii="Calibri" w:hAnsi="Calibri" w:cs="Calibri"/>
            <w:color w:val="002F5D"/>
          </w:rPr>
          <w:t>https://assets.publishing.service.gov.uk/government/uploads/system/uploads/attachment_data/file/762539/Characteristics_of_children_in_need_2017-2018_Main_tables.xlsx</w:t>
        </w:r>
      </w:hyperlink>
    </w:p>
    <w:p w14:paraId="66D4BD02" w14:textId="0FCB324B" w:rsidR="008D4440" w:rsidRPr="00330B65" w:rsidRDefault="008D4440" w:rsidP="00330B65">
      <w:pPr>
        <w:spacing w:line="240" w:lineRule="auto"/>
        <w:rPr>
          <w:rFonts w:ascii="Calibri" w:hAnsi="Calibri" w:cs="Calibri"/>
          <w:color w:val="002F5D"/>
        </w:rPr>
      </w:pPr>
      <w:r w:rsidRPr="00330B65">
        <w:rPr>
          <w:rFonts w:ascii="Calibri" w:hAnsi="Calibri" w:cs="Calibri"/>
          <w:color w:val="002F5D"/>
        </w:rPr>
        <w:t>District level data was obtained from the Cambridgeshire Children</w:t>
      </w:r>
      <w:r w:rsidR="00875854">
        <w:rPr>
          <w:rFonts w:ascii="Calibri" w:hAnsi="Calibri" w:cs="Calibri"/>
          <w:color w:val="002F5D"/>
        </w:rPr>
        <w:t>’</w:t>
      </w:r>
      <w:r w:rsidRPr="00330B65">
        <w:rPr>
          <w:rFonts w:ascii="Calibri" w:hAnsi="Calibri" w:cs="Calibri"/>
          <w:color w:val="002F5D"/>
        </w:rPr>
        <w:t>s Social care statutory returns – CiN Census and SSDA903 LAC return</w:t>
      </w:r>
    </w:p>
    <w:p w14:paraId="0A63D6FD" w14:textId="77777777" w:rsidR="008D4440" w:rsidRPr="00330B65" w:rsidRDefault="00E80CFE" w:rsidP="00330B65">
      <w:pPr>
        <w:spacing w:line="240" w:lineRule="auto"/>
        <w:rPr>
          <w:rFonts w:ascii="Calibri" w:hAnsi="Calibri" w:cs="Calibri"/>
          <w:color w:val="002F5D"/>
        </w:rPr>
      </w:pPr>
      <w:hyperlink r:id="rId262" w:history="1">
        <w:r w:rsidR="008D4440" w:rsidRPr="00330B65">
          <w:rPr>
            <w:rStyle w:val="Hyperlink"/>
            <w:rFonts w:ascii="Calibri" w:hAnsi="Calibri" w:cs="Calibri"/>
            <w:color w:val="002F5D"/>
          </w:rPr>
          <w:t>https://www.gov.uk/government/publications/children-looked-after-return-2017-to-2018-guide</w:t>
        </w:r>
      </w:hyperlink>
    </w:p>
    <w:p w14:paraId="333B528C" w14:textId="77777777" w:rsidR="008D4440" w:rsidRPr="00330B65" w:rsidRDefault="00E80CFE" w:rsidP="00330B65">
      <w:pPr>
        <w:spacing w:line="240" w:lineRule="auto"/>
        <w:rPr>
          <w:rFonts w:ascii="Calibri" w:hAnsi="Calibri" w:cs="Calibri"/>
          <w:color w:val="002F5D"/>
        </w:rPr>
      </w:pPr>
      <w:hyperlink r:id="rId263" w:history="1">
        <w:r w:rsidR="008D4440" w:rsidRPr="00330B65">
          <w:rPr>
            <w:rStyle w:val="Hyperlink"/>
            <w:rFonts w:ascii="Calibri" w:hAnsi="Calibri" w:cs="Calibri"/>
            <w:color w:val="002F5D"/>
          </w:rPr>
          <w:t>https://www.gov.uk/government/publications/children-in-need-census-2017-to-2018-guide</w:t>
        </w:r>
      </w:hyperlink>
    </w:p>
    <w:p w14:paraId="05DA85E7" w14:textId="77777777" w:rsidR="008D4440" w:rsidRPr="00330B65" w:rsidRDefault="008D4440" w:rsidP="008D4440">
      <w:pPr>
        <w:rPr>
          <w:rFonts w:ascii="Calibri" w:hAnsi="Calibri" w:cs="Calibri"/>
          <w:b/>
          <w:color w:val="002F5D"/>
        </w:rPr>
      </w:pPr>
    </w:p>
    <w:p w14:paraId="2B4F9582" w14:textId="19712141" w:rsidR="008D4440" w:rsidRPr="00330B65" w:rsidRDefault="00B81E4B" w:rsidP="008D4440">
      <w:pPr>
        <w:rPr>
          <w:rFonts w:ascii="Calibri" w:hAnsi="Calibri" w:cs="Calibri"/>
          <w:b/>
          <w:color w:val="002F5D"/>
        </w:rPr>
      </w:pPr>
      <w:r>
        <w:rPr>
          <w:rFonts w:ascii="Calibri" w:hAnsi="Calibri" w:cs="Calibri"/>
          <w:b/>
          <w:color w:val="002F5D"/>
        </w:rPr>
        <w:t>Table 91</w:t>
      </w:r>
      <w:r w:rsidR="00346A1B">
        <w:rPr>
          <w:rFonts w:ascii="Calibri" w:hAnsi="Calibri" w:cs="Calibri"/>
          <w:b/>
          <w:color w:val="002F5D"/>
        </w:rPr>
        <w:t>.</w:t>
      </w:r>
      <w:r w:rsidR="003209A4">
        <w:rPr>
          <w:rFonts w:ascii="Calibri" w:hAnsi="Calibri" w:cs="Calibri"/>
          <w:b/>
          <w:color w:val="002F5D"/>
        </w:rPr>
        <w:t xml:space="preserve"> </w:t>
      </w:r>
      <w:r w:rsidR="008D4440" w:rsidRPr="00330B65">
        <w:rPr>
          <w:rFonts w:ascii="Calibri" w:hAnsi="Calibri" w:cs="Calibri"/>
          <w:color w:val="002F5D"/>
        </w:rPr>
        <w:t>Children’s social care statistical neighbours</w:t>
      </w:r>
    </w:p>
    <w:tbl>
      <w:tblPr>
        <w:tblW w:w="10391" w:type="dxa"/>
        <w:tblInd w:w="-572" w:type="dxa"/>
        <w:tblLook w:val="04A0" w:firstRow="1" w:lastRow="0" w:firstColumn="1" w:lastColumn="0" w:noHBand="0" w:noVBand="1"/>
      </w:tblPr>
      <w:tblGrid>
        <w:gridCol w:w="1210"/>
        <w:gridCol w:w="2896"/>
        <w:gridCol w:w="1269"/>
        <w:gridCol w:w="1810"/>
        <w:gridCol w:w="1937"/>
        <w:gridCol w:w="1269"/>
      </w:tblGrid>
      <w:tr w:rsidR="00936844" w:rsidRPr="00936844" w14:paraId="43936CB2" w14:textId="77777777" w:rsidTr="00936844">
        <w:trPr>
          <w:trHeight w:val="300"/>
        </w:trPr>
        <w:tc>
          <w:tcPr>
            <w:tcW w:w="5375" w:type="dxa"/>
            <w:gridSpan w:val="3"/>
            <w:tcBorders>
              <w:top w:val="single" w:sz="4" w:space="0" w:color="auto"/>
              <w:left w:val="single" w:sz="4" w:space="0" w:color="auto"/>
              <w:bottom w:val="single" w:sz="4" w:space="0" w:color="auto"/>
              <w:right w:val="single" w:sz="4" w:space="0" w:color="auto"/>
            </w:tcBorders>
            <w:shd w:val="clear" w:color="000000" w:fill="4472C4"/>
            <w:noWrap/>
            <w:vAlign w:val="bottom"/>
            <w:hideMark/>
          </w:tcPr>
          <w:p w14:paraId="2727649C"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CCC Statistical Neighbours</w:t>
            </w:r>
          </w:p>
        </w:tc>
        <w:tc>
          <w:tcPr>
            <w:tcW w:w="5016" w:type="dxa"/>
            <w:gridSpan w:val="3"/>
            <w:tcBorders>
              <w:top w:val="single" w:sz="4" w:space="0" w:color="auto"/>
              <w:left w:val="nil"/>
              <w:bottom w:val="single" w:sz="4" w:space="0" w:color="auto"/>
              <w:right w:val="single" w:sz="4" w:space="0" w:color="auto"/>
            </w:tcBorders>
            <w:shd w:val="clear" w:color="000000" w:fill="70AD47"/>
            <w:noWrap/>
            <w:vAlign w:val="bottom"/>
            <w:hideMark/>
          </w:tcPr>
          <w:p w14:paraId="2D4B79FB"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PCC Statistical Neighbours</w:t>
            </w:r>
          </w:p>
        </w:tc>
      </w:tr>
      <w:tr w:rsidR="00936844" w:rsidRPr="00936844" w14:paraId="7FEDD813" w14:textId="77777777" w:rsidTr="00936844">
        <w:trPr>
          <w:trHeight w:val="300"/>
        </w:trPr>
        <w:tc>
          <w:tcPr>
            <w:tcW w:w="1210" w:type="dxa"/>
            <w:tcBorders>
              <w:top w:val="nil"/>
              <w:left w:val="single" w:sz="4" w:space="0" w:color="auto"/>
              <w:bottom w:val="single" w:sz="4" w:space="0" w:color="auto"/>
              <w:right w:val="single" w:sz="4" w:space="0" w:color="auto"/>
            </w:tcBorders>
            <w:shd w:val="clear" w:color="000000" w:fill="4472C4"/>
            <w:noWrap/>
            <w:vAlign w:val="bottom"/>
            <w:hideMark/>
          </w:tcPr>
          <w:p w14:paraId="09BDD2B1"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Rank (1=Closest)</w:t>
            </w:r>
          </w:p>
        </w:tc>
        <w:tc>
          <w:tcPr>
            <w:tcW w:w="2896" w:type="dxa"/>
            <w:tcBorders>
              <w:top w:val="nil"/>
              <w:left w:val="nil"/>
              <w:bottom w:val="single" w:sz="4" w:space="0" w:color="auto"/>
              <w:right w:val="single" w:sz="4" w:space="0" w:color="auto"/>
            </w:tcBorders>
            <w:shd w:val="clear" w:color="000000" w:fill="4472C4"/>
            <w:noWrap/>
            <w:vAlign w:val="bottom"/>
            <w:hideMark/>
          </w:tcPr>
          <w:p w14:paraId="5248849A"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Name</w:t>
            </w:r>
          </w:p>
        </w:tc>
        <w:tc>
          <w:tcPr>
            <w:tcW w:w="1269" w:type="dxa"/>
            <w:tcBorders>
              <w:top w:val="nil"/>
              <w:left w:val="nil"/>
              <w:bottom w:val="single" w:sz="4" w:space="0" w:color="auto"/>
              <w:right w:val="single" w:sz="4" w:space="0" w:color="auto"/>
            </w:tcBorders>
            <w:shd w:val="clear" w:color="000000" w:fill="4472C4"/>
            <w:noWrap/>
            <w:vAlign w:val="bottom"/>
            <w:hideMark/>
          </w:tcPr>
          <w:p w14:paraId="4313D98B"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"Closeness"</w:t>
            </w:r>
          </w:p>
        </w:tc>
        <w:tc>
          <w:tcPr>
            <w:tcW w:w="1810" w:type="dxa"/>
            <w:tcBorders>
              <w:top w:val="nil"/>
              <w:left w:val="nil"/>
              <w:bottom w:val="single" w:sz="4" w:space="0" w:color="auto"/>
              <w:right w:val="single" w:sz="4" w:space="0" w:color="auto"/>
            </w:tcBorders>
            <w:shd w:val="clear" w:color="000000" w:fill="70AD47"/>
            <w:noWrap/>
            <w:vAlign w:val="bottom"/>
            <w:hideMark/>
          </w:tcPr>
          <w:p w14:paraId="6B8D7BEA"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Rank (1=Closest)</w:t>
            </w:r>
          </w:p>
        </w:tc>
        <w:tc>
          <w:tcPr>
            <w:tcW w:w="1937" w:type="dxa"/>
            <w:tcBorders>
              <w:top w:val="nil"/>
              <w:left w:val="nil"/>
              <w:bottom w:val="single" w:sz="4" w:space="0" w:color="auto"/>
              <w:right w:val="single" w:sz="4" w:space="0" w:color="auto"/>
            </w:tcBorders>
            <w:shd w:val="clear" w:color="000000" w:fill="70AD47"/>
            <w:noWrap/>
            <w:vAlign w:val="bottom"/>
            <w:hideMark/>
          </w:tcPr>
          <w:p w14:paraId="2DD7B8B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Name</w:t>
            </w:r>
          </w:p>
        </w:tc>
        <w:tc>
          <w:tcPr>
            <w:tcW w:w="1269" w:type="dxa"/>
            <w:tcBorders>
              <w:top w:val="nil"/>
              <w:left w:val="nil"/>
              <w:bottom w:val="single" w:sz="4" w:space="0" w:color="auto"/>
              <w:right w:val="single" w:sz="4" w:space="0" w:color="auto"/>
            </w:tcBorders>
            <w:shd w:val="clear" w:color="000000" w:fill="70AD47"/>
            <w:noWrap/>
            <w:vAlign w:val="bottom"/>
            <w:hideMark/>
          </w:tcPr>
          <w:p w14:paraId="47D6364C"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"Closeness"</w:t>
            </w:r>
          </w:p>
        </w:tc>
      </w:tr>
      <w:tr w:rsidR="00936844" w:rsidRPr="00936844" w14:paraId="7A5647F2"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62874244"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1</w:t>
            </w:r>
          </w:p>
        </w:tc>
        <w:tc>
          <w:tcPr>
            <w:tcW w:w="2896" w:type="dxa"/>
            <w:tcBorders>
              <w:top w:val="nil"/>
              <w:left w:val="nil"/>
              <w:bottom w:val="single" w:sz="4" w:space="0" w:color="auto"/>
              <w:right w:val="single" w:sz="4" w:space="0" w:color="auto"/>
            </w:tcBorders>
            <w:shd w:val="clear" w:color="auto" w:fill="auto"/>
            <w:noWrap/>
            <w:hideMark/>
          </w:tcPr>
          <w:p w14:paraId="7A062429"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Oxfordshire</w:t>
            </w:r>
          </w:p>
        </w:tc>
        <w:tc>
          <w:tcPr>
            <w:tcW w:w="1269" w:type="dxa"/>
            <w:tcBorders>
              <w:top w:val="nil"/>
              <w:left w:val="nil"/>
              <w:bottom w:val="single" w:sz="4" w:space="0" w:color="auto"/>
              <w:right w:val="single" w:sz="4" w:space="0" w:color="auto"/>
            </w:tcBorders>
            <w:shd w:val="clear" w:color="auto" w:fill="auto"/>
            <w:noWrap/>
            <w:hideMark/>
          </w:tcPr>
          <w:p w14:paraId="58A62397"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Extremely Close</w:t>
            </w:r>
          </w:p>
        </w:tc>
        <w:tc>
          <w:tcPr>
            <w:tcW w:w="1810" w:type="dxa"/>
            <w:tcBorders>
              <w:top w:val="nil"/>
              <w:left w:val="nil"/>
              <w:bottom w:val="single" w:sz="4" w:space="0" w:color="auto"/>
              <w:right w:val="single" w:sz="4" w:space="0" w:color="auto"/>
            </w:tcBorders>
            <w:shd w:val="clear" w:color="auto" w:fill="auto"/>
            <w:noWrap/>
            <w:hideMark/>
          </w:tcPr>
          <w:p w14:paraId="78B04ADE"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1</w:t>
            </w:r>
          </w:p>
        </w:tc>
        <w:tc>
          <w:tcPr>
            <w:tcW w:w="1937" w:type="dxa"/>
            <w:tcBorders>
              <w:top w:val="nil"/>
              <w:left w:val="nil"/>
              <w:bottom w:val="single" w:sz="4" w:space="0" w:color="auto"/>
              <w:right w:val="single" w:sz="4" w:space="0" w:color="auto"/>
            </w:tcBorders>
            <w:shd w:val="clear" w:color="auto" w:fill="auto"/>
            <w:noWrap/>
            <w:hideMark/>
          </w:tcPr>
          <w:p w14:paraId="1E351FE3"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Derby</w:t>
            </w:r>
          </w:p>
        </w:tc>
        <w:tc>
          <w:tcPr>
            <w:tcW w:w="1269" w:type="dxa"/>
            <w:tcBorders>
              <w:top w:val="nil"/>
              <w:left w:val="nil"/>
              <w:bottom w:val="single" w:sz="4" w:space="0" w:color="auto"/>
              <w:right w:val="single" w:sz="4" w:space="0" w:color="auto"/>
            </w:tcBorders>
            <w:shd w:val="clear" w:color="auto" w:fill="auto"/>
            <w:noWrap/>
            <w:hideMark/>
          </w:tcPr>
          <w:p w14:paraId="7714F70B"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7CE30026"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5B12FEEE"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2</w:t>
            </w:r>
          </w:p>
        </w:tc>
        <w:tc>
          <w:tcPr>
            <w:tcW w:w="2896" w:type="dxa"/>
            <w:tcBorders>
              <w:top w:val="nil"/>
              <w:left w:val="nil"/>
              <w:bottom w:val="single" w:sz="4" w:space="0" w:color="auto"/>
              <w:right w:val="single" w:sz="4" w:space="0" w:color="auto"/>
            </w:tcBorders>
            <w:shd w:val="clear" w:color="auto" w:fill="auto"/>
            <w:noWrap/>
            <w:hideMark/>
          </w:tcPr>
          <w:p w14:paraId="02CADF9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Gloucestershire</w:t>
            </w:r>
          </w:p>
        </w:tc>
        <w:tc>
          <w:tcPr>
            <w:tcW w:w="1269" w:type="dxa"/>
            <w:tcBorders>
              <w:top w:val="nil"/>
              <w:left w:val="nil"/>
              <w:bottom w:val="single" w:sz="4" w:space="0" w:color="auto"/>
              <w:right w:val="single" w:sz="4" w:space="0" w:color="auto"/>
            </w:tcBorders>
            <w:shd w:val="clear" w:color="auto" w:fill="auto"/>
            <w:noWrap/>
            <w:hideMark/>
          </w:tcPr>
          <w:p w14:paraId="3BF018EB"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04F8B549"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2</w:t>
            </w:r>
          </w:p>
        </w:tc>
        <w:tc>
          <w:tcPr>
            <w:tcW w:w="1937" w:type="dxa"/>
            <w:tcBorders>
              <w:top w:val="nil"/>
              <w:left w:val="nil"/>
              <w:bottom w:val="single" w:sz="4" w:space="0" w:color="auto"/>
              <w:right w:val="single" w:sz="4" w:space="0" w:color="auto"/>
            </w:tcBorders>
            <w:shd w:val="clear" w:color="auto" w:fill="auto"/>
            <w:noWrap/>
            <w:hideMark/>
          </w:tcPr>
          <w:p w14:paraId="544F67B1"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Telford and Wrekin</w:t>
            </w:r>
          </w:p>
        </w:tc>
        <w:tc>
          <w:tcPr>
            <w:tcW w:w="1269" w:type="dxa"/>
            <w:tcBorders>
              <w:top w:val="nil"/>
              <w:left w:val="nil"/>
              <w:bottom w:val="single" w:sz="4" w:space="0" w:color="auto"/>
              <w:right w:val="single" w:sz="4" w:space="0" w:color="auto"/>
            </w:tcBorders>
            <w:shd w:val="clear" w:color="auto" w:fill="auto"/>
            <w:noWrap/>
            <w:hideMark/>
          </w:tcPr>
          <w:p w14:paraId="0549D7A8"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64F7CE4D"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2B89B3E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3</w:t>
            </w:r>
          </w:p>
        </w:tc>
        <w:tc>
          <w:tcPr>
            <w:tcW w:w="2896" w:type="dxa"/>
            <w:tcBorders>
              <w:top w:val="nil"/>
              <w:left w:val="nil"/>
              <w:bottom w:val="single" w:sz="4" w:space="0" w:color="auto"/>
              <w:right w:val="single" w:sz="4" w:space="0" w:color="auto"/>
            </w:tcBorders>
            <w:shd w:val="clear" w:color="auto" w:fill="auto"/>
            <w:noWrap/>
            <w:hideMark/>
          </w:tcPr>
          <w:p w14:paraId="5CC6A52A"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Hampshire</w:t>
            </w:r>
          </w:p>
        </w:tc>
        <w:tc>
          <w:tcPr>
            <w:tcW w:w="1269" w:type="dxa"/>
            <w:tcBorders>
              <w:top w:val="nil"/>
              <w:left w:val="nil"/>
              <w:bottom w:val="single" w:sz="4" w:space="0" w:color="auto"/>
              <w:right w:val="single" w:sz="4" w:space="0" w:color="auto"/>
            </w:tcBorders>
            <w:shd w:val="clear" w:color="auto" w:fill="auto"/>
            <w:noWrap/>
            <w:hideMark/>
          </w:tcPr>
          <w:p w14:paraId="4BBB21B6"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65091AB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3</w:t>
            </w:r>
          </w:p>
        </w:tc>
        <w:tc>
          <w:tcPr>
            <w:tcW w:w="1937" w:type="dxa"/>
            <w:tcBorders>
              <w:top w:val="nil"/>
              <w:left w:val="nil"/>
              <w:bottom w:val="single" w:sz="4" w:space="0" w:color="auto"/>
              <w:right w:val="single" w:sz="4" w:space="0" w:color="auto"/>
            </w:tcBorders>
            <w:shd w:val="clear" w:color="auto" w:fill="auto"/>
            <w:noWrap/>
            <w:hideMark/>
          </w:tcPr>
          <w:p w14:paraId="2952788F"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Walsall</w:t>
            </w:r>
          </w:p>
        </w:tc>
        <w:tc>
          <w:tcPr>
            <w:tcW w:w="1269" w:type="dxa"/>
            <w:tcBorders>
              <w:top w:val="nil"/>
              <w:left w:val="nil"/>
              <w:bottom w:val="single" w:sz="4" w:space="0" w:color="auto"/>
              <w:right w:val="single" w:sz="4" w:space="0" w:color="auto"/>
            </w:tcBorders>
            <w:shd w:val="clear" w:color="auto" w:fill="auto"/>
            <w:noWrap/>
            <w:hideMark/>
          </w:tcPr>
          <w:p w14:paraId="5BE7C184"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339C9C58"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11B248A7"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4</w:t>
            </w:r>
          </w:p>
        </w:tc>
        <w:tc>
          <w:tcPr>
            <w:tcW w:w="2896" w:type="dxa"/>
            <w:tcBorders>
              <w:top w:val="nil"/>
              <w:left w:val="nil"/>
              <w:bottom w:val="single" w:sz="4" w:space="0" w:color="auto"/>
              <w:right w:val="single" w:sz="4" w:space="0" w:color="auto"/>
            </w:tcBorders>
            <w:shd w:val="clear" w:color="auto" w:fill="auto"/>
            <w:noWrap/>
            <w:hideMark/>
          </w:tcPr>
          <w:p w14:paraId="7F99D8A0"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Wiltshire</w:t>
            </w:r>
          </w:p>
        </w:tc>
        <w:tc>
          <w:tcPr>
            <w:tcW w:w="1269" w:type="dxa"/>
            <w:tcBorders>
              <w:top w:val="nil"/>
              <w:left w:val="nil"/>
              <w:bottom w:val="single" w:sz="4" w:space="0" w:color="auto"/>
              <w:right w:val="single" w:sz="4" w:space="0" w:color="auto"/>
            </w:tcBorders>
            <w:shd w:val="clear" w:color="auto" w:fill="auto"/>
            <w:noWrap/>
            <w:hideMark/>
          </w:tcPr>
          <w:p w14:paraId="4C18678A"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5F48E4E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4</w:t>
            </w:r>
          </w:p>
        </w:tc>
        <w:tc>
          <w:tcPr>
            <w:tcW w:w="1937" w:type="dxa"/>
            <w:tcBorders>
              <w:top w:val="nil"/>
              <w:left w:val="nil"/>
              <w:bottom w:val="single" w:sz="4" w:space="0" w:color="auto"/>
              <w:right w:val="single" w:sz="4" w:space="0" w:color="auto"/>
            </w:tcBorders>
            <w:shd w:val="clear" w:color="auto" w:fill="auto"/>
            <w:noWrap/>
            <w:hideMark/>
          </w:tcPr>
          <w:p w14:paraId="0A81A47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Sheffield</w:t>
            </w:r>
          </w:p>
        </w:tc>
        <w:tc>
          <w:tcPr>
            <w:tcW w:w="1269" w:type="dxa"/>
            <w:tcBorders>
              <w:top w:val="nil"/>
              <w:left w:val="nil"/>
              <w:bottom w:val="single" w:sz="4" w:space="0" w:color="auto"/>
              <w:right w:val="single" w:sz="4" w:space="0" w:color="auto"/>
            </w:tcBorders>
            <w:shd w:val="clear" w:color="auto" w:fill="auto"/>
            <w:noWrap/>
            <w:hideMark/>
          </w:tcPr>
          <w:p w14:paraId="2A8E63EF"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2956D0AF"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1A26B19D"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5</w:t>
            </w:r>
          </w:p>
        </w:tc>
        <w:tc>
          <w:tcPr>
            <w:tcW w:w="2896" w:type="dxa"/>
            <w:tcBorders>
              <w:top w:val="nil"/>
              <w:left w:val="nil"/>
              <w:bottom w:val="single" w:sz="4" w:space="0" w:color="auto"/>
              <w:right w:val="single" w:sz="4" w:space="0" w:color="auto"/>
            </w:tcBorders>
            <w:shd w:val="clear" w:color="auto" w:fill="auto"/>
            <w:noWrap/>
            <w:hideMark/>
          </w:tcPr>
          <w:p w14:paraId="59789F1D"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Bath and North East Somerset</w:t>
            </w:r>
          </w:p>
        </w:tc>
        <w:tc>
          <w:tcPr>
            <w:tcW w:w="1269" w:type="dxa"/>
            <w:tcBorders>
              <w:top w:val="nil"/>
              <w:left w:val="nil"/>
              <w:bottom w:val="single" w:sz="4" w:space="0" w:color="auto"/>
              <w:right w:val="single" w:sz="4" w:space="0" w:color="auto"/>
            </w:tcBorders>
            <w:shd w:val="clear" w:color="auto" w:fill="auto"/>
            <w:noWrap/>
            <w:hideMark/>
          </w:tcPr>
          <w:p w14:paraId="037CF587"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6BE3F549"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5</w:t>
            </w:r>
          </w:p>
        </w:tc>
        <w:tc>
          <w:tcPr>
            <w:tcW w:w="1937" w:type="dxa"/>
            <w:tcBorders>
              <w:top w:val="nil"/>
              <w:left w:val="nil"/>
              <w:bottom w:val="single" w:sz="4" w:space="0" w:color="auto"/>
              <w:right w:val="single" w:sz="4" w:space="0" w:color="auto"/>
            </w:tcBorders>
            <w:shd w:val="clear" w:color="auto" w:fill="auto"/>
            <w:noWrap/>
            <w:hideMark/>
          </w:tcPr>
          <w:p w14:paraId="2345E908"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Medway</w:t>
            </w:r>
          </w:p>
        </w:tc>
        <w:tc>
          <w:tcPr>
            <w:tcW w:w="1269" w:type="dxa"/>
            <w:tcBorders>
              <w:top w:val="nil"/>
              <w:left w:val="nil"/>
              <w:bottom w:val="single" w:sz="4" w:space="0" w:color="auto"/>
              <w:right w:val="single" w:sz="4" w:space="0" w:color="auto"/>
            </w:tcBorders>
            <w:shd w:val="clear" w:color="auto" w:fill="auto"/>
            <w:noWrap/>
            <w:hideMark/>
          </w:tcPr>
          <w:p w14:paraId="4C09A6F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1AC6A0E9"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02908E96"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6</w:t>
            </w:r>
          </w:p>
        </w:tc>
        <w:tc>
          <w:tcPr>
            <w:tcW w:w="2896" w:type="dxa"/>
            <w:tcBorders>
              <w:top w:val="nil"/>
              <w:left w:val="nil"/>
              <w:bottom w:val="single" w:sz="4" w:space="0" w:color="auto"/>
              <w:right w:val="single" w:sz="4" w:space="0" w:color="auto"/>
            </w:tcBorders>
            <w:shd w:val="clear" w:color="auto" w:fill="auto"/>
            <w:noWrap/>
            <w:hideMark/>
          </w:tcPr>
          <w:p w14:paraId="7EBACF21"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West Berkshire</w:t>
            </w:r>
          </w:p>
        </w:tc>
        <w:tc>
          <w:tcPr>
            <w:tcW w:w="1269" w:type="dxa"/>
            <w:tcBorders>
              <w:top w:val="nil"/>
              <w:left w:val="nil"/>
              <w:bottom w:val="single" w:sz="4" w:space="0" w:color="auto"/>
              <w:right w:val="single" w:sz="4" w:space="0" w:color="auto"/>
            </w:tcBorders>
            <w:shd w:val="clear" w:color="auto" w:fill="auto"/>
            <w:noWrap/>
            <w:hideMark/>
          </w:tcPr>
          <w:p w14:paraId="5FA91F7F"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762A3B4D"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6</w:t>
            </w:r>
          </w:p>
        </w:tc>
        <w:tc>
          <w:tcPr>
            <w:tcW w:w="1937" w:type="dxa"/>
            <w:tcBorders>
              <w:top w:val="nil"/>
              <w:left w:val="nil"/>
              <w:bottom w:val="single" w:sz="4" w:space="0" w:color="auto"/>
              <w:right w:val="single" w:sz="4" w:space="0" w:color="auto"/>
            </w:tcBorders>
            <w:shd w:val="clear" w:color="auto" w:fill="auto"/>
            <w:noWrap/>
            <w:hideMark/>
          </w:tcPr>
          <w:p w14:paraId="4D31F5F4"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Southampton</w:t>
            </w:r>
          </w:p>
        </w:tc>
        <w:tc>
          <w:tcPr>
            <w:tcW w:w="1269" w:type="dxa"/>
            <w:tcBorders>
              <w:top w:val="nil"/>
              <w:left w:val="nil"/>
              <w:bottom w:val="single" w:sz="4" w:space="0" w:color="auto"/>
              <w:right w:val="single" w:sz="4" w:space="0" w:color="auto"/>
            </w:tcBorders>
            <w:shd w:val="clear" w:color="auto" w:fill="auto"/>
            <w:noWrap/>
            <w:hideMark/>
          </w:tcPr>
          <w:p w14:paraId="10B56A9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213E3F14"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5117C8C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7</w:t>
            </w:r>
          </w:p>
        </w:tc>
        <w:tc>
          <w:tcPr>
            <w:tcW w:w="2896" w:type="dxa"/>
            <w:tcBorders>
              <w:top w:val="nil"/>
              <w:left w:val="nil"/>
              <w:bottom w:val="single" w:sz="4" w:space="0" w:color="auto"/>
              <w:right w:val="single" w:sz="4" w:space="0" w:color="auto"/>
            </w:tcBorders>
            <w:shd w:val="clear" w:color="auto" w:fill="auto"/>
            <w:noWrap/>
            <w:hideMark/>
          </w:tcPr>
          <w:p w14:paraId="187DAA9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West Sussex</w:t>
            </w:r>
          </w:p>
        </w:tc>
        <w:tc>
          <w:tcPr>
            <w:tcW w:w="1269" w:type="dxa"/>
            <w:tcBorders>
              <w:top w:val="nil"/>
              <w:left w:val="nil"/>
              <w:bottom w:val="single" w:sz="4" w:space="0" w:color="auto"/>
              <w:right w:val="single" w:sz="4" w:space="0" w:color="auto"/>
            </w:tcBorders>
            <w:shd w:val="clear" w:color="auto" w:fill="auto"/>
            <w:noWrap/>
            <w:hideMark/>
          </w:tcPr>
          <w:p w14:paraId="280572B1"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740DA6FF"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7</w:t>
            </w:r>
          </w:p>
        </w:tc>
        <w:tc>
          <w:tcPr>
            <w:tcW w:w="1937" w:type="dxa"/>
            <w:tcBorders>
              <w:top w:val="nil"/>
              <w:left w:val="nil"/>
              <w:bottom w:val="single" w:sz="4" w:space="0" w:color="auto"/>
              <w:right w:val="single" w:sz="4" w:space="0" w:color="auto"/>
            </w:tcBorders>
            <w:shd w:val="clear" w:color="auto" w:fill="auto"/>
            <w:noWrap/>
            <w:hideMark/>
          </w:tcPr>
          <w:p w14:paraId="4ACC7567"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Portsmouth</w:t>
            </w:r>
          </w:p>
        </w:tc>
        <w:tc>
          <w:tcPr>
            <w:tcW w:w="1269" w:type="dxa"/>
            <w:tcBorders>
              <w:top w:val="nil"/>
              <w:left w:val="nil"/>
              <w:bottom w:val="single" w:sz="4" w:space="0" w:color="auto"/>
              <w:right w:val="single" w:sz="4" w:space="0" w:color="auto"/>
            </w:tcBorders>
            <w:shd w:val="clear" w:color="auto" w:fill="auto"/>
            <w:noWrap/>
            <w:hideMark/>
          </w:tcPr>
          <w:p w14:paraId="20C0D87F"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7FA4B809"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6C06ABEB"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8</w:t>
            </w:r>
          </w:p>
        </w:tc>
        <w:tc>
          <w:tcPr>
            <w:tcW w:w="2896" w:type="dxa"/>
            <w:tcBorders>
              <w:top w:val="nil"/>
              <w:left w:val="nil"/>
              <w:bottom w:val="single" w:sz="4" w:space="0" w:color="auto"/>
              <w:right w:val="single" w:sz="4" w:space="0" w:color="auto"/>
            </w:tcBorders>
            <w:shd w:val="clear" w:color="auto" w:fill="auto"/>
            <w:noWrap/>
            <w:hideMark/>
          </w:tcPr>
          <w:p w14:paraId="56FE456A"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Hertfordshire</w:t>
            </w:r>
          </w:p>
        </w:tc>
        <w:tc>
          <w:tcPr>
            <w:tcW w:w="1269" w:type="dxa"/>
            <w:tcBorders>
              <w:top w:val="nil"/>
              <w:left w:val="nil"/>
              <w:bottom w:val="single" w:sz="4" w:space="0" w:color="auto"/>
              <w:right w:val="single" w:sz="4" w:space="0" w:color="auto"/>
            </w:tcBorders>
            <w:shd w:val="clear" w:color="auto" w:fill="auto"/>
            <w:noWrap/>
            <w:hideMark/>
          </w:tcPr>
          <w:p w14:paraId="73B9D4D6"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3B27141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8</w:t>
            </w:r>
          </w:p>
        </w:tc>
        <w:tc>
          <w:tcPr>
            <w:tcW w:w="1937" w:type="dxa"/>
            <w:tcBorders>
              <w:top w:val="nil"/>
              <w:left w:val="nil"/>
              <w:bottom w:val="single" w:sz="4" w:space="0" w:color="auto"/>
              <w:right w:val="single" w:sz="4" w:space="0" w:color="auto"/>
            </w:tcBorders>
            <w:shd w:val="clear" w:color="auto" w:fill="auto"/>
            <w:noWrap/>
            <w:hideMark/>
          </w:tcPr>
          <w:p w14:paraId="6539D9F8"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Plymouth</w:t>
            </w:r>
          </w:p>
        </w:tc>
        <w:tc>
          <w:tcPr>
            <w:tcW w:w="1269" w:type="dxa"/>
            <w:tcBorders>
              <w:top w:val="nil"/>
              <w:left w:val="nil"/>
              <w:bottom w:val="single" w:sz="4" w:space="0" w:color="auto"/>
              <w:right w:val="single" w:sz="4" w:space="0" w:color="auto"/>
            </w:tcBorders>
            <w:shd w:val="clear" w:color="auto" w:fill="auto"/>
            <w:noWrap/>
            <w:hideMark/>
          </w:tcPr>
          <w:p w14:paraId="776BDA5A"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7CFFC351"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6D352F8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9</w:t>
            </w:r>
          </w:p>
        </w:tc>
        <w:tc>
          <w:tcPr>
            <w:tcW w:w="2896" w:type="dxa"/>
            <w:tcBorders>
              <w:top w:val="nil"/>
              <w:left w:val="nil"/>
              <w:bottom w:val="single" w:sz="4" w:space="0" w:color="auto"/>
              <w:right w:val="single" w:sz="4" w:space="0" w:color="auto"/>
            </w:tcBorders>
            <w:shd w:val="clear" w:color="auto" w:fill="auto"/>
            <w:noWrap/>
            <w:hideMark/>
          </w:tcPr>
          <w:p w14:paraId="2C6D0411"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Worcestershire</w:t>
            </w:r>
          </w:p>
        </w:tc>
        <w:tc>
          <w:tcPr>
            <w:tcW w:w="1269" w:type="dxa"/>
            <w:tcBorders>
              <w:top w:val="nil"/>
              <w:left w:val="nil"/>
              <w:bottom w:val="single" w:sz="4" w:space="0" w:color="auto"/>
              <w:right w:val="single" w:sz="4" w:space="0" w:color="auto"/>
            </w:tcBorders>
            <w:shd w:val="clear" w:color="auto" w:fill="auto"/>
            <w:noWrap/>
            <w:hideMark/>
          </w:tcPr>
          <w:p w14:paraId="6D41D8AA"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1221DF75"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9</w:t>
            </w:r>
          </w:p>
        </w:tc>
        <w:tc>
          <w:tcPr>
            <w:tcW w:w="1937" w:type="dxa"/>
            <w:tcBorders>
              <w:top w:val="nil"/>
              <w:left w:val="nil"/>
              <w:bottom w:val="single" w:sz="4" w:space="0" w:color="auto"/>
              <w:right w:val="single" w:sz="4" w:space="0" w:color="auto"/>
            </w:tcBorders>
            <w:shd w:val="clear" w:color="auto" w:fill="auto"/>
            <w:noWrap/>
            <w:hideMark/>
          </w:tcPr>
          <w:p w14:paraId="38863BFC"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Bolton</w:t>
            </w:r>
          </w:p>
        </w:tc>
        <w:tc>
          <w:tcPr>
            <w:tcW w:w="1269" w:type="dxa"/>
            <w:tcBorders>
              <w:top w:val="nil"/>
              <w:left w:val="nil"/>
              <w:bottom w:val="single" w:sz="4" w:space="0" w:color="auto"/>
              <w:right w:val="single" w:sz="4" w:space="0" w:color="auto"/>
            </w:tcBorders>
            <w:shd w:val="clear" w:color="auto" w:fill="auto"/>
            <w:noWrap/>
            <w:hideMark/>
          </w:tcPr>
          <w:p w14:paraId="10B7FA08"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r w:rsidR="00936844" w:rsidRPr="00936844" w14:paraId="3F19CDCD" w14:textId="77777777" w:rsidTr="00936844">
        <w:trPr>
          <w:trHeight w:val="300"/>
        </w:trPr>
        <w:tc>
          <w:tcPr>
            <w:tcW w:w="1210" w:type="dxa"/>
            <w:tcBorders>
              <w:top w:val="nil"/>
              <w:left w:val="single" w:sz="4" w:space="0" w:color="auto"/>
              <w:bottom w:val="single" w:sz="4" w:space="0" w:color="auto"/>
              <w:right w:val="single" w:sz="4" w:space="0" w:color="auto"/>
            </w:tcBorders>
            <w:shd w:val="clear" w:color="auto" w:fill="auto"/>
            <w:noWrap/>
            <w:hideMark/>
          </w:tcPr>
          <w:p w14:paraId="7AF50663"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10</w:t>
            </w:r>
          </w:p>
        </w:tc>
        <w:tc>
          <w:tcPr>
            <w:tcW w:w="2896" w:type="dxa"/>
            <w:tcBorders>
              <w:top w:val="nil"/>
              <w:left w:val="nil"/>
              <w:bottom w:val="single" w:sz="4" w:space="0" w:color="auto"/>
              <w:right w:val="single" w:sz="4" w:space="0" w:color="auto"/>
            </w:tcBorders>
            <w:shd w:val="clear" w:color="auto" w:fill="auto"/>
            <w:noWrap/>
            <w:hideMark/>
          </w:tcPr>
          <w:p w14:paraId="25030FDC"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South Gloucestershire</w:t>
            </w:r>
          </w:p>
        </w:tc>
        <w:tc>
          <w:tcPr>
            <w:tcW w:w="1269" w:type="dxa"/>
            <w:tcBorders>
              <w:top w:val="nil"/>
              <w:left w:val="nil"/>
              <w:bottom w:val="single" w:sz="4" w:space="0" w:color="auto"/>
              <w:right w:val="single" w:sz="4" w:space="0" w:color="auto"/>
            </w:tcBorders>
            <w:shd w:val="clear" w:color="auto" w:fill="auto"/>
            <w:noWrap/>
            <w:hideMark/>
          </w:tcPr>
          <w:p w14:paraId="01842332"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c>
          <w:tcPr>
            <w:tcW w:w="1810" w:type="dxa"/>
            <w:tcBorders>
              <w:top w:val="nil"/>
              <w:left w:val="nil"/>
              <w:bottom w:val="single" w:sz="4" w:space="0" w:color="auto"/>
              <w:right w:val="single" w:sz="4" w:space="0" w:color="auto"/>
            </w:tcBorders>
            <w:shd w:val="clear" w:color="auto" w:fill="auto"/>
            <w:noWrap/>
            <w:hideMark/>
          </w:tcPr>
          <w:p w14:paraId="4546F873"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10</w:t>
            </w:r>
          </w:p>
        </w:tc>
        <w:tc>
          <w:tcPr>
            <w:tcW w:w="1937" w:type="dxa"/>
            <w:tcBorders>
              <w:top w:val="nil"/>
              <w:left w:val="nil"/>
              <w:bottom w:val="single" w:sz="4" w:space="0" w:color="auto"/>
              <w:right w:val="single" w:sz="4" w:space="0" w:color="auto"/>
            </w:tcBorders>
            <w:shd w:val="clear" w:color="auto" w:fill="auto"/>
            <w:noWrap/>
            <w:hideMark/>
          </w:tcPr>
          <w:p w14:paraId="4EB631F6"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Rotherham</w:t>
            </w:r>
          </w:p>
        </w:tc>
        <w:tc>
          <w:tcPr>
            <w:tcW w:w="1269" w:type="dxa"/>
            <w:tcBorders>
              <w:top w:val="nil"/>
              <w:left w:val="nil"/>
              <w:bottom w:val="single" w:sz="4" w:space="0" w:color="auto"/>
              <w:right w:val="single" w:sz="4" w:space="0" w:color="auto"/>
            </w:tcBorders>
            <w:shd w:val="clear" w:color="auto" w:fill="auto"/>
            <w:noWrap/>
            <w:hideMark/>
          </w:tcPr>
          <w:p w14:paraId="3EA79C09" w14:textId="77777777" w:rsidR="008D4440" w:rsidRPr="00330B65" w:rsidRDefault="008D4440" w:rsidP="00936844">
            <w:pPr>
              <w:spacing w:line="240" w:lineRule="auto"/>
              <w:jc w:val="center"/>
              <w:rPr>
                <w:rFonts w:ascii="Calibri" w:eastAsia="Times New Roman" w:hAnsi="Calibri" w:cs="Calibri"/>
                <w:color w:val="002F5D"/>
                <w:lang w:eastAsia="en-GB"/>
              </w:rPr>
            </w:pPr>
            <w:r w:rsidRPr="00330B65">
              <w:rPr>
                <w:rFonts w:ascii="Calibri" w:eastAsia="Times New Roman" w:hAnsi="Calibri" w:cs="Calibri"/>
                <w:color w:val="002F5D"/>
                <w:lang w:eastAsia="en-GB"/>
              </w:rPr>
              <w:t>Very Close</w:t>
            </w:r>
          </w:p>
        </w:tc>
      </w:tr>
    </w:tbl>
    <w:p w14:paraId="5BF904B7" w14:textId="77777777" w:rsidR="008D4440" w:rsidRPr="00330B65" w:rsidRDefault="008D4440" w:rsidP="008D4440">
      <w:pPr>
        <w:rPr>
          <w:rFonts w:ascii="Calibri" w:hAnsi="Calibri" w:cs="Calibri"/>
          <w:b/>
          <w:color w:val="002F5D"/>
        </w:rPr>
      </w:pPr>
    </w:p>
    <w:p w14:paraId="7B36D91D" w14:textId="77777777" w:rsidR="008D4440" w:rsidRPr="00330B65" w:rsidRDefault="008D4440" w:rsidP="008D4440">
      <w:pPr>
        <w:rPr>
          <w:rFonts w:ascii="Calibri" w:hAnsi="Calibri" w:cs="Calibri"/>
          <w:b/>
          <w:color w:val="002F5D"/>
        </w:rPr>
      </w:pPr>
    </w:p>
    <w:p w14:paraId="02341850" w14:textId="77777777" w:rsidR="008D4440" w:rsidRPr="00330B65" w:rsidRDefault="008D4440" w:rsidP="008D4440">
      <w:pPr>
        <w:rPr>
          <w:rFonts w:ascii="Calibri" w:hAnsi="Calibri" w:cs="Calibri"/>
          <w:b/>
          <w:color w:val="002F5D"/>
        </w:rPr>
      </w:pPr>
      <w:r w:rsidRPr="00330B65">
        <w:rPr>
          <w:rFonts w:ascii="Calibri" w:hAnsi="Calibri" w:cs="Calibri"/>
          <w:b/>
          <w:color w:val="002F5D"/>
        </w:rPr>
        <w:br w:type="page"/>
      </w:r>
    </w:p>
    <w:p w14:paraId="23956265" w14:textId="77777777" w:rsidR="008D4440" w:rsidRPr="00330B65" w:rsidRDefault="008D4440" w:rsidP="008D4440">
      <w:pPr>
        <w:rPr>
          <w:rFonts w:ascii="Calibri" w:hAnsi="Calibri" w:cs="Calibri"/>
          <w:b/>
          <w:color w:val="002F5D"/>
        </w:rPr>
      </w:pPr>
      <w:r w:rsidRPr="00330B65">
        <w:rPr>
          <w:rFonts w:ascii="Calibri" w:hAnsi="Calibri" w:cs="Calibri"/>
          <w:b/>
          <w:color w:val="002F5D"/>
        </w:rPr>
        <w:lastRenderedPageBreak/>
        <w:t>Population data</w:t>
      </w:r>
    </w:p>
    <w:p w14:paraId="34EC926A" w14:textId="77777777" w:rsidR="008D4440" w:rsidRPr="00330B65" w:rsidRDefault="008D4440" w:rsidP="008D4440">
      <w:pPr>
        <w:rPr>
          <w:rFonts w:ascii="Calibri" w:hAnsi="Calibri" w:cs="Calibri"/>
          <w:color w:val="002F5D"/>
        </w:rPr>
      </w:pPr>
      <w:r w:rsidRPr="00330B65">
        <w:rPr>
          <w:rFonts w:ascii="Calibri" w:hAnsi="Calibri" w:cs="Calibri"/>
          <w:color w:val="002F5D"/>
        </w:rPr>
        <w:t>ONS population data was used to calculate rates per 10,000 and 100,000 population at a council and district geographies</w:t>
      </w:r>
    </w:p>
    <w:p w14:paraId="72B9AF31" w14:textId="77777777" w:rsidR="008D4440" w:rsidRPr="00330B65" w:rsidRDefault="00E80CFE" w:rsidP="008D4440">
      <w:pPr>
        <w:rPr>
          <w:rFonts w:ascii="Calibri" w:hAnsi="Calibri" w:cs="Calibri"/>
          <w:color w:val="002F5D"/>
        </w:rPr>
      </w:pPr>
      <w:hyperlink r:id="rId264" w:history="1">
        <w:r w:rsidR="008D4440" w:rsidRPr="00330B65">
          <w:rPr>
            <w:rStyle w:val="Hyperlink"/>
            <w:rFonts w:ascii="Calibri" w:hAnsi="Calibri" w:cs="Calibri"/>
            <w:color w:val="002F5D"/>
          </w:rPr>
          <w:t>https://www.ons.gov.uk/peoplepopulationandcommunity/populationandmigration/populationestimates/datasets/populationestimatesforukenglandandwalesscotlandandnorthernireland</w:t>
        </w:r>
      </w:hyperlink>
    </w:p>
    <w:p w14:paraId="5882DDF7" w14:textId="77777777" w:rsidR="008D4440" w:rsidRPr="00330B65" w:rsidRDefault="008D4440" w:rsidP="008D4440">
      <w:pPr>
        <w:rPr>
          <w:rFonts w:ascii="Calibri" w:hAnsi="Calibri" w:cs="Calibri"/>
          <w:color w:val="002F5D"/>
        </w:rPr>
      </w:pPr>
    </w:p>
    <w:p w14:paraId="2F8A2D9D" w14:textId="77777777" w:rsidR="008D4440" w:rsidRPr="00330B65" w:rsidRDefault="008D4440" w:rsidP="008D4440">
      <w:pPr>
        <w:rPr>
          <w:rFonts w:ascii="Calibri" w:hAnsi="Calibri" w:cs="Calibri"/>
          <w:b/>
          <w:color w:val="002F5D"/>
        </w:rPr>
      </w:pPr>
      <w:r w:rsidRPr="00330B65">
        <w:rPr>
          <w:rFonts w:ascii="Calibri" w:hAnsi="Calibri" w:cs="Calibri"/>
          <w:b/>
          <w:color w:val="002F5D"/>
        </w:rPr>
        <w:t>Adult social care data</w:t>
      </w:r>
    </w:p>
    <w:p w14:paraId="6304B48D" w14:textId="77777777" w:rsidR="008D4440" w:rsidRPr="00330B65" w:rsidRDefault="008D4440" w:rsidP="008D4440">
      <w:pPr>
        <w:rPr>
          <w:rFonts w:ascii="Calibri" w:hAnsi="Calibri" w:cs="Calibri"/>
          <w:b/>
          <w:color w:val="002F5D"/>
        </w:rPr>
      </w:pPr>
      <w:r w:rsidRPr="00330B65">
        <w:rPr>
          <w:rFonts w:ascii="Calibri" w:hAnsi="Calibri" w:cs="Calibri"/>
          <w:color w:val="002F5D"/>
        </w:rPr>
        <w:t>National, Regional, and statistical neighbour datasets were obtained from the NHS Digital website:</w:t>
      </w:r>
    </w:p>
    <w:p w14:paraId="468F813B" w14:textId="77777777" w:rsidR="008D4440" w:rsidRPr="00330B65" w:rsidRDefault="00E80CFE" w:rsidP="008D4440">
      <w:pPr>
        <w:rPr>
          <w:rFonts w:ascii="Calibri" w:hAnsi="Calibri" w:cs="Calibri"/>
          <w:color w:val="002F5D"/>
          <w:u w:val="single"/>
        </w:rPr>
      </w:pPr>
      <w:hyperlink r:id="rId265" w:history="1">
        <w:r w:rsidR="008D4440" w:rsidRPr="00330B65">
          <w:rPr>
            <w:rStyle w:val="Hyperlink"/>
            <w:rFonts w:ascii="Calibri" w:hAnsi="Calibri" w:cs="Calibri"/>
            <w:color w:val="002F5D"/>
          </w:rPr>
          <w:t>https://app.powerbi.com/view?r=eyJrIjoiNTY0ZTNhN2YtODg2ZS00OTIyLWI2MjItZTJiY2E5M2MxNTBmIiwidCI6IjUwZjYwNzFmLWJiZmUtNDAxYS04ODAzLTY3Mzc0OGU2MjllMiIsImMiOjh9</w:t>
        </w:r>
      </w:hyperlink>
    </w:p>
    <w:p w14:paraId="0A5D7F84" w14:textId="77777777" w:rsidR="008D4440" w:rsidRPr="00330B65" w:rsidRDefault="008D4440" w:rsidP="008D4440">
      <w:pPr>
        <w:rPr>
          <w:rFonts w:ascii="Calibri" w:hAnsi="Calibri" w:cs="Calibri"/>
          <w:b/>
          <w:color w:val="002F5D"/>
        </w:rPr>
      </w:pPr>
    </w:p>
    <w:p w14:paraId="3FF19E94" w14:textId="39B7130B" w:rsidR="008D4440" w:rsidRPr="00330B65" w:rsidRDefault="00B81E4B" w:rsidP="008D4440">
      <w:pPr>
        <w:rPr>
          <w:rFonts w:ascii="Calibri" w:hAnsi="Calibri" w:cs="Calibri"/>
          <w:b/>
          <w:color w:val="002F5D"/>
        </w:rPr>
      </w:pPr>
      <w:r>
        <w:rPr>
          <w:rFonts w:ascii="Calibri" w:hAnsi="Calibri" w:cs="Calibri"/>
          <w:b/>
          <w:color w:val="002F5D"/>
        </w:rPr>
        <w:t>Table 92</w:t>
      </w:r>
      <w:r w:rsidR="00346A1B">
        <w:rPr>
          <w:rFonts w:ascii="Calibri" w:hAnsi="Calibri" w:cs="Calibri"/>
          <w:b/>
          <w:color w:val="002F5D"/>
        </w:rPr>
        <w:t>.</w:t>
      </w:r>
      <w:r w:rsidR="003209A4">
        <w:rPr>
          <w:rFonts w:ascii="Calibri" w:hAnsi="Calibri" w:cs="Calibri"/>
          <w:b/>
          <w:color w:val="002F5D"/>
        </w:rPr>
        <w:t xml:space="preserve"> </w:t>
      </w:r>
      <w:r w:rsidR="008D4440" w:rsidRPr="00330B65">
        <w:rPr>
          <w:rFonts w:ascii="Calibri" w:hAnsi="Calibri" w:cs="Calibri"/>
          <w:color w:val="002F5D"/>
        </w:rPr>
        <w:t>Adult social care statistical neighbours</w:t>
      </w:r>
    </w:p>
    <w:tbl>
      <w:tblPr>
        <w:tblW w:w="5240" w:type="dxa"/>
        <w:tblLook w:val="04A0" w:firstRow="1" w:lastRow="0" w:firstColumn="1" w:lastColumn="0" w:noHBand="0" w:noVBand="1"/>
      </w:tblPr>
      <w:tblGrid>
        <w:gridCol w:w="2620"/>
        <w:gridCol w:w="2620"/>
      </w:tblGrid>
      <w:tr w:rsidR="00936844" w:rsidRPr="00936844" w14:paraId="1CEDE428" w14:textId="77777777" w:rsidTr="00936844">
        <w:trPr>
          <w:trHeight w:val="255"/>
        </w:trPr>
        <w:tc>
          <w:tcPr>
            <w:tcW w:w="2620"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335D7360"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CCC statistical neighbours</w:t>
            </w:r>
          </w:p>
        </w:tc>
        <w:tc>
          <w:tcPr>
            <w:tcW w:w="2620" w:type="dxa"/>
            <w:tcBorders>
              <w:top w:val="single" w:sz="4" w:space="0" w:color="auto"/>
              <w:left w:val="nil"/>
              <w:bottom w:val="single" w:sz="4" w:space="0" w:color="auto"/>
              <w:right w:val="single" w:sz="4" w:space="0" w:color="auto"/>
            </w:tcBorders>
            <w:shd w:val="clear" w:color="000000" w:fill="70AD47"/>
            <w:noWrap/>
            <w:vAlign w:val="bottom"/>
            <w:hideMark/>
          </w:tcPr>
          <w:p w14:paraId="231FFB06" w14:textId="77777777" w:rsidR="008D4440" w:rsidRPr="00330B65" w:rsidRDefault="008D4440" w:rsidP="00936844">
            <w:pPr>
              <w:spacing w:line="240" w:lineRule="auto"/>
              <w:rPr>
                <w:rFonts w:ascii="Calibri" w:eastAsia="Times New Roman" w:hAnsi="Calibri" w:cs="Calibri"/>
                <w:b/>
                <w:bCs/>
                <w:color w:val="002F5D"/>
                <w:lang w:eastAsia="en-GB"/>
              </w:rPr>
            </w:pPr>
            <w:r w:rsidRPr="00330B65">
              <w:rPr>
                <w:rFonts w:ascii="Calibri" w:eastAsia="Times New Roman" w:hAnsi="Calibri" w:cs="Calibri"/>
                <w:b/>
                <w:bCs/>
                <w:color w:val="002F5D"/>
                <w:lang w:eastAsia="en-GB"/>
              </w:rPr>
              <w:t>PCC statistical neighbours</w:t>
            </w:r>
          </w:p>
        </w:tc>
      </w:tr>
      <w:tr w:rsidR="00936844" w:rsidRPr="00936844" w14:paraId="2874614C"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D56973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Buckinghamshire</w:t>
            </w:r>
          </w:p>
        </w:tc>
        <w:tc>
          <w:tcPr>
            <w:tcW w:w="2620" w:type="dxa"/>
            <w:tcBorders>
              <w:top w:val="nil"/>
              <w:left w:val="nil"/>
              <w:bottom w:val="single" w:sz="4" w:space="0" w:color="auto"/>
              <w:right w:val="single" w:sz="4" w:space="0" w:color="auto"/>
            </w:tcBorders>
            <w:shd w:val="clear" w:color="auto" w:fill="auto"/>
            <w:noWrap/>
            <w:vAlign w:val="bottom"/>
            <w:hideMark/>
          </w:tcPr>
          <w:p w14:paraId="2DF4EEA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Blackburn with Darwen</w:t>
            </w:r>
          </w:p>
        </w:tc>
      </w:tr>
      <w:tr w:rsidR="00936844" w:rsidRPr="00936844" w14:paraId="441B9956"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13C5784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Cambridgeshire</w:t>
            </w:r>
          </w:p>
        </w:tc>
        <w:tc>
          <w:tcPr>
            <w:tcW w:w="2620" w:type="dxa"/>
            <w:tcBorders>
              <w:top w:val="nil"/>
              <w:left w:val="nil"/>
              <w:bottom w:val="single" w:sz="4" w:space="0" w:color="auto"/>
              <w:right w:val="single" w:sz="4" w:space="0" w:color="auto"/>
            </w:tcBorders>
            <w:shd w:val="clear" w:color="auto" w:fill="auto"/>
            <w:noWrap/>
            <w:vAlign w:val="bottom"/>
            <w:hideMark/>
          </w:tcPr>
          <w:p w14:paraId="19A4033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Bolton</w:t>
            </w:r>
          </w:p>
        </w:tc>
      </w:tr>
      <w:tr w:rsidR="00936844" w:rsidRPr="00936844" w14:paraId="6AAF3155"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1D661F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Dorset</w:t>
            </w:r>
          </w:p>
        </w:tc>
        <w:tc>
          <w:tcPr>
            <w:tcW w:w="2620" w:type="dxa"/>
            <w:tcBorders>
              <w:top w:val="nil"/>
              <w:left w:val="nil"/>
              <w:bottom w:val="single" w:sz="4" w:space="0" w:color="auto"/>
              <w:right w:val="single" w:sz="4" w:space="0" w:color="auto"/>
            </w:tcBorders>
            <w:shd w:val="clear" w:color="auto" w:fill="auto"/>
            <w:noWrap/>
            <w:vAlign w:val="bottom"/>
            <w:hideMark/>
          </w:tcPr>
          <w:p w14:paraId="487925E2"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Bury</w:t>
            </w:r>
          </w:p>
        </w:tc>
      </w:tr>
      <w:tr w:rsidR="00936844" w:rsidRPr="00936844" w14:paraId="3F9B6704"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E0468B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Essex</w:t>
            </w:r>
          </w:p>
        </w:tc>
        <w:tc>
          <w:tcPr>
            <w:tcW w:w="2620" w:type="dxa"/>
            <w:tcBorders>
              <w:top w:val="nil"/>
              <w:left w:val="nil"/>
              <w:bottom w:val="single" w:sz="4" w:space="0" w:color="auto"/>
              <w:right w:val="single" w:sz="4" w:space="0" w:color="auto"/>
            </w:tcBorders>
            <w:shd w:val="clear" w:color="auto" w:fill="auto"/>
            <w:noWrap/>
            <w:vAlign w:val="bottom"/>
            <w:hideMark/>
          </w:tcPr>
          <w:p w14:paraId="6A32F2D9"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Calderdale</w:t>
            </w:r>
          </w:p>
        </w:tc>
      </w:tr>
      <w:tr w:rsidR="00936844" w:rsidRPr="00936844" w14:paraId="127AE915"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7CBEBC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Gloucestershire</w:t>
            </w:r>
          </w:p>
        </w:tc>
        <w:tc>
          <w:tcPr>
            <w:tcW w:w="2620" w:type="dxa"/>
            <w:tcBorders>
              <w:top w:val="nil"/>
              <w:left w:val="nil"/>
              <w:bottom w:val="single" w:sz="4" w:space="0" w:color="auto"/>
              <w:right w:val="single" w:sz="4" w:space="0" w:color="auto"/>
            </w:tcBorders>
            <w:shd w:val="clear" w:color="auto" w:fill="auto"/>
            <w:noWrap/>
            <w:vAlign w:val="bottom"/>
            <w:hideMark/>
          </w:tcPr>
          <w:p w14:paraId="75211DA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Coventry</w:t>
            </w:r>
          </w:p>
        </w:tc>
      </w:tr>
      <w:tr w:rsidR="00936844" w:rsidRPr="00936844" w14:paraId="047F497E"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104C8FA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Hampshire</w:t>
            </w:r>
          </w:p>
        </w:tc>
        <w:tc>
          <w:tcPr>
            <w:tcW w:w="2620" w:type="dxa"/>
            <w:tcBorders>
              <w:top w:val="nil"/>
              <w:left w:val="nil"/>
              <w:bottom w:val="single" w:sz="4" w:space="0" w:color="auto"/>
              <w:right w:val="single" w:sz="4" w:space="0" w:color="auto"/>
            </w:tcBorders>
            <w:shd w:val="clear" w:color="auto" w:fill="auto"/>
            <w:noWrap/>
            <w:vAlign w:val="bottom"/>
            <w:hideMark/>
          </w:tcPr>
          <w:p w14:paraId="642F453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Derby</w:t>
            </w:r>
          </w:p>
        </w:tc>
      </w:tr>
      <w:tr w:rsidR="00936844" w:rsidRPr="00936844" w14:paraId="5F9BB01B"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2233199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Hertfordshire</w:t>
            </w:r>
          </w:p>
        </w:tc>
        <w:tc>
          <w:tcPr>
            <w:tcW w:w="2620" w:type="dxa"/>
            <w:tcBorders>
              <w:top w:val="nil"/>
              <w:left w:val="nil"/>
              <w:bottom w:val="single" w:sz="4" w:space="0" w:color="auto"/>
              <w:right w:val="single" w:sz="4" w:space="0" w:color="auto"/>
            </w:tcBorders>
            <w:shd w:val="clear" w:color="auto" w:fill="auto"/>
            <w:noWrap/>
            <w:vAlign w:val="bottom"/>
            <w:hideMark/>
          </w:tcPr>
          <w:p w14:paraId="1D68FC1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Milton Keynes</w:t>
            </w:r>
          </w:p>
        </w:tc>
      </w:tr>
      <w:tr w:rsidR="00936844" w:rsidRPr="00936844" w14:paraId="19D9E840"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2BFED0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Leicestershire</w:t>
            </w:r>
          </w:p>
        </w:tc>
        <w:tc>
          <w:tcPr>
            <w:tcW w:w="2620" w:type="dxa"/>
            <w:tcBorders>
              <w:top w:val="nil"/>
              <w:left w:val="nil"/>
              <w:bottom w:val="single" w:sz="4" w:space="0" w:color="auto"/>
              <w:right w:val="single" w:sz="4" w:space="0" w:color="auto"/>
            </w:tcBorders>
            <w:shd w:val="clear" w:color="auto" w:fill="auto"/>
            <w:noWrap/>
            <w:vAlign w:val="bottom"/>
            <w:hideMark/>
          </w:tcPr>
          <w:p w14:paraId="47F4EAA0"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Oldham</w:t>
            </w:r>
          </w:p>
        </w:tc>
      </w:tr>
      <w:tr w:rsidR="00936844" w:rsidRPr="00936844" w14:paraId="19E8D2E7"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7AF96D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North Yorkshire</w:t>
            </w:r>
          </w:p>
        </w:tc>
        <w:tc>
          <w:tcPr>
            <w:tcW w:w="2620" w:type="dxa"/>
            <w:tcBorders>
              <w:top w:val="nil"/>
              <w:left w:val="nil"/>
              <w:bottom w:val="single" w:sz="4" w:space="0" w:color="auto"/>
              <w:right w:val="single" w:sz="4" w:space="0" w:color="auto"/>
            </w:tcBorders>
            <w:shd w:val="clear" w:color="auto" w:fill="auto"/>
            <w:noWrap/>
            <w:vAlign w:val="bottom"/>
            <w:hideMark/>
          </w:tcPr>
          <w:p w14:paraId="063AD422"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Peterborough</w:t>
            </w:r>
          </w:p>
        </w:tc>
      </w:tr>
      <w:tr w:rsidR="00936844" w:rsidRPr="00936844" w14:paraId="7D0BC30D"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13EFA46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Oxfordshire</w:t>
            </w:r>
          </w:p>
        </w:tc>
        <w:tc>
          <w:tcPr>
            <w:tcW w:w="2620" w:type="dxa"/>
            <w:tcBorders>
              <w:top w:val="nil"/>
              <w:left w:val="nil"/>
              <w:bottom w:val="single" w:sz="4" w:space="0" w:color="auto"/>
              <w:right w:val="single" w:sz="4" w:space="0" w:color="auto"/>
            </w:tcBorders>
            <w:shd w:val="clear" w:color="auto" w:fill="auto"/>
            <w:noWrap/>
            <w:vAlign w:val="bottom"/>
            <w:hideMark/>
          </w:tcPr>
          <w:p w14:paraId="6B8233D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Rochdale</w:t>
            </w:r>
          </w:p>
        </w:tc>
      </w:tr>
      <w:tr w:rsidR="00936844" w:rsidRPr="00936844" w14:paraId="6A2BA40A"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746C4FB"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Somerset</w:t>
            </w:r>
          </w:p>
        </w:tc>
        <w:tc>
          <w:tcPr>
            <w:tcW w:w="2620" w:type="dxa"/>
            <w:tcBorders>
              <w:top w:val="nil"/>
              <w:left w:val="nil"/>
              <w:bottom w:val="single" w:sz="4" w:space="0" w:color="auto"/>
              <w:right w:val="single" w:sz="4" w:space="0" w:color="auto"/>
            </w:tcBorders>
            <w:shd w:val="clear" w:color="auto" w:fill="auto"/>
            <w:noWrap/>
            <w:vAlign w:val="bottom"/>
            <w:hideMark/>
          </w:tcPr>
          <w:p w14:paraId="00FFA362"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Stockton-on-Tees</w:t>
            </w:r>
          </w:p>
        </w:tc>
      </w:tr>
      <w:tr w:rsidR="00936844" w:rsidRPr="00936844" w14:paraId="2040552D"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274111BD"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Suffolk</w:t>
            </w:r>
          </w:p>
        </w:tc>
        <w:tc>
          <w:tcPr>
            <w:tcW w:w="2620" w:type="dxa"/>
            <w:tcBorders>
              <w:top w:val="nil"/>
              <w:left w:val="nil"/>
              <w:bottom w:val="single" w:sz="4" w:space="0" w:color="auto"/>
              <w:right w:val="single" w:sz="4" w:space="0" w:color="auto"/>
            </w:tcBorders>
            <w:shd w:val="clear" w:color="auto" w:fill="auto"/>
            <w:noWrap/>
            <w:vAlign w:val="bottom"/>
            <w:hideMark/>
          </w:tcPr>
          <w:p w14:paraId="06525981"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Swindon</w:t>
            </w:r>
          </w:p>
        </w:tc>
      </w:tr>
      <w:tr w:rsidR="00936844" w:rsidRPr="00936844" w14:paraId="5B91E032"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F10525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Surrey</w:t>
            </w:r>
          </w:p>
        </w:tc>
        <w:tc>
          <w:tcPr>
            <w:tcW w:w="2620" w:type="dxa"/>
            <w:tcBorders>
              <w:top w:val="nil"/>
              <w:left w:val="nil"/>
              <w:bottom w:val="single" w:sz="4" w:space="0" w:color="auto"/>
              <w:right w:val="single" w:sz="4" w:space="0" w:color="auto"/>
            </w:tcBorders>
            <w:shd w:val="clear" w:color="auto" w:fill="auto"/>
            <w:noWrap/>
            <w:vAlign w:val="bottom"/>
            <w:hideMark/>
          </w:tcPr>
          <w:p w14:paraId="1034FB1A"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Tameside</w:t>
            </w:r>
          </w:p>
        </w:tc>
      </w:tr>
      <w:tr w:rsidR="00936844" w:rsidRPr="00936844" w14:paraId="085004E9"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652D082"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Warwickshire</w:t>
            </w:r>
          </w:p>
        </w:tc>
        <w:tc>
          <w:tcPr>
            <w:tcW w:w="2620" w:type="dxa"/>
            <w:tcBorders>
              <w:top w:val="nil"/>
              <w:left w:val="nil"/>
              <w:bottom w:val="single" w:sz="4" w:space="0" w:color="auto"/>
              <w:right w:val="single" w:sz="4" w:space="0" w:color="auto"/>
            </w:tcBorders>
            <w:shd w:val="clear" w:color="auto" w:fill="auto"/>
            <w:noWrap/>
            <w:vAlign w:val="bottom"/>
            <w:hideMark/>
          </w:tcPr>
          <w:p w14:paraId="3215C5B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Telford and Wrekin</w:t>
            </w:r>
          </w:p>
        </w:tc>
      </w:tr>
      <w:tr w:rsidR="00936844" w:rsidRPr="00936844" w14:paraId="435E8056"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0D90DEE"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West Sussex</w:t>
            </w:r>
          </w:p>
        </w:tc>
        <w:tc>
          <w:tcPr>
            <w:tcW w:w="2620" w:type="dxa"/>
            <w:tcBorders>
              <w:top w:val="nil"/>
              <w:left w:val="nil"/>
              <w:bottom w:val="single" w:sz="4" w:space="0" w:color="auto"/>
              <w:right w:val="single" w:sz="4" w:space="0" w:color="auto"/>
            </w:tcBorders>
            <w:shd w:val="clear" w:color="auto" w:fill="auto"/>
            <w:noWrap/>
            <w:vAlign w:val="bottom"/>
            <w:hideMark/>
          </w:tcPr>
          <w:p w14:paraId="21F8082E"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Thurrock</w:t>
            </w:r>
          </w:p>
        </w:tc>
      </w:tr>
      <w:tr w:rsidR="00936844" w:rsidRPr="00936844" w14:paraId="088AEB3A" w14:textId="77777777" w:rsidTr="00936844">
        <w:trPr>
          <w:trHeight w:val="255"/>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1B6E4E5B"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Worcestershire</w:t>
            </w:r>
          </w:p>
        </w:tc>
        <w:tc>
          <w:tcPr>
            <w:tcW w:w="2620" w:type="dxa"/>
            <w:tcBorders>
              <w:top w:val="nil"/>
              <w:left w:val="nil"/>
              <w:bottom w:val="single" w:sz="4" w:space="0" w:color="auto"/>
              <w:right w:val="single" w:sz="4" w:space="0" w:color="auto"/>
            </w:tcBorders>
            <w:shd w:val="clear" w:color="auto" w:fill="auto"/>
            <w:noWrap/>
            <w:vAlign w:val="bottom"/>
            <w:hideMark/>
          </w:tcPr>
          <w:p w14:paraId="71C0B27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Warrington</w:t>
            </w:r>
          </w:p>
        </w:tc>
      </w:tr>
    </w:tbl>
    <w:p w14:paraId="546ED6E0" w14:textId="77777777" w:rsidR="008D4440" w:rsidRPr="00330B65" w:rsidRDefault="008D4440" w:rsidP="008D4440">
      <w:pPr>
        <w:rPr>
          <w:rFonts w:ascii="Calibri" w:hAnsi="Calibri" w:cs="Calibri"/>
          <w:b/>
          <w:color w:val="002F5D"/>
        </w:rPr>
      </w:pPr>
    </w:p>
    <w:p w14:paraId="3B36422A" w14:textId="2EDFC42F" w:rsidR="008D4440" w:rsidRPr="00330B65" w:rsidRDefault="003209A4" w:rsidP="008D4440">
      <w:pPr>
        <w:rPr>
          <w:rFonts w:ascii="Calibri" w:hAnsi="Calibri" w:cs="Calibri"/>
          <w:color w:val="002F5D"/>
        </w:rPr>
      </w:pPr>
      <w:r>
        <w:rPr>
          <w:rFonts w:ascii="Calibri" w:hAnsi="Calibri" w:cs="Calibri"/>
          <w:b/>
          <w:color w:val="002F5D"/>
        </w:rPr>
        <w:t xml:space="preserve">Table </w:t>
      </w:r>
      <w:r w:rsidR="00B81E4B">
        <w:rPr>
          <w:rFonts w:ascii="Calibri" w:hAnsi="Calibri" w:cs="Calibri"/>
          <w:b/>
          <w:color w:val="002F5D"/>
        </w:rPr>
        <w:t>93</w:t>
      </w:r>
      <w:r w:rsidR="00346A1B">
        <w:rPr>
          <w:rFonts w:ascii="Calibri" w:hAnsi="Calibri" w:cs="Calibri"/>
          <w:b/>
          <w:color w:val="002F5D"/>
        </w:rPr>
        <w:t>.</w:t>
      </w:r>
      <w:r>
        <w:rPr>
          <w:rFonts w:ascii="Calibri" w:hAnsi="Calibri" w:cs="Calibri"/>
          <w:b/>
          <w:color w:val="002F5D"/>
        </w:rPr>
        <w:t xml:space="preserve"> </w:t>
      </w:r>
      <w:r w:rsidR="008D4440" w:rsidRPr="00330B65">
        <w:rPr>
          <w:rFonts w:ascii="Calibri" w:hAnsi="Calibri" w:cs="Calibri"/>
          <w:color w:val="002F5D"/>
        </w:rPr>
        <w:t>Eastern region Local authorities</w:t>
      </w:r>
    </w:p>
    <w:tbl>
      <w:tblPr>
        <w:tblW w:w="1900" w:type="dxa"/>
        <w:tblLook w:val="04A0" w:firstRow="1" w:lastRow="0" w:firstColumn="1" w:lastColumn="0" w:noHBand="0" w:noVBand="1"/>
      </w:tblPr>
      <w:tblGrid>
        <w:gridCol w:w="1900"/>
      </w:tblGrid>
      <w:tr w:rsidR="00936844" w:rsidRPr="00936844" w14:paraId="146941A7" w14:textId="77777777" w:rsidTr="00936844">
        <w:trPr>
          <w:trHeight w:val="255"/>
        </w:trPr>
        <w:tc>
          <w:tcPr>
            <w:tcW w:w="1900"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2B952997"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East of England</w:t>
            </w:r>
          </w:p>
        </w:tc>
      </w:tr>
      <w:tr w:rsidR="00936844" w:rsidRPr="00936844" w14:paraId="4BB93B7A"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25085533"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Hertfordshire</w:t>
            </w:r>
          </w:p>
        </w:tc>
      </w:tr>
      <w:tr w:rsidR="00936844" w:rsidRPr="00936844" w14:paraId="4D2AB20D"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1C2B88C5"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Norfolk</w:t>
            </w:r>
          </w:p>
        </w:tc>
      </w:tr>
      <w:tr w:rsidR="00936844" w:rsidRPr="00936844" w14:paraId="0BD702B2"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79FD774F"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Suffolk</w:t>
            </w:r>
          </w:p>
        </w:tc>
      </w:tr>
      <w:tr w:rsidR="00936844" w:rsidRPr="00936844" w14:paraId="566C2E70"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528F16D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Luton</w:t>
            </w:r>
          </w:p>
        </w:tc>
      </w:tr>
      <w:tr w:rsidR="00936844" w:rsidRPr="00936844" w14:paraId="69F31561"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0F3E73F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Essex</w:t>
            </w:r>
          </w:p>
        </w:tc>
      </w:tr>
      <w:tr w:rsidR="00936844" w:rsidRPr="00936844" w14:paraId="59EE1873"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2D881DDB"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Southend-on-Sea</w:t>
            </w:r>
          </w:p>
        </w:tc>
      </w:tr>
      <w:tr w:rsidR="00936844" w:rsidRPr="00936844" w14:paraId="380CB5BE"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1E2CCEF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Thurrock</w:t>
            </w:r>
          </w:p>
        </w:tc>
      </w:tr>
      <w:tr w:rsidR="00936844" w:rsidRPr="00936844" w14:paraId="0A485357"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5AA515F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Cambridgeshire</w:t>
            </w:r>
          </w:p>
        </w:tc>
      </w:tr>
      <w:tr w:rsidR="00936844" w:rsidRPr="00936844" w14:paraId="2A6B0C98"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13B1E356"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Peterborough</w:t>
            </w:r>
          </w:p>
        </w:tc>
      </w:tr>
      <w:tr w:rsidR="00936844" w:rsidRPr="00936844" w14:paraId="0B2AF5FC"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67CEFF74"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Bedford</w:t>
            </w:r>
          </w:p>
        </w:tc>
      </w:tr>
      <w:tr w:rsidR="00936844" w:rsidRPr="00936844" w14:paraId="43D2EB62" w14:textId="77777777" w:rsidTr="00936844">
        <w:trPr>
          <w:trHeight w:val="255"/>
        </w:trPr>
        <w:tc>
          <w:tcPr>
            <w:tcW w:w="1900" w:type="dxa"/>
            <w:tcBorders>
              <w:top w:val="nil"/>
              <w:left w:val="single" w:sz="4" w:space="0" w:color="auto"/>
              <w:bottom w:val="single" w:sz="4" w:space="0" w:color="auto"/>
              <w:right w:val="single" w:sz="4" w:space="0" w:color="auto"/>
            </w:tcBorders>
            <w:shd w:val="clear" w:color="auto" w:fill="auto"/>
            <w:hideMark/>
          </w:tcPr>
          <w:p w14:paraId="0A2B8D28" w14:textId="77777777" w:rsidR="008D4440" w:rsidRPr="00330B65" w:rsidRDefault="008D4440" w:rsidP="00936844">
            <w:pPr>
              <w:spacing w:line="240" w:lineRule="auto"/>
              <w:rPr>
                <w:rFonts w:ascii="Calibri" w:eastAsia="Times New Roman" w:hAnsi="Calibri" w:cs="Calibri"/>
                <w:color w:val="002F5D"/>
                <w:lang w:eastAsia="en-GB"/>
              </w:rPr>
            </w:pPr>
            <w:r w:rsidRPr="00330B65">
              <w:rPr>
                <w:rFonts w:ascii="Calibri" w:eastAsia="Times New Roman" w:hAnsi="Calibri" w:cs="Calibri"/>
                <w:color w:val="002F5D"/>
                <w:lang w:eastAsia="en-GB"/>
              </w:rPr>
              <w:t>Central Bedfordshire</w:t>
            </w:r>
          </w:p>
        </w:tc>
      </w:tr>
    </w:tbl>
    <w:p w14:paraId="0D9CDCC1" w14:textId="77777777" w:rsidR="008D4440" w:rsidRPr="00330B65" w:rsidRDefault="008D4440" w:rsidP="008D4440">
      <w:pPr>
        <w:rPr>
          <w:rFonts w:ascii="Calibri" w:hAnsi="Calibri" w:cs="Calibri"/>
          <w:color w:val="002F5D"/>
        </w:rPr>
      </w:pPr>
    </w:p>
    <w:p w14:paraId="692B1C1A" w14:textId="77777777" w:rsidR="00B82079" w:rsidRPr="0037351D" w:rsidRDefault="00B82079">
      <w:pPr>
        <w:rPr>
          <w:rFonts w:eastAsiaTheme="majorEastAsia" w:cs="Arial"/>
          <w:b/>
          <w:color w:val="FF0000"/>
          <w:sz w:val="24"/>
          <w:szCs w:val="26"/>
        </w:rPr>
      </w:pPr>
      <w:r w:rsidRPr="0037351D">
        <w:rPr>
          <w:color w:val="FF0000"/>
        </w:rPr>
        <w:br w:type="page"/>
      </w:r>
    </w:p>
    <w:p w14:paraId="35E21206" w14:textId="77777777" w:rsidR="002172CB" w:rsidRPr="003B7CE5" w:rsidRDefault="00AE727E" w:rsidP="00FA1277">
      <w:pPr>
        <w:pStyle w:val="JSNA1"/>
      </w:pPr>
      <w:bookmarkStart w:id="814" w:name="_Toc4407887"/>
      <w:r w:rsidRPr="003B7CE5">
        <w:lastRenderedPageBreak/>
        <w:t>LIFE EXPECTANCY AND MORTALITY</w:t>
      </w:r>
      <w:bookmarkEnd w:id="814"/>
    </w:p>
    <w:p w14:paraId="3CDA3E55" w14:textId="77777777" w:rsidR="009C34D2" w:rsidRPr="003B7CE5" w:rsidRDefault="009C34D2" w:rsidP="0038179C">
      <w:pPr>
        <w:pStyle w:val="ListParagraph"/>
        <w:spacing w:line="240" w:lineRule="auto"/>
        <w:ind w:left="567"/>
        <w:rPr>
          <w:rFonts w:cs="Arial"/>
          <w:b/>
          <w:color w:val="FFFFFF" w:themeColor="background1"/>
        </w:rPr>
      </w:pPr>
    </w:p>
    <w:p w14:paraId="1B9607AA" w14:textId="77777777" w:rsidR="002172CB" w:rsidRPr="003B7CE5" w:rsidRDefault="002172CB" w:rsidP="00DA7242">
      <w:pPr>
        <w:pStyle w:val="JSNA2"/>
      </w:pPr>
      <w:bookmarkStart w:id="815" w:name="_Toc4407888"/>
      <w:r w:rsidRPr="003B7CE5">
        <w:t>Life expectancy</w:t>
      </w:r>
      <w:bookmarkEnd w:id="815"/>
    </w:p>
    <w:p w14:paraId="65B0D4DB" w14:textId="77777777" w:rsidR="002172CB" w:rsidRPr="0037351D" w:rsidRDefault="002172CB" w:rsidP="00DA7242">
      <w:pPr>
        <w:spacing w:line="240" w:lineRule="auto"/>
        <w:rPr>
          <w:rFonts w:cs="Arial"/>
          <w:b/>
          <w:color w:val="FF0000"/>
        </w:rPr>
      </w:pPr>
    </w:p>
    <w:p w14:paraId="4BE2B611" w14:textId="20B9001D" w:rsidR="007C21F3" w:rsidRDefault="007C21F3" w:rsidP="007C21F3">
      <w:pPr>
        <w:pStyle w:val="ListParagraph"/>
        <w:spacing w:line="240" w:lineRule="auto"/>
        <w:ind w:left="0"/>
        <w:rPr>
          <w:rFonts w:cs="Arial"/>
          <w:color w:val="002F5D"/>
        </w:rPr>
      </w:pPr>
      <w:r w:rsidRPr="00655D8E">
        <w:rPr>
          <w:rFonts w:cs="Arial"/>
          <w:color w:val="002F5D"/>
        </w:rPr>
        <w:t>Life expectancy at birth is the average number of years that a baby born in a particular area can expect to live should they experience the current age-specific mortality rates of the area throughout life.  Average life expectancy represents the cumulative effect of the prevalence of risk factors, prevalence and severity of disease, and the effectiveness of interventions and treatment across the life course.</w:t>
      </w:r>
    </w:p>
    <w:p w14:paraId="77A2571A" w14:textId="00721446" w:rsidR="009B42BA" w:rsidRDefault="009B42BA" w:rsidP="009B42BA">
      <w:pPr>
        <w:spacing w:line="240" w:lineRule="auto"/>
        <w:rPr>
          <w:rFonts w:ascii="Calibri" w:eastAsia="Calibri" w:hAnsi="Calibri" w:cs="Arial"/>
          <w:color w:val="FF0000"/>
        </w:rPr>
      </w:pPr>
    </w:p>
    <w:p w14:paraId="11433A0D" w14:textId="77777777" w:rsidR="009051C7" w:rsidRPr="009051C7" w:rsidRDefault="009051C7" w:rsidP="009051C7">
      <w:pPr>
        <w:spacing w:line="240" w:lineRule="auto"/>
        <w:jc w:val="both"/>
        <w:rPr>
          <w:rFonts w:ascii="Calibri" w:eastAsia="Times New Roman" w:hAnsi="Calibri" w:cs="Times New Roman"/>
          <w:color w:val="002F5D"/>
          <w:lang w:eastAsia="en-GB"/>
        </w:rPr>
      </w:pPr>
      <w:r w:rsidRPr="009051C7">
        <w:rPr>
          <w:rFonts w:ascii="Calibri" w:eastAsia="Times New Roman" w:hAnsi="Calibri" w:cs="Times New Roman"/>
          <w:b/>
          <w:color w:val="002F5D"/>
          <w:lang w:eastAsia="en-GB"/>
        </w:rPr>
        <w:t>Note</w:t>
      </w:r>
      <w:r w:rsidRPr="009051C7">
        <w:rPr>
          <w:rFonts w:ascii="Calibri" w:eastAsia="Times New Roman" w:hAnsi="Calibri" w:cs="Times New Roman"/>
          <w:color w:val="002F5D"/>
          <w:lang w:eastAsia="en-GB"/>
        </w:rPr>
        <w:t xml:space="preserve"> - benchmarking and statistical significance: Tables that are ‘Red-Amber-Green’ (RAG) rated use confidence intervals to derive the statistical significance of differences of areas compared with a benchmark, e.g. England. This gives the RAG rating. Cambridgeshire and Peterborough PHI Team calculate statistical significance using comparator area confidence intervals compared with confidence intervals for the benchmark. This method is used in the RAG rated</w:t>
      </w:r>
      <w:r w:rsidRPr="009051C7">
        <w:rPr>
          <w:color w:val="002F5D"/>
        </w:rPr>
        <w:t xml:space="preserve"> NHS Digital Primary Care Mortality Database</w:t>
      </w:r>
      <w:r w:rsidRPr="009051C7">
        <w:rPr>
          <w:rFonts w:ascii="Calibri" w:eastAsia="Times New Roman" w:hAnsi="Calibri" w:cs="Times New Roman"/>
          <w:color w:val="002F5D"/>
          <w:lang w:eastAsia="en-GB"/>
        </w:rPr>
        <w:t xml:space="preserve"> tables in this section.  Public Health England (PHE) calculate statistical significance using comparator area confidence intervals compared with the area value for the benchmark. This method is used in the RAG rated PHE tables in this section.  Therefore PHI calculated benchmarking may differ from PHE calculations.</w:t>
      </w:r>
    </w:p>
    <w:p w14:paraId="536F8237" w14:textId="77777777" w:rsidR="007C21F3" w:rsidRPr="0037351D" w:rsidRDefault="007C21F3" w:rsidP="007C21F3">
      <w:pPr>
        <w:pStyle w:val="ListParagraph"/>
        <w:spacing w:line="240" w:lineRule="auto"/>
        <w:ind w:left="0"/>
        <w:rPr>
          <w:rFonts w:cs="Arial"/>
          <w:color w:val="FF0000"/>
        </w:rPr>
      </w:pPr>
    </w:p>
    <w:p w14:paraId="693C3AA3" w14:textId="3C259713" w:rsidR="00114E42" w:rsidRPr="00723B06" w:rsidRDefault="00B654F0" w:rsidP="00330B65">
      <w:pPr>
        <w:pStyle w:val="Caption"/>
      </w:pPr>
      <w:r w:rsidRPr="00815164">
        <w:rPr>
          <w:b/>
          <w:color w:val="002F5D"/>
        </w:rPr>
        <w:t>Table</w:t>
      </w:r>
      <w:r w:rsidR="003209A4">
        <w:rPr>
          <w:b/>
          <w:color w:val="002F5D"/>
        </w:rPr>
        <w:t xml:space="preserve"> </w:t>
      </w:r>
      <w:r w:rsidR="00B81E4B">
        <w:rPr>
          <w:b/>
          <w:color w:val="002F5D"/>
        </w:rPr>
        <w:t>94</w:t>
      </w:r>
      <w:r w:rsidR="00290731" w:rsidRPr="00815164">
        <w:rPr>
          <w:rFonts w:cs="Arial"/>
          <w:b/>
          <w:color w:val="002F5D"/>
        </w:rPr>
        <w:t>.</w:t>
      </w:r>
      <w:r w:rsidR="00290731" w:rsidRPr="00330B65">
        <w:rPr>
          <w:rFonts w:cs="Arial"/>
          <w:color w:val="002F5D"/>
        </w:rPr>
        <w:t xml:space="preserve"> Life expectancy at birth, Cambridgeshire</w:t>
      </w:r>
      <w:r w:rsidR="003313D8" w:rsidRPr="00330B65">
        <w:rPr>
          <w:rFonts w:cs="Arial"/>
          <w:color w:val="002F5D"/>
        </w:rPr>
        <w:t xml:space="preserve"> and Peterborough</w:t>
      </w:r>
      <w:r w:rsidR="00290731" w:rsidRPr="00330B65">
        <w:rPr>
          <w:rFonts w:cs="Arial"/>
          <w:color w:val="002F5D"/>
        </w:rPr>
        <w:t>,</w:t>
      </w:r>
      <w:r w:rsidR="00114E42" w:rsidRPr="00330B65">
        <w:rPr>
          <w:rFonts w:cs="Arial"/>
          <w:color w:val="002F5D"/>
        </w:rPr>
        <w:t xml:space="preserve"> 201</w:t>
      </w:r>
      <w:r w:rsidR="00456455" w:rsidRPr="00330B65">
        <w:rPr>
          <w:rFonts w:cs="Arial"/>
          <w:color w:val="002F5D"/>
        </w:rPr>
        <w:t>5</w:t>
      </w:r>
      <w:r w:rsidR="00114E42" w:rsidRPr="00330B65">
        <w:rPr>
          <w:rFonts w:cs="Arial"/>
          <w:color w:val="002F5D"/>
        </w:rPr>
        <w:t>-1</w:t>
      </w:r>
      <w:r w:rsidR="00456455" w:rsidRPr="00330B65">
        <w:rPr>
          <w:rFonts w:cs="Arial"/>
          <w:color w:val="002F5D"/>
        </w:rPr>
        <w:t xml:space="preserve">7 </w:t>
      </w:r>
      <w:r w:rsidR="00114E42" w:rsidRPr="00330B65">
        <w:rPr>
          <w:rFonts w:cs="Arial"/>
          <w:color w:val="002F5D"/>
        </w:rPr>
        <w:t>and</w:t>
      </w:r>
      <w:r w:rsidR="00290731" w:rsidRPr="00330B65">
        <w:rPr>
          <w:rFonts w:cs="Arial"/>
          <w:color w:val="002F5D"/>
        </w:rPr>
        <w:t xml:space="preserve"> 201</w:t>
      </w:r>
      <w:r w:rsidR="00456455" w:rsidRPr="00330B65">
        <w:rPr>
          <w:rFonts w:cs="Arial"/>
          <w:color w:val="002F5D"/>
        </w:rPr>
        <w:t>5</w:t>
      </w:r>
      <w:r w:rsidR="00290731" w:rsidRPr="00330B65">
        <w:rPr>
          <w:rFonts w:cs="Arial"/>
          <w:color w:val="002F5D"/>
        </w:rPr>
        <w:t>-1</w:t>
      </w:r>
      <w:r w:rsidR="00456455" w:rsidRPr="00330B65">
        <w:rPr>
          <w:rFonts w:cs="Arial"/>
          <w:color w:val="002F5D"/>
        </w:rPr>
        <w:t>7</w:t>
      </w:r>
      <w:r w:rsidR="00114E42" w:rsidRPr="00330B65">
        <w:rPr>
          <w:rFonts w:cs="Arial"/>
          <w:color w:val="002F5D"/>
        </w:rPr>
        <w:t xml:space="preserve"> Gap between the least and most deprived (years*)</w:t>
      </w:r>
    </w:p>
    <w:p w14:paraId="5FEB60FA" w14:textId="6D59ADBF" w:rsidR="00B43887" w:rsidRDefault="00B43887" w:rsidP="00330B65">
      <w:pPr>
        <w:rPr>
          <w:color w:val="FF0000"/>
          <w:sz w:val="18"/>
        </w:rPr>
      </w:pPr>
    </w:p>
    <w:p w14:paraId="17311253" w14:textId="49601B85" w:rsidR="00456455" w:rsidRPr="0037351D" w:rsidRDefault="00456455" w:rsidP="00DA7242">
      <w:pPr>
        <w:spacing w:line="240" w:lineRule="auto"/>
        <w:rPr>
          <w:color w:val="FF0000"/>
          <w:sz w:val="18"/>
        </w:rPr>
      </w:pPr>
      <w:r w:rsidRPr="00456455">
        <w:rPr>
          <w:noProof/>
          <w:lang w:eastAsia="en-GB"/>
        </w:rPr>
        <w:drawing>
          <wp:inline distT="0" distB="0" distL="0" distR="0" wp14:anchorId="24C4E9EF" wp14:editId="715B435C">
            <wp:extent cx="5503545" cy="2328545"/>
            <wp:effectExtent l="0" t="0" r="190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03545" cy="2328545"/>
                    </a:xfrm>
                    <a:prstGeom prst="rect">
                      <a:avLst/>
                    </a:prstGeom>
                    <a:noFill/>
                    <a:ln>
                      <a:noFill/>
                    </a:ln>
                  </pic:spPr>
                </pic:pic>
              </a:graphicData>
            </a:graphic>
          </wp:inline>
        </w:drawing>
      </w:r>
    </w:p>
    <w:p w14:paraId="63F440D8" w14:textId="77777777" w:rsidR="00290731" w:rsidRPr="00815164" w:rsidRDefault="00290731" w:rsidP="00DA7242">
      <w:pPr>
        <w:spacing w:line="240" w:lineRule="auto"/>
        <w:rPr>
          <w:color w:val="002F5D"/>
          <w:sz w:val="18"/>
        </w:rPr>
      </w:pPr>
      <w:r w:rsidRPr="00815164">
        <w:rPr>
          <w:color w:val="002F5D"/>
          <w:sz w:val="18"/>
        </w:rPr>
        <w:t>* Slope index of inequality</w:t>
      </w:r>
      <w:r w:rsidR="00E42856" w:rsidRPr="00815164">
        <w:rPr>
          <w:color w:val="002F5D"/>
          <w:sz w:val="18"/>
        </w:rPr>
        <w:t>, LE – Life expectancy</w:t>
      </w:r>
      <w:r w:rsidR="00114E42" w:rsidRPr="00815164">
        <w:rPr>
          <w:color w:val="002F5D"/>
          <w:sz w:val="18"/>
        </w:rPr>
        <w:t xml:space="preserve"> </w:t>
      </w:r>
    </w:p>
    <w:p w14:paraId="2C687922" w14:textId="77777777" w:rsidR="003313D8" w:rsidRPr="00815164" w:rsidRDefault="003313D8" w:rsidP="00DA7242">
      <w:pPr>
        <w:spacing w:line="240" w:lineRule="auto"/>
        <w:rPr>
          <w:color w:val="002F5D"/>
          <w:sz w:val="18"/>
        </w:rPr>
      </w:pPr>
      <w:r w:rsidRPr="00815164">
        <w:rPr>
          <w:color w:val="002F5D"/>
          <w:sz w:val="18"/>
        </w:rPr>
        <w:t>Cambridgeshire and Peterborough combined data not available</w:t>
      </w:r>
    </w:p>
    <w:p w14:paraId="3EFBDEF3" w14:textId="77777777" w:rsidR="00E42856" w:rsidRPr="0037351D" w:rsidRDefault="00E42856" w:rsidP="00DA7242">
      <w:pPr>
        <w:spacing w:line="240" w:lineRule="auto"/>
        <w:rPr>
          <w:color w:val="FF0000"/>
          <w:sz w:val="18"/>
        </w:rPr>
      </w:pPr>
    </w:p>
    <w:p w14:paraId="5FA4E2B2" w14:textId="77777777" w:rsidR="00290731" w:rsidRPr="0037351D" w:rsidRDefault="00DA7242" w:rsidP="00DA7242">
      <w:pPr>
        <w:spacing w:line="240" w:lineRule="auto"/>
        <w:rPr>
          <w:color w:val="FF0000"/>
        </w:rPr>
      </w:pPr>
      <w:r w:rsidRPr="0037351D">
        <w:rPr>
          <w:noProof/>
          <w:color w:val="FF0000"/>
          <w:lang w:eastAsia="en-GB"/>
        </w:rPr>
        <w:drawing>
          <wp:inline distT="0" distB="0" distL="0" distR="0" wp14:anchorId="015022F0" wp14:editId="7A58FA3F">
            <wp:extent cx="4123690" cy="46609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5399BF5F" w14:textId="77777777" w:rsidR="00DA7242" w:rsidRPr="0037351D" w:rsidRDefault="00DA7242" w:rsidP="00DA7242">
      <w:pPr>
        <w:spacing w:line="240" w:lineRule="auto"/>
        <w:rPr>
          <w:color w:val="FF0000"/>
        </w:rPr>
      </w:pPr>
    </w:p>
    <w:p w14:paraId="4C4F9141" w14:textId="77777777" w:rsidR="00290731" w:rsidRPr="00815164" w:rsidRDefault="00290731" w:rsidP="00B43887">
      <w:pPr>
        <w:spacing w:line="240" w:lineRule="auto"/>
        <w:rPr>
          <w:color w:val="002F5D"/>
        </w:rPr>
      </w:pPr>
      <w:r w:rsidRPr="00815164">
        <w:rPr>
          <w:b/>
          <w:color w:val="002F5D"/>
        </w:rPr>
        <w:t>Source:</w:t>
      </w:r>
      <w:r w:rsidRPr="00815164">
        <w:rPr>
          <w:color w:val="002F5D"/>
        </w:rPr>
        <w:t xml:space="preserve"> Public Health England Public Health Outcomes Framework indicators 0.1ii and 0.2iii</w:t>
      </w:r>
    </w:p>
    <w:p w14:paraId="23843A1D" w14:textId="77777777" w:rsidR="00290731" w:rsidRPr="00815164" w:rsidRDefault="00290731" w:rsidP="00B43887">
      <w:pPr>
        <w:spacing w:line="240" w:lineRule="auto"/>
        <w:ind w:firstLine="720"/>
        <w:rPr>
          <w:color w:val="002F5D"/>
        </w:rPr>
      </w:pPr>
    </w:p>
    <w:p w14:paraId="22B639A9" w14:textId="77777777" w:rsidR="00290731" w:rsidRPr="00815164" w:rsidRDefault="00290731" w:rsidP="00B43887">
      <w:pPr>
        <w:spacing w:line="240" w:lineRule="auto"/>
        <w:rPr>
          <w:b/>
          <w:color w:val="002F5D"/>
        </w:rPr>
      </w:pPr>
      <w:r w:rsidRPr="00815164">
        <w:rPr>
          <w:b/>
          <w:color w:val="002F5D"/>
        </w:rPr>
        <w:t>Key points:</w:t>
      </w:r>
    </w:p>
    <w:p w14:paraId="43CEDB0A" w14:textId="77777777" w:rsidR="003313D8" w:rsidRPr="00815164" w:rsidRDefault="003313D8" w:rsidP="00B43887">
      <w:pPr>
        <w:pStyle w:val="ListParagraph"/>
        <w:numPr>
          <w:ilvl w:val="0"/>
          <w:numId w:val="49"/>
        </w:numPr>
        <w:spacing w:line="240" w:lineRule="auto"/>
        <w:rPr>
          <w:color w:val="002F5D"/>
        </w:rPr>
      </w:pPr>
      <w:r w:rsidRPr="00815164">
        <w:rPr>
          <w:color w:val="002F5D"/>
        </w:rPr>
        <w:t>Life expectancy at birth is statistically significantly lower than the England average in males and females in Peterborough.</w:t>
      </w:r>
      <w:r w:rsidR="00913CD2" w:rsidRPr="00815164">
        <w:rPr>
          <w:color w:val="002F5D"/>
        </w:rPr>
        <w:t xml:space="preserve">  The gap in life expectancy between the least and most </w:t>
      </w:r>
      <w:r w:rsidR="008240F1" w:rsidRPr="00815164">
        <w:rPr>
          <w:color w:val="002F5D"/>
        </w:rPr>
        <w:t>deprived</w:t>
      </w:r>
      <w:r w:rsidR="00913CD2" w:rsidRPr="00815164">
        <w:rPr>
          <w:color w:val="002F5D"/>
        </w:rPr>
        <w:t xml:space="preserve"> </w:t>
      </w:r>
      <w:r w:rsidR="008240F1" w:rsidRPr="00815164">
        <w:rPr>
          <w:color w:val="002F5D"/>
        </w:rPr>
        <w:t>areas</w:t>
      </w:r>
      <w:r w:rsidR="00913CD2" w:rsidRPr="00815164">
        <w:rPr>
          <w:color w:val="002F5D"/>
        </w:rPr>
        <w:t xml:space="preserve"> is also noticeabl</w:t>
      </w:r>
      <w:r w:rsidR="007B21FD" w:rsidRPr="00815164">
        <w:rPr>
          <w:color w:val="002F5D"/>
        </w:rPr>
        <w:t>y</w:t>
      </w:r>
      <w:r w:rsidR="00913CD2" w:rsidRPr="00815164">
        <w:rPr>
          <w:color w:val="002F5D"/>
        </w:rPr>
        <w:t xml:space="preserve"> high in both men and women.</w:t>
      </w:r>
    </w:p>
    <w:p w14:paraId="71B5F5E2" w14:textId="77777777" w:rsidR="003313D8" w:rsidRPr="00815164" w:rsidRDefault="003313D8" w:rsidP="00B43887">
      <w:pPr>
        <w:pStyle w:val="ListParagraph"/>
        <w:numPr>
          <w:ilvl w:val="0"/>
          <w:numId w:val="49"/>
        </w:numPr>
        <w:spacing w:line="240" w:lineRule="auto"/>
        <w:rPr>
          <w:color w:val="002F5D"/>
        </w:rPr>
      </w:pPr>
      <w:r w:rsidRPr="00815164">
        <w:rPr>
          <w:color w:val="002F5D"/>
        </w:rPr>
        <w:t>Life expectancy at birth is statistically significantly higher than the England average in males and females in Cambridgeshire.</w:t>
      </w:r>
    </w:p>
    <w:p w14:paraId="6CA6C47A" w14:textId="2E84B0B8" w:rsidR="00290731" w:rsidRPr="00815164" w:rsidRDefault="008240F1" w:rsidP="00B43887">
      <w:pPr>
        <w:pStyle w:val="ListParagraph"/>
        <w:numPr>
          <w:ilvl w:val="0"/>
          <w:numId w:val="49"/>
        </w:numPr>
        <w:spacing w:line="240" w:lineRule="auto"/>
        <w:rPr>
          <w:color w:val="002F5D"/>
        </w:rPr>
      </w:pPr>
      <w:r w:rsidRPr="00815164">
        <w:rPr>
          <w:color w:val="002F5D"/>
        </w:rPr>
        <w:lastRenderedPageBreak/>
        <w:t>At the district level,</w:t>
      </w:r>
      <w:r w:rsidR="003313D8" w:rsidRPr="00815164">
        <w:rPr>
          <w:color w:val="002F5D"/>
        </w:rPr>
        <w:t xml:space="preserve"> life expectancy at birth </w:t>
      </w:r>
      <w:r w:rsidR="00114E42" w:rsidRPr="00815164">
        <w:rPr>
          <w:color w:val="002F5D"/>
        </w:rPr>
        <w:t xml:space="preserve">in Fenland </w:t>
      </w:r>
      <w:r w:rsidR="003313D8" w:rsidRPr="00815164">
        <w:rPr>
          <w:color w:val="002F5D"/>
        </w:rPr>
        <w:t xml:space="preserve">is statistically significantly </w:t>
      </w:r>
      <w:r w:rsidR="00114E42" w:rsidRPr="00815164">
        <w:rPr>
          <w:color w:val="002F5D"/>
        </w:rPr>
        <w:t>lower (worse) than</w:t>
      </w:r>
      <w:r w:rsidR="00913CD2" w:rsidRPr="00815164">
        <w:rPr>
          <w:color w:val="002F5D"/>
        </w:rPr>
        <w:t xml:space="preserve"> the England average for both </w:t>
      </w:r>
      <w:r w:rsidR="00114E42" w:rsidRPr="00815164">
        <w:rPr>
          <w:color w:val="002F5D"/>
        </w:rPr>
        <w:t>men and women</w:t>
      </w:r>
      <w:r w:rsidR="003313D8" w:rsidRPr="00815164">
        <w:rPr>
          <w:color w:val="002F5D"/>
        </w:rPr>
        <w:t>. All other Cambridgeshire districts have statistically significantly higher l</w:t>
      </w:r>
      <w:r w:rsidR="00290731" w:rsidRPr="00815164">
        <w:rPr>
          <w:color w:val="002F5D"/>
        </w:rPr>
        <w:t xml:space="preserve">ife expectancy at birth </w:t>
      </w:r>
      <w:r w:rsidR="009F78B7" w:rsidRPr="00815164">
        <w:rPr>
          <w:color w:val="002F5D"/>
        </w:rPr>
        <w:t>for males and females</w:t>
      </w:r>
      <w:r w:rsidR="00456455">
        <w:rPr>
          <w:color w:val="002F5D"/>
        </w:rPr>
        <w:t xml:space="preserve"> except Cambridge where female life expectancy is statistically similar to the England average</w:t>
      </w:r>
      <w:r w:rsidR="003313D8" w:rsidRPr="00815164">
        <w:rPr>
          <w:color w:val="002F5D"/>
        </w:rPr>
        <w:t xml:space="preserve">. </w:t>
      </w:r>
    </w:p>
    <w:p w14:paraId="54CC7361" w14:textId="77777777" w:rsidR="00290731" w:rsidRPr="00815164" w:rsidRDefault="00290731" w:rsidP="00B43887">
      <w:pPr>
        <w:pStyle w:val="ListParagraph"/>
        <w:numPr>
          <w:ilvl w:val="0"/>
          <w:numId w:val="49"/>
        </w:numPr>
        <w:spacing w:line="240" w:lineRule="auto"/>
        <w:rPr>
          <w:color w:val="002F5D"/>
        </w:rPr>
      </w:pPr>
      <w:r w:rsidRPr="00815164">
        <w:rPr>
          <w:color w:val="002F5D"/>
        </w:rPr>
        <w:t xml:space="preserve">The gap in life expectancy between the least and most deprived </w:t>
      </w:r>
      <w:r w:rsidR="003021A1" w:rsidRPr="00815164">
        <w:rPr>
          <w:color w:val="002F5D"/>
        </w:rPr>
        <w:t xml:space="preserve">areas </w:t>
      </w:r>
      <w:r w:rsidRPr="00815164">
        <w:rPr>
          <w:color w:val="002F5D"/>
        </w:rPr>
        <w:t>is noticeably high in Cambridge in both men and women.</w:t>
      </w:r>
    </w:p>
    <w:p w14:paraId="4ECEE8C9" w14:textId="7CC8241B" w:rsidR="00BF3939" w:rsidRPr="00815164" w:rsidRDefault="00873496" w:rsidP="00B43887">
      <w:pPr>
        <w:pStyle w:val="ListParagraph"/>
        <w:numPr>
          <w:ilvl w:val="0"/>
          <w:numId w:val="49"/>
        </w:numPr>
        <w:spacing w:line="240" w:lineRule="auto"/>
        <w:rPr>
          <w:color w:val="002F5D"/>
        </w:rPr>
      </w:pPr>
      <w:r w:rsidRPr="00456455">
        <w:rPr>
          <w:color w:val="002F5D"/>
        </w:rPr>
        <w:t>Figures 6</w:t>
      </w:r>
      <w:r w:rsidR="00456455" w:rsidRPr="00456455">
        <w:rPr>
          <w:color w:val="002F5D"/>
        </w:rPr>
        <w:t>4</w:t>
      </w:r>
      <w:r w:rsidRPr="00456455">
        <w:rPr>
          <w:color w:val="002F5D"/>
        </w:rPr>
        <w:t xml:space="preserve"> and </w:t>
      </w:r>
      <w:r w:rsidR="00456455" w:rsidRPr="00E61D24">
        <w:rPr>
          <w:color w:val="002F5D"/>
        </w:rPr>
        <w:t>65</w:t>
      </w:r>
      <w:r w:rsidRPr="00456455">
        <w:rPr>
          <w:color w:val="002F5D"/>
        </w:rPr>
        <w:t xml:space="preserve"> show the</w:t>
      </w:r>
      <w:r w:rsidRPr="00815164">
        <w:rPr>
          <w:color w:val="002F5D"/>
        </w:rPr>
        <w:t xml:space="preserve"> trends in life expectancy in Cambridgeshire, Peterborough, England and Fenland. Fenland is included here as its 201</w:t>
      </w:r>
      <w:r w:rsidR="00456455">
        <w:rPr>
          <w:color w:val="002F5D"/>
        </w:rPr>
        <w:t>5</w:t>
      </w:r>
      <w:r w:rsidRPr="00815164">
        <w:rPr>
          <w:color w:val="002F5D"/>
        </w:rPr>
        <w:t>-201</w:t>
      </w:r>
      <w:r w:rsidR="00456455">
        <w:rPr>
          <w:color w:val="002F5D"/>
        </w:rPr>
        <w:t>7</w:t>
      </w:r>
      <w:r w:rsidRPr="00815164">
        <w:rPr>
          <w:color w:val="002F5D"/>
        </w:rPr>
        <w:t xml:space="preserve"> life expectancy at birth is significantly below national levels.</w:t>
      </w:r>
    </w:p>
    <w:p w14:paraId="759A6394" w14:textId="77777777" w:rsidR="00BF3939" w:rsidRPr="00723B06" w:rsidRDefault="00BF3939" w:rsidP="00330B65">
      <w:pPr>
        <w:rPr>
          <w:b/>
          <w:color w:val="002F5D"/>
        </w:rPr>
      </w:pPr>
    </w:p>
    <w:p w14:paraId="05CE8B60" w14:textId="3217C220" w:rsidR="00DA7242" w:rsidRPr="00330B65" w:rsidRDefault="00B654F0" w:rsidP="00330B65">
      <w:pPr>
        <w:rPr>
          <w:color w:val="002F5D"/>
        </w:rPr>
      </w:pPr>
      <w:r w:rsidRPr="00330B65">
        <w:rPr>
          <w:b/>
          <w:color w:val="002F5D"/>
        </w:rPr>
        <w:t>Table</w:t>
      </w:r>
      <w:r w:rsidR="00B81E4B" w:rsidRPr="00723B06">
        <w:rPr>
          <w:b/>
          <w:color w:val="002F5D"/>
        </w:rPr>
        <w:t xml:space="preserve"> 95</w:t>
      </w:r>
      <w:r w:rsidR="00DA7242" w:rsidRPr="00330B65">
        <w:rPr>
          <w:b/>
          <w:color w:val="002F5D"/>
        </w:rPr>
        <w:t>.</w:t>
      </w:r>
      <w:r w:rsidR="00DA7242" w:rsidRPr="00330B65">
        <w:rPr>
          <w:color w:val="002F5D"/>
        </w:rPr>
        <w:t xml:space="preserve"> Healthy life expectancy at birth, Cambridgeshire</w:t>
      </w:r>
      <w:r w:rsidR="00CF5C58" w:rsidRPr="00330B65">
        <w:rPr>
          <w:color w:val="002F5D"/>
        </w:rPr>
        <w:t xml:space="preserve"> and Peterborough</w:t>
      </w:r>
      <w:r w:rsidR="0058576C" w:rsidRPr="00330B65">
        <w:rPr>
          <w:color w:val="002F5D"/>
        </w:rPr>
        <w:t>, 2015-17</w:t>
      </w:r>
    </w:p>
    <w:p w14:paraId="61BD37D8" w14:textId="77777777" w:rsidR="00EB2E56" w:rsidRDefault="00EB2E56" w:rsidP="00EB2E56"/>
    <w:p w14:paraId="1DDEB645" w14:textId="003F02AA" w:rsidR="0058576C" w:rsidRDefault="00EB2E56" w:rsidP="00B04937">
      <w:r w:rsidRPr="00EB2E56">
        <w:rPr>
          <w:noProof/>
          <w:lang w:eastAsia="en-GB"/>
        </w:rPr>
        <w:drawing>
          <wp:inline distT="0" distB="0" distL="0" distR="0" wp14:anchorId="5C6F6755" wp14:editId="2472C3E9">
            <wp:extent cx="4048125" cy="1219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48125" cy="1219200"/>
                    </a:xfrm>
                    <a:prstGeom prst="rect">
                      <a:avLst/>
                    </a:prstGeom>
                    <a:noFill/>
                    <a:ln>
                      <a:noFill/>
                    </a:ln>
                  </pic:spPr>
                </pic:pic>
              </a:graphicData>
            </a:graphic>
          </wp:inline>
        </w:drawing>
      </w:r>
    </w:p>
    <w:p w14:paraId="3318C165" w14:textId="77777777" w:rsidR="00B43887" w:rsidRPr="0037351D" w:rsidRDefault="00B43887" w:rsidP="00B04937">
      <w:pPr>
        <w:spacing w:line="240" w:lineRule="auto"/>
        <w:rPr>
          <w:color w:val="FF0000"/>
          <w:sz w:val="18"/>
          <w:szCs w:val="18"/>
        </w:rPr>
      </w:pPr>
    </w:p>
    <w:p w14:paraId="57C015EF" w14:textId="77777777" w:rsidR="00B04937" w:rsidRPr="00815164" w:rsidRDefault="00B04937" w:rsidP="00B04937">
      <w:pPr>
        <w:spacing w:line="240" w:lineRule="auto"/>
        <w:rPr>
          <w:color w:val="002F5D"/>
          <w:sz w:val="18"/>
          <w:szCs w:val="18"/>
        </w:rPr>
      </w:pPr>
      <w:r w:rsidRPr="00815164">
        <w:rPr>
          <w:color w:val="002F5D"/>
          <w:sz w:val="18"/>
          <w:szCs w:val="18"/>
        </w:rPr>
        <w:t xml:space="preserve">Data for Cambridgeshire and Peterborough combined </w:t>
      </w:r>
      <w:r w:rsidR="00B43887" w:rsidRPr="00815164">
        <w:rPr>
          <w:color w:val="002F5D"/>
          <w:sz w:val="18"/>
          <w:szCs w:val="18"/>
        </w:rPr>
        <w:t>is</w:t>
      </w:r>
      <w:r w:rsidRPr="00815164">
        <w:rPr>
          <w:color w:val="002F5D"/>
          <w:sz w:val="18"/>
          <w:szCs w:val="18"/>
        </w:rPr>
        <w:t xml:space="preserve"> not available</w:t>
      </w:r>
    </w:p>
    <w:p w14:paraId="7F164E48" w14:textId="77777777" w:rsidR="00DA7242" w:rsidRPr="0037351D" w:rsidRDefault="00DA7242" w:rsidP="00DA7242">
      <w:pPr>
        <w:spacing w:line="240" w:lineRule="auto"/>
        <w:rPr>
          <w:color w:val="FF0000"/>
          <w:sz w:val="16"/>
          <w:szCs w:val="16"/>
        </w:rPr>
      </w:pPr>
    </w:p>
    <w:p w14:paraId="15C625E8" w14:textId="77777777" w:rsidR="00DA7242" w:rsidRPr="0037351D" w:rsidRDefault="00DA7242" w:rsidP="00DA7242">
      <w:pPr>
        <w:spacing w:line="240" w:lineRule="auto"/>
        <w:rPr>
          <w:color w:val="FF0000"/>
        </w:rPr>
      </w:pPr>
      <w:r w:rsidRPr="0037351D">
        <w:rPr>
          <w:noProof/>
          <w:color w:val="FF0000"/>
          <w:lang w:eastAsia="en-GB"/>
        </w:rPr>
        <w:drawing>
          <wp:inline distT="0" distB="0" distL="0" distR="0" wp14:anchorId="4CFB22B1" wp14:editId="596EB03F">
            <wp:extent cx="4123690" cy="46609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6DA8F199" w14:textId="77777777" w:rsidR="00DA7242" w:rsidRPr="0037351D" w:rsidRDefault="00DA7242" w:rsidP="00DA7242">
      <w:pPr>
        <w:spacing w:line="240" w:lineRule="auto"/>
        <w:rPr>
          <w:color w:val="FF0000"/>
          <w:sz w:val="16"/>
          <w:szCs w:val="16"/>
        </w:rPr>
      </w:pPr>
    </w:p>
    <w:p w14:paraId="05495CE4" w14:textId="17AD6A93" w:rsidR="00DA7242" w:rsidRPr="00815164" w:rsidRDefault="00DA7242" w:rsidP="007D0F46">
      <w:pPr>
        <w:spacing w:line="240" w:lineRule="auto"/>
        <w:rPr>
          <w:color w:val="002F5D"/>
        </w:rPr>
      </w:pPr>
      <w:r w:rsidRPr="00815164">
        <w:rPr>
          <w:b/>
          <w:color w:val="002F5D"/>
        </w:rPr>
        <w:t>Source:</w:t>
      </w:r>
      <w:r w:rsidR="0058576C">
        <w:rPr>
          <w:color w:val="002F5D"/>
        </w:rPr>
        <w:t xml:space="preserve"> ONS </w:t>
      </w:r>
      <w:r w:rsidR="0058576C" w:rsidRPr="0058576C">
        <w:rPr>
          <w:color w:val="002F5D"/>
        </w:rPr>
        <w:t>https://www.ons.gov.uk/peoplepopulationandcommunity/healthandsocialcare/healthandlifeexpectancies</w:t>
      </w:r>
    </w:p>
    <w:p w14:paraId="6A7D564A" w14:textId="77777777" w:rsidR="00DA7242" w:rsidRPr="00815164" w:rsidRDefault="00DA7242" w:rsidP="007D0F46">
      <w:pPr>
        <w:spacing w:line="240" w:lineRule="auto"/>
        <w:rPr>
          <w:color w:val="002F5D"/>
          <w:sz w:val="16"/>
          <w:szCs w:val="16"/>
        </w:rPr>
      </w:pPr>
    </w:p>
    <w:p w14:paraId="65644F50" w14:textId="77777777" w:rsidR="00DA7242" w:rsidRPr="00815164" w:rsidRDefault="00DA7242" w:rsidP="007D0F46">
      <w:pPr>
        <w:spacing w:line="240" w:lineRule="auto"/>
        <w:rPr>
          <w:b/>
          <w:color w:val="002F5D"/>
        </w:rPr>
      </w:pPr>
      <w:r w:rsidRPr="00815164">
        <w:rPr>
          <w:b/>
          <w:color w:val="002F5D"/>
        </w:rPr>
        <w:t>Key points:</w:t>
      </w:r>
    </w:p>
    <w:p w14:paraId="5443A89F" w14:textId="72DE3D2D" w:rsidR="00DA7242" w:rsidRDefault="00DA7242" w:rsidP="007D0F46">
      <w:pPr>
        <w:pStyle w:val="ListParagraph"/>
        <w:numPr>
          <w:ilvl w:val="0"/>
          <w:numId w:val="49"/>
        </w:numPr>
        <w:spacing w:line="240" w:lineRule="auto"/>
        <w:rPr>
          <w:color w:val="002F5D"/>
        </w:rPr>
      </w:pPr>
      <w:r w:rsidRPr="00815164">
        <w:rPr>
          <w:color w:val="002F5D"/>
        </w:rPr>
        <w:t>The number of years lived in good health (health life expectancy at birth) is statistically significantly higher than the England average in women in Cambridgeshire.</w:t>
      </w:r>
    </w:p>
    <w:p w14:paraId="6F2A18F3" w14:textId="4B6F4526" w:rsidR="0058576C" w:rsidRDefault="0058576C" w:rsidP="0058576C">
      <w:pPr>
        <w:pStyle w:val="ListParagraph"/>
        <w:numPr>
          <w:ilvl w:val="0"/>
          <w:numId w:val="49"/>
        </w:numPr>
        <w:spacing w:line="240" w:lineRule="auto"/>
        <w:rPr>
          <w:color w:val="002F5D"/>
        </w:rPr>
      </w:pPr>
      <w:r w:rsidRPr="00815164">
        <w:rPr>
          <w:color w:val="002F5D"/>
        </w:rPr>
        <w:t>The number of years lived in good health (health life expectancy at birth) is st</w:t>
      </w:r>
      <w:r>
        <w:rPr>
          <w:color w:val="002F5D"/>
        </w:rPr>
        <w:t>atistically significantly lower</w:t>
      </w:r>
      <w:r w:rsidRPr="00815164">
        <w:rPr>
          <w:color w:val="002F5D"/>
        </w:rPr>
        <w:t xml:space="preserve"> than the England average in women in </w:t>
      </w:r>
      <w:r>
        <w:rPr>
          <w:color w:val="002F5D"/>
        </w:rPr>
        <w:t>Peterborough</w:t>
      </w:r>
      <w:r w:rsidRPr="00815164">
        <w:rPr>
          <w:color w:val="002F5D"/>
        </w:rPr>
        <w:t>.</w:t>
      </w:r>
    </w:p>
    <w:p w14:paraId="42A8BF91" w14:textId="53E53EE8" w:rsidR="00CF5C58" w:rsidRDefault="00CF5C58" w:rsidP="007D0F46">
      <w:pPr>
        <w:pStyle w:val="ListParagraph"/>
        <w:numPr>
          <w:ilvl w:val="0"/>
          <w:numId w:val="49"/>
        </w:numPr>
        <w:spacing w:line="240" w:lineRule="auto"/>
        <w:rPr>
          <w:color w:val="002F5D"/>
        </w:rPr>
      </w:pPr>
      <w:r w:rsidRPr="00815164">
        <w:rPr>
          <w:color w:val="002F5D"/>
        </w:rPr>
        <w:t>The number of years lived in good health (health life expectancy at birth) is statistically simila</w:t>
      </w:r>
      <w:r w:rsidR="00EB2E56">
        <w:rPr>
          <w:color w:val="002F5D"/>
        </w:rPr>
        <w:t>r to the national average for men</w:t>
      </w:r>
      <w:r w:rsidRPr="00815164">
        <w:rPr>
          <w:color w:val="002F5D"/>
        </w:rPr>
        <w:t xml:space="preserve"> in</w:t>
      </w:r>
      <w:r w:rsidR="00EB2E56">
        <w:rPr>
          <w:color w:val="002F5D"/>
        </w:rPr>
        <w:t xml:space="preserve"> both Cambridgeshire and</w:t>
      </w:r>
      <w:r w:rsidRPr="00815164">
        <w:rPr>
          <w:color w:val="002F5D"/>
        </w:rPr>
        <w:t xml:space="preserve"> Peterborough.</w:t>
      </w:r>
    </w:p>
    <w:p w14:paraId="1CAB203A" w14:textId="4A8721E6" w:rsidR="00BF3939" w:rsidRDefault="00BF3939" w:rsidP="00330B65">
      <w:pPr>
        <w:spacing w:line="240" w:lineRule="auto"/>
        <w:rPr>
          <w:color w:val="002F5D"/>
        </w:rPr>
      </w:pPr>
    </w:p>
    <w:p w14:paraId="3D2C3FC8" w14:textId="1A3E5064" w:rsidR="00BF3939" w:rsidRDefault="00BF3939" w:rsidP="00330B65">
      <w:pPr>
        <w:spacing w:line="240" w:lineRule="auto"/>
        <w:rPr>
          <w:color w:val="002F5D"/>
        </w:rPr>
      </w:pPr>
    </w:p>
    <w:p w14:paraId="639ECB6A" w14:textId="0951772D" w:rsidR="00BF3939" w:rsidRDefault="00BF3939" w:rsidP="00330B65">
      <w:pPr>
        <w:spacing w:line="240" w:lineRule="auto"/>
        <w:rPr>
          <w:color w:val="002F5D"/>
        </w:rPr>
      </w:pPr>
    </w:p>
    <w:p w14:paraId="1555B478" w14:textId="5BE17E5A" w:rsidR="00BF3939" w:rsidRDefault="00BF3939" w:rsidP="00330B65">
      <w:pPr>
        <w:spacing w:line="240" w:lineRule="auto"/>
        <w:rPr>
          <w:color w:val="002F5D"/>
        </w:rPr>
      </w:pPr>
    </w:p>
    <w:p w14:paraId="74B91D95" w14:textId="09D4BE22" w:rsidR="00BF3939" w:rsidRDefault="00BF3939" w:rsidP="00330B65">
      <w:pPr>
        <w:spacing w:line="240" w:lineRule="auto"/>
        <w:rPr>
          <w:color w:val="002F5D"/>
        </w:rPr>
      </w:pPr>
    </w:p>
    <w:p w14:paraId="418EDCFE" w14:textId="6E538F94" w:rsidR="00BF3939" w:rsidRDefault="00BF3939" w:rsidP="00330B65">
      <w:pPr>
        <w:spacing w:line="240" w:lineRule="auto"/>
        <w:rPr>
          <w:color w:val="002F5D"/>
        </w:rPr>
      </w:pPr>
    </w:p>
    <w:p w14:paraId="16B80F23" w14:textId="05695720" w:rsidR="00BF3939" w:rsidRDefault="00BF3939" w:rsidP="00330B65">
      <w:pPr>
        <w:spacing w:line="240" w:lineRule="auto"/>
        <w:rPr>
          <w:color w:val="002F5D"/>
        </w:rPr>
      </w:pPr>
    </w:p>
    <w:p w14:paraId="3540160E" w14:textId="779BDF1F" w:rsidR="00BF3939" w:rsidRDefault="00BF3939" w:rsidP="00330B65">
      <w:pPr>
        <w:spacing w:line="240" w:lineRule="auto"/>
        <w:rPr>
          <w:color w:val="002F5D"/>
        </w:rPr>
      </w:pPr>
    </w:p>
    <w:p w14:paraId="31CBAF22" w14:textId="7331EC98" w:rsidR="00BF3939" w:rsidRDefault="00BF3939" w:rsidP="00330B65">
      <w:pPr>
        <w:spacing w:line="240" w:lineRule="auto"/>
        <w:rPr>
          <w:color w:val="002F5D"/>
        </w:rPr>
      </w:pPr>
    </w:p>
    <w:p w14:paraId="5D4E7389" w14:textId="5B1FD797" w:rsidR="00BF3939" w:rsidRDefault="00BF3939" w:rsidP="00330B65">
      <w:pPr>
        <w:spacing w:line="240" w:lineRule="auto"/>
        <w:rPr>
          <w:color w:val="002F5D"/>
        </w:rPr>
      </w:pPr>
    </w:p>
    <w:p w14:paraId="6F9E9FCF" w14:textId="159B87A8" w:rsidR="00BF3939" w:rsidRDefault="00BF3939" w:rsidP="00330B65">
      <w:pPr>
        <w:spacing w:line="240" w:lineRule="auto"/>
        <w:rPr>
          <w:color w:val="002F5D"/>
        </w:rPr>
      </w:pPr>
    </w:p>
    <w:p w14:paraId="0AAFF3FA" w14:textId="1704FAAA" w:rsidR="00BF3939" w:rsidRDefault="00BF3939" w:rsidP="00330B65">
      <w:pPr>
        <w:spacing w:line="240" w:lineRule="auto"/>
        <w:rPr>
          <w:color w:val="002F5D"/>
        </w:rPr>
      </w:pPr>
    </w:p>
    <w:p w14:paraId="351107A0" w14:textId="2377FC1D" w:rsidR="00BF3939" w:rsidRDefault="00BF3939" w:rsidP="00330B65">
      <w:pPr>
        <w:spacing w:line="240" w:lineRule="auto"/>
        <w:rPr>
          <w:color w:val="002F5D"/>
        </w:rPr>
      </w:pPr>
    </w:p>
    <w:p w14:paraId="4D0FB349" w14:textId="32F7F4CE" w:rsidR="00BF3939" w:rsidRDefault="00BF3939" w:rsidP="00330B65">
      <w:pPr>
        <w:spacing w:line="240" w:lineRule="auto"/>
        <w:rPr>
          <w:color w:val="002F5D"/>
        </w:rPr>
      </w:pPr>
    </w:p>
    <w:p w14:paraId="6D7740CD" w14:textId="3DA7E339" w:rsidR="00BF3939" w:rsidRDefault="00BF3939" w:rsidP="00330B65">
      <w:pPr>
        <w:spacing w:line="240" w:lineRule="auto"/>
        <w:rPr>
          <w:color w:val="002F5D"/>
        </w:rPr>
      </w:pPr>
    </w:p>
    <w:p w14:paraId="6CC4CE5B" w14:textId="024EB66B" w:rsidR="00BF3939" w:rsidRDefault="00BF3939" w:rsidP="00330B65">
      <w:pPr>
        <w:spacing w:line="240" w:lineRule="auto"/>
        <w:rPr>
          <w:color w:val="002F5D"/>
        </w:rPr>
      </w:pPr>
    </w:p>
    <w:p w14:paraId="20B8E6F0" w14:textId="77777777" w:rsidR="00BF3939" w:rsidRPr="00330B65" w:rsidRDefault="00BF3939" w:rsidP="00330B65">
      <w:pPr>
        <w:spacing w:line="240" w:lineRule="auto"/>
        <w:rPr>
          <w:color w:val="002F5D"/>
        </w:rPr>
      </w:pPr>
    </w:p>
    <w:p w14:paraId="5EC9F56A" w14:textId="77777777" w:rsidR="00CF5C58" w:rsidRPr="006E14F5" w:rsidRDefault="00CF5C58" w:rsidP="00CF5C58">
      <w:pPr>
        <w:pStyle w:val="ListParagraph"/>
        <w:spacing w:line="240" w:lineRule="auto"/>
        <w:rPr>
          <w:b/>
          <w:color w:val="002F5D"/>
          <w:sz w:val="16"/>
          <w:szCs w:val="16"/>
        </w:rPr>
      </w:pPr>
    </w:p>
    <w:p w14:paraId="04D8D840" w14:textId="0C73323A" w:rsidR="00EB7163" w:rsidRPr="00330B65" w:rsidRDefault="006543B9" w:rsidP="006543B9">
      <w:pPr>
        <w:pStyle w:val="Caption"/>
        <w:rPr>
          <w:color w:val="002F5D"/>
        </w:rPr>
      </w:pPr>
      <w:r w:rsidRPr="006E14F5">
        <w:rPr>
          <w:b/>
          <w:color w:val="002F5D"/>
        </w:rPr>
        <w:t>Figure</w:t>
      </w:r>
      <w:r w:rsidR="00A2366A">
        <w:rPr>
          <w:b/>
          <w:color w:val="002F5D"/>
        </w:rPr>
        <w:t xml:space="preserve"> 65</w:t>
      </w:r>
      <w:r w:rsidR="00DA7242" w:rsidRPr="006E14F5">
        <w:rPr>
          <w:b/>
          <w:color w:val="002F5D"/>
        </w:rPr>
        <w:t xml:space="preserve">. </w:t>
      </w:r>
      <w:r w:rsidR="00DA7242" w:rsidRPr="00330B65">
        <w:rPr>
          <w:color w:val="002F5D"/>
        </w:rPr>
        <w:t>Life expectancy at</w:t>
      </w:r>
      <w:r w:rsidR="00EB7163" w:rsidRPr="00330B65">
        <w:rPr>
          <w:color w:val="002F5D"/>
        </w:rPr>
        <w:t xml:space="preserve"> birth, </w:t>
      </w:r>
      <w:r w:rsidR="00E2073D" w:rsidRPr="00330B65">
        <w:rPr>
          <w:color w:val="002F5D"/>
        </w:rPr>
        <w:t xml:space="preserve">Cambridgeshire, Peterborough and England, </w:t>
      </w:r>
      <w:r w:rsidR="00EB2E56" w:rsidRPr="00330B65">
        <w:rPr>
          <w:color w:val="002F5D"/>
        </w:rPr>
        <w:t>2001-03 to 2015-</w:t>
      </w:r>
      <w:r w:rsidR="00DA7242" w:rsidRPr="00330B65">
        <w:rPr>
          <w:color w:val="002F5D"/>
        </w:rPr>
        <w:t>1</w:t>
      </w:r>
      <w:r w:rsidR="00EB2E56" w:rsidRPr="00330B65">
        <w:rPr>
          <w:color w:val="002F5D"/>
        </w:rPr>
        <w:t>7</w:t>
      </w:r>
    </w:p>
    <w:p w14:paraId="760E175D" w14:textId="77777777" w:rsidR="00EB2E56" w:rsidRPr="00EB2E56" w:rsidRDefault="00EB2E56" w:rsidP="00EB2E56"/>
    <w:p w14:paraId="4EF16B80" w14:textId="4CE159AC" w:rsidR="00E2073D" w:rsidRPr="00EB2E56" w:rsidRDefault="00EB2E56" w:rsidP="00E2073D">
      <w:pPr>
        <w:rPr>
          <w:color w:val="002F5D"/>
          <w:sz w:val="16"/>
          <w:szCs w:val="16"/>
        </w:rPr>
      </w:pPr>
      <w:r>
        <w:rPr>
          <w:noProof/>
          <w:color w:val="002F5D"/>
          <w:sz w:val="16"/>
          <w:szCs w:val="16"/>
          <w:lang w:eastAsia="en-GB"/>
        </w:rPr>
        <w:drawing>
          <wp:inline distT="0" distB="0" distL="0" distR="0" wp14:anchorId="45AB8DAB" wp14:editId="40F25CF4">
            <wp:extent cx="5791835" cy="343217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91835" cy="3432175"/>
                    </a:xfrm>
                    <a:prstGeom prst="rect">
                      <a:avLst/>
                    </a:prstGeom>
                    <a:noFill/>
                  </pic:spPr>
                </pic:pic>
              </a:graphicData>
            </a:graphic>
          </wp:inline>
        </w:drawing>
      </w:r>
    </w:p>
    <w:p w14:paraId="1EB5EF22" w14:textId="77777777" w:rsidR="00DA7242" w:rsidRPr="0037351D" w:rsidRDefault="00DA7242" w:rsidP="00B43887">
      <w:pPr>
        <w:pStyle w:val="Caption"/>
        <w:rPr>
          <w:color w:val="FF0000"/>
          <w:sz w:val="16"/>
          <w:szCs w:val="16"/>
        </w:rPr>
      </w:pPr>
    </w:p>
    <w:p w14:paraId="44A3B8D4" w14:textId="77777777" w:rsidR="00DA7242" w:rsidRPr="0037351D" w:rsidRDefault="00DA7242" w:rsidP="00B43887">
      <w:pPr>
        <w:spacing w:line="240" w:lineRule="auto"/>
        <w:rPr>
          <w:color w:val="FF0000"/>
        </w:rPr>
      </w:pPr>
      <w:r w:rsidRPr="0037351D">
        <w:rPr>
          <w:noProof/>
          <w:color w:val="FF0000"/>
          <w:lang w:eastAsia="en-GB"/>
        </w:rPr>
        <w:drawing>
          <wp:inline distT="0" distB="0" distL="0" distR="0" wp14:anchorId="7F15A389" wp14:editId="7C2FB561">
            <wp:extent cx="4123690" cy="46609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57F66FCF" w14:textId="77777777" w:rsidR="00DA7242" w:rsidRPr="0037351D" w:rsidRDefault="00DA7242" w:rsidP="00B43887">
      <w:pPr>
        <w:spacing w:line="240" w:lineRule="auto"/>
        <w:rPr>
          <w:color w:val="FF0000"/>
          <w:sz w:val="16"/>
          <w:szCs w:val="16"/>
        </w:rPr>
      </w:pPr>
    </w:p>
    <w:p w14:paraId="242C4D64" w14:textId="77777777" w:rsidR="00DA7242" w:rsidRPr="006E14F5" w:rsidRDefault="00DA7242" w:rsidP="00B43887">
      <w:pPr>
        <w:spacing w:line="240" w:lineRule="auto"/>
        <w:rPr>
          <w:color w:val="002F5D"/>
        </w:rPr>
      </w:pPr>
      <w:r w:rsidRPr="006E14F5">
        <w:rPr>
          <w:b/>
          <w:color w:val="002F5D"/>
        </w:rPr>
        <w:t>Source:</w:t>
      </w:r>
      <w:r w:rsidRPr="006E14F5">
        <w:rPr>
          <w:color w:val="002F5D"/>
        </w:rPr>
        <w:t xml:space="preserve"> Public Health England Public Health Outcomes Framework indicator 0.1ii</w:t>
      </w:r>
    </w:p>
    <w:p w14:paraId="52A1AC1A" w14:textId="77777777" w:rsidR="00DA7242" w:rsidRPr="006E14F5" w:rsidRDefault="00DA7242" w:rsidP="00B43887">
      <w:pPr>
        <w:spacing w:line="240" w:lineRule="auto"/>
        <w:rPr>
          <w:color w:val="002F5D"/>
          <w:sz w:val="16"/>
          <w:szCs w:val="16"/>
        </w:rPr>
      </w:pPr>
    </w:p>
    <w:p w14:paraId="1F5432D2" w14:textId="77777777" w:rsidR="00DA7242" w:rsidRPr="006E14F5" w:rsidRDefault="00DA7242" w:rsidP="00B43887">
      <w:pPr>
        <w:spacing w:line="240" w:lineRule="auto"/>
        <w:rPr>
          <w:b/>
          <w:color w:val="002F5D"/>
        </w:rPr>
      </w:pPr>
      <w:r w:rsidRPr="006E14F5">
        <w:rPr>
          <w:b/>
          <w:color w:val="002F5D"/>
        </w:rPr>
        <w:t>Key points:</w:t>
      </w:r>
    </w:p>
    <w:p w14:paraId="7C2E5FCD" w14:textId="77777777" w:rsidR="00E2073D" w:rsidRPr="006E14F5" w:rsidRDefault="00E2073D" w:rsidP="00B43887">
      <w:pPr>
        <w:pStyle w:val="ListParagraph"/>
        <w:numPr>
          <w:ilvl w:val="0"/>
          <w:numId w:val="49"/>
        </w:numPr>
        <w:spacing w:line="240" w:lineRule="auto"/>
        <w:rPr>
          <w:color w:val="002F5D"/>
        </w:rPr>
      </w:pPr>
      <w:r w:rsidRPr="006E14F5">
        <w:rPr>
          <w:color w:val="002F5D"/>
        </w:rPr>
        <w:t>Life expectancy at birth in men and women in Peterborough has generally been statistically worse than the England average since 2001-03.</w:t>
      </w:r>
    </w:p>
    <w:p w14:paraId="1A1E408C" w14:textId="32ED1C19" w:rsidR="00B5588F" w:rsidRPr="006E14F5" w:rsidRDefault="00B5588F" w:rsidP="00B43887">
      <w:pPr>
        <w:pStyle w:val="ListParagraph"/>
        <w:numPr>
          <w:ilvl w:val="0"/>
          <w:numId w:val="49"/>
        </w:numPr>
        <w:spacing w:line="240" w:lineRule="auto"/>
        <w:rPr>
          <w:color w:val="002F5D"/>
        </w:rPr>
      </w:pPr>
      <w:r w:rsidRPr="006E14F5">
        <w:rPr>
          <w:color w:val="002F5D"/>
        </w:rPr>
        <w:t>Life expectancy at birth in men and women in Cambridgeshire has consistently been st</w:t>
      </w:r>
      <w:r w:rsidR="007928D2">
        <w:rPr>
          <w:color w:val="002F5D"/>
        </w:rPr>
        <w:t>atistically significantly better</w:t>
      </w:r>
      <w:r w:rsidRPr="006E14F5">
        <w:rPr>
          <w:color w:val="002F5D"/>
        </w:rPr>
        <w:t xml:space="preserve"> than the England average since 2001-03.</w:t>
      </w:r>
    </w:p>
    <w:p w14:paraId="159F051E" w14:textId="412285C2" w:rsidR="005B36E3" w:rsidRDefault="005B36E3" w:rsidP="00EB7163">
      <w:pPr>
        <w:pStyle w:val="Caption"/>
        <w:rPr>
          <w:b/>
          <w:color w:val="002F5D"/>
        </w:rPr>
      </w:pPr>
    </w:p>
    <w:p w14:paraId="64724B66" w14:textId="4F8833C7" w:rsidR="00BF3939" w:rsidRDefault="00BF3939" w:rsidP="00330B65"/>
    <w:p w14:paraId="37372CB0" w14:textId="3D9E9923" w:rsidR="00BF3939" w:rsidRDefault="00BF3939" w:rsidP="00330B65"/>
    <w:p w14:paraId="0865BA12" w14:textId="1775C36B" w:rsidR="00BF3939" w:rsidRDefault="00BF3939" w:rsidP="00330B65"/>
    <w:p w14:paraId="1BD696F2" w14:textId="05290B24" w:rsidR="00BF3939" w:rsidRDefault="00BF3939" w:rsidP="00330B65"/>
    <w:p w14:paraId="129D147C" w14:textId="6E38C38E" w:rsidR="00BF3939" w:rsidRDefault="00BF3939" w:rsidP="00330B65"/>
    <w:p w14:paraId="12B32370" w14:textId="5A29267E" w:rsidR="00BF3939" w:rsidRDefault="00BF3939" w:rsidP="00330B65"/>
    <w:p w14:paraId="77B6A808" w14:textId="2C5D0D32" w:rsidR="00BF3939" w:rsidRDefault="00BF3939" w:rsidP="00330B65"/>
    <w:p w14:paraId="08D00146" w14:textId="427FE0F1" w:rsidR="00BF3939" w:rsidRDefault="00BF3939" w:rsidP="00330B65"/>
    <w:p w14:paraId="3EE55225" w14:textId="35480ACF" w:rsidR="00BF3939" w:rsidRDefault="00BF3939" w:rsidP="00330B65"/>
    <w:p w14:paraId="27D3834A" w14:textId="44EFD763" w:rsidR="00BF3939" w:rsidRDefault="00BF3939" w:rsidP="00330B65"/>
    <w:p w14:paraId="4026D3CC" w14:textId="06AE2213" w:rsidR="00BF3939" w:rsidRDefault="00BF3939" w:rsidP="00330B65"/>
    <w:p w14:paraId="615DDD89" w14:textId="632C0581" w:rsidR="00BF3939" w:rsidRDefault="00BF3939" w:rsidP="00330B65"/>
    <w:p w14:paraId="2ADBFF08" w14:textId="637E05FF" w:rsidR="00BF3939" w:rsidRDefault="00BF3939" w:rsidP="00330B65"/>
    <w:p w14:paraId="74B8E0F3" w14:textId="60135A23" w:rsidR="00BF3939" w:rsidRDefault="00BF3939" w:rsidP="00330B65"/>
    <w:p w14:paraId="6175D63E" w14:textId="1E953FB6" w:rsidR="00BF3939" w:rsidRDefault="00BF3939" w:rsidP="00330B65"/>
    <w:p w14:paraId="5EB9DCE4" w14:textId="3820E52E" w:rsidR="00BF3939" w:rsidRDefault="00BF3939" w:rsidP="00330B65"/>
    <w:p w14:paraId="6104D792" w14:textId="77777777" w:rsidR="00BF3939" w:rsidRPr="00330B65" w:rsidRDefault="00BF3939" w:rsidP="00330B65"/>
    <w:p w14:paraId="1094039A" w14:textId="177D2A07" w:rsidR="00EB7163" w:rsidRPr="00330B65" w:rsidRDefault="00EB7163" w:rsidP="00EB7163">
      <w:pPr>
        <w:pStyle w:val="Caption"/>
        <w:rPr>
          <w:color w:val="002F5D"/>
        </w:rPr>
      </w:pPr>
      <w:r w:rsidRPr="006E14F5">
        <w:rPr>
          <w:b/>
          <w:color w:val="002F5D"/>
        </w:rPr>
        <w:t xml:space="preserve">Figure </w:t>
      </w:r>
      <w:r w:rsidR="00A2366A">
        <w:rPr>
          <w:b/>
          <w:color w:val="002F5D"/>
        </w:rPr>
        <w:t>66</w:t>
      </w:r>
      <w:r w:rsidRPr="00330B65">
        <w:rPr>
          <w:color w:val="002F5D"/>
        </w:rPr>
        <w:t xml:space="preserve">. Life expectancy at birth, </w:t>
      </w:r>
      <w:r w:rsidR="00E2073D" w:rsidRPr="00330B65">
        <w:rPr>
          <w:color w:val="002F5D"/>
        </w:rPr>
        <w:t>Fe</w:t>
      </w:r>
      <w:r w:rsidR="00926CD6" w:rsidRPr="00330B65">
        <w:rPr>
          <w:color w:val="002F5D"/>
        </w:rPr>
        <w:t>nland, Cambridgeshire and Engla</w:t>
      </w:r>
      <w:r w:rsidR="00E2073D" w:rsidRPr="00330B65">
        <w:rPr>
          <w:color w:val="002F5D"/>
        </w:rPr>
        <w:t>nd</w:t>
      </w:r>
      <w:r w:rsidR="00EB2E56" w:rsidRPr="00330B65">
        <w:rPr>
          <w:color w:val="002F5D"/>
        </w:rPr>
        <w:t>, 2001-03 to 2015-17</w:t>
      </w:r>
    </w:p>
    <w:p w14:paraId="76E64B64" w14:textId="77777777" w:rsidR="006947C6" w:rsidRPr="006947C6" w:rsidRDefault="006947C6" w:rsidP="006947C6"/>
    <w:p w14:paraId="4FFC50EC" w14:textId="6DC1A628" w:rsidR="00EB7163" w:rsidRPr="00EB2E56" w:rsidRDefault="006947C6" w:rsidP="00EB2E56">
      <w:r>
        <w:rPr>
          <w:noProof/>
          <w:lang w:eastAsia="en-GB"/>
        </w:rPr>
        <w:drawing>
          <wp:inline distT="0" distB="0" distL="0" distR="0" wp14:anchorId="66DCA059" wp14:editId="694F2397">
            <wp:extent cx="5791835" cy="3426460"/>
            <wp:effectExtent l="0" t="0" r="0" b="254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91835" cy="3426460"/>
                    </a:xfrm>
                    <a:prstGeom prst="rect">
                      <a:avLst/>
                    </a:prstGeom>
                    <a:noFill/>
                  </pic:spPr>
                </pic:pic>
              </a:graphicData>
            </a:graphic>
          </wp:inline>
        </w:drawing>
      </w:r>
    </w:p>
    <w:p w14:paraId="6669362E" w14:textId="77777777" w:rsidR="00EB7163" w:rsidRPr="0037351D" w:rsidRDefault="00EB7163" w:rsidP="00B43887">
      <w:pPr>
        <w:spacing w:line="240" w:lineRule="auto"/>
        <w:rPr>
          <w:color w:val="FF0000"/>
          <w:sz w:val="18"/>
        </w:rPr>
      </w:pPr>
    </w:p>
    <w:p w14:paraId="6D505D99" w14:textId="77777777" w:rsidR="00EB7163" w:rsidRPr="0037351D" w:rsidRDefault="00EB7163" w:rsidP="00B43887">
      <w:pPr>
        <w:spacing w:line="240" w:lineRule="auto"/>
        <w:rPr>
          <w:color w:val="FF0000"/>
        </w:rPr>
      </w:pPr>
      <w:r w:rsidRPr="0037351D">
        <w:rPr>
          <w:noProof/>
          <w:color w:val="FF0000"/>
          <w:lang w:eastAsia="en-GB"/>
        </w:rPr>
        <w:drawing>
          <wp:inline distT="0" distB="0" distL="0" distR="0" wp14:anchorId="6BAAAE45" wp14:editId="0DEC71D9">
            <wp:extent cx="4123690" cy="46609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3F239D16" w14:textId="77777777" w:rsidR="00EB7163" w:rsidRPr="0037351D" w:rsidRDefault="00EB7163" w:rsidP="00B43887">
      <w:pPr>
        <w:spacing w:line="240" w:lineRule="auto"/>
        <w:rPr>
          <w:color w:val="FF0000"/>
        </w:rPr>
      </w:pPr>
    </w:p>
    <w:p w14:paraId="544E1B0D" w14:textId="77777777" w:rsidR="00EB7163" w:rsidRPr="006E14F5" w:rsidRDefault="00EB7163" w:rsidP="00B43887">
      <w:pPr>
        <w:spacing w:line="240" w:lineRule="auto"/>
        <w:rPr>
          <w:color w:val="002F5D"/>
        </w:rPr>
      </w:pPr>
      <w:r w:rsidRPr="006E14F5">
        <w:rPr>
          <w:b/>
          <w:color w:val="002F5D"/>
        </w:rPr>
        <w:t>Source:</w:t>
      </w:r>
      <w:r w:rsidRPr="006E14F5">
        <w:rPr>
          <w:color w:val="002F5D"/>
        </w:rPr>
        <w:t xml:space="preserve"> Public Health England Public Health Outcomes Framework indicator 0.1ii</w:t>
      </w:r>
    </w:p>
    <w:p w14:paraId="53709531" w14:textId="77777777" w:rsidR="00EB7163" w:rsidRPr="006E14F5" w:rsidRDefault="00EB7163" w:rsidP="00B43887">
      <w:pPr>
        <w:spacing w:line="240" w:lineRule="auto"/>
        <w:rPr>
          <w:color w:val="002F5D"/>
        </w:rPr>
      </w:pPr>
    </w:p>
    <w:p w14:paraId="21185FFB" w14:textId="77777777" w:rsidR="00EB7163" w:rsidRPr="006E14F5" w:rsidRDefault="00EB7163" w:rsidP="00B43887">
      <w:pPr>
        <w:spacing w:line="240" w:lineRule="auto"/>
        <w:rPr>
          <w:b/>
          <w:color w:val="002F5D"/>
        </w:rPr>
      </w:pPr>
      <w:r w:rsidRPr="006E14F5">
        <w:rPr>
          <w:b/>
          <w:color w:val="002F5D"/>
        </w:rPr>
        <w:t>Key points:</w:t>
      </w:r>
    </w:p>
    <w:p w14:paraId="3F26D83B" w14:textId="77777777" w:rsidR="00E2073D" w:rsidRPr="006E14F5" w:rsidRDefault="00E2073D" w:rsidP="00B43887">
      <w:pPr>
        <w:pStyle w:val="ListParagraph"/>
        <w:numPr>
          <w:ilvl w:val="0"/>
          <w:numId w:val="49"/>
        </w:numPr>
        <w:spacing w:line="240" w:lineRule="auto"/>
        <w:rPr>
          <w:color w:val="002F5D"/>
        </w:rPr>
      </w:pPr>
      <w:r w:rsidRPr="006E14F5">
        <w:rPr>
          <w:color w:val="002F5D"/>
        </w:rPr>
        <w:t>Life expectancy at birth in men and women in Fenland has generally been statistically similar to the England average since 2001-03 but notably lower than the county average.</w:t>
      </w:r>
    </w:p>
    <w:p w14:paraId="5042242D" w14:textId="41231CA1" w:rsidR="00E2073D" w:rsidRPr="006E14F5" w:rsidRDefault="00E2073D" w:rsidP="00B43887">
      <w:pPr>
        <w:pStyle w:val="ListParagraph"/>
        <w:numPr>
          <w:ilvl w:val="0"/>
          <w:numId w:val="49"/>
        </w:numPr>
        <w:spacing w:line="240" w:lineRule="auto"/>
        <w:rPr>
          <w:color w:val="002F5D"/>
        </w:rPr>
      </w:pPr>
      <w:r w:rsidRPr="006E14F5">
        <w:rPr>
          <w:color w:val="002F5D"/>
        </w:rPr>
        <w:t xml:space="preserve">In men, life expectancy appears to have stabilised in Cambridgeshire but a fall in Fenland in 2013-15 brought the value down to a level statistically significantly </w:t>
      </w:r>
      <w:r w:rsidR="007D0F46" w:rsidRPr="006E14F5">
        <w:rPr>
          <w:color w:val="002F5D"/>
        </w:rPr>
        <w:t>worse level than the national average, with a further decrease</w:t>
      </w:r>
      <w:r w:rsidR="006947C6">
        <w:rPr>
          <w:color w:val="002F5D"/>
        </w:rPr>
        <w:t>s</w:t>
      </w:r>
      <w:r w:rsidR="007D0F46" w:rsidRPr="006E14F5">
        <w:rPr>
          <w:color w:val="002F5D"/>
        </w:rPr>
        <w:t xml:space="preserve"> in 2014-16</w:t>
      </w:r>
      <w:r w:rsidR="006947C6">
        <w:rPr>
          <w:color w:val="002F5D"/>
        </w:rPr>
        <w:t xml:space="preserve"> and 2015-17</w:t>
      </w:r>
      <w:r w:rsidR="007D0F46" w:rsidRPr="006E14F5">
        <w:rPr>
          <w:color w:val="002F5D"/>
        </w:rPr>
        <w:t>.</w:t>
      </w:r>
    </w:p>
    <w:p w14:paraId="1472BCE6" w14:textId="5D017634" w:rsidR="00E2073D" w:rsidRPr="006E14F5" w:rsidRDefault="00926CD6" w:rsidP="00B43887">
      <w:pPr>
        <w:pStyle w:val="ListParagraph"/>
        <w:numPr>
          <w:ilvl w:val="0"/>
          <w:numId w:val="49"/>
        </w:numPr>
        <w:spacing w:line="240" w:lineRule="auto"/>
        <w:rPr>
          <w:color w:val="002F5D"/>
        </w:rPr>
      </w:pPr>
      <w:r w:rsidRPr="006E14F5">
        <w:rPr>
          <w:color w:val="002F5D"/>
        </w:rPr>
        <w:t>In wome</w:t>
      </w:r>
      <w:r w:rsidR="007928D2">
        <w:rPr>
          <w:color w:val="002F5D"/>
        </w:rPr>
        <w:t>n, Fenland’s life expectancy</w:t>
      </w:r>
      <w:r w:rsidRPr="006E14F5">
        <w:rPr>
          <w:color w:val="002F5D"/>
        </w:rPr>
        <w:t xml:space="preserve"> increased </w:t>
      </w:r>
      <w:r w:rsidR="007928D2">
        <w:rPr>
          <w:color w:val="002F5D"/>
        </w:rPr>
        <w:t xml:space="preserve">consistently over the period 2004-06 to 2011-13 </w:t>
      </w:r>
      <w:r w:rsidRPr="006E14F5">
        <w:rPr>
          <w:color w:val="002F5D"/>
        </w:rPr>
        <w:t>but recently ha</w:t>
      </w:r>
      <w:r w:rsidR="00861ADD">
        <w:rPr>
          <w:color w:val="002F5D"/>
        </w:rPr>
        <w:t>s</w:t>
      </w:r>
      <w:r w:rsidRPr="006E14F5">
        <w:rPr>
          <w:color w:val="002F5D"/>
        </w:rPr>
        <w:t xml:space="preserve"> again been declining, with the 2014-2016 </w:t>
      </w:r>
      <w:r w:rsidR="006947C6">
        <w:rPr>
          <w:color w:val="002F5D"/>
        </w:rPr>
        <w:t xml:space="preserve">and 2015-17 </w:t>
      </w:r>
      <w:r w:rsidRPr="006E14F5">
        <w:rPr>
          <w:color w:val="002F5D"/>
        </w:rPr>
        <w:t>rate</w:t>
      </w:r>
      <w:r w:rsidR="006947C6">
        <w:rPr>
          <w:color w:val="002F5D"/>
        </w:rPr>
        <w:t>s</w:t>
      </w:r>
      <w:r w:rsidRPr="006E14F5">
        <w:rPr>
          <w:color w:val="002F5D"/>
        </w:rPr>
        <w:t xml:space="preserve"> statistically significant</w:t>
      </w:r>
      <w:r w:rsidR="007928D2">
        <w:rPr>
          <w:color w:val="002F5D"/>
        </w:rPr>
        <w:t>ly below the England level for the fi</w:t>
      </w:r>
      <w:r w:rsidR="00556DB4">
        <w:rPr>
          <w:color w:val="002F5D"/>
        </w:rPr>
        <w:t>rst time since 2005-07</w:t>
      </w:r>
      <w:r w:rsidRPr="006E14F5">
        <w:rPr>
          <w:color w:val="002F5D"/>
        </w:rPr>
        <w:t>.</w:t>
      </w:r>
    </w:p>
    <w:p w14:paraId="10C58246" w14:textId="77777777" w:rsidR="003A021F" w:rsidRPr="006E14F5" w:rsidRDefault="003A021F">
      <w:pPr>
        <w:rPr>
          <w:b/>
          <w:color w:val="002F5D"/>
        </w:rPr>
      </w:pPr>
      <w:r w:rsidRPr="006E14F5">
        <w:rPr>
          <w:b/>
          <w:color w:val="002F5D"/>
        </w:rPr>
        <w:br w:type="page"/>
      </w:r>
    </w:p>
    <w:p w14:paraId="04236C2F" w14:textId="77777777" w:rsidR="00333628" w:rsidRPr="003C13B2" w:rsidRDefault="00333628" w:rsidP="00333628">
      <w:pPr>
        <w:pStyle w:val="JSNA2"/>
      </w:pPr>
      <w:bookmarkStart w:id="816" w:name="_Toc4407889"/>
      <w:r w:rsidRPr="003C13B2">
        <w:lastRenderedPageBreak/>
        <w:t>All-cause mortality</w:t>
      </w:r>
      <w:bookmarkEnd w:id="816"/>
    </w:p>
    <w:p w14:paraId="5DF9F5C1" w14:textId="77777777" w:rsidR="00FA1277" w:rsidRPr="0037351D" w:rsidRDefault="00FA1277" w:rsidP="0038179C">
      <w:pPr>
        <w:spacing w:line="240" w:lineRule="auto"/>
        <w:rPr>
          <w:rFonts w:cs="Arial"/>
          <w:color w:val="FF0000"/>
        </w:rPr>
      </w:pPr>
    </w:p>
    <w:p w14:paraId="38796B33" w14:textId="3DBC7424" w:rsidR="00A2687A" w:rsidRPr="00330B65" w:rsidRDefault="00EB09E2" w:rsidP="00A2687A">
      <w:pPr>
        <w:pStyle w:val="Caption"/>
        <w:rPr>
          <w:rFonts w:cs="Arial"/>
          <w:color w:val="002F5D"/>
        </w:rPr>
      </w:pPr>
      <w:r w:rsidRPr="00A2687A">
        <w:rPr>
          <w:b/>
          <w:color w:val="002F5D"/>
        </w:rPr>
        <w:t>Table</w:t>
      </w:r>
      <w:r w:rsidR="003209A4">
        <w:rPr>
          <w:b/>
          <w:color w:val="002F5D"/>
        </w:rPr>
        <w:t xml:space="preserve"> </w:t>
      </w:r>
      <w:r w:rsidR="00B81E4B">
        <w:rPr>
          <w:b/>
          <w:color w:val="002F5D"/>
        </w:rPr>
        <w:t>96</w:t>
      </w:r>
      <w:r w:rsidR="00333628" w:rsidRPr="00A2687A">
        <w:rPr>
          <w:rFonts w:cs="Arial"/>
          <w:b/>
          <w:color w:val="002F5D"/>
        </w:rPr>
        <w:t xml:space="preserve">. </w:t>
      </w:r>
      <w:r w:rsidR="00467A96" w:rsidRPr="00330B65">
        <w:rPr>
          <w:rFonts w:cs="Arial"/>
          <w:color w:val="002F5D"/>
        </w:rPr>
        <w:t>A</w:t>
      </w:r>
      <w:r w:rsidR="00333628" w:rsidRPr="00330B65">
        <w:rPr>
          <w:rFonts w:cs="Arial"/>
          <w:color w:val="002F5D"/>
        </w:rPr>
        <w:t>ll-cause mortality, Cambridgeshire</w:t>
      </w:r>
      <w:r w:rsidR="002F1901" w:rsidRPr="00330B65">
        <w:rPr>
          <w:rFonts w:cs="Arial"/>
          <w:color w:val="002F5D"/>
        </w:rPr>
        <w:t xml:space="preserve"> and Peterborough</w:t>
      </w:r>
      <w:r w:rsidR="003C13B2" w:rsidRPr="00330B65">
        <w:rPr>
          <w:rFonts w:cs="Arial"/>
          <w:color w:val="002F5D"/>
        </w:rPr>
        <w:t>, 2015-17</w:t>
      </w:r>
    </w:p>
    <w:p w14:paraId="1A55DF1B" w14:textId="77777777" w:rsidR="00A2687A" w:rsidRPr="00A2687A" w:rsidRDefault="00A2687A" w:rsidP="00A2687A"/>
    <w:p w14:paraId="3FE58CE5" w14:textId="2FDCA969" w:rsidR="00395E4D" w:rsidRPr="00A2687A" w:rsidRDefault="00A2687A" w:rsidP="000A038A">
      <w:r w:rsidRPr="00A2687A">
        <w:rPr>
          <w:noProof/>
          <w:lang w:eastAsia="en-GB"/>
        </w:rPr>
        <w:drawing>
          <wp:inline distT="0" distB="0" distL="0" distR="0" wp14:anchorId="253E4AA3" wp14:editId="2110D200">
            <wp:extent cx="4838700" cy="23431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38700" cy="2343150"/>
                    </a:xfrm>
                    <a:prstGeom prst="rect">
                      <a:avLst/>
                    </a:prstGeom>
                    <a:noFill/>
                    <a:ln>
                      <a:noFill/>
                    </a:ln>
                  </pic:spPr>
                </pic:pic>
              </a:graphicData>
            </a:graphic>
          </wp:inline>
        </w:drawing>
      </w:r>
    </w:p>
    <w:p w14:paraId="1522BF33" w14:textId="77777777" w:rsidR="004768E5" w:rsidRPr="0037351D" w:rsidRDefault="004768E5">
      <w:pPr>
        <w:rPr>
          <w:color w:val="FF0000"/>
          <w:sz w:val="18"/>
        </w:rPr>
      </w:pPr>
    </w:p>
    <w:p w14:paraId="710DBB86" w14:textId="77777777" w:rsidR="00333628" w:rsidRPr="003C13B2" w:rsidRDefault="00333628">
      <w:pPr>
        <w:rPr>
          <w:color w:val="002F5D"/>
          <w:sz w:val="18"/>
        </w:rPr>
      </w:pPr>
      <w:r w:rsidRPr="003C13B2">
        <w:rPr>
          <w:color w:val="002F5D"/>
          <w:sz w:val="18"/>
        </w:rPr>
        <w:t>DASR - Directly age-standardised rate</w:t>
      </w:r>
    </w:p>
    <w:p w14:paraId="7325297D" w14:textId="77777777" w:rsidR="00A2687A" w:rsidRPr="0037351D" w:rsidRDefault="00A2687A" w:rsidP="00A2687A">
      <w:pPr>
        <w:spacing w:line="240" w:lineRule="auto"/>
        <w:rPr>
          <w:color w:val="FF0000"/>
        </w:rPr>
      </w:pPr>
    </w:p>
    <w:p w14:paraId="73B5A0AF" w14:textId="77777777" w:rsidR="00A2687A" w:rsidRPr="00196B41" w:rsidRDefault="00A2687A" w:rsidP="00A2687A">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19E25895" w14:textId="77777777" w:rsidR="00A2687A" w:rsidRPr="00196B41" w:rsidRDefault="00A2687A" w:rsidP="00A2687A">
      <w:pPr>
        <w:spacing w:line="240" w:lineRule="auto"/>
        <w:rPr>
          <w:color w:val="002F5D"/>
          <w:sz w:val="18"/>
          <w:szCs w:val="18"/>
        </w:rPr>
      </w:pPr>
    </w:p>
    <w:p w14:paraId="1B6CFB1D" w14:textId="77777777" w:rsidR="00A2687A" w:rsidRPr="00196B41" w:rsidRDefault="00A2687A" w:rsidP="00A2687A">
      <w:pPr>
        <w:spacing w:line="240" w:lineRule="auto"/>
        <w:rPr>
          <w:color w:val="002F5D"/>
          <w:sz w:val="18"/>
        </w:rPr>
      </w:pPr>
      <w:r>
        <w:rPr>
          <w:noProof/>
          <w:color w:val="002F5D"/>
          <w:sz w:val="18"/>
          <w:lang w:eastAsia="en-GB"/>
        </w:rPr>
        <w:drawing>
          <wp:inline distT="0" distB="0" distL="0" distR="0" wp14:anchorId="3EEA36BE" wp14:editId="3A42DB22">
            <wp:extent cx="3733800" cy="53948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127" cy="541699"/>
                    </a:xfrm>
                    <a:prstGeom prst="rect">
                      <a:avLst/>
                    </a:prstGeom>
                    <a:noFill/>
                  </pic:spPr>
                </pic:pic>
              </a:graphicData>
            </a:graphic>
          </wp:inline>
        </w:drawing>
      </w:r>
    </w:p>
    <w:p w14:paraId="0A76BBEA" w14:textId="77777777" w:rsidR="00A87B9D" w:rsidRPr="0037351D" w:rsidRDefault="00A87B9D" w:rsidP="00B43887">
      <w:pPr>
        <w:spacing w:line="240" w:lineRule="auto"/>
        <w:rPr>
          <w:color w:val="FF0000"/>
        </w:rPr>
      </w:pPr>
    </w:p>
    <w:p w14:paraId="0813AEFE" w14:textId="6797F0C9" w:rsidR="00333628" w:rsidRPr="003C13B2" w:rsidRDefault="00333628" w:rsidP="00B43887">
      <w:pPr>
        <w:spacing w:line="240" w:lineRule="auto"/>
        <w:rPr>
          <w:color w:val="002F5D"/>
        </w:rPr>
      </w:pPr>
      <w:r w:rsidRPr="003C13B2">
        <w:rPr>
          <w:b/>
          <w:color w:val="002F5D"/>
        </w:rPr>
        <w:t>Source:</w:t>
      </w:r>
      <w:r w:rsidRPr="003C13B2">
        <w:rPr>
          <w:color w:val="002F5D"/>
        </w:rPr>
        <w:t xml:space="preserve"> </w:t>
      </w:r>
      <w:r w:rsidR="00D74DDD" w:rsidRPr="003C13B2">
        <w:rPr>
          <w:color w:val="002F5D"/>
        </w:rPr>
        <w:t>Cambridgeshire County Council Public Health Intelligence (</w:t>
      </w:r>
      <w:r w:rsidRPr="003C13B2">
        <w:rPr>
          <w:color w:val="002F5D"/>
        </w:rPr>
        <w:t xml:space="preserve">NHS Digital </w:t>
      </w:r>
      <w:r w:rsidR="00D74DDD" w:rsidRPr="003C13B2">
        <w:rPr>
          <w:color w:val="002F5D"/>
        </w:rPr>
        <w:t>Primary Care Mortality Database</w:t>
      </w:r>
      <w:r w:rsidRPr="003C13B2">
        <w:rPr>
          <w:color w:val="002F5D"/>
        </w:rPr>
        <w:t xml:space="preserve">, </w:t>
      </w:r>
      <w:r w:rsidR="007750E0">
        <w:rPr>
          <w:color w:val="002F5D"/>
        </w:rPr>
        <w:t xml:space="preserve">ONS </w:t>
      </w:r>
      <w:r w:rsidRPr="003C13B2">
        <w:rPr>
          <w:color w:val="002F5D"/>
        </w:rPr>
        <w:t>mid-year population estimates</w:t>
      </w:r>
      <w:r w:rsidR="00D74DDD" w:rsidRPr="003C13B2">
        <w:rPr>
          <w:color w:val="002F5D"/>
        </w:rPr>
        <w:t>).</w:t>
      </w:r>
    </w:p>
    <w:p w14:paraId="762CF57A" w14:textId="77777777" w:rsidR="00333628" w:rsidRPr="0037351D" w:rsidRDefault="00333628" w:rsidP="00B43887">
      <w:pPr>
        <w:spacing w:line="240" w:lineRule="auto"/>
        <w:rPr>
          <w:color w:val="FF0000"/>
        </w:rPr>
      </w:pPr>
    </w:p>
    <w:p w14:paraId="35D233CB" w14:textId="77777777" w:rsidR="00333628" w:rsidRPr="003C13B2" w:rsidRDefault="00333628" w:rsidP="00B43887">
      <w:pPr>
        <w:spacing w:line="240" w:lineRule="auto"/>
        <w:rPr>
          <w:b/>
          <w:color w:val="002F5D"/>
        </w:rPr>
      </w:pPr>
      <w:r w:rsidRPr="003C13B2">
        <w:rPr>
          <w:b/>
          <w:color w:val="002F5D"/>
        </w:rPr>
        <w:t>Key point</w:t>
      </w:r>
      <w:r w:rsidR="000F461D" w:rsidRPr="003C13B2">
        <w:rPr>
          <w:b/>
          <w:color w:val="002F5D"/>
        </w:rPr>
        <w:t>s</w:t>
      </w:r>
      <w:r w:rsidRPr="003C13B2">
        <w:rPr>
          <w:b/>
          <w:color w:val="002F5D"/>
        </w:rPr>
        <w:t>:</w:t>
      </w:r>
    </w:p>
    <w:p w14:paraId="5C19D0EE" w14:textId="77777777" w:rsidR="002F1901" w:rsidRPr="003C13B2" w:rsidRDefault="002F1901" w:rsidP="00B43887">
      <w:pPr>
        <w:pStyle w:val="ListParagraph"/>
        <w:numPr>
          <w:ilvl w:val="0"/>
          <w:numId w:val="11"/>
        </w:numPr>
        <w:spacing w:line="240" w:lineRule="auto"/>
        <w:rPr>
          <w:color w:val="002F5D"/>
        </w:rPr>
      </w:pPr>
      <w:r w:rsidRPr="003C13B2">
        <w:rPr>
          <w:color w:val="002F5D"/>
        </w:rPr>
        <w:t>The rates of all-age and under 75 all-cause mortality are statistically significantly higher than the Cambridgeshire and Peterborough combined average in Peterborough.</w:t>
      </w:r>
    </w:p>
    <w:p w14:paraId="657120A9" w14:textId="72ED408D" w:rsidR="00333628" w:rsidRPr="003C13B2" w:rsidRDefault="00333628" w:rsidP="00B43887">
      <w:pPr>
        <w:pStyle w:val="ListParagraph"/>
        <w:numPr>
          <w:ilvl w:val="0"/>
          <w:numId w:val="11"/>
        </w:numPr>
        <w:spacing w:line="240" w:lineRule="auto"/>
        <w:rPr>
          <w:color w:val="002F5D"/>
        </w:rPr>
      </w:pPr>
      <w:r w:rsidRPr="003C13B2">
        <w:rPr>
          <w:color w:val="002F5D"/>
        </w:rPr>
        <w:t>The rate</w:t>
      </w:r>
      <w:r w:rsidR="00467A96" w:rsidRPr="003C13B2">
        <w:rPr>
          <w:color w:val="002F5D"/>
        </w:rPr>
        <w:t>s</w:t>
      </w:r>
      <w:r w:rsidRPr="003C13B2">
        <w:rPr>
          <w:color w:val="002F5D"/>
        </w:rPr>
        <w:t xml:space="preserve"> of all-age </w:t>
      </w:r>
      <w:r w:rsidR="00467A96" w:rsidRPr="003C13B2">
        <w:rPr>
          <w:color w:val="002F5D"/>
        </w:rPr>
        <w:t>and under 75 all-cause mortality are</w:t>
      </w:r>
      <w:r w:rsidRPr="003C13B2">
        <w:rPr>
          <w:color w:val="002F5D"/>
        </w:rPr>
        <w:t xml:space="preserve"> statistically significantly higher than the Cambridgeshire average in Fenland.</w:t>
      </w:r>
    </w:p>
    <w:p w14:paraId="3FFEEA4E" w14:textId="1AC2B92B" w:rsidR="00467A96" w:rsidRPr="003C13B2" w:rsidRDefault="003C13B2" w:rsidP="00B43887">
      <w:pPr>
        <w:pStyle w:val="ListParagraph"/>
        <w:numPr>
          <w:ilvl w:val="0"/>
          <w:numId w:val="11"/>
        </w:numPr>
        <w:spacing w:line="240" w:lineRule="auto"/>
        <w:rPr>
          <w:color w:val="002F5D"/>
        </w:rPr>
      </w:pPr>
      <w:r w:rsidRPr="003C13B2">
        <w:rPr>
          <w:color w:val="002F5D"/>
        </w:rPr>
        <w:t>On average, just over 6,900</w:t>
      </w:r>
      <w:r w:rsidR="00333628" w:rsidRPr="003C13B2">
        <w:rPr>
          <w:color w:val="002F5D"/>
        </w:rPr>
        <w:t xml:space="preserve"> Cambridgeshire</w:t>
      </w:r>
      <w:r w:rsidR="002F1901" w:rsidRPr="003C13B2">
        <w:rPr>
          <w:color w:val="002F5D"/>
        </w:rPr>
        <w:t xml:space="preserve"> and Peterborough</w:t>
      </w:r>
      <w:r w:rsidR="00333628" w:rsidRPr="003C13B2">
        <w:rPr>
          <w:color w:val="002F5D"/>
        </w:rPr>
        <w:t xml:space="preserve"> resid</w:t>
      </w:r>
      <w:r w:rsidRPr="003C13B2">
        <w:rPr>
          <w:color w:val="002F5D"/>
        </w:rPr>
        <w:t>ents died each year between 2015 and 2017</w:t>
      </w:r>
      <w:r w:rsidR="00333628" w:rsidRPr="003C13B2">
        <w:rPr>
          <w:color w:val="002F5D"/>
        </w:rPr>
        <w:t>.</w:t>
      </w:r>
    </w:p>
    <w:p w14:paraId="316F964B" w14:textId="77777777" w:rsidR="00333628" w:rsidRPr="0037351D" w:rsidRDefault="00333628">
      <w:pPr>
        <w:rPr>
          <w:color w:val="FF0000"/>
        </w:rPr>
      </w:pPr>
    </w:p>
    <w:p w14:paraId="20E57A90" w14:textId="77777777" w:rsidR="00333628" w:rsidRPr="0037351D" w:rsidRDefault="00333628">
      <w:pPr>
        <w:rPr>
          <w:b/>
          <w:color w:val="FF0000"/>
        </w:rPr>
      </w:pPr>
      <w:r w:rsidRPr="0037351D">
        <w:rPr>
          <w:b/>
          <w:color w:val="FF0000"/>
        </w:rPr>
        <w:br w:type="page"/>
      </w:r>
    </w:p>
    <w:p w14:paraId="6B036CBD" w14:textId="1F634732" w:rsidR="00ED50A1" w:rsidRPr="00330B65" w:rsidRDefault="00CF1049" w:rsidP="00CF1049">
      <w:pPr>
        <w:pStyle w:val="Caption"/>
        <w:rPr>
          <w:rFonts w:cs="Arial"/>
          <w:color w:val="002F5D"/>
        </w:rPr>
      </w:pPr>
      <w:r w:rsidRPr="004108CD">
        <w:rPr>
          <w:b/>
          <w:color w:val="002F5D"/>
        </w:rPr>
        <w:lastRenderedPageBreak/>
        <w:t>Table</w:t>
      </w:r>
      <w:r w:rsidR="003209A4">
        <w:rPr>
          <w:b/>
          <w:color w:val="002F5D"/>
        </w:rPr>
        <w:t xml:space="preserve"> </w:t>
      </w:r>
      <w:r w:rsidR="00B81E4B">
        <w:rPr>
          <w:b/>
          <w:color w:val="002F5D"/>
        </w:rPr>
        <w:t>97</w:t>
      </w:r>
      <w:r w:rsidRPr="004108CD">
        <w:rPr>
          <w:rFonts w:cs="Arial"/>
          <w:b/>
          <w:color w:val="002F5D"/>
        </w:rPr>
        <w:t>.</w:t>
      </w:r>
      <w:r w:rsidR="00A938F7" w:rsidRPr="004108CD">
        <w:rPr>
          <w:rFonts w:cs="Arial"/>
          <w:b/>
          <w:color w:val="002F5D"/>
        </w:rPr>
        <w:t xml:space="preserve"> </w:t>
      </w:r>
      <w:r w:rsidR="005F19A7" w:rsidRPr="00330B65">
        <w:rPr>
          <w:rFonts w:cs="Arial"/>
          <w:color w:val="002F5D"/>
        </w:rPr>
        <w:t>A</w:t>
      </w:r>
      <w:r w:rsidR="00665FCA" w:rsidRPr="00330B65">
        <w:rPr>
          <w:rFonts w:cs="Arial"/>
          <w:color w:val="002F5D"/>
        </w:rPr>
        <w:t>ll-cause mortality by deprivation quintile of ward of</w:t>
      </w:r>
      <w:r w:rsidR="004108CD" w:rsidRPr="00330B65">
        <w:rPr>
          <w:rFonts w:cs="Arial"/>
          <w:color w:val="002F5D"/>
        </w:rPr>
        <w:t xml:space="preserve"> residence, Cambridgeshire, </w:t>
      </w:r>
    </w:p>
    <w:p w14:paraId="1E9BAC73" w14:textId="3E981250" w:rsidR="00665FCA" w:rsidRPr="00330B65" w:rsidRDefault="004108CD" w:rsidP="00CF1049">
      <w:pPr>
        <w:pStyle w:val="Caption"/>
        <w:rPr>
          <w:rFonts w:cs="Arial"/>
          <w:color w:val="002F5D"/>
        </w:rPr>
      </w:pPr>
      <w:r w:rsidRPr="00330B65">
        <w:rPr>
          <w:rFonts w:cs="Arial"/>
          <w:color w:val="002F5D"/>
        </w:rPr>
        <w:t>2015-17</w:t>
      </w:r>
    </w:p>
    <w:p w14:paraId="09E22BDF" w14:textId="77777777" w:rsidR="00FC70F8" w:rsidRPr="00FC70F8" w:rsidRDefault="00FC70F8" w:rsidP="00FC70F8"/>
    <w:p w14:paraId="75B2B79D" w14:textId="50B34EC8" w:rsidR="004108CD" w:rsidRPr="00FC70F8" w:rsidRDefault="00FC70F8" w:rsidP="004108CD">
      <w:r w:rsidRPr="00FC70F8">
        <w:rPr>
          <w:noProof/>
          <w:lang w:eastAsia="en-GB"/>
        </w:rPr>
        <w:drawing>
          <wp:inline distT="0" distB="0" distL="0" distR="0" wp14:anchorId="3B60EFF9" wp14:editId="487681E5">
            <wp:extent cx="4200525" cy="194310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00525" cy="1943100"/>
                    </a:xfrm>
                    <a:prstGeom prst="rect">
                      <a:avLst/>
                    </a:prstGeom>
                    <a:noFill/>
                    <a:ln>
                      <a:noFill/>
                    </a:ln>
                  </pic:spPr>
                </pic:pic>
              </a:graphicData>
            </a:graphic>
          </wp:inline>
        </w:drawing>
      </w:r>
    </w:p>
    <w:p w14:paraId="30BD6D40" w14:textId="643AF054" w:rsidR="00CC1405" w:rsidRPr="0037351D" w:rsidRDefault="00CC1405" w:rsidP="00CC1405">
      <w:pPr>
        <w:rPr>
          <w:color w:val="FF0000"/>
        </w:rPr>
      </w:pPr>
    </w:p>
    <w:p w14:paraId="6E150F08" w14:textId="77777777" w:rsidR="00665FCA" w:rsidRDefault="00665FCA" w:rsidP="00B43887">
      <w:pPr>
        <w:spacing w:line="240" w:lineRule="auto"/>
        <w:rPr>
          <w:color w:val="002F5D"/>
          <w:sz w:val="18"/>
        </w:rPr>
      </w:pPr>
      <w:r w:rsidRPr="004108CD">
        <w:rPr>
          <w:color w:val="002F5D"/>
          <w:sz w:val="18"/>
        </w:rPr>
        <w:t>DASR - Directly age-standardised rate</w:t>
      </w:r>
    </w:p>
    <w:p w14:paraId="6699B6E2" w14:textId="77777777" w:rsidR="000136E8" w:rsidRPr="004108CD" w:rsidRDefault="000136E8" w:rsidP="00B43887">
      <w:pPr>
        <w:spacing w:line="240" w:lineRule="auto"/>
        <w:rPr>
          <w:color w:val="002F5D"/>
          <w:sz w:val="18"/>
        </w:rPr>
      </w:pPr>
    </w:p>
    <w:p w14:paraId="38EE9D7E" w14:textId="77777777" w:rsidR="00665FCA" w:rsidRPr="0037351D" w:rsidRDefault="00466271" w:rsidP="00B43887">
      <w:pPr>
        <w:spacing w:line="240" w:lineRule="auto"/>
        <w:rPr>
          <w:color w:val="FF0000"/>
          <w:sz w:val="16"/>
          <w:szCs w:val="16"/>
        </w:rPr>
      </w:pPr>
      <w:r w:rsidRPr="0037351D">
        <w:rPr>
          <w:noProof/>
          <w:color w:val="FF0000"/>
          <w:lang w:eastAsia="en-GB"/>
        </w:rPr>
        <w:drawing>
          <wp:inline distT="0" distB="0" distL="0" distR="0" wp14:anchorId="5B6DA54F" wp14:editId="186BA2E4">
            <wp:extent cx="4152900" cy="46672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351CC0B8" w14:textId="77777777" w:rsidR="00665FCA" w:rsidRPr="0037351D" w:rsidRDefault="00665FCA" w:rsidP="00B43887">
      <w:pPr>
        <w:spacing w:line="240" w:lineRule="auto"/>
        <w:rPr>
          <w:color w:val="FF0000"/>
        </w:rPr>
      </w:pPr>
    </w:p>
    <w:p w14:paraId="2B1A136F" w14:textId="7A95A018" w:rsidR="00665FCA" w:rsidRPr="004108CD" w:rsidRDefault="00665FCA" w:rsidP="00B43887">
      <w:pPr>
        <w:spacing w:line="240" w:lineRule="auto"/>
        <w:rPr>
          <w:color w:val="002F5D"/>
        </w:rPr>
      </w:pPr>
      <w:r w:rsidRPr="004108CD">
        <w:rPr>
          <w:b/>
          <w:color w:val="002F5D"/>
        </w:rPr>
        <w:t>Source:</w:t>
      </w:r>
      <w:r w:rsidRPr="004108CD">
        <w:rPr>
          <w:color w:val="002F5D"/>
        </w:rPr>
        <w:t xml:space="preserve"> Cambridgeshire County Council Public Health Intelligence (NHS Digital Primary Care Mortality Database, O</w:t>
      </w:r>
      <w:r w:rsidR="007750E0">
        <w:rPr>
          <w:color w:val="002F5D"/>
        </w:rPr>
        <w:t xml:space="preserve">NS </w:t>
      </w:r>
      <w:r w:rsidRPr="004108CD">
        <w:rPr>
          <w:color w:val="002F5D"/>
        </w:rPr>
        <w:t>mid-year population estimates</w:t>
      </w:r>
      <w:r w:rsidR="001F6488" w:rsidRPr="004108CD">
        <w:rPr>
          <w:color w:val="002F5D"/>
        </w:rPr>
        <w:t>, 2015 Index of Multiple Deprivation</w:t>
      </w:r>
      <w:r w:rsidRPr="004108CD">
        <w:rPr>
          <w:color w:val="002F5D"/>
        </w:rPr>
        <w:t>).</w:t>
      </w:r>
    </w:p>
    <w:p w14:paraId="226852D5" w14:textId="77777777" w:rsidR="00665FCA" w:rsidRPr="0037351D" w:rsidRDefault="00665FCA" w:rsidP="00B43887">
      <w:pPr>
        <w:spacing w:line="240" w:lineRule="auto"/>
        <w:rPr>
          <w:color w:val="FF0000"/>
          <w:sz w:val="16"/>
          <w:szCs w:val="16"/>
        </w:rPr>
      </w:pPr>
    </w:p>
    <w:p w14:paraId="173E7020" w14:textId="77777777" w:rsidR="00665FCA" w:rsidRPr="00EC6288" w:rsidRDefault="00665FCA" w:rsidP="00B43887">
      <w:pPr>
        <w:spacing w:line="240" w:lineRule="auto"/>
        <w:rPr>
          <w:b/>
          <w:color w:val="002F5D"/>
        </w:rPr>
      </w:pPr>
      <w:r w:rsidRPr="00EC6288">
        <w:rPr>
          <w:b/>
          <w:color w:val="002F5D"/>
        </w:rPr>
        <w:t>Key point</w:t>
      </w:r>
      <w:r w:rsidR="000F461D" w:rsidRPr="00EC6288">
        <w:rPr>
          <w:b/>
          <w:color w:val="002F5D"/>
        </w:rPr>
        <w:t>s</w:t>
      </w:r>
      <w:r w:rsidRPr="00EC6288">
        <w:rPr>
          <w:b/>
          <w:color w:val="002F5D"/>
        </w:rPr>
        <w:t>:</w:t>
      </w:r>
    </w:p>
    <w:p w14:paraId="51603EAF" w14:textId="4672796E" w:rsidR="00665FCA" w:rsidRPr="004108CD" w:rsidRDefault="00665FCA" w:rsidP="00B43887">
      <w:pPr>
        <w:pStyle w:val="ListParagraph"/>
        <w:numPr>
          <w:ilvl w:val="0"/>
          <w:numId w:val="11"/>
        </w:numPr>
        <w:spacing w:line="240" w:lineRule="auto"/>
        <w:rPr>
          <w:color w:val="002F5D"/>
        </w:rPr>
      </w:pPr>
      <w:r w:rsidRPr="004108CD">
        <w:rPr>
          <w:color w:val="002F5D"/>
        </w:rPr>
        <w:t>The rate</w:t>
      </w:r>
      <w:r w:rsidR="004108CD">
        <w:rPr>
          <w:color w:val="002F5D"/>
        </w:rPr>
        <w:t>s</w:t>
      </w:r>
      <w:r w:rsidRPr="004108CD">
        <w:rPr>
          <w:color w:val="002F5D"/>
        </w:rPr>
        <w:t xml:space="preserve"> of all-age all-cause</w:t>
      </w:r>
      <w:r w:rsidR="004108CD">
        <w:rPr>
          <w:color w:val="002F5D"/>
        </w:rPr>
        <w:t xml:space="preserve"> and under 75 mortality are</w:t>
      </w:r>
      <w:r w:rsidRPr="004108CD">
        <w:rPr>
          <w:color w:val="002F5D"/>
        </w:rPr>
        <w:t xml:space="preserve"> statistically significantly higher than the Cambridgeshire average in </w:t>
      </w:r>
      <w:r w:rsidR="004108CD" w:rsidRPr="004108CD">
        <w:rPr>
          <w:color w:val="002F5D"/>
        </w:rPr>
        <w:t>the most deprived 2</w:t>
      </w:r>
      <w:r w:rsidR="008A3DFB" w:rsidRPr="004108CD">
        <w:rPr>
          <w:color w:val="002F5D"/>
        </w:rPr>
        <w:t>0% of wards in the county.</w:t>
      </w:r>
    </w:p>
    <w:p w14:paraId="7CBBC38B" w14:textId="1C8983ED" w:rsidR="00087C26" w:rsidRPr="004108CD" w:rsidRDefault="00087C26" w:rsidP="00B43887">
      <w:pPr>
        <w:pStyle w:val="ListParagraph"/>
        <w:numPr>
          <w:ilvl w:val="0"/>
          <w:numId w:val="11"/>
        </w:numPr>
        <w:spacing w:line="240" w:lineRule="auto"/>
        <w:rPr>
          <w:color w:val="002F5D"/>
        </w:rPr>
      </w:pPr>
      <w:r w:rsidRPr="004108CD">
        <w:rPr>
          <w:color w:val="002F5D"/>
        </w:rPr>
        <w:t>There is a clear g</w:t>
      </w:r>
      <w:r w:rsidR="00556DB4">
        <w:rPr>
          <w:color w:val="002F5D"/>
        </w:rPr>
        <w:t>radient in improving mortality outcomes</w:t>
      </w:r>
      <w:r w:rsidRPr="004108CD">
        <w:rPr>
          <w:color w:val="002F5D"/>
        </w:rPr>
        <w:t xml:space="preserve"> from most deprived to least deprived.</w:t>
      </w:r>
    </w:p>
    <w:p w14:paraId="4A49A15C" w14:textId="77777777" w:rsidR="009F78B7" w:rsidRPr="0037351D" w:rsidRDefault="009F78B7" w:rsidP="00B43887">
      <w:pPr>
        <w:pStyle w:val="Caption"/>
        <w:rPr>
          <w:rFonts w:cs="Arial"/>
          <w:color w:val="FF0000"/>
          <w:sz w:val="16"/>
          <w:szCs w:val="16"/>
        </w:rPr>
      </w:pPr>
    </w:p>
    <w:p w14:paraId="05C015A0" w14:textId="71C39594" w:rsidR="00D33F31" w:rsidRPr="000136E8" w:rsidRDefault="0088125C" w:rsidP="00B43887">
      <w:pPr>
        <w:pStyle w:val="Caption"/>
        <w:rPr>
          <w:rFonts w:cs="Arial"/>
          <w:b/>
          <w:color w:val="002F5D"/>
        </w:rPr>
      </w:pPr>
      <w:r w:rsidRPr="000136E8">
        <w:rPr>
          <w:b/>
          <w:color w:val="002F5D"/>
        </w:rPr>
        <w:t xml:space="preserve">Table </w:t>
      </w:r>
      <w:r w:rsidR="003209A4">
        <w:rPr>
          <w:b/>
          <w:color w:val="002F5D"/>
        </w:rPr>
        <w:t>9</w:t>
      </w:r>
      <w:r w:rsidR="00B81E4B">
        <w:rPr>
          <w:b/>
          <w:color w:val="002F5D"/>
        </w:rPr>
        <w:t>8</w:t>
      </w:r>
      <w:r w:rsidRPr="000136E8">
        <w:rPr>
          <w:b/>
          <w:color w:val="002F5D"/>
        </w:rPr>
        <w:t xml:space="preserve">. </w:t>
      </w:r>
      <w:r w:rsidR="009F78B7" w:rsidRPr="00330B65">
        <w:rPr>
          <w:rFonts w:cs="Arial"/>
          <w:color w:val="002F5D"/>
        </w:rPr>
        <w:t xml:space="preserve">All-cause mortality by deprivation quintile of ward </w:t>
      </w:r>
      <w:r w:rsidR="00EC6288" w:rsidRPr="00330B65">
        <w:rPr>
          <w:rFonts w:cs="Arial"/>
          <w:color w:val="002F5D"/>
        </w:rPr>
        <w:t>of residence, Peterborough, 2015-17</w:t>
      </w:r>
    </w:p>
    <w:p w14:paraId="02820AE9" w14:textId="77777777" w:rsidR="000136E8" w:rsidRPr="000136E8" w:rsidRDefault="000136E8" w:rsidP="000136E8"/>
    <w:p w14:paraId="350A4E60" w14:textId="6E527454" w:rsidR="00CC1405" w:rsidRPr="000136E8" w:rsidRDefault="000136E8" w:rsidP="00CC1405">
      <w:r w:rsidRPr="000136E8">
        <w:rPr>
          <w:noProof/>
          <w:lang w:eastAsia="en-GB"/>
        </w:rPr>
        <w:drawing>
          <wp:inline distT="0" distB="0" distL="0" distR="0" wp14:anchorId="79BA2E4A" wp14:editId="43C70CB4">
            <wp:extent cx="4200525" cy="194310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200525" cy="1943100"/>
                    </a:xfrm>
                    <a:prstGeom prst="rect">
                      <a:avLst/>
                    </a:prstGeom>
                    <a:noFill/>
                    <a:ln>
                      <a:noFill/>
                    </a:ln>
                  </pic:spPr>
                </pic:pic>
              </a:graphicData>
            </a:graphic>
          </wp:inline>
        </w:drawing>
      </w:r>
    </w:p>
    <w:p w14:paraId="676D9C01" w14:textId="36C06E38" w:rsidR="00913CD2" w:rsidRPr="0037351D" w:rsidRDefault="00913CD2" w:rsidP="00CC1405">
      <w:pPr>
        <w:pStyle w:val="Caption"/>
        <w:rPr>
          <w:rFonts w:cs="Arial"/>
          <w:color w:val="FF0000"/>
          <w:sz w:val="16"/>
          <w:szCs w:val="16"/>
        </w:rPr>
      </w:pPr>
    </w:p>
    <w:p w14:paraId="7306B81D" w14:textId="77777777" w:rsidR="009F78B7" w:rsidRDefault="009F78B7" w:rsidP="00B43887">
      <w:pPr>
        <w:spacing w:line="240" w:lineRule="auto"/>
        <w:rPr>
          <w:color w:val="002F5D"/>
          <w:sz w:val="18"/>
        </w:rPr>
      </w:pPr>
      <w:r w:rsidRPr="00EC6288">
        <w:rPr>
          <w:color w:val="002F5D"/>
          <w:sz w:val="18"/>
        </w:rPr>
        <w:t>DASR - Directly age-standardised rate</w:t>
      </w:r>
    </w:p>
    <w:p w14:paraId="6C45B70B" w14:textId="77777777" w:rsidR="000136E8" w:rsidRPr="00EC6288" w:rsidRDefault="000136E8" w:rsidP="00B43887">
      <w:pPr>
        <w:spacing w:line="240" w:lineRule="auto"/>
        <w:rPr>
          <w:color w:val="002F5D"/>
          <w:sz w:val="18"/>
        </w:rPr>
      </w:pPr>
    </w:p>
    <w:p w14:paraId="63D223FF" w14:textId="77777777" w:rsidR="009F78B7" w:rsidRPr="0037351D" w:rsidRDefault="00466271" w:rsidP="00B43887">
      <w:pPr>
        <w:spacing w:line="240" w:lineRule="auto"/>
        <w:rPr>
          <w:color w:val="FF0000"/>
          <w:sz w:val="16"/>
          <w:szCs w:val="16"/>
        </w:rPr>
      </w:pPr>
      <w:r w:rsidRPr="0037351D">
        <w:rPr>
          <w:noProof/>
          <w:color w:val="FF0000"/>
          <w:lang w:eastAsia="en-GB"/>
        </w:rPr>
        <w:drawing>
          <wp:inline distT="0" distB="0" distL="0" distR="0" wp14:anchorId="3E96D705" wp14:editId="3BC3BAF3">
            <wp:extent cx="3680460" cy="55626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80460" cy="556260"/>
                    </a:xfrm>
                    <a:prstGeom prst="rect">
                      <a:avLst/>
                    </a:prstGeom>
                    <a:noFill/>
                    <a:ln>
                      <a:noFill/>
                    </a:ln>
                  </pic:spPr>
                </pic:pic>
              </a:graphicData>
            </a:graphic>
          </wp:inline>
        </w:drawing>
      </w:r>
    </w:p>
    <w:p w14:paraId="0FBBEA65" w14:textId="77777777" w:rsidR="009F78B7" w:rsidRPr="0037351D" w:rsidRDefault="00A97AED" w:rsidP="00B43887">
      <w:pPr>
        <w:spacing w:line="240" w:lineRule="auto"/>
        <w:rPr>
          <w:color w:val="FF0000"/>
        </w:rPr>
      </w:pPr>
      <w:r w:rsidRPr="0037351D">
        <w:rPr>
          <w:noProof/>
          <w:color w:val="FF0000"/>
          <w:lang w:eastAsia="en-GB"/>
        </w:rPr>
        <w:t xml:space="preserve"> </w:t>
      </w:r>
    </w:p>
    <w:p w14:paraId="1F417A85" w14:textId="04B3222E" w:rsidR="000136E8" w:rsidRPr="0037351D" w:rsidRDefault="009F78B7" w:rsidP="00B43887">
      <w:pPr>
        <w:spacing w:line="240" w:lineRule="auto"/>
        <w:rPr>
          <w:color w:val="FF0000"/>
          <w:sz w:val="16"/>
          <w:szCs w:val="16"/>
        </w:rPr>
      </w:pPr>
      <w:r w:rsidRPr="00EC6288">
        <w:rPr>
          <w:b/>
          <w:color w:val="002F5D"/>
        </w:rPr>
        <w:t>Source:</w:t>
      </w:r>
      <w:r w:rsidRPr="00EC6288">
        <w:rPr>
          <w:color w:val="002F5D"/>
        </w:rPr>
        <w:t xml:space="preserve"> Cambridgeshire County Council Public Health Intelligence (NHS Digital Primary Care Mortality Database, </w:t>
      </w:r>
      <w:r w:rsidR="007750E0">
        <w:rPr>
          <w:color w:val="002F5D"/>
        </w:rPr>
        <w:t>ONS</w:t>
      </w:r>
      <w:r w:rsidRPr="00EC6288">
        <w:rPr>
          <w:color w:val="002F5D"/>
        </w:rPr>
        <w:t xml:space="preserve"> mid-year population estimates, 2015 Index of Multiple Deprivation</w:t>
      </w:r>
      <w:r w:rsidRPr="00556DB4">
        <w:rPr>
          <w:color w:val="002F5D"/>
        </w:rPr>
        <w:t>).</w:t>
      </w:r>
    </w:p>
    <w:p w14:paraId="7B276F78" w14:textId="688090C3" w:rsidR="009F78B7" w:rsidRPr="00EC6288" w:rsidRDefault="00802BA7" w:rsidP="00B43887">
      <w:pPr>
        <w:spacing w:line="240" w:lineRule="auto"/>
        <w:rPr>
          <w:b/>
          <w:color w:val="002F5D"/>
        </w:rPr>
      </w:pPr>
      <w:r w:rsidRPr="00EC6288">
        <w:rPr>
          <w:b/>
          <w:color w:val="002F5D"/>
        </w:rPr>
        <w:lastRenderedPageBreak/>
        <w:t>Key point</w:t>
      </w:r>
      <w:r w:rsidR="00EC6288">
        <w:rPr>
          <w:b/>
          <w:color w:val="002F5D"/>
        </w:rPr>
        <w:t>s</w:t>
      </w:r>
      <w:r w:rsidR="009F78B7" w:rsidRPr="00EC6288">
        <w:rPr>
          <w:b/>
          <w:color w:val="002F5D"/>
        </w:rPr>
        <w:t>:</w:t>
      </w:r>
    </w:p>
    <w:p w14:paraId="273E7171" w14:textId="04980262" w:rsidR="00EC6288" w:rsidRPr="00EC6288" w:rsidRDefault="00EC6288" w:rsidP="00087C26">
      <w:pPr>
        <w:pStyle w:val="ListParagraph"/>
        <w:numPr>
          <w:ilvl w:val="0"/>
          <w:numId w:val="11"/>
        </w:numPr>
        <w:spacing w:line="240" w:lineRule="auto"/>
        <w:ind w:left="714" w:hanging="357"/>
        <w:rPr>
          <w:color w:val="002F5D"/>
        </w:rPr>
      </w:pPr>
      <w:r w:rsidRPr="00EC6288">
        <w:rPr>
          <w:color w:val="002F5D"/>
        </w:rPr>
        <w:t xml:space="preserve">The rate of all age all-cause mortality is statistically significantly higher than the Peterborough average in the second most deprived 20% of wards in </w:t>
      </w:r>
      <w:r w:rsidR="00C700D7">
        <w:rPr>
          <w:color w:val="002F5D"/>
        </w:rPr>
        <w:t>Peterborough</w:t>
      </w:r>
      <w:r>
        <w:rPr>
          <w:color w:val="002F5D"/>
        </w:rPr>
        <w:t>.</w:t>
      </w:r>
    </w:p>
    <w:p w14:paraId="32EC4941" w14:textId="77777777" w:rsidR="009F78B7" w:rsidRPr="00EC6288" w:rsidRDefault="009F78B7" w:rsidP="00087C26">
      <w:pPr>
        <w:pStyle w:val="ListParagraph"/>
        <w:numPr>
          <w:ilvl w:val="0"/>
          <w:numId w:val="11"/>
        </w:numPr>
        <w:spacing w:line="240" w:lineRule="auto"/>
        <w:ind w:left="714" w:hanging="357"/>
        <w:rPr>
          <w:color w:val="002F5D"/>
        </w:rPr>
      </w:pPr>
      <w:r w:rsidRPr="00EC6288">
        <w:rPr>
          <w:color w:val="002F5D"/>
        </w:rPr>
        <w:t xml:space="preserve">The rate of under 75 all-cause mortality is statistically significantly higher than the </w:t>
      </w:r>
      <w:r w:rsidR="00913CD2" w:rsidRPr="00EC6288">
        <w:rPr>
          <w:color w:val="002F5D"/>
        </w:rPr>
        <w:t xml:space="preserve">Peterborough </w:t>
      </w:r>
      <w:r w:rsidRPr="00EC6288">
        <w:rPr>
          <w:color w:val="002F5D"/>
        </w:rPr>
        <w:t xml:space="preserve">average in the most deprived 20% of wards in </w:t>
      </w:r>
      <w:r w:rsidR="00913CD2" w:rsidRPr="00EC6288">
        <w:rPr>
          <w:color w:val="002F5D"/>
        </w:rPr>
        <w:t>Peterborough.</w:t>
      </w:r>
    </w:p>
    <w:p w14:paraId="2DC3036D" w14:textId="5665B87E" w:rsidR="00087C26" w:rsidRPr="00EC6288" w:rsidRDefault="00087C26" w:rsidP="00087C26">
      <w:pPr>
        <w:pStyle w:val="ListParagraph"/>
        <w:numPr>
          <w:ilvl w:val="0"/>
          <w:numId w:val="11"/>
        </w:numPr>
        <w:spacing w:line="240" w:lineRule="auto"/>
        <w:ind w:left="714" w:hanging="357"/>
        <w:rPr>
          <w:color w:val="002F5D"/>
        </w:rPr>
      </w:pPr>
      <w:r w:rsidRPr="00EC6288">
        <w:rPr>
          <w:color w:val="002F5D"/>
        </w:rPr>
        <w:t xml:space="preserve">There is a relatively clear gradient in improving mortality </w:t>
      </w:r>
      <w:r w:rsidR="00556DB4">
        <w:rPr>
          <w:color w:val="002F5D"/>
        </w:rPr>
        <w:t>outcomes</w:t>
      </w:r>
      <w:r w:rsidRPr="00EC6288">
        <w:rPr>
          <w:color w:val="002F5D"/>
        </w:rPr>
        <w:t xml:space="preserve"> from most deprived to least deprived.</w:t>
      </w:r>
    </w:p>
    <w:p w14:paraId="2D674B02" w14:textId="77777777" w:rsidR="00740EEE" w:rsidRPr="0037351D" w:rsidRDefault="00740EEE" w:rsidP="00740EEE">
      <w:pPr>
        <w:pStyle w:val="ListParagraph"/>
        <w:spacing w:line="240" w:lineRule="auto"/>
        <w:ind w:left="714"/>
        <w:rPr>
          <w:color w:val="FF0000"/>
        </w:rPr>
      </w:pPr>
    </w:p>
    <w:p w14:paraId="6EB56078" w14:textId="77777777" w:rsidR="002172CB" w:rsidRPr="00241B34" w:rsidRDefault="002172CB" w:rsidP="00FA1277">
      <w:pPr>
        <w:pStyle w:val="JSNA2"/>
      </w:pPr>
      <w:bookmarkStart w:id="817" w:name="_Toc4407890"/>
      <w:r w:rsidRPr="00241B34">
        <w:t>Overall health status and levels of disability</w:t>
      </w:r>
      <w:bookmarkEnd w:id="817"/>
    </w:p>
    <w:p w14:paraId="3F42C624" w14:textId="77777777" w:rsidR="002172CB" w:rsidRPr="0037351D" w:rsidRDefault="002172CB" w:rsidP="0038179C">
      <w:pPr>
        <w:spacing w:line="240" w:lineRule="auto"/>
        <w:rPr>
          <w:rFonts w:cs="Arial"/>
          <w:b/>
          <w:color w:val="FF0000"/>
        </w:rPr>
      </w:pPr>
    </w:p>
    <w:p w14:paraId="7FB8384D" w14:textId="77777777" w:rsidR="006820CA" w:rsidRPr="0037351D" w:rsidRDefault="006820CA" w:rsidP="00A3568F">
      <w:pPr>
        <w:pStyle w:val="JSNA3"/>
      </w:pPr>
      <w:bookmarkStart w:id="818" w:name="_Toc4407891"/>
      <w:r w:rsidRPr="0037351D">
        <w:t>Percentage in good or very good health</w:t>
      </w:r>
      <w:bookmarkEnd w:id="818"/>
    </w:p>
    <w:p w14:paraId="5954F162" w14:textId="77777777" w:rsidR="006820CA" w:rsidRPr="0037351D" w:rsidRDefault="006820CA" w:rsidP="00B43887">
      <w:pPr>
        <w:spacing w:line="240" w:lineRule="auto"/>
        <w:rPr>
          <w:b/>
          <w:color w:val="FF0000"/>
        </w:rPr>
      </w:pPr>
    </w:p>
    <w:p w14:paraId="2ABD2FEB" w14:textId="37B9BCFD" w:rsidR="00CC7729" w:rsidRPr="00954F71" w:rsidRDefault="006543B9" w:rsidP="00B43887">
      <w:pPr>
        <w:pStyle w:val="Caption"/>
        <w:rPr>
          <w:color w:val="002F5D"/>
        </w:rPr>
      </w:pPr>
      <w:r w:rsidRPr="00954F71">
        <w:rPr>
          <w:b/>
          <w:color w:val="002F5D"/>
        </w:rPr>
        <w:t xml:space="preserve">Figure </w:t>
      </w:r>
      <w:r w:rsidR="00A2366A">
        <w:rPr>
          <w:b/>
          <w:color w:val="002F5D"/>
        </w:rPr>
        <w:t>67</w:t>
      </w:r>
      <w:r w:rsidR="007C21F3" w:rsidRPr="00954F71">
        <w:rPr>
          <w:b/>
          <w:color w:val="002F5D"/>
        </w:rPr>
        <w:t>.</w:t>
      </w:r>
      <w:r w:rsidR="007C21F3" w:rsidRPr="00954F71">
        <w:rPr>
          <w:color w:val="002F5D"/>
        </w:rPr>
        <w:t xml:space="preserve"> Directly age-standardised percentage of the population reporting good or very good health, Cambridgeshire</w:t>
      </w:r>
      <w:r w:rsidR="000F4131" w:rsidRPr="00954F71">
        <w:rPr>
          <w:color w:val="002F5D"/>
        </w:rPr>
        <w:t>, Peterborough and Cambridgeshire Districts</w:t>
      </w:r>
      <w:r w:rsidR="007C21F3" w:rsidRPr="00954F71">
        <w:rPr>
          <w:color w:val="002F5D"/>
        </w:rPr>
        <w:t>, 2011</w:t>
      </w:r>
    </w:p>
    <w:p w14:paraId="36E412C1" w14:textId="77777777" w:rsidR="00CC7729" w:rsidRPr="00954F71" w:rsidRDefault="00CC7729" w:rsidP="00B43887">
      <w:pPr>
        <w:pStyle w:val="Caption"/>
        <w:rPr>
          <w:color w:val="002F5D"/>
        </w:rPr>
      </w:pPr>
    </w:p>
    <w:p w14:paraId="66B03B6B" w14:textId="77777777" w:rsidR="00BF794C" w:rsidRPr="00954F71" w:rsidRDefault="009539F0" w:rsidP="00B43887">
      <w:pPr>
        <w:pStyle w:val="Caption"/>
        <w:rPr>
          <w:color w:val="002F5D"/>
        </w:rPr>
      </w:pPr>
      <w:r w:rsidRPr="00954F71">
        <w:rPr>
          <w:noProof/>
          <w:color w:val="002F5D"/>
          <w:lang w:eastAsia="en-GB"/>
        </w:rPr>
        <w:drawing>
          <wp:inline distT="0" distB="0" distL="0" distR="0" wp14:anchorId="5EE7D7D7" wp14:editId="7F502B98">
            <wp:extent cx="5779770" cy="3255645"/>
            <wp:effectExtent l="0" t="0" r="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79770" cy="3255645"/>
                    </a:xfrm>
                    <a:prstGeom prst="rect">
                      <a:avLst/>
                    </a:prstGeom>
                    <a:noFill/>
                  </pic:spPr>
                </pic:pic>
              </a:graphicData>
            </a:graphic>
          </wp:inline>
        </w:drawing>
      </w:r>
    </w:p>
    <w:p w14:paraId="11E478C0" w14:textId="77777777" w:rsidR="00B43887" w:rsidRPr="00954F71" w:rsidRDefault="00B43887" w:rsidP="00B43887">
      <w:pPr>
        <w:spacing w:line="240" w:lineRule="auto"/>
        <w:rPr>
          <w:color w:val="002F5D"/>
          <w:sz w:val="18"/>
        </w:rPr>
      </w:pPr>
    </w:p>
    <w:p w14:paraId="04F9216A" w14:textId="77777777" w:rsidR="00BF794C" w:rsidRPr="00954F71" w:rsidRDefault="006820CA" w:rsidP="00B43887">
      <w:pPr>
        <w:spacing w:line="240" w:lineRule="auto"/>
        <w:rPr>
          <w:color w:val="002F5D"/>
          <w:sz w:val="18"/>
        </w:rPr>
      </w:pPr>
      <w:r w:rsidRPr="00954F71">
        <w:rPr>
          <w:color w:val="002F5D"/>
          <w:sz w:val="18"/>
        </w:rPr>
        <w:t>Usual residents in households only (i.e. excluding communal establishments such as hospitals and care homes)</w:t>
      </w:r>
    </w:p>
    <w:p w14:paraId="648393CE" w14:textId="77777777" w:rsidR="003A021F" w:rsidRPr="00954F71" w:rsidRDefault="003A021F" w:rsidP="00B43887">
      <w:pPr>
        <w:spacing w:line="240" w:lineRule="auto"/>
        <w:rPr>
          <w:color w:val="002F5D"/>
          <w:sz w:val="18"/>
        </w:rPr>
      </w:pPr>
    </w:p>
    <w:p w14:paraId="26CA3DCC" w14:textId="77777777" w:rsidR="006820CA" w:rsidRPr="00954F71" w:rsidRDefault="00D14644" w:rsidP="00B43887">
      <w:pPr>
        <w:spacing w:line="240" w:lineRule="auto"/>
        <w:rPr>
          <w:b/>
          <w:color w:val="002F5D"/>
        </w:rPr>
      </w:pPr>
      <w:r w:rsidRPr="00954F71">
        <w:rPr>
          <w:noProof/>
          <w:color w:val="002F5D"/>
          <w:lang w:eastAsia="en-GB"/>
        </w:rPr>
        <w:drawing>
          <wp:inline distT="0" distB="0" distL="0" distR="0" wp14:anchorId="41A553EA" wp14:editId="7E910ED9">
            <wp:extent cx="4000500" cy="466725"/>
            <wp:effectExtent l="0" t="0" r="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37B18D88" w14:textId="77777777" w:rsidR="00D14644" w:rsidRPr="00954F71" w:rsidRDefault="00D14644" w:rsidP="00B43887">
      <w:pPr>
        <w:spacing w:line="240" w:lineRule="auto"/>
        <w:rPr>
          <w:b/>
          <w:color w:val="002F5D"/>
        </w:rPr>
      </w:pPr>
    </w:p>
    <w:p w14:paraId="318F6CC1" w14:textId="44AB2E80" w:rsidR="00BF794C" w:rsidRPr="00954F71" w:rsidRDefault="00BF794C" w:rsidP="00B43887">
      <w:pPr>
        <w:spacing w:line="240" w:lineRule="auto"/>
        <w:rPr>
          <w:color w:val="002F5D"/>
        </w:rPr>
      </w:pPr>
      <w:r w:rsidRPr="00954F71">
        <w:rPr>
          <w:b/>
          <w:color w:val="002F5D"/>
        </w:rPr>
        <w:t>Source:</w:t>
      </w:r>
      <w:r w:rsidRPr="00954F71">
        <w:rPr>
          <w:color w:val="002F5D"/>
        </w:rPr>
        <w:t xml:space="preserve"> </w:t>
      </w:r>
      <w:r w:rsidR="007750E0">
        <w:rPr>
          <w:color w:val="002F5D"/>
        </w:rPr>
        <w:t>ONS</w:t>
      </w:r>
      <w:r w:rsidRPr="00954F71">
        <w:rPr>
          <w:color w:val="002F5D"/>
        </w:rPr>
        <w:t xml:space="preserve"> Census 2011, Cambridgeshire County Council Public Health Intelligence</w:t>
      </w:r>
    </w:p>
    <w:p w14:paraId="664BF37D" w14:textId="77777777" w:rsidR="00BF794C" w:rsidRPr="0037351D" w:rsidRDefault="00BF794C" w:rsidP="00B43887">
      <w:pPr>
        <w:spacing w:line="240" w:lineRule="auto"/>
        <w:rPr>
          <w:color w:val="FF0000"/>
        </w:rPr>
      </w:pPr>
    </w:p>
    <w:p w14:paraId="0AC8F847" w14:textId="77777777" w:rsidR="006820CA" w:rsidRPr="00954F71" w:rsidRDefault="006820CA" w:rsidP="00B43887">
      <w:pPr>
        <w:spacing w:line="240" w:lineRule="auto"/>
        <w:rPr>
          <w:b/>
          <w:color w:val="002F5D"/>
        </w:rPr>
      </w:pPr>
      <w:r w:rsidRPr="00954F71">
        <w:rPr>
          <w:b/>
          <w:color w:val="002F5D"/>
        </w:rPr>
        <w:t>Key points:</w:t>
      </w:r>
    </w:p>
    <w:p w14:paraId="5AE9648D" w14:textId="77777777" w:rsidR="006820CA" w:rsidRPr="00954F71" w:rsidRDefault="006820CA" w:rsidP="00B43887">
      <w:pPr>
        <w:pStyle w:val="ListParagraph"/>
        <w:numPr>
          <w:ilvl w:val="0"/>
          <w:numId w:val="41"/>
        </w:numPr>
        <w:spacing w:line="240" w:lineRule="auto"/>
        <w:rPr>
          <w:color w:val="002F5D"/>
        </w:rPr>
      </w:pPr>
      <w:r w:rsidRPr="00954F71">
        <w:rPr>
          <w:color w:val="002F5D"/>
        </w:rPr>
        <w:t>84.2% of household residents in Cambridgeshire reported good or very good health in the 2011 Census.</w:t>
      </w:r>
      <w:r w:rsidR="00F10E66" w:rsidRPr="00954F71">
        <w:rPr>
          <w:color w:val="002F5D"/>
        </w:rPr>
        <w:t xml:space="preserve">  </w:t>
      </w:r>
      <w:r w:rsidRPr="00954F71">
        <w:rPr>
          <w:color w:val="002F5D"/>
        </w:rPr>
        <w:t>The percentage varied by age, from 97.7% in 0-15s to 31.1% in 85s and over, and by sex, with a slightly lower percentage in females than males</w:t>
      </w:r>
      <w:r w:rsidR="003021A1" w:rsidRPr="00954F71">
        <w:rPr>
          <w:color w:val="002F5D"/>
        </w:rPr>
        <w:t xml:space="preserve"> [data not shown]</w:t>
      </w:r>
      <w:r w:rsidRPr="00954F71">
        <w:rPr>
          <w:color w:val="002F5D"/>
        </w:rPr>
        <w:t>.</w:t>
      </w:r>
    </w:p>
    <w:p w14:paraId="46C36E3B" w14:textId="77777777" w:rsidR="009539F0" w:rsidRPr="00954F71" w:rsidRDefault="009539F0" w:rsidP="00B43887">
      <w:pPr>
        <w:pStyle w:val="ListParagraph"/>
        <w:numPr>
          <w:ilvl w:val="0"/>
          <w:numId w:val="41"/>
        </w:numPr>
        <w:spacing w:line="240" w:lineRule="auto"/>
        <w:rPr>
          <w:color w:val="002F5D"/>
        </w:rPr>
      </w:pPr>
      <w:r w:rsidRPr="00954F71">
        <w:rPr>
          <w:color w:val="002F5D"/>
        </w:rPr>
        <w:t>In Peterborough 81.8% of household residents reported good or very good health in the 2011 Census.  The percentage varied by age, from 96.4% in 0-15s to 27.2% in 85s and over and by sex, with a slightly lower percentage in females than males [data not shown].</w:t>
      </w:r>
    </w:p>
    <w:p w14:paraId="13F49B44" w14:textId="66E21AF9" w:rsidR="00EC7E66" w:rsidRDefault="006820CA" w:rsidP="00EC6288">
      <w:pPr>
        <w:pStyle w:val="ListParagraph"/>
        <w:numPr>
          <w:ilvl w:val="0"/>
          <w:numId w:val="41"/>
        </w:numPr>
        <w:spacing w:line="240" w:lineRule="auto"/>
        <w:rPr>
          <w:color w:val="002F5D"/>
        </w:rPr>
      </w:pPr>
      <w:r w:rsidRPr="00954F71">
        <w:rPr>
          <w:color w:val="002F5D"/>
        </w:rPr>
        <w:t>After adjusting for age</w:t>
      </w:r>
      <w:r w:rsidR="00BD23CB" w:rsidRPr="00954F71">
        <w:rPr>
          <w:color w:val="002F5D"/>
        </w:rPr>
        <w:t xml:space="preserve"> (as </w:t>
      </w:r>
      <w:r w:rsidR="00B1236C" w:rsidRPr="00954F71">
        <w:rPr>
          <w:color w:val="002F5D"/>
        </w:rPr>
        <w:t xml:space="preserve">shown </w:t>
      </w:r>
      <w:r w:rsidR="00CC7729" w:rsidRPr="00954F71">
        <w:rPr>
          <w:color w:val="002F5D"/>
        </w:rPr>
        <w:t xml:space="preserve">in figure </w:t>
      </w:r>
      <w:r w:rsidR="00B1236C" w:rsidRPr="00954F71">
        <w:rPr>
          <w:color w:val="002F5D"/>
        </w:rPr>
        <w:t>above</w:t>
      </w:r>
      <w:r w:rsidR="00BD23CB" w:rsidRPr="00954F71">
        <w:rPr>
          <w:color w:val="002F5D"/>
        </w:rPr>
        <w:t>)</w:t>
      </w:r>
      <w:r w:rsidRPr="00954F71">
        <w:rPr>
          <w:color w:val="002F5D"/>
        </w:rPr>
        <w:t xml:space="preserve">, the percentage </w:t>
      </w:r>
      <w:r w:rsidR="00445025" w:rsidRPr="00954F71">
        <w:rPr>
          <w:color w:val="002F5D"/>
        </w:rPr>
        <w:t xml:space="preserve">reporting good or very good health </w:t>
      </w:r>
      <w:r w:rsidRPr="00954F71">
        <w:rPr>
          <w:color w:val="002F5D"/>
        </w:rPr>
        <w:t xml:space="preserve">was statistically significantly lower than the England average in </w:t>
      </w:r>
      <w:r w:rsidR="009539F0" w:rsidRPr="00954F71">
        <w:rPr>
          <w:color w:val="002F5D"/>
        </w:rPr>
        <w:t xml:space="preserve">Peterborough </w:t>
      </w:r>
      <w:r w:rsidR="009539F0" w:rsidRPr="00954F71">
        <w:rPr>
          <w:color w:val="002F5D"/>
        </w:rPr>
        <w:lastRenderedPageBreak/>
        <w:t xml:space="preserve">and </w:t>
      </w:r>
      <w:r w:rsidRPr="00954F71">
        <w:rPr>
          <w:color w:val="002F5D"/>
        </w:rPr>
        <w:t xml:space="preserve">Fenland but statistically significantly higher in all the other districts and for </w:t>
      </w:r>
      <w:r w:rsidR="006873DE" w:rsidRPr="00954F71">
        <w:rPr>
          <w:color w:val="002F5D"/>
        </w:rPr>
        <w:t>Cambridgeshire</w:t>
      </w:r>
      <w:r w:rsidRPr="00954F71">
        <w:rPr>
          <w:color w:val="002F5D"/>
        </w:rPr>
        <w:t xml:space="preserve"> as a whole</w:t>
      </w:r>
      <w:r w:rsidR="00F939AA" w:rsidRPr="00954F71">
        <w:rPr>
          <w:color w:val="002F5D"/>
        </w:rPr>
        <w:t>.</w:t>
      </w:r>
    </w:p>
    <w:p w14:paraId="1763AA3E" w14:textId="77777777" w:rsidR="00556DB4" w:rsidRPr="00EC6288" w:rsidRDefault="00556DB4" w:rsidP="00556DB4">
      <w:pPr>
        <w:pStyle w:val="ListParagraph"/>
        <w:spacing w:line="240" w:lineRule="auto"/>
        <w:rPr>
          <w:color w:val="002F5D"/>
        </w:rPr>
      </w:pPr>
    </w:p>
    <w:p w14:paraId="29F54444" w14:textId="20EC7F32" w:rsidR="006820CA" w:rsidRPr="00954F71" w:rsidRDefault="006543B9" w:rsidP="00B43887">
      <w:pPr>
        <w:pStyle w:val="Caption"/>
        <w:rPr>
          <w:color w:val="002F5D"/>
        </w:rPr>
      </w:pPr>
      <w:r w:rsidRPr="00954F71">
        <w:rPr>
          <w:b/>
          <w:color w:val="002F5D"/>
        </w:rPr>
        <w:t xml:space="preserve">Figure </w:t>
      </w:r>
      <w:r w:rsidR="00A2366A">
        <w:rPr>
          <w:b/>
          <w:color w:val="002F5D"/>
        </w:rPr>
        <w:t>68</w:t>
      </w:r>
      <w:r w:rsidR="006820CA" w:rsidRPr="00330B65">
        <w:rPr>
          <w:color w:val="002F5D"/>
        </w:rPr>
        <w:t>. Directly age-standardised percentage of the population reporting good or very good health by ward, Cambridgeshire, 2011</w:t>
      </w:r>
    </w:p>
    <w:p w14:paraId="41489FE6" w14:textId="77777777" w:rsidR="003A021F" w:rsidRPr="00954F71" w:rsidRDefault="003A021F" w:rsidP="00B43887">
      <w:pPr>
        <w:spacing w:line="240" w:lineRule="auto"/>
        <w:rPr>
          <w:color w:val="002F5D"/>
        </w:rPr>
      </w:pPr>
    </w:p>
    <w:p w14:paraId="1A2B0111" w14:textId="77777777" w:rsidR="002B19BD" w:rsidRPr="0037351D" w:rsidRDefault="002B19BD" w:rsidP="006820CA">
      <w:pPr>
        <w:rPr>
          <w:b/>
          <w:color w:val="FF0000"/>
        </w:rPr>
      </w:pPr>
      <w:r w:rsidRPr="0037351D">
        <w:rPr>
          <w:noProof/>
          <w:color w:val="FF0000"/>
          <w:lang w:eastAsia="en-GB"/>
        </w:rPr>
        <w:drawing>
          <wp:inline distT="0" distB="0" distL="0" distR="0" wp14:anchorId="1DF388AE" wp14:editId="22CF39C7">
            <wp:extent cx="4284000" cy="5850183"/>
            <wp:effectExtent l="19050" t="19050" r="21590" b="1778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H_gvg_DASR_wards_Cambs_map_pers.png"/>
                    <pic:cNvPicPr/>
                  </pic:nvPicPr>
                  <pic:blipFill rotWithShape="1">
                    <a:blip r:embed="rId278" cstate="print">
                      <a:extLst>
                        <a:ext uri="{28A0092B-C50C-407E-A947-70E740481C1C}">
                          <a14:useLocalDpi xmlns:a14="http://schemas.microsoft.com/office/drawing/2010/main" val="0"/>
                        </a:ext>
                      </a:extLst>
                    </a:blip>
                    <a:srcRect l="6765" t="11571" r="6531" b="4645"/>
                    <a:stretch/>
                  </pic:blipFill>
                  <pic:spPr bwMode="auto">
                    <a:xfrm>
                      <a:off x="0" y="0"/>
                      <a:ext cx="4284000" cy="5850183"/>
                    </a:xfrm>
                    <a:prstGeom prst="rect">
                      <a:avLst/>
                    </a:prstGeom>
                    <a:ln w="19050">
                      <a:solidFill>
                        <a:srgbClr val="002F5D"/>
                      </a:solidFill>
                    </a:ln>
                    <a:extLst>
                      <a:ext uri="{53640926-AAD7-44D8-BBD7-CCE9431645EC}">
                        <a14:shadowObscured xmlns:a14="http://schemas.microsoft.com/office/drawing/2010/main"/>
                      </a:ext>
                    </a:extLst>
                  </pic:spPr>
                </pic:pic>
              </a:graphicData>
            </a:graphic>
          </wp:inline>
        </w:drawing>
      </w:r>
    </w:p>
    <w:p w14:paraId="7ED499BA" w14:textId="77777777" w:rsidR="002B19BD" w:rsidRPr="0037351D" w:rsidRDefault="002B19BD" w:rsidP="002362D6">
      <w:pPr>
        <w:spacing w:line="240" w:lineRule="auto"/>
        <w:rPr>
          <w:b/>
          <w:color w:val="FF0000"/>
        </w:rPr>
      </w:pPr>
    </w:p>
    <w:p w14:paraId="3D1A6962" w14:textId="21FDFCA4" w:rsidR="00B43887" w:rsidRPr="00954F71" w:rsidRDefault="00B43887" w:rsidP="00B43887">
      <w:pPr>
        <w:spacing w:line="240" w:lineRule="auto"/>
        <w:rPr>
          <w:color w:val="002F5D"/>
        </w:rPr>
      </w:pPr>
      <w:r w:rsidRPr="00954F71">
        <w:rPr>
          <w:b/>
          <w:color w:val="002F5D"/>
        </w:rPr>
        <w:t>Source:</w:t>
      </w:r>
      <w:r w:rsidRPr="00954F71">
        <w:rPr>
          <w:color w:val="002F5D"/>
        </w:rPr>
        <w:t xml:space="preserve"> </w:t>
      </w:r>
      <w:r w:rsidR="007750E0">
        <w:rPr>
          <w:color w:val="002F5D"/>
        </w:rPr>
        <w:t>ONS</w:t>
      </w:r>
      <w:r w:rsidRPr="00954F71">
        <w:rPr>
          <w:color w:val="002F5D"/>
        </w:rPr>
        <w:t xml:space="preserve"> Census 2011, Cambridgeshire County Council Public Health Intelligence</w:t>
      </w:r>
    </w:p>
    <w:p w14:paraId="3949B556" w14:textId="77777777" w:rsidR="00B43887" w:rsidRPr="00954F71" w:rsidRDefault="00B43887" w:rsidP="002362D6">
      <w:pPr>
        <w:spacing w:line="240" w:lineRule="auto"/>
        <w:rPr>
          <w:b/>
          <w:color w:val="002F5D"/>
        </w:rPr>
      </w:pPr>
    </w:p>
    <w:p w14:paraId="5BBE6AD3" w14:textId="77777777" w:rsidR="006820CA" w:rsidRPr="00954F71" w:rsidRDefault="006820CA" w:rsidP="00B43887">
      <w:pPr>
        <w:spacing w:line="240" w:lineRule="auto"/>
        <w:rPr>
          <w:b/>
          <w:color w:val="002F5D"/>
        </w:rPr>
      </w:pPr>
      <w:r w:rsidRPr="00954F71">
        <w:rPr>
          <w:b/>
          <w:color w:val="002F5D"/>
        </w:rPr>
        <w:t>Key points:</w:t>
      </w:r>
    </w:p>
    <w:p w14:paraId="3314FE8A" w14:textId="6586D8A6" w:rsidR="006820CA" w:rsidRPr="00954F71" w:rsidRDefault="006820CA" w:rsidP="00B43887">
      <w:pPr>
        <w:pStyle w:val="ListParagraph"/>
        <w:numPr>
          <w:ilvl w:val="0"/>
          <w:numId w:val="41"/>
        </w:numPr>
        <w:spacing w:line="240" w:lineRule="auto"/>
        <w:rPr>
          <w:color w:val="002F5D"/>
        </w:rPr>
      </w:pPr>
      <w:r w:rsidRPr="00954F71">
        <w:rPr>
          <w:color w:val="002F5D"/>
        </w:rPr>
        <w:t xml:space="preserve">At </w:t>
      </w:r>
      <w:r w:rsidR="00556DB4">
        <w:rPr>
          <w:color w:val="002F5D"/>
        </w:rPr>
        <w:t xml:space="preserve">electoral </w:t>
      </w:r>
      <w:r w:rsidRPr="00954F71">
        <w:rPr>
          <w:color w:val="002F5D"/>
        </w:rPr>
        <w:t xml:space="preserve">ward level (2011 wards), the age-standardised percentage reporting good or very good health was statistically significantly lower than the Cambridgeshire average in: </w:t>
      </w:r>
    </w:p>
    <w:p w14:paraId="4775BE76" w14:textId="77777777" w:rsidR="006820CA" w:rsidRPr="00954F71" w:rsidRDefault="006820CA" w:rsidP="00B43887">
      <w:pPr>
        <w:pStyle w:val="ListParagraph"/>
        <w:numPr>
          <w:ilvl w:val="1"/>
          <w:numId w:val="41"/>
        </w:numPr>
        <w:spacing w:line="240" w:lineRule="auto"/>
        <w:rPr>
          <w:color w:val="002F5D"/>
        </w:rPr>
      </w:pPr>
      <w:r w:rsidRPr="00954F71">
        <w:rPr>
          <w:color w:val="002F5D"/>
        </w:rPr>
        <w:t>Abbey, East Chesterton and King’s Hedges wards in Cambridge</w:t>
      </w:r>
    </w:p>
    <w:p w14:paraId="0B1895E7" w14:textId="77777777" w:rsidR="006820CA" w:rsidRPr="00954F71" w:rsidRDefault="006820CA" w:rsidP="00B43887">
      <w:pPr>
        <w:pStyle w:val="ListParagraph"/>
        <w:numPr>
          <w:ilvl w:val="1"/>
          <w:numId w:val="41"/>
        </w:numPr>
        <w:spacing w:line="240" w:lineRule="auto"/>
        <w:rPr>
          <w:color w:val="002F5D"/>
        </w:rPr>
      </w:pPr>
      <w:r w:rsidRPr="00954F71">
        <w:rPr>
          <w:color w:val="002F5D"/>
        </w:rPr>
        <w:t>Clarkson, Elm and Christchurch, Hill, Kingsmoor, Kirkgate, Lattersey, March East, March North, March West, Medworth, Parson Drove and Wisbech St Mary, Peckover, Roman Bank, Slade Lode, Staithe and Waterlees wards in Fenland</w:t>
      </w:r>
    </w:p>
    <w:p w14:paraId="363C66E4" w14:textId="73844174" w:rsidR="00802BA7" w:rsidRPr="00330B65" w:rsidRDefault="006820CA" w:rsidP="00330B65">
      <w:pPr>
        <w:pStyle w:val="ListParagraph"/>
        <w:numPr>
          <w:ilvl w:val="1"/>
          <w:numId w:val="41"/>
        </w:numPr>
        <w:spacing w:line="240" w:lineRule="auto"/>
        <w:rPr>
          <w:color w:val="FF0000"/>
        </w:rPr>
      </w:pPr>
      <w:r w:rsidRPr="00954F71">
        <w:rPr>
          <w:color w:val="002F5D"/>
        </w:rPr>
        <w:t>Huntingdon North ward in Huntingdonshire</w:t>
      </w:r>
    </w:p>
    <w:p w14:paraId="46441597" w14:textId="77777777" w:rsidR="00802BA7" w:rsidRPr="0037351D" w:rsidRDefault="00802BA7" w:rsidP="00802BA7">
      <w:pPr>
        <w:rPr>
          <w:color w:val="FF0000"/>
        </w:rPr>
      </w:pPr>
    </w:p>
    <w:p w14:paraId="3CFD16C0" w14:textId="5F11A8B6" w:rsidR="000F4131" w:rsidRPr="00954F71" w:rsidRDefault="000F4131" w:rsidP="00B43887">
      <w:pPr>
        <w:pStyle w:val="Caption"/>
        <w:rPr>
          <w:color w:val="002F5D"/>
        </w:rPr>
      </w:pPr>
      <w:r w:rsidRPr="00954F71">
        <w:rPr>
          <w:b/>
          <w:color w:val="002F5D"/>
        </w:rPr>
        <w:t xml:space="preserve">Figure </w:t>
      </w:r>
      <w:r w:rsidR="00A2366A">
        <w:rPr>
          <w:b/>
          <w:color w:val="002F5D"/>
        </w:rPr>
        <w:t>69</w:t>
      </w:r>
      <w:r w:rsidRPr="00954F71">
        <w:rPr>
          <w:b/>
          <w:color w:val="002F5D"/>
        </w:rPr>
        <w:t>.</w:t>
      </w:r>
      <w:r w:rsidRPr="00954F71">
        <w:rPr>
          <w:color w:val="002F5D"/>
        </w:rPr>
        <w:t xml:space="preserve"> Directly age-standardised percentage of the population reporting good or very good health by ward, Peterborough, 2011</w:t>
      </w:r>
    </w:p>
    <w:p w14:paraId="545E95DF" w14:textId="77777777" w:rsidR="000F4131" w:rsidRPr="0037351D" w:rsidRDefault="000F4131" w:rsidP="000F4131">
      <w:pPr>
        <w:pStyle w:val="ListParagraph"/>
        <w:rPr>
          <w:color w:val="FF0000"/>
        </w:rPr>
      </w:pPr>
    </w:p>
    <w:p w14:paraId="4BA868D9" w14:textId="77777777" w:rsidR="00170DD1" w:rsidRPr="0037351D" w:rsidRDefault="009539F0">
      <w:pPr>
        <w:rPr>
          <w:b/>
          <w:color w:val="FF0000"/>
        </w:rPr>
      </w:pPr>
      <w:r w:rsidRPr="0037351D">
        <w:rPr>
          <w:b/>
          <w:noProof/>
          <w:color w:val="FF0000"/>
          <w:lang w:eastAsia="en-GB"/>
        </w:rPr>
        <w:drawing>
          <wp:inline distT="0" distB="0" distL="0" distR="0" wp14:anchorId="02E85479" wp14:editId="25FD5CE2">
            <wp:extent cx="5718810" cy="4993005"/>
            <wp:effectExtent l="19050" t="19050" r="15240" b="171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8810" cy="4993005"/>
                    </a:xfrm>
                    <a:prstGeom prst="rect">
                      <a:avLst/>
                    </a:prstGeom>
                    <a:noFill/>
                    <a:ln w="15875">
                      <a:solidFill>
                        <a:srgbClr val="002F5D"/>
                      </a:solidFill>
                    </a:ln>
                  </pic:spPr>
                </pic:pic>
              </a:graphicData>
            </a:graphic>
          </wp:inline>
        </w:drawing>
      </w:r>
    </w:p>
    <w:p w14:paraId="16CB28B2" w14:textId="77777777" w:rsidR="00620C02" w:rsidRPr="0037351D" w:rsidRDefault="00620C02" w:rsidP="00170DD1">
      <w:pPr>
        <w:spacing w:line="240" w:lineRule="auto"/>
        <w:rPr>
          <w:b/>
          <w:color w:val="FF0000"/>
        </w:rPr>
      </w:pPr>
    </w:p>
    <w:p w14:paraId="0AE502AB" w14:textId="6495179D" w:rsidR="00B43887" w:rsidRPr="00954F71" w:rsidRDefault="00B43887" w:rsidP="00B43887">
      <w:pPr>
        <w:spacing w:line="240" w:lineRule="auto"/>
        <w:rPr>
          <w:color w:val="002F5D"/>
        </w:rPr>
      </w:pPr>
      <w:r w:rsidRPr="00954F71">
        <w:rPr>
          <w:b/>
          <w:color w:val="002F5D"/>
        </w:rPr>
        <w:t>Source:</w:t>
      </w:r>
      <w:r w:rsidR="007750E0">
        <w:rPr>
          <w:color w:val="002F5D"/>
        </w:rPr>
        <w:t xml:space="preserve"> ONS </w:t>
      </w:r>
      <w:r w:rsidRPr="00954F71">
        <w:rPr>
          <w:color w:val="002F5D"/>
        </w:rPr>
        <w:t>Census 2011, Cambridgeshire County Council Public Health Intelligence</w:t>
      </w:r>
    </w:p>
    <w:p w14:paraId="0EA410F9" w14:textId="77777777" w:rsidR="00620C02" w:rsidRPr="00954F71" w:rsidRDefault="00620C02" w:rsidP="00170DD1">
      <w:pPr>
        <w:spacing w:line="240" w:lineRule="auto"/>
        <w:rPr>
          <w:b/>
          <w:color w:val="002F5D"/>
        </w:rPr>
      </w:pPr>
    </w:p>
    <w:p w14:paraId="472BD26F" w14:textId="77777777" w:rsidR="00170DD1" w:rsidRPr="00954F71" w:rsidRDefault="00170DD1" w:rsidP="00170DD1">
      <w:pPr>
        <w:spacing w:line="240" w:lineRule="auto"/>
        <w:rPr>
          <w:b/>
          <w:color w:val="002F5D"/>
        </w:rPr>
      </w:pPr>
      <w:r w:rsidRPr="00954F71">
        <w:rPr>
          <w:b/>
          <w:color w:val="002F5D"/>
        </w:rPr>
        <w:t>Key points:</w:t>
      </w:r>
    </w:p>
    <w:p w14:paraId="7734CC14" w14:textId="77777777" w:rsidR="00170DD1" w:rsidRPr="00954F71" w:rsidRDefault="00170DD1" w:rsidP="00121F24">
      <w:pPr>
        <w:pStyle w:val="ListParagraph"/>
        <w:numPr>
          <w:ilvl w:val="0"/>
          <w:numId w:val="41"/>
        </w:numPr>
        <w:spacing w:line="240" w:lineRule="auto"/>
        <w:ind w:hanging="357"/>
        <w:rPr>
          <w:color w:val="002F5D"/>
        </w:rPr>
      </w:pPr>
      <w:r w:rsidRPr="00954F71">
        <w:rPr>
          <w:color w:val="002F5D"/>
        </w:rPr>
        <w:t xml:space="preserve">At ward level (2011 wards), the age-standardised percentage reporting good or very good health was statistically significantly lower than the Peterborough average in: </w:t>
      </w:r>
    </w:p>
    <w:p w14:paraId="3F8620B7" w14:textId="77777777" w:rsidR="00170DD1" w:rsidRPr="00954F71" w:rsidRDefault="00170DD1" w:rsidP="00121F24">
      <w:pPr>
        <w:pStyle w:val="ListParagraph"/>
        <w:numPr>
          <w:ilvl w:val="1"/>
          <w:numId w:val="41"/>
        </w:numPr>
        <w:spacing w:line="240" w:lineRule="auto"/>
        <w:ind w:hanging="357"/>
        <w:rPr>
          <w:color w:val="002F5D"/>
        </w:rPr>
      </w:pPr>
      <w:r w:rsidRPr="00954F71">
        <w:rPr>
          <w:color w:val="002F5D"/>
        </w:rPr>
        <w:t xml:space="preserve">Bretton North, Central, Dogsthorpe, East, North, Orton Longueville, Paston, and Ravensthorpe </w:t>
      </w:r>
      <w:r w:rsidR="00121F24" w:rsidRPr="00954F71">
        <w:rPr>
          <w:color w:val="002F5D"/>
        </w:rPr>
        <w:t>wards</w:t>
      </w:r>
      <w:r w:rsidRPr="00954F71">
        <w:rPr>
          <w:color w:val="002F5D"/>
        </w:rPr>
        <w:t>.  The percentages in all of these wards were also statistically significantly lower than the England average.</w:t>
      </w:r>
    </w:p>
    <w:p w14:paraId="17A1D34A" w14:textId="77777777" w:rsidR="00170DD1" w:rsidRPr="00954F71" w:rsidRDefault="00170DD1" w:rsidP="002A2849">
      <w:pPr>
        <w:pStyle w:val="ListParagraph"/>
        <w:spacing w:line="240" w:lineRule="auto"/>
        <w:rPr>
          <w:color w:val="002F5D"/>
        </w:rPr>
      </w:pPr>
    </w:p>
    <w:p w14:paraId="36338A50" w14:textId="51751FD3" w:rsidR="00170DD1" w:rsidRDefault="00170DD1" w:rsidP="00170DD1">
      <w:pPr>
        <w:pStyle w:val="ListParagraph"/>
        <w:spacing w:line="240" w:lineRule="auto"/>
        <w:rPr>
          <w:color w:val="FF0000"/>
        </w:rPr>
      </w:pPr>
    </w:p>
    <w:p w14:paraId="1552B833" w14:textId="027E1D55" w:rsidR="0045033B" w:rsidRDefault="0045033B" w:rsidP="00170DD1">
      <w:pPr>
        <w:pStyle w:val="ListParagraph"/>
        <w:spacing w:line="240" w:lineRule="auto"/>
        <w:rPr>
          <w:color w:val="FF0000"/>
        </w:rPr>
      </w:pPr>
    </w:p>
    <w:p w14:paraId="3B37FAC7" w14:textId="647FC9FA" w:rsidR="0045033B" w:rsidRDefault="0045033B" w:rsidP="00170DD1">
      <w:pPr>
        <w:pStyle w:val="ListParagraph"/>
        <w:spacing w:line="240" w:lineRule="auto"/>
        <w:rPr>
          <w:color w:val="FF0000"/>
        </w:rPr>
      </w:pPr>
    </w:p>
    <w:p w14:paraId="15746A0B" w14:textId="563BBCDD" w:rsidR="0045033B" w:rsidRDefault="0045033B" w:rsidP="00170DD1">
      <w:pPr>
        <w:pStyle w:val="ListParagraph"/>
        <w:spacing w:line="240" w:lineRule="auto"/>
        <w:rPr>
          <w:color w:val="FF0000"/>
        </w:rPr>
      </w:pPr>
    </w:p>
    <w:p w14:paraId="4CC94FBD" w14:textId="1E2F0F21" w:rsidR="0045033B" w:rsidRDefault="0045033B" w:rsidP="00170DD1">
      <w:pPr>
        <w:pStyle w:val="ListParagraph"/>
        <w:spacing w:line="240" w:lineRule="auto"/>
        <w:rPr>
          <w:color w:val="FF0000"/>
        </w:rPr>
      </w:pPr>
    </w:p>
    <w:p w14:paraId="0E643A1C" w14:textId="77777777" w:rsidR="0045033B" w:rsidRPr="0037351D" w:rsidRDefault="0045033B" w:rsidP="00170DD1">
      <w:pPr>
        <w:pStyle w:val="ListParagraph"/>
        <w:spacing w:line="240" w:lineRule="auto"/>
        <w:rPr>
          <w:color w:val="FF0000"/>
        </w:rPr>
      </w:pPr>
    </w:p>
    <w:p w14:paraId="724DDD07" w14:textId="7086F841" w:rsidR="002B19BD" w:rsidRPr="0037351D" w:rsidRDefault="002B19BD">
      <w:pPr>
        <w:rPr>
          <w:b/>
          <w:color w:val="FF0000"/>
        </w:rPr>
      </w:pPr>
    </w:p>
    <w:p w14:paraId="302537B3" w14:textId="77777777" w:rsidR="002B19BD" w:rsidRPr="0037351D" w:rsidRDefault="002B19BD" w:rsidP="00A3568F">
      <w:pPr>
        <w:pStyle w:val="JSNA3"/>
      </w:pPr>
      <w:bookmarkStart w:id="819" w:name="_Toc4407892"/>
      <w:r w:rsidRPr="0037351D">
        <w:lastRenderedPageBreak/>
        <w:t>Percentage with a long-term activity-limiting illness</w:t>
      </w:r>
      <w:bookmarkEnd w:id="819"/>
    </w:p>
    <w:p w14:paraId="1ED6A612" w14:textId="77777777" w:rsidR="002B19BD" w:rsidRPr="0037351D" w:rsidRDefault="002B19BD">
      <w:pPr>
        <w:rPr>
          <w:b/>
          <w:color w:val="FF0000"/>
          <w:sz w:val="16"/>
          <w:szCs w:val="16"/>
        </w:rPr>
      </w:pPr>
    </w:p>
    <w:p w14:paraId="2BADC46D" w14:textId="759D5C31" w:rsidR="00BF794C" w:rsidRPr="00954F71" w:rsidRDefault="006543B9" w:rsidP="00B43887">
      <w:pPr>
        <w:pStyle w:val="Caption"/>
        <w:rPr>
          <w:color w:val="002F5D"/>
        </w:rPr>
      </w:pPr>
      <w:r w:rsidRPr="00954F71">
        <w:rPr>
          <w:b/>
          <w:color w:val="002F5D"/>
        </w:rPr>
        <w:t>Figure</w:t>
      </w:r>
      <w:r w:rsidR="00A2366A">
        <w:rPr>
          <w:b/>
          <w:color w:val="002F5D"/>
        </w:rPr>
        <w:t xml:space="preserve"> 70</w:t>
      </w:r>
      <w:r w:rsidR="00BF794C" w:rsidRPr="00954F71">
        <w:rPr>
          <w:b/>
          <w:color w:val="002F5D"/>
        </w:rPr>
        <w:t>.</w:t>
      </w:r>
      <w:r w:rsidR="00BF794C" w:rsidRPr="00954F71">
        <w:rPr>
          <w:color w:val="002F5D"/>
        </w:rPr>
        <w:t xml:space="preserve"> Directly age-standardised percentage of the population with a long-term activity-limiting illness, Cambridgeshire</w:t>
      </w:r>
      <w:r w:rsidR="000F4131" w:rsidRPr="00954F71">
        <w:rPr>
          <w:color w:val="002F5D"/>
        </w:rPr>
        <w:t>, Peterborough and Cambridgeshire Districts</w:t>
      </w:r>
      <w:r w:rsidR="00BF794C" w:rsidRPr="00954F71">
        <w:rPr>
          <w:color w:val="002F5D"/>
        </w:rPr>
        <w:t>, 2011</w:t>
      </w:r>
    </w:p>
    <w:p w14:paraId="445552CD" w14:textId="77777777" w:rsidR="00170DD1" w:rsidRPr="0037351D" w:rsidRDefault="00170DD1" w:rsidP="00B43887">
      <w:pPr>
        <w:spacing w:line="240" w:lineRule="auto"/>
        <w:rPr>
          <w:color w:val="FF0000"/>
        </w:rPr>
      </w:pPr>
    </w:p>
    <w:p w14:paraId="18566E13" w14:textId="2FE347B5" w:rsidR="000F4131" w:rsidRPr="0037351D" w:rsidRDefault="0007210F" w:rsidP="00B43887">
      <w:pPr>
        <w:spacing w:line="240" w:lineRule="auto"/>
        <w:rPr>
          <w:color w:val="FF0000"/>
        </w:rPr>
      </w:pPr>
      <w:r w:rsidRPr="0037351D">
        <w:rPr>
          <w:noProof/>
          <w:color w:val="FF0000"/>
          <w:lang w:eastAsia="en-GB"/>
        </w:rPr>
        <w:drawing>
          <wp:inline distT="0" distB="0" distL="0" distR="0" wp14:anchorId="20DE8CDB" wp14:editId="173013DA">
            <wp:extent cx="5779770" cy="32556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79770" cy="3255645"/>
                    </a:xfrm>
                    <a:prstGeom prst="rect">
                      <a:avLst/>
                    </a:prstGeom>
                    <a:noFill/>
                  </pic:spPr>
                </pic:pic>
              </a:graphicData>
            </a:graphic>
          </wp:inline>
        </w:drawing>
      </w:r>
    </w:p>
    <w:p w14:paraId="46C97C16" w14:textId="77777777" w:rsidR="00B43887" w:rsidRPr="0037351D" w:rsidRDefault="00B43887" w:rsidP="00B43887">
      <w:pPr>
        <w:spacing w:line="240" w:lineRule="auto"/>
        <w:rPr>
          <w:color w:val="FF0000"/>
          <w:sz w:val="18"/>
        </w:rPr>
      </w:pPr>
    </w:p>
    <w:p w14:paraId="3AAA1FC6" w14:textId="77777777" w:rsidR="006820CA" w:rsidRPr="00954F71" w:rsidRDefault="006820CA" w:rsidP="00B43887">
      <w:pPr>
        <w:spacing w:line="240" w:lineRule="auto"/>
        <w:rPr>
          <w:color w:val="002F5D"/>
          <w:sz w:val="18"/>
        </w:rPr>
      </w:pPr>
      <w:r w:rsidRPr="00954F71">
        <w:rPr>
          <w:color w:val="002F5D"/>
          <w:sz w:val="18"/>
        </w:rPr>
        <w:t>Usual residents in households only (i.e. excluding communal establishments such as hospitals and care homes)</w:t>
      </w:r>
    </w:p>
    <w:p w14:paraId="2B91C938" w14:textId="77777777" w:rsidR="003A021F" w:rsidRPr="00954F71" w:rsidRDefault="003A021F" w:rsidP="00B43887">
      <w:pPr>
        <w:spacing w:line="240" w:lineRule="auto"/>
        <w:rPr>
          <w:color w:val="002F5D"/>
          <w:sz w:val="18"/>
        </w:rPr>
      </w:pPr>
    </w:p>
    <w:p w14:paraId="12E13E77" w14:textId="77777777" w:rsidR="006820CA" w:rsidRPr="00954F71" w:rsidRDefault="00D14644" w:rsidP="00B43887">
      <w:pPr>
        <w:spacing w:line="240" w:lineRule="auto"/>
        <w:rPr>
          <w:b/>
          <w:color w:val="002F5D"/>
        </w:rPr>
      </w:pPr>
      <w:r w:rsidRPr="00954F71">
        <w:rPr>
          <w:noProof/>
          <w:color w:val="002F5D"/>
          <w:lang w:eastAsia="en-GB"/>
        </w:rPr>
        <w:drawing>
          <wp:inline distT="0" distB="0" distL="0" distR="0" wp14:anchorId="05EB78B7" wp14:editId="3582C179">
            <wp:extent cx="4000500" cy="466725"/>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66261BE4" w14:textId="77777777" w:rsidR="00D14644" w:rsidRPr="00954F71" w:rsidRDefault="00D14644" w:rsidP="00B43887">
      <w:pPr>
        <w:spacing w:line="240" w:lineRule="auto"/>
        <w:rPr>
          <w:b/>
          <w:color w:val="002F5D"/>
        </w:rPr>
      </w:pPr>
    </w:p>
    <w:p w14:paraId="5F08F0AA" w14:textId="5A867460" w:rsidR="006820CA" w:rsidRPr="00954F71" w:rsidRDefault="006820CA" w:rsidP="00B43887">
      <w:pPr>
        <w:spacing w:line="240" w:lineRule="auto"/>
        <w:rPr>
          <w:color w:val="002F5D"/>
        </w:rPr>
      </w:pPr>
      <w:r w:rsidRPr="00954F71">
        <w:rPr>
          <w:b/>
          <w:color w:val="002F5D"/>
        </w:rPr>
        <w:t>Source:</w:t>
      </w:r>
      <w:r w:rsidRPr="00954F71">
        <w:rPr>
          <w:color w:val="002F5D"/>
        </w:rPr>
        <w:t xml:space="preserve"> </w:t>
      </w:r>
      <w:r w:rsidR="007750E0">
        <w:rPr>
          <w:color w:val="002F5D"/>
        </w:rPr>
        <w:t>ONS</w:t>
      </w:r>
      <w:r w:rsidRPr="00954F71">
        <w:rPr>
          <w:color w:val="002F5D"/>
        </w:rPr>
        <w:t xml:space="preserve"> Census 2011, Cambridgeshire County Council Public Health Intelligence</w:t>
      </w:r>
    </w:p>
    <w:p w14:paraId="750586BE" w14:textId="77777777" w:rsidR="006820CA" w:rsidRPr="00954F71" w:rsidRDefault="006820CA" w:rsidP="005B7C21">
      <w:pPr>
        <w:spacing w:line="240" w:lineRule="auto"/>
        <w:rPr>
          <w:color w:val="002F5D"/>
        </w:rPr>
      </w:pPr>
    </w:p>
    <w:p w14:paraId="700F10D2" w14:textId="77777777" w:rsidR="006820CA" w:rsidRPr="00954F71" w:rsidRDefault="006820CA" w:rsidP="005B7C21">
      <w:pPr>
        <w:spacing w:line="240" w:lineRule="auto"/>
        <w:rPr>
          <w:b/>
          <w:color w:val="002F5D"/>
        </w:rPr>
      </w:pPr>
      <w:r w:rsidRPr="00954F71">
        <w:rPr>
          <w:b/>
          <w:color w:val="002F5D"/>
        </w:rPr>
        <w:t>Key points:</w:t>
      </w:r>
    </w:p>
    <w:p w14:paraId="0D05346A" w14:textId="4E1939C4" w:rsidR="006820CA" w:rsidRPr="00954F71" w:rsidRDefault="006820CA" w:rsidP="005B7C21">
      <w:pPr>
        <w:pStyle w:val="ListParagraph"/>
        <w:numPr>
          <w:ilvl w:val="0"/>
          <w:numId w:val="51"/>
        </w:numPr>
        <w:spacing w:line="240" w:lineRule="auto"/>
        <w:ind w:left="709"/>
        <w:rPr>
          <w:color w:val="002F5D"/>
        </w:rPr>
      </w:pPr>
      <w:r w:rsidRPr="00954F71">
        <w:rPr>
          <w:color w:val="002F5D"/>
        </w:rPr>
        <w:t>90,420 people</w:t>
      </w:r>
      <w:r w:rsidR="00861ADD">
        <w:rPr>
          <w:color w:val="002F5D"/>
        </w:rPr>
        <w:t xml:space="preserve"> (</w:t>
      </w:r>
      <w:r w:rsidRPr="00954F71">
        <w:rPr>
          <w:color w:val="002F5D"/>
        </w:rPr>
        <w:t>15.1% of household residents in Cambridgeshire</w:t>
      </w:r>
      <w:r w:rsidR="00861ADD">
        <w:rPr>
          <w:color w:val="002F5D"/>
        </w:rPr>
        <w:t>)</w:t>
      </w:r>
      <w:r w:rsidRPr="00954F71">
        <w:rPr>
          <w:color w:val="002F5D"/>
        </w:rPr>
        <w:t xml:space="preserve"> reported a long-term activity-limiting illness in the 2011 Census.</w:t>
      </w:r>
    </w:p>
    <w:p w14:paraId="1BB87E2F" w14:textId="77777777" w:rsidR="002B19BD" w:rsidRPr="00954F71" w:rsidRDefault="002B19BD" w:rsidP="005B7C21">
      <w:pPr>
        <w:pStyle w:val="ListParagraph"/>
        <w:numPr>
          <w:ilvl w:val="0"/>
          <w:numId w:val="51"/>
        </w:numPr>
        <w:spacing w:line="240" w:lineRule="auto"/>
        <w:ind w:left="709"/>
        <w:rPr>
          <w:bCs/>
          <w:color w:val="002F5D"/>
        </w:rPr>
      </w:pPr>
      <w:r w:rsidRPr="00954F71">
        <w:rPr>
          <w:bCs/>
          <w:color w:val="002F5D"/>
        </w:rPr>
        <w:t>41.6% of people reporting a long-term illness described their illness as limiting their day-to-day activities a lot.</w:t>
      </w:r>
      <w:r w:rsidR="00EF663C" w:rsidRPr="00954F71">
        <w:rPr>
          <w:bCs/>
          <w:color w:val="002F5D"/>
        </w:rPr>
        <w:t xml:space="preserve">  </w:t>
      </w:r>
    </w:p>
    <w:p w14:paraId="0FCD82FB" w14:textId="77777777" w:rsidR="006820CA" w:rsidRPr="00954F71" w:rsidRDefault="006820CA" w:rsidP="005B7C21">
      <w:pPr>
        <w:pStyle w:val="ListParagraph"/>
        <w:numPr>
          <w:ilvl w:val="0"/>
          <w:numId w:val="51"/>
        </w:numPr>
        <w:spacing w:line="240" w:lineRule="auto"/>
        <w:ind w:left="709"/>
        <w:rPr>
          <w:color w:val="002F5D"/>
        </w:rPr>
      </w:pPr>
      <w:r w:rsidRPr="00954F71">
        <w:rPr>
          <w:color w:val="002F5D"/>
        </w:rPr>
        <w:t>The percentage varied by age, from 3.5% in 0-15s to 82.7% in 85s and over</w:t>
      </w:r>
      <w:r w:rsidR="00F10E66" w:rsidRPr="00954F71">
        <w:rPr>
          <w:color w:val="002F5D"/>
        </w:rPr>
        <w:t>.</w:t>
      </w:r>
    </w:p>
    <w:p w14:paraId="5A26899C" w14:textId="77777777" w:rsidR="008465D6" w:rsidRPr="00954F71" w:rsidRDefault="006820CA" w:rsidP="005B7C21">
      <w:pPr>
        <w:pStyle w:val="ListParagraph"/>
        <w:numPr>
          <w:ilvl w:val="0"/>
          <w:numId w:val="51"/>
        </w:numPr>
        <w:spacing w:line="240" w:lineRule="auto"/>
        <w:ind w:left="709"/>
        <w:rPr>
          <w:color w:val="002F5D"/>
        </w:rPr>
      </w:pPr>
      <w:r w:rsidRPr="00954F71">
        <w:rPr>
          <w:color w:val="002F5D"/>
        </w:rPr>
        <w:t>The percentage also varied by sex, with generally higher percentages in females than males</w:t>
      </w:r>
      <w:r w:rsidR="00F10E66" w:rsidRPr="00954F71">
        <w:rPr>
          <w:color w:val="002F5D"/>
        </w:rPr>
        <w:t xml:space="preserve"> [data not shown]</w:t>
      </w:r>
      <w:r w:rsidR="002B19BD" w:rsidRPr="00954F71">
        <w:rPr>
          <w:color w:val="002F5D"/>
        </w:rPr>
        <w:t>.</w:t>
      </w:r>
      <w:r w:rsidR="008465D6" w:rsidRPr="00954F71">
        <w:rPr>
          <w:color w:val="002F5D"/>
        </w:rPr>
        <w:t xml:space="preserve"> </w:t>
      </w:r>
    </w:p>
    <w:p w14:paraId="137A08E1" w14:textId="77777777" w:rsidR="008465D6" w:rsidRPr="00954F71" w:rsidRDefault="008465D6" w:rsidP="005B7C21">
      <w:pPr>
        <w:pStyle w:val="ListParagraph"/>
        <w:numPr>
          <w:ilvl w:val="0"/>
          <w:numId w:val="51"/>
        </w:numPr>
        <w:spacing w:line="240" w:lineRule="auto"/>
        <w:ind w:left="709"/>
        <w:rPr>
          <w:color w:val="002F5D"/>
        </w:rPr>
      </w:pPr>
      <w:r w:rsidRPr="00954F71">
        <w:rPr>
          <w:color w:val="002F5D"/>
        </w:rPr>
        <w:t>29,699 people, 16.3% of all household residents in Peterborough, reported having a long-term activity-limiting illness in the Census 2011.</w:t>
      </w:r>
    </w:p>
    <w:p w14:paraId="4BB36618" w14:textId="77777777" w:rsidR="00EF663C" w:rsidRPr="00954F71" w:rsidRDefault="00EF663C" w:rsidP="005B7C21">
      <w:pPr>
        <w:pStyle w:val="ListParagraph"/>
        <w:numPr>
          <w:ilvl w:val="0"/>
          <w:numId w:val="51"/>
        </w:numPr>
        <w:spacing w:line="240" w:lineRule="auto"/>
        <w:ind w:left="709"/>
        <w:rPr>
          <w:color w:val="002F5D"/>
        </w:rPr>
      </w:pPr>
      <w:r w:rsidRPr="00954F71">
        <w:rPr>
          <w:bCs/>
          <w:color w:val="002F5D"/>
        </w:rPr>
        <w:t>In Peterborough 45.2% of people reporting a long-t</w:t>
      </w:r>
      <w:r w:rsidR="00B43887" w:rsidRPr="00954F71">
        <w:rPr>
          <w:bCs/>
          <w:color w:val="002F5D"/>
        </w:rPr>
        <w:t>erm illness described their day</w:t>
      </w:r>
      <w:r w:rsidRPr="00954F71">
        <w:rPr>
          <w:bCs/>
          <w:color w:val="002F5D"/>
        </w:rPr>
        <w:t>–to-day activities a lot.</w:t>
      </w:r>
    </w:p>
    <w:p w14:paraId="3C609610" w14:textId="215D5AFB" w:rsidR="00170DD1" w:rsidRDefault="008465D6" w:rsidP="005B7C21">
      <w:pPr>
        <w:pStyle w:val="ListParagraph"/>
        <w:numPr>
          <w:ilvl w:val="0"/>
          <w:numId w:val="51"/>
        </w:numPr>
        <w:spacing w:line="240" w:lineRule="auto"/>
        <w:ind w:left="709"/>
        <w:rPr>
          <w:color w:val="002F5D"/>
        </w:rPr>
      </w:pPr>
      <w:r w:rsidRPr="00954F71">
        <w:rPr>
          <w:color w:val="002F5D"/>
        </w:rPr>
        <w:t>This varied notably with age: 4.4% of those aged 0-15 years rising to 84.6% of those aged 85 years and over; the increase being particularly noticeable from age 50-64 years.  Although the percentages reporting long-term illness are highest in the oldest age groups, it should be noted that 51% of all people with a long-term illness in Peterborough are of working age (aged 16-64 years) (15,137/29,699).</w:t>
      </w:r>
      <w:r w:rsidR="00CC7729" w:rsidRPr="00954F71">
        <w:rPr>
          <w:color w:val="002F5D"/>
        </w:rPr>
        <w:t xml:space="preserve"> </w:t>
      </w:r>
      <w:r w:rsidR="006820CA" w:rsidRPr="00954F71">
        <w:rPr>
          <w:color w:val="002F5D"/>
        </w:rPr>
        <w:t>After adjusting for age</w:t>
      </w:r>
      <w:r w:rsidR="00BD23CB" w:rsidRPr="00954F71">
        <w:rPr>
          <w:color w:val="002F5D"/>
        </w:rPr>
        <w:t xml:space="preserve"> (</w:t>
      </w:r>
      <w:r w:rsidR="00CC7729" w:rsidRPr="00954F71">
        <w:rPr>
          <w:color w:val="002F5D"/>
        </w:rPr>
        <w:t>as shown in figure above</w:t>
      </w:r>
      <w:r w:rsidR="00F10E66" w:rsidRPr="00954F71">
        <w:rPr>
          <w:color w:val="002F5D"/>
        </w:rPr>
        <w:t>)</w:t>
      </w:r>
      <w:r w:rsidR="006820CA" w:rsidRPr="00954F71">
        <w:rPr>
          <w:color w:val="002F5D"/>
        </w:rPr>
        <w:t xml:space="preserve">, the percentage </w:t>
      </w:r>
      <w:r w:rsidR="00340033" w:rsidRPr="00954F71">
        <w:rPr>
          <w:color w:val="002F5D"/>
        </w:rPr>
        <w:t xml:space="preserve">with a long-term activity-limiting illness </w:t>
      </w:r>
      <w:r w:rsidR="006820CA" w:rsidRPr="00954F71">
        <w:rPr>
          <w:color w:val="002F5D"/>
        </w:rPr>
        <w:t xml:space="preserve">was statistically significantly higher than </w:t>
      </w:r>
      <w:r w:rsidR="006820CA" w:rsidRPr="00954F71">
        <w:rPr>
          <w:color w:val="002F5D"/>
        </w:rPr>
        <w:lastRenderedPageBreak/>
        <w:t xml:space="preserve">the England average in </w:t>
      </w:r>
      <w:r w:rsidRPr="00954F71">
        <w:rPr>
          <w:color w:val="002F5D"/>
        </w:rPr>
        <w:t xml:space="preserve">Peterborough and </w:t>
      </w:r>
      <w:r w:rsidR="006820CA" w:rsidRPr="00954F71">
        <w:rPr>
          <w:color w:val="002F5D"/>
        </w:rPr>
        <w:t>Fenland but significantly lower in all other districts and for the county as a whole</w:t>
      </w:r>
      <w:r w:rsidR="00F939AA" w:rsidRPr="00954F71">
        <w:rPr>
          <w:color w:val="002F5D"/>
        </w:rPr>
        <w:t>.</w:t>
      </w:r>
    </w:p>
    <w:p w14:paraId="15781924" w14:textId="77777777" w:rsidR="003209A4" w:rsidRPr="00954F71" w:rsidRDefault="003209A4" w:rsidP="00330B65">
      <w:pPr>
        <w:pStyle w:val="ListParagraph"/>
        <w:spacing w:line="240" w:lineRule="auto"/>
        <w:ind w:left="709"/>
        <w:rPr>
          <w:color w:val="002F5D"/>
        </w:rPr>
      </w:pPr>
    </w:p>
    <w:p w14:paraId="6069BA81" w14:textId="77421ED9" w:rsidR="002B19BD" w:rsidRPr="00954F71" w:rsidRDefault="006543B9" w:rsidP="006543B9">
      <w:pPr>
        <w:pStyle w:val="Caption"/>
        <w:rPr>
          <w:color w:val="002F5D"/>
        </w:rPr>
      </w:pPr>
      <w:r w:rsidRPr="00954F71">
        <w:rPr>
          <w:b/>
          <w:color w:val="002F5D"/>
        </w:rPr>
        <w:t xml:space="preserve">Figure </w:t>
      </w:r>
      <w:r w:rsidR="00A2366A">
        <w:rPr>
          <w:b/>
          <w:color w:val="002F5D"/>
        </w:rPr>
        <w:t>71</w:t>
      </w:r>
      <w:r w:rsidR="002B19BD" w:rsidRPr="00954F71">
        <w:rPr>
          <w:b/>
          <w:color w:val="002F5D"/>
        </w:rPr>
        <w:t>.</w:t>
      </w:r>
      <w:r w:rsidR="002B19BD" w:rsidRPr="00954F71">
        <w:rPr>
          <w:color w:val="002F5D"/>
        </w:rPr>
        <w:t xml:space="preserve"> Directly age-standardised percentage of the population reporting a long-term activity-limiting illness by ward, Cambridgeshire, 2011</w:t>
      </w:r>
    </w:p>
    <w:p w14:paraId="5324C6C5" w14:textId="77777777" w:rsidR="003A021F" w:rsidRPr="0037351D" w:rsidRDefault="003A021F" w:rsidP="002B19BD">
      <w:pPr>
        <w:rPr>
          <w:color w:val="FF0000"/>
          <w:sz w:val="12"/>
        </w:rPr>
      </w:pPr>
    </w:p>
    <w:p w14:paraId="44EA6096" w14:textId="77777777" w:rsidR="002B19BD" w:rsidRPr="0037351D" w:rsidRDefault="002B19BD" w:rsidP="002B19BD">
      <w:pPr>
        <w:rPr>
          <w:color w:val="FF0000"/>
        </w:rPr>
      </w:pPr>
      <w:r w:rsidRPr="0037351D">
        <w:rPr>
          <w:noProof/>
          <w:color w:val="FF0000"/>
          <w:lang w:eastAsia="en-GB"/>
        </w:rPr>
        <w:drawing>
          <wp:inline distT="0" distB="0" distL="0" distR="0" wp14:anchorId="74451340" wp14:editId="1900655B">
            <wp:extent cx="4284000" cy="5911153"/>
            <wp:effectExtent l="19050" t="19050" r="21590" b="139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LTHP_all_DASR_wards_Cambs_map_pers.png"/>
                    <pic:cNvPicPr/>
                  </pic:nvPicPr>
                  <pic:blipFill rotWithShape="1">
                    <a:blip r:embed="rId281" cstate="print">
                      <a:extLst>
                        <a:ext uri="{28A0092B-C50C-407E-A947-70E740481C1C}">
                          <a14:useLocalDpi xmlns:a14="http://schemas.microsoft.com/office/drawing/2010/main" val="0"/>
                        </a:ext>
                      </a:extLst>
                    </a:blip>
                    <a:srcRect/>
                    <a:stretch/>
                  </pic:blipFill>
                  <pic:spPr bwMode="auto">
                    <a:xfrm>
                      <a:off x="0" y="0"/>
                      <a:ext cx="4284000" cy="5911153"/>
                    </a:xfrm>
                    <a:prstGeom prst="rect">
                      <a:avLst/>
                    </a:prstGeom>
                    <a:ln w="19050">
                      <a:solidFill>
                        <a:srgbClr val="002F5D"/>
                      </a:solidFill>
                    </a:ln>
                    <a:extLst>
                      <a:ext uri="{53640926-AAD7-44D8-BBD7-CCE9431645EC}">
                        <a14:shadowObscured xmlns:a14="http://schemas.microsoft.com/office/drawing/2010/main"/>
                      </a:ext>
                    </a:extLst>
                  </pic:spPr>
                </pic:pic>
              </a:graphicData>
            </a:graphic>
          </wp:inline>
        </w:drawing>
      </w:r>
    </w:p>
    <w:p w14:paraId="6E883F58" w14:textId="77777777" w:rsidR="002B19BD" w:rsidRPr="0037351D" w:rsidRDefault="002B19BD" w:rsidP="002B19BD">
      <w:pPr>
        <w:rPr>
          <w:b/>
          <w:color w:val="FF0000"/>
          <w:sz w:val="14"/>
        </w:rPr>
      </w:pPr>
    </w:p>
    <w:p w14:paraId="7BF2FF89" w14:textId="3F3891BA" w:rsidR="00B43887" w:rsidRPr="00954F71" w:rsidRDefault="00B43887" w:rsidP="005B7C21">
      <w:pPr>
        <w:spacing w:line="240" w:lineRule="auto"/>
        <w:rPr>
          <w:color w:val="002F5D"/>
        </w:rPr>
      </w:pPr>
      <w:r w:rsidRPr="00954F71">
        <w:rPr>
          <w:b/>
          <w:color w:val="002F5D"/>
        </w:rPr>
        <w:t>Source:</w:t>
      </w:r>
      <w:r w:rsidRPr="00954F71">
        <w:rPr>
          <w:color w:val="002F5D"/>
        </w:rPr>
        <w:t xml:space="preserve"> </w:t>
      </w:r>
      <w:r w:rsidR="007750E0">
        <w:rPr>
          <w:color w:val="002F5D"/>
        </w:rPr>
        <w:t>ONS</w:t>
      </w:r>
      <w:r w:rsidRPr="00954F71">
        <w:rPr>
          <w:color w:val="002F5D"/>
        </w:rPr>
        <w:t xml:space="preserve"> Census 2011, Cambridgeshire County Council Public Health Intelligence</w:t>
      </w:r>
    </w:p>
    <w:p w14:paraId="3442329E" w14:textId="77777777" w:rsidR="00B43887" w:rsidRPr="00954F71" w:rsidRDefault="00B43887" w:rsidP="005B7C21">
      <w:pPr>
        <w:spacing w:line="240" w:lineRule="auto"/>
        <w:rPr>
          <w:b/>
          <w:color w:val="002F5D"/>
          <w:sz w:val="14"/>
        </w:rPr>
      </w:pPr>
    </w:p>
    <w:p w14:paraId="6A9C9703" w14:textId="77777777" w:rsidR="002B19BD" w:rsidRPr="00954F71" w:rsidRDefault="002B19BD" w:rsidP="005B7C21">
      <w:pPr>
        <w:spacing w:line="240" w:lineRule="auto"/>
        <w:rPr>
          <w:b/>
          <w:color w:val="002F5D"/>
        </w:rPr>
      </w:pPr>
      <w:r w:rsidRPr="00954F71">
        <w:rPr>
          <w:b/>
          <w:color w:val="002F5D"/>
        </w:rPr>
        <w:t>Key points:</w:t>
      </w:r>
    </w:p>
    <w:p w14:paraId="145A3019" w14:textId="77777777" w:rsidR="006820CA" w:rsidRPr="00954F71" w:rsidRDefault="006820CA" w:rsidP="005B7C21">
      <w:pPr>
        <w:pStyle w:val="ListParagraph"/>
        <w:numPr>
          <w:ilvl w:val="0"/>
          <w:numId w:val="51"/>
        </w:numPr>
        <w:spacing w:line="240" w:lineRule="auto"/>
        <w:ind w:left="709" w:hanging="357"/>
        <w:rPr>
          <w:color w:val="002F5D"/>
        </w:rPr>
      </w:pPr>
      <w:r w:rsidRPr="00954F71">
        <w:rPr>
          <w:color w:val="002F5D"/>
        </w:rPr>
        <w:t>At ward level, the age-standardised percentage reporting a long-term activity-limiting illness was statistically significantly higher than the Cambridgeshire average in:</w:t>
      </w:r>
    </w:p>
    <w:p w14:paraId="62F3F909" w14:textId="77777777" w:rsidR="006820CA" w:rsidRPr="00954F71" w:rsidRDefault="006820CA" w:rsidP="005B7C21">
      <w:pPr>
        <w:numPr>
          <w:ilvl w:val="1"/>
          <w:numId w:val="50"/>
        </w:numPr>
        <w:spacing w:line="240" w:lineRule="auto"/>
        <w:ind w:hanging="357"/>
        <w:rPr>
          <w:bCs/>
          <w:color w:val="002F5D"/>
        </w:rPr>
      </w:pPr>
      <w:r w:rsidRPr="00954F71">
        <w:rPr>
          <w:color w:val="002F5D"/>
        </w:rPr>
        <w:t>Abbey, Arbury, Cherry Hinton, East Chesterton, King’s Hedges and Romsey wards in Cambridge</w:t>
      </w:r>
    </w:p>
    <w:p w14:paraId="44A5B2D3" w14:textId="77777777" w:rsidR="006820CA" w:rsidRPr="00954F71" w:rsidRDefault="006820CA" w:rsidP="005B7C21">
      <w:pPr>
        <w:numPr>
          <w:ilvl w:val="1"/>
          <w:numId w:val="50"/>
        </w:numPr>
        <w:spacing w:line="240" w:lineRule="auto"/>
        <w:ind w:hanging="357"/>
        <w:rPr>
          <w:bCs/>
          <w:color w:val="002F5D"/>
        </w:rPr>
      </w:pPr>
      <w:r w:rsidRPr="00954F71">
        <w:rPr>
          <w:color w:val="002F5D"/>
        </w:rPr>
        <w:t>Littleport West ward in East Cambridgeshire</w:t>
      </w:r>
    </w:p>
    <w:p w14:paraId="23CA195A" w14:textId="77777777" w:rsidR="006820CA" w:rsidRPr="00954F71" w:rsidRDefault="006820CA" w:rsidP="005B7C21">
      <w:pPr>
        <w:numPr>
          <w:ilvl w:val="1"/>
          <w:numId w:val="50"/>
        </w:numPr>
        <w:spacing w:line="240" w:lineRule="auto"/>
        <w:ind w:hanging="357"/>
        <w:rPr>
          <w:bCs/>
          <w:color w:val="002F5D"/>
        </w:rPr>
      </w:pPr>
      <w:r w:rsidRPr="00954F71">
        <w:rPr>
          <w:bCs/>
          <w:color w:val="002F5D"/>
        </w:rPr>
        <w:t xml:space="preserve">Birch, Clarkson, Doddington, Elm and Christchurch, Hill, Kingsmoor, Kirkgate, Lattersey, March East, March North, March West, Medworth, Parson Drove and </w:t>
      </w:r>
      <w:r w:rsidRPr="00954F71">
        <w:rPr>
          <w:bCs/>
          <w:color w:val="002F5D"/>
        </w:rPr>
        <w:lastRenderedPageBreak/>
        <w:t>Wisbech St Mary, Peckover, Roman Bank, Slade Lode, St Marys, Staithe, Waterlees, Wenneye and Wimblington wards in Fenland</w:t>
      </w:r>
    </w:p>
    <w:p w14:paraId="1B3B5D3A" w14:textId="43AC038D" w:rsidR="006820CA" w:rsidRDefault="006820CA" w:rsidP="005B7C21">
      <w:pPr>
        <w:numPr>
          <w:ilvl w:val="1"/>
          <w:numId w:val="50"/>
        </w:numPr>
        <w:spacing w:line="240" w:lineRule="auto"/>
        <w:ind w:hanging="357"/>
        <w:rPr>
          <w:bCs/>
          <w:color w:val="002F5D"/>
        </w:rPr>
      </w:pPr>
      <w:r w:rsidRPr="00954F71">
        <w:rPr>
          <w:bCs/>
          <w:color w:val="002F5D"/>
        </w:rPr>
        <w:t>Huntingdon East, Huntingdon North, Ramsey, St Neots Eaton Socon, St Neots Eynesbury and Yaxley and Farcet wards in Huntingdonshire</w:t>
      </w:r>
      <w:r w:rsidR="00C94F5F" w:rsidRPr="00954F71">
        <w:rPr>
          <w:bCs/>
          <w:color w:val="002F5D"/>
        </w:rPr>
        <w:t>.</w:t>
      </w:r>
    </w:p>
    <w:p w14:paraId="3911070C" w14:textId="02F0588E" w:rsidR="00ED50A1" w:rsidRPr="00954F71" w:rsidRDefault="00ED50A1" w:rsidP="00330B65">
      <w:pPr>
        <w:spacing w:line="240" w:lineRule="auto"/>
        <w:ind w:left="1440"/>
        <w:rPr>
          <w:bCs/>
          <w:color w:val="002F5D"/>
        </w:rPr>
      </w:pPr>
    </w:p>
    <w:p w14:paraId="4F743124" w14:textId="77B5EB7A" w:rsidR="000F4131" w:rsidRPr="00954F71" w:rsidRDefault="000F4131" w:rsidP="005B7C21">
      <w:pPr>
        <w:pStyle w:val="Caption"/>
        <w:rPr>
          <w:color w:val="002F5D"/>
        </w:rPr>
      </w:pPr>
      <w:r w:rsidRPr="00954F71">
        <w:rPr>
          <w:b/>
          <w:color w:val="002F5D"/>
        </w:rPr>
        <w:t>Figure</w:t>
      </w:r>
      <w:r w:rsidR="00A2366A">
        <w:rPr>
          <w:b/>
          <w:color w:val="002F5D"/>
        </w:rPr>
        <w:t xml:space="preserve"> 72</w:t>
      </w:r>
      <w:r w:rsidRPr="00954F71">
        <w:rPr>
          <w:b/>
          <w:color w:val="002F5D"/>
        </w:rPr>
        <w:t>.</w:t>
      </w:r>
      <w:r w:rsidRPr="00954F71">
        <w:rPr>
          <w:color w:val="002F5D"/>
        </w:rPr>
        <w:t xml:space="preserve"> Directly age-standardised percentage of the population reporting a long-term activity-limiting illness by ward, Peterborough, 2011</w:t>
      </w:r>
    </w:p>
    <w:p w14:paraId="378E1F53" w14:textId="77777777" w:rsidR="005B7C21" w:rsidRPr="0037351D" w:rsidRDefault="005B7C21" w:rsidP="005B7C21">
      <w:pPr>
        <w:rPr>
          <w:color w:val="FF0000"/>
        </w:rPr>
      </w:pPr>
    </w:p>
    <w:p w14:paraId="6254868C" w14:textId="77777777" w:rsidR="00EF663C" w:rsidRPr="0037351D" w:rsidRDefault="005B7C21" w:rsidP="002A2849">
      <w:pPr>
        <w:rPr>
          <w:color w:val="FF0000"/>
        </w:rPr>
      </w:pPr>
      <w:r w:rsidRPr="0037351D">
        <w:rPr>
          <w:bCs/>
          <w:noProof/>
          <w:color w:val="FF0000"/>
          <w:lang w:eastAsia="en-GB"/>
        </w:rPr>
        <w:drawing>
          <wp:inline distT="0" distB="0" distL="0" distR="0" wp14:anchorId="3F3D0523" wp14:editId="22FAE895">
            <wp:extent cx="5779770" cy="507809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79770" cy="5078095"/>
                    </a:xfrm>
                    <a:prstGeom prst="rect">
                      <a:avLst/>
                    </a:prstGeom>
                    <a:noFill/>
                  </pic:spPr>
                </pic:pic>
              </a:graphicData>
            </a:graphic>
          </wp:inline>
        </w:drawing>
      </w:r>
    </w:p>
    <w:p w14:paraId="5FBA8911" w14:textId="77777777" w:rsidR="000F4131" w:rsidRPr="0037351D" w:rsidRDefault="000F4131" w:rsidP="000F4131">
      <w:pPr>
        <w:spacing w:line="240" w:lineRule="auto"/>
        <w:ind w:left="720"/>
        <w:rPr>
          <w:bCs/>
          <w:color w:val="FF0000"/>
        </w:rPr>
      </w:pPr>
    </w:p>
    <w:p w14:paraId="122933B6" w14:textId="4806978D" w:rsidR="005B7C21" w:rsidRPr="00954F71" w:rsidRDefault="005B7C21" w:rsidP="005B7C21">
      <w:pPr>
        <w:spacing w:line="240" w:lineRule="auto"/>
        <w:rPr>
          <w:color w:val="002F5D"/>
        </w:rPr>
      </w:pPr>
      <w:r w:rsidRPr="00954F71">
        <w:rPr>
          <w:b/>
          <w:color w:val="002F5D"/>
        </w:rPr>
        <w:t>Source:</w:t>
      </w:r>
      <w:r w:rsidRPr="00954F71">
        <w:rPr>
          <w:color w:val="002F5D"/>
        </w:rPr>
        <w:t xml:space="preserve"> </w:t>
      </w:r>
      <w:r w:rsidR="007750E0">
        <w:rPr>
          <w:color w:val="002F5D"/>
        </w:rPr>
        <w:t xml:space="preserve">ONS </w:t>
      </w:r>
      <w:r w:rsidRPr="00954F71">
        <w:rPr>
          <w:color w:val="002F5D"/>
        </w:rPr>
        <w:t>Census 2011, Cambridgeshire County Council Public Health Intelligence</w:t>
      </w:r>
    </w:p>
    <w:p w14:paraId="51B17B1F" w14:textId="77777777" w:rsidR="005B7C21" w:rsidRPr="00954F71" w:rsidRDefault="005B7C21" w:rsidP="005B7C21">
      <w:pPr>
        <w:spacing w:line="240" w:lineRule="auto"/>
        <w:ind w:left="720"/>
        <w:rPr>
          <w:bCs/>
          <w:color w:val="002F5D"/>
        </w:rPr>
      </w:pPr>
    </w:p>
    <w:p w14:paraId="20CD4255" w14:textId="77777777" w:rsidR="00EF663C" w:rsidRPr="00954F71" w:rsidRDefault="00EF663C" w:rsidP="005B7C21">
      <w:pPr>
        <w:spacing w:line="240" w:lineRule="auto"/>
        <w:rPr>
          <w:b/>
          <w:color w:val="002F5D"/>
        </w:rPr>
      </w:pPr>
      <w:r w:rsidRPr="00954F71">
        <w:rPr>
          <w:b/>
          <w:color w:val="002F5D"/>
        </w:rPr>
        <w:t>Key points:</w:t>
      </w:r>
    </w:p>
    <w:p w14:paraId="7D768A32" w14:textId="77777777" w:rsidR="00EF663C" w:rsidRPr="00954F71" w:rsidRDefault="00EF663C" w:rsidP="005B7C21">
      <w:pPr>
        <w:pStyle w:val="ListParagraph"/>
        <w:numPr>
          <w:ilvl w:val="0"/>
          <w:numId w:val="51"/>
        </w:numPr>
        <w:spacing w:line="240" w:lineRule="auto"/>
        <w:ind w:left="709" w:hanging="357"/>
        <w:rPr>
          <w:color w:val="002F5D"/>
        </w:rPr>
      </w:pPr>
      <w:r w:rsidRPr="00954F71">
        <w:rPr>
          <w:color w:val="002F5D"/>
        </w:rPr>
        <w:t>At ward level, the age-standardised percentage reporting a long-term activity-limiting illness was statistically significantly higher than the Peterborough average in:</w:t>
      </w:r>
    </w:p>
    <w:p w14:paraId="47A09FC4" w14:textId="77777777" w:rsidR="00EF663C" w:rsidRPr="00954F71" w:rsidRDefault="00A613E6" w:rsidP="005B7C21">
      <w:pPr>
        <w:numPr>
          <w:ilvl w:val="1"/>
          <w:numId w:val="50"/>
        </w:numPr>
        <w:spacing w:line="240" w:lineRule="auto"/>
        <w:ind w:hanging="357"/>
        <w:rPr>
          <w:bCs/>
          <w:color w:val="002F5D"/>
        </w:rPr>
      </w:pPr>
      <w:r w:rsidRPr="00954F71">
        <w:rPr>
          <w:color w:val="002F5D"/>
        </w:rPr>
        <w:t xml:space="preserve">Bretton North, </w:t>
      </w:r>
      <w:r w:rsidR="00EF663C" w:rsidRPr="00954F71">
        <w:rPr>
          <w:color w:val="002F5D"/>
        </w:rPr>
        <w:t xml:space="preserve">Central, Dogsthorpe, East, North, Orton Longueville, Paston, Ravensthorpe and Stanground </w:t>
      </w:r>
      <w:r w:rsidRPr="00954F71">
        <w:rPr>
          <w:color w:val="002F5D"/>
        </w:rPr>
        <w:t>East wards</w:t>
      </w:r>
      <w:r w:rsidR="00EF663C" w:rsidRPr="00954F71">
        <w:rPr>
          <w:color w:val="002F5D"/>
        </w:rPr>
        <w:t xml:space="preserve">.  All of these wards, plus Stanground Central and Walton wards, were also statistically significantly higher than the England average. </w:t>
      </w:r>
    </w:p>
    <w:p w14:paraId="781E08ED" w14:textId="77777777" w:rsidR="00620C02" w:rsidRDefault="00620C02" w:rsidP="005B7C21">
      <w:pPr>
        <w:spacing w:line="240" w:lineRule="auto"/>
        <w:rPr>
          <w:color w:val="FF0000"/>
        </w:rPr>
      </w:pPr>
    </w:p>
    <w:p w14:paraId="3AF5DB6D" w14:textId="77777777" w:rsidR="008266DA" w:rsidRDefault="008266DA" w:rsidP="005B7C21">
      <w:pPr>
        <w:spacing w:line="240" w:lineRule="auto"/>
        <w:rPr>
          <w:color w:val="FF0000"/>
        </w:rPr>
      </w:pPr>
    </w:p>
    <w:p w14:paraId="04EFB60C" w14:textId="77777777" w:rsidR="008266DA" w:rsidRDefault="008266DA" w:rsidP="005B7C21">
      <w:pPr>
        <w:spacing w:line="240" w:lineRule="auto"/>
        <w:rPr>
          <w:color w:val="FF0000"/>
        </w:rPr>
      </w:pPr>
    </w:p>
    <w:p w14:paraId="7B27AED7" w14:textId="77777777" w:rsidR="008266DA" w:rsidRDefault="008266DA" w:rsidP="005B7C21">
      <w:pPr>
        <w:spacing w:line="240" w:lineRule="auto"/>
        <w:rPr>
          <w:color w:val="FF0000"/>
        </w:rPr>
      </w:pPr>
    </w:p>
    <w:p w14:paraId="33496D6D" w14:textId="77777777" w:rsidR="00802BA7" w:rsidRPr="0037351D" w:rsidRDefault="00802BA7" w:rsidP="00620C02">
      <w:pPr>
        <w:spacing w:line="240" w:lineRule="auto"/>
        <w:rPr>
          <w:color w:val="FF0000"/>
        </w:rPr>
      </w:pPr>
    </w:p>
    <w:p w14:paraId="6DD1E75B" w14:textId="77777777" w:rsidR="008266DA" w:rsidRPr="0037351D" w:rsidRDefault="008266DA" w:rsidP="008266DA">
      <w:pPr>
        <w:spacing w:line="240" w:lineRule="auto"/>
        <w:rPr>
          <w:rFonts w:cs="Arial"/>
          <w:b/>
          <w:color w:val="FF0000"/>
        </w:rPr>
      </w:pPr>
    </w:p>
    <w:p w14:paraId="28A56D25" w14:textId="26980B4C" w:rsidR="008266DA" w:rsidRPr="0037351D" w:rsidRDefault="008266DA" w:rsidP="00A3568F">
      <w:pPr>
        <w:pStyle w:val="JSNA3"/>
      </w:pPr>
      <w:bookmarkStart w:id="820" w:name="_Toc4407893"/>
      <w:r w:rsidRPr="0037351D">
        <w:t>P</w:t>
      </w:r>
      <w:r>
        <w:t>redicted Future Disability/Disease Prevalence – 2017-2035</w:t>
      </w:r>
      <w:bookmarkEnd w:id="820"/>
    </w:p>
    <w:p w14:paraId="22F7B5DB" w14:textId="77777777" w:rsidR="00802BA7" w:rsidRPr="0037351D" w:rsidRDefault="00802BA7" w:rsidP="00620C02">
      <w:pPr>
        <w:spacing w:line="240" w:lineRule="auto"/>
        <w:rPr>
          <w:color w:val="FF0000"/>
        </w:rPr>
      </w:pPr>
    </w:p>
    <w:p w14:paraId="0937DB63" w14:textId="77777777" w:rsidR="008266DA" w:rsidRPr="0045033B" w:rsidRDefault="008266DA" w:rsidP="00330B65">
      <w:pPr>
        <w:spacing w:line="240" w:lineRule="auto"/>
        <w:rPr>
          <w:color w:val="002F5D"/>
        </w:rPr>
      </w:pPr>
      <w:r w:rsidRPr="0045033B">
        <w:rPr>
          <w:color w:val="002F5D"/>
        </w:rPr>
        <w:t>A number of data sources exist that allow for predictions of future numbers of residents within Cambridgeshire districts, Cambridgeshire and Peterborough with regards to a number of measures of disability and disease prevalence. The Projecting Older People Population Information (POPPI)</w:t>
      </w:r>
      <w:r w:rsidRPr="0045033B">
        <w:rPr>
          <w:rStyle w:val="FootnoteReference"/>
          <w:color w:val="002F5D"/>
        </w:rPr>
        <w:footnoteReference w:id="20"/>
      </w:r>
      <w:r w:rsidRPr="0045033B">
        <w:rPr>
          <w:color w:val="002F5D"/>
        </w:rPr>
        <w:t xml:space="preserve"> and Projecting Adult Needs and Service Information (PANSI)</w:t>
      </w:r>
      <w:r w:rsidRPr="0045033B">
        <w:rPr>
          <w:rStyle w:val="FootnoteReference"/>
          <w:color w:val="002F5D"/>
        </w:rPr>
        <w:footnoteReference w:id="21"/>
      </w:r>
      <w:r w:rsidRPr="0045033B">
        <w:rPr>
          <w:color w:val="002F5D"/>
        </w:rPr>
        <w:t xml:space="preserve"> tools published by Oxford Brookes University &amp; the Institute of Public Care produce data on expected future numbers of individuals with a moderate physical disability, serious physical disability, moderate or serious personal care disability, common mental disorder, people predicted to have a fall and people predicted to have dementia. </w:t>
      </w:r>
    </w:p>
    <w:p w14:paraId="7798C213" w14:textId="77777777" w:rsidR="00511CB9" w:rsidRPr="0045033B" w:rsidRDefault="00511CB9" w:rsidP="00330B65">
      <w:pPr>
        <w:spacing w:line="240" w:lineRule="auto"/>
        <w:rPr>
          <w:color w:val="002F5D"/>
        </w:rPr>
      </w:pPr>
    </w:p>
    <w:p w14:paraId="3EE80B2E" w14:textId="1B4202B3" w:rsidR="008266DA" w:rsidRDefault="008266DA" w:rsidP="00330B65">
      <w:pPr>
        <w:spacing w:line="240" w:lineRule="auto"/>
        <w:rPr>
          <w:color w:val="002F5D"/>
        </w:rPr>
      </w:pPr>
      <w:r w:rsidRPr="0045033B">
        <w:rPr>
          <w:color w:val="002F5D"/>
        </w:rPr>
        <w:t>These data are based on current prevalence levels applied to future Office for National Statistics (ONS) population projections. However, the Cambridgeshire County Council Research Group (CC</w:t>
      </w:r>
      <w:r w:rsidR="00E61269" w:rsidRPr="0045033B">
        <w:rPr>
          <w:color w:val="002F5D"/>
        </w:rPr>
        <w:t>C</w:t>
      </w:r>
      <w:r w:rsidRPr="0045033B">
        <w:rPr>
          <w:color w:val="002F5D"/>
        </w:rPr>
        <w:t xml:space="preserve">RG) also conducts research on future population projections that incorporate known local growth plans published by Cambridgeshire County Council and Peterborough City Council that are not part of the ONS methodology and are therefore likely to be more accurate reflections of future population levels. </w:t>
      </w:r>
    </w:p>
    <w:p w14:paraId="4E6E5E19" w14:textId="77777777" w:rsidR="0045033B" w:rsidRPr="0045033B" w:rsidRDefault="0045033B" w:rsidP="00330B65">
      <w:pPr>
        <w:spacing w:line="240" w:lineRule="auto"/>
        <w:rPr>
          <w:color w:val="002F5D"/>
        </w:rPr>
      </w:pPr>
    </w:p>
    <w:p w14:paraId="6701AF9C" w14:textId="6973675E" w:rsidR="008266DA" w:rsidRPr="0045033B" w:rsidRDefault="008266DA" w:rsidP="00330B65">
      <w:pPr>
        <w:spacing w:line="240" w:lineRule="auto"/>
        <w:rPr>
          <w:color w:val="002F5D"/>
        </w:rPr>
      </w:pPr>
      <w:r w:rsidRPr="0045033B">
        <w:rPr>
          <w:color w:val="002F5D"/>
        </w:rPr>
        <w:t xml:space="preserve">Within the tables below, prevalence projections are included for Cambridgeshire districts, Cambridgeshire, Peterborough and Cambridgeshire and Peterborough Combined Authority for 2017, 2020, 2025, 2030 and 2035. Also included are prevalence projections from the </w:t>
      </w:r>
      <w:r w:rsidR="00DE5C21">
        <w:rPr>
          <w:color w:val="002F5D"/>
        </w:rPr>
        <w:t>C</w:t>
      </w:r>
      <w:r w:rsidRPr="0045033B">
        <w:rPr>
          <w:color w:val="002F5D"/>
        </w:rPr>
        <w:t>CCRG and comparative data showing the difference between the two sets of prevalence estimate data. In general, both Cambridgeshire and Peterborough have high levels of future growth modelled in to local growth plans over coming years and therefore C</w:t>
      </w:r>
      <w:r w:rsidR="00DE5C21">
        <w:rPr>
          <w:color w:val="002F5D"/>
        </w:rPr>
        <w:t>C</w:t>
      </w:r>
      <w:r w:rsidRPr="0045033B">
        <w:rPr>
          <w:color w:val="002F5D"/>
        </w:rPr>
        <w:t>CRG population projection data tend to show higher numbers of residents with disability/disease than ONS-based POPPI/PANSI projections.</w:t>
      </w:r>
    </w:p>
    <w:p w14:paraId="1408626F" w14:textId="77777777" w:rsidR="00802BA7" w:rsidRDefault="00802BA7" w:rsidP="00620C02">
      <w:pPr>
        <w:spacing w:line="240" w:lineRule="auto"/>
        <w:rPr>
          <w:color w:val="FF0000"/>
        </w:rPr>
      </w:pPr>
    </w:p>
    <w:p w14:paraId="5741A447" w14:textId="7C9BE6D6" w:rsidR="008266DA" w:rsidRDefault="008266DA" w:rsidP="008266DA">
      <w:pPr>
        <w:rPr>
          <w:color w:val="002F5D"/>
        </w:rPr>
      </w:pPr>
      <w:r w:rsidRPr="008266DA">
        <w:rPr>
          <w:b/>
          <w:color w:val="002F5D"/>
        </w:rPr>
        <w:t xml:space="preserve">Table </w:t>
      </w:r>
      <w:r w:rsidR="00B81E4B">
        <w:rPr>
          <w:b/>
          <w:color w:val="002F5D"/>
        </w:rPr>
        <w:t>99</w:t>
      </w:r>
      <w:r w:rsidRPr="008266DA">
        <w:rPr>
          <w:b/>
          <w:color w:val="002F5D"/>
        </w:rPr>
        <w:t xml:space="preserve"> </w:t>
      </w:r>
      <w:r w:rsidRPr="00F25940">
        <w:rPr>
          <w:color w:val="002F5D"/>
        </w:rPr>
        <w:t>Total population aged 18-64 predicted to have a moderate physical disability, POPPI/PANSI &amp; CC</w:t>
      </w:r>
      <w:r w:rsidR="00E61269">
        <w:rPr>
          <w:color w:val="002F5D"/>
        </w:rPr>
        <w:t>C</w:t>
      </w:r>
      <w:r w:rsidRPr="00F25940">
        <w:rPr>
          <w:color w:val="002F5D"/>
        </w:rPr>
        <w:t>RG Forecasts 2017 – 2035, Population Change</w:t>
      </w:r>
      <w:r w:rsidR="00394131">
        <w:rPr>
          <w:color w:val="002F5D"/>
        </w:rPr>
        <w:t>*</w:t>
      </w:r>
    </w:p>
    <w:p w14:paraId="368E7713" w14:textId="77777777" w:rsidR="00ED50A1" w:rsidRDefault="00ED50A1" w:rsidP="008266DA">
      <w:pPr>
        <w:rPr>
          <w:color w:val="002F5D"/>
        </w:rPr>
      </w:pPr>
    </w:p>
    <w:p w14:paraId="54F53DD4" w14:textId="1998B493" w:rsidR="001530E5" w:rsidRDefault="001530E5" w:rsidP="008266DA">
      <w:pPr>
        <w:rPr>
          <w:color w:val="002F5D"/>
        </w:rPr>
      </w:pPr>
      <w:r w:rsidRPr="001530E5">
        <w:rPr>
          <w:noProof/>
          <w:lang w:eastAsia="en-GB"/>
        </w:rPr>
        <w:drawing>
          <wp:inline distT="0" distB="0" distL="0" distR="0" wp14:anchorId="66D40495" wp14:editId="141977F8">
            <wp:extent cx="6120130" cy="1428646"/>
            <wp:effectExtent l="0" t="0" r="0" b="63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20130" cy="1428646"/>
                    </a:xfrm>
                    <a:prstGeom prst="rect">
                      <a:avLst/>
                    </a:prstGeom>
                    <a:noFill/>
                    <a:ln>
                      <a:noFill/>
                    </a:ln>
                  </pic:spPr>
                </pic:pic>
              </a:graphicData>
            </a:graphic>
          </wp:inline>
        </w:drawing>
      </w:r>
    </w:p>
    <w:p w14:paraId="7A27F4AA" w14:textId="2E99595E" w:rsidR="00566BE1" w:rsidRPr="00330B65" w:rsidRDefault="00303763" w:rsidP="00566BE1">
      <w:pPr>
        <w:spacing w:line="240" w:lineRule="auto"/>
        <w:rPr>
          <w:color w:val="002F5D"/>
          <w:sz w:val="18"/>
          <w:szCs w:val="18"/>
        </w:rPr>
      </w:pPr>
      <w:r w:rsidRPr="00330B65">
        <w:rPr>
          <w:color w:val="002F5D"/>
          <w:sz w:val="18"/>
          <w:szCs w:val="18"/>
        </w:rPr>
        <w:t xml:space="preserve">Note: </w:t>
      </w:r>
      <w:r w:rsidR="00394131" w:rsidRPr="00330B65">
        <w:rPr>
          <w:color w:val="002F5D"/>
          <w:sz w:val="18"/>
          <w:szCs w:val="18"/>
        </w:rPr>
        <w:t>*Cambridgeshire values are calculated separately by POPPI/PANSI and will not necessarily sum with district sub-values</w:t>
      </w:r>
    </w:p>
    <w:p w14:paraId="6E357E16" w14:textId="77777777" w:rsidR="00394131" w:rsidRPr="00330B65" w:rsidRDefault="00394131" w:rsidP="00566BE1">
      <w:pPr>
        <w:spacing w:line="240" w:lineRule="auto"/>
        <w:rPr>
          <w:color w:val="002F5D"/>
        </w:rPr>
      </w:pPr>
    </w:p>
    <w:p w14:paraId="2C6D5A24" w14:textId="04E76875" w:rsidR="00566BE1" w:rsidRDefault="00566BE1" w:rsidP="00566BE1">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(CC</w:t>
      </w:r>
      <w:r w:rsidR="00E61269">
        <w:rPr>
          <w:color w:val="002F5D"/>
        </w:rPr>
        <w:t>C</w:t>
      </w:r>
      <w:r w:rsidRPr="00566BE1">
        <w:rPr>
          <w:color w:val="002F5D"/>
        </w:rPr>
        <w:t>RG) Population Data &amp; Projections</w:t>
      </w:r>
    </w:p>
    <w:p w14:paraId="6C62C66F" w14:textId="77777777" w:rsidR="003F438B" w:rsidRDefault="003F438B" w:rsidP="003F438B">
      <w:pPr>
        <w:rPr>
          <w:b/>
          <w:color w:val="002F5D"/>
        </w:rPr>
      </w:pPr>
    </w:p>
    <w:p w14:paraId="24637ACD" w14:textId="7672495B" w:rsidR="003F438B" w:rsidRDefault="003F438B" w:rsidP="003F438B">
      <w:pPr>
        <w:rPr>
          <w:b/>
          <w:color w:val="002F5D"/>
        </w:rPr>
      </w:pPr>
    </w:p>
    <w:p w14:paraId="197518C1" w14:textId="77777777" w:rsidR="0045033B" w:rsidRDefault="0045033B" w:rsidP="003F438B">
      <w:pPr>
        <w:rPr>
          <w:b/>
          <w:color w:val="002F5D"/>
        </w:rPr>
      </w:pPr>
    </w:p>
    <w:p w14:paraId="623BF52E" w14:textId="77777777" w:rsidR="003F438B" w:rsidRDefault="003F438B" w:rsidP="003F438B">
      <w:pPr>
        <w:rPr>
          <w:b/>
          <w:color w:val="002F5D"/>
        </w:rPr>
      </w:pPr>
    </w:p>
    <w:p w14:paraId="3139D26F" w14:textId="77777777" w:rsidR="003F438B" w:rsidRDefault="003F438B" w:rsidP="003F438B">
      <w:pPr>
        <w:rPr>
          <w:b/>
          <w:color w:val="002F5D"/>
        </w:rPr>
      </w:pPr>
    </w:p>
    <w:p w14:paraId="354D2A76" w14:textId="7DFEA848" w:rsidR="003F438B" w:rsidRDefault="003F438B" w:rsidP="003F438B">
      <w:pPr>
        <w:rPr>
          <w:color w:val="002F5D"/>
        </w:rPr>
      </w:pPr>
      <w:r w:rsidRPr="008266DA">
        <w:rPr>
          <w:b/>
          <w:color w:val="002F5D"/>
        </w:rPr>
        <w:t xml:space="preserve">Table </w:t>
      </w:r>
      <w:r w:rsidR="00B81E4B">
        <w:rPr>
          <w:b/>
          <w:color w:val="002F5D"/>
        </w:rPr>
        <w:t>100</w:t>
      </w:r>
      <w:r w:rsidRPr="008266DA">
        <w:rPr>
          <w:b/>
          <w:color w:val="002F5D"/>
        </w:rPr>
        <w:t xml:space="preserve">: </w:t>
      </w:r>
      <w:r w:rsidRPr="00F25940">
        <w:rPr>
          <w:color w:val="002F5D"/>
        </w:rPr>
        <w:t>Total population aged 18-64 predicted to have a moderate physical disability, POPPI/PANSI &amp; C</w:t>
      </w:r>
      <w:r w:rsidR="00E61269">
        <w:rPr>
          <w:color w:val="002F5D"/>
        </w:rPr>
        <w:t>C</w:t>
      </w:r>
      <w:r w:rsidRPr="00F25940">
        <w:rPr>
          <w:color w:val="002F5D"/>
        </w:rPr>
        <w:t xml:space="preserve">CRG Forecasts 2017 – 2035, </w:t>
      </w:r>
      <w:r w:rsidR="00E9766D">
        <w:rPr>
          <w:color w:val="002F5D"/>
        </w:rPr>
        <w:t>p</w:t>
      </w:r>
      <w:r w:rsidRPr="00F25940">
        <w:rPr>
          <w:color w:val="002F5D"/>
        </w:rPr>
        <w:t xml:space="preserve">ercentage </w:t>
      </w:r>
      <w:r w:rsidR="00E9766D">
        <w:rPr>
          <w:color w:val="002F5D"/>
        </w:rPr>
        <w:t>c</w:t>
      </w:r>
      <w:r w:rsidRPr="00F25940">
        <w:rPr>
          <w:color w:val="002F5D"/>
        </w:rPr>
        <w:t>hange</w:t>
      </w:r>
    </w:p>
    <w:p w14:paraId="06867B1B" w14:textId="77777777" w:rsidR="002001FD" w:rsidRDefault="002001FD" w:rsidP="003F438B">
      <w:pPr>
        <w:rPr>
          <w:color w:val="002F5D"/>
        </w:rPr>
      </w:pPr>
    </w:p>
    <w:p w14:paraId="702D7626" w14:textId="625363A1" w:rsidR="002001FD" w:rsidRDefault="002001FD" w:rsidP="003F438B">
      <w:pPr>
        <w:rPr>
          <w:color w:val="002F5D"/>
        </w:rPr>
      </w:pPr>
      <w:r w:rsidRPr="002001FD">
        <w:rPr>
          <w:noProof/>
          <w:lang w:eastAsia="en-GB"/>
        </w:rPr>
        <w:drawing>
          <wp:inline distT="0" distB="0" distL="0" distR="0" wp14:anchorId="39E52E60" wp14:editId="5C2DCB0D">
            <wp:extent cx="5731510" cy="1863158"/>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31510" cy="1863158"/>
                    </a:xfrm>
                    <a:prstGeom prst="rect">
                      <a:avLst/>
                    </a:prstGeom>
                    <a:noFill/>
                    <a:ln>
                      <a:noFill/>
                    </a:ln>
                  </pic:spPr>
                </pic:pic>
              </a:graphicData>
            </a:graphic>
          </wp:inline>
        </w:drawing>
      </w:r>
    </w:p>
    <w:p w14:paraId="2DB42F53" w14:textId="77777777" w:rsidR="00ED50A1" w:rsidRDefault="00ED50A1" w:rsidP="003F438B">
      <w:pPr>
        <w:rPr>
          <w:color w:val="002F5D"/>
        </w:rPr>
      </w:pPr>
    </w:p>
    <w:p w14:paraId="01D6E720" w14:textId="58086D00" w:rsidR="00566BE1" w:rsidRDefault="00566BE1" w:rsidP="00566BE1">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sidR="00E61269">
        <w:rPr>
          <w:color w:val="002F5D"/>
        </w:rPr>
        <w:t>C</w:t>
      </w:r>
      <w:r w:rsidRPr="00566BE1">
        <w:rPr>
          <w:color w:val="002F5D"/>
        </w:rPr>
        <w:t>CRG) Population Data &amp; Projections</w:t>
      </w:r>
    </w:p>
    <w:p w14:paraId="377B7285" w14:textId="77777777" w:rsidR="003F438B" w:rsidRPr="008266DA" w:rsidRDefault="003F438B" w:rsidP="00620C02">
      <w:pPr>
        <w:spacing w:line="240" w:lineRule="auto"/>
        <w:rPr>
          <w:b/>
          <w:color w:val="FF0000"/>
        </w:rPr>
      </w:pPr>
    </w:p>
    <w:p w14:paraId="58C0E0E3" w14:textId="77777777" w:rsidR="003F438B" w:rsidRPr="00152DA8" w:rsidRDefault="003F438B" w:rsidP="003F438B">
      <w:pPr>
        <w:spacing w:line="240" w:lineRule="auto"/>
        <w:rPr>
          <w:rFonts w:cs="Arial"/>
          <w:b/>
          <w:color w:val="002F5D"/>
        </w:rPr>
      </w:pPr>
      <w:r w:rsidRPr="00152DA8">
        <w:rPr>
          <w:rFonts w:cs="Arial"/>
          <w:b/>
          <w:color w:val="002F5D"/>
        </w:rPr>
        <w:t>Key points:</w:t>
      </w:r>
    </w:p>
    <w:p w14:paraId="29EB61C3" w14:textId="09329174" w:rsidR="003F438B" w:rsidRPr="003F438B" w:rsidRDefault="003F438B" w:rsidP="00E9766D">
      <w:pPr>
        <w:pStyle w:val="ListParagraph"/>
        <w:numPr>
          <w:ilvl w:val="0"/>
          <w:numId w:val="51"/>
        </w:numPr>
        <w:ind w:left="709" w:hanging="283"/>
      </w:pPr>
      <w:r w:rsidRPr="00330B65">
        <w:rPr>
          <w:color w:val="002F5D"/>
        </w:rPr>
        <w:t>The total population in Cambridgeshire aged 18-64 with a moderate physical disa</w:t>
      </w:r>
      <w:r w:rsidR="00FC70F8" w:rsidRPr="00330B65">
        <w:rPr>
          <w:color w:val="002F5D"/>
        </w:rPr>
        <w:t>bility is predicted to increase 5.8% (</w:t>
      </w:r>
      <w:r w:rsidRPr="00330B65">
        <w:rPr>
          <w:color w:val="002F5D"/>
        </w:rPr>
        <w:t>from 31,296 to 33</w:t>
      </w:r>
      <w:r w:rsidR="00746C12">
        <w:rPr>
          <w:color w:val="002F5D"/>
        </w:rPr>
        <w:t>,</w:t>
      </w:r>
      <w:r w:rsidRPr="00330B65">
        <w:rPr>
          <w:color w:val="002F5D"/>
        </w:rPr>
        <w:t>12</w:t>
      </w:r>
      <w:r w:rsidR="00394131" w:rsidRPr="00330B65">
        <w:rPr>
          <w:color w:val="002F5D"/>
        </w:rPr>
        <w:t>4</w:t>
      </w:r>
      <w:r w:rsidR="00FC70F8" w:rsidRPr="00330B65">
        <w:rPr>
          <w:color w:val="002F5D"/>
        </w:rPr>
        <w:t xml:space="preserve">) </w:t>
      </w:r>
      <w:r w:rsidRPr="00330B65">
        <w:rPr>
          <w:color w:val="002F5D"/>
        </w:rPr>
        <w:t>between 2017 and</w:t>
      </w:r>
      <w:r w:rsidR="00FC70F8" w:rsidRPr="00330B65">
        <w:rPr>
          <w:color w:val="002F5D"/>
        </w:rPr>
        <w:t xml:space="preserve"> 2035 as per PANSI data and 12.7% (from 31,338 to 35,319</w:t>
      </w:r>
      <w:r w:rsidRPr="00330B65">
        <w:rPr>
          <w:color w:val="002F5D"/>
        </w:rPr>
        <w:t xml:space="preserve">) when prevalence rates are applied to the </w:t>
      </w:r>
      <w:r w:rsidR="008D32F8" w:rsidRPr="00330B65">
        <w:rPr>
          <w:color w:val="002F5D"/>
        </w:rPr>
        <w:t>C</w:t>
      </w:r>
      <w:r w:rsidRPr="00330B65">
        <w:rPr>
          <w:color w:val="002F5D"/>
        </w:rPr>
        <w:t>CCRG population predictions.</w:t>
      </w:r>
    </w:p>
    <w:p w14:paraId="432012A1" w14:textId="54FA6510" w:rsidR="003F438B" w:rsidRPr="003F438B" w:rsidRDefault="003F438B" w:rsidP="00E9766D">
      <w:pPr>
        <w:pStyle w:val="ListParagraph"/>
        <w:numPr>
          <w:ilvl w:val="0"/>
          <w:numId w:val="51"/>
        </w:numPr>
        <w:ind w:left="709" w:hanging="283"/>
      </w:pPr>
      <w:r w:rsidRPr="003F438B">
        <w:rPr>
          <w:color w:val="002F5D"/>
        </w:rPr>
        <w:t xml:space="preserve"> The increase in population aged 18-64 with a moderate physical disability in Peterborough is predicted to be 14.6% (from 9,101 to 10,426 residents) by </w:t>
      </w:r>
      <w:r w:rsidR="008D32F8">
        <w:rPr>
          <w:color w:val="002F5D"/>
        </w:rPr>
        <w:t>C</w:t>
      </w:r>
      <w:r w:rsidRPr="003F438B">
        <w:rPr>
          <w:color w:val="002F5D"/>
        </w:rPr>
        <w:t xml:space="preserve">CCRG and 9.9% (from 8,993 to 9,886) by PANSI. </w:t>
      </w:r>
    </w:p>
    <w:p w14:paraId="08F77351" w14:textId="5BEFA654" w:rsidR="003F438B" w:rsidRPr="003F438B" w:rsidRDefault="003F438B" w:rsidP="00E9766D">
      <w:pPr>
        <w:pStyle w:val="ListParagraph"/>
        <w:numPr>
          <w:ilvl w:val="0"/>
          <w:numId w:val="51"/>
        </w:numPr>
        <w:ind w:left="709" w:hanging="283"/>
      </w:pPr>
      <w:r w:rsidRPr="003F438B">
        <w:rPr>
          <w:color w:val="002F5D"/>
        </w:rPr>
        <w:t xml:space="preserve">The increase in population aged 18-64 with a moderate physical disability in </w:t>
      </w:r>
      <w:r>
        <w:rPr>
          <w:color w:val="002F5D"/>
        </w:rPr>
        <w:t xml:space="preserve">Cambridgeshire and </w:t>
      </w:r>
      <w:r w:rsidRPr="003F438B">
        <w:rPr>
          <w:color w:val="002F5D"/>
        </w:rPr>
        <w:t>Peterborough</w:t>
      </w:r>
      <w:r>
        <w:rPr>
          <w:color w:val="002F5D"/>
        </w:rPr>
        <w:t xml:space="preserve"> combined is predicted to be 13.1% (from 40,439 to 45,745 residents) by </w:t>
      </w:r>
      <w:r w:rsidR="008D32F8">
        <w:rPr>
          <w:color w:val="002F5D"/>
        </w:rPr>
        <w:t>C</w:t>
      </w:r>
      <w:r>
        <w:rPr>
          <w:color w:val="002F5D"/>
        </w:rPr>
        <w:t>CCRG and 6.8% (from 40,289 to 43,010</w:t>
      </w:r>
      <w:r w:rsidRPr="003F438B">
        <w:rPr>
          <w:color w:val="002F5D"/>
        </w:rPr>
        <w:t>) by PANSI</w:t>
      </w:r>
      <w:r>
        <w:rPr>
          <w:color w:val="002F5D"/>
        </w:rPr>
        <w:t xml:space="preserve"> using ONS forecasts</w:t>
      </w:r>
      <w:r w:rsidRPr="003F438B">
        <w:rPr>
          <w:color w:val="002F5D"/>
        </w:rPr>
        <w:t xml:space="preserve">. </w:t>
      </w:r>
    </w:p>
    <w:p w14:paraId="255BC294" w14:textId="6F2F5E87" w:rsidR="003F438B" w:rsidRPr="00B20D04" w:rsidRDefault="003F438B" w:rsidP="00E9766D">
      <w:pPr>
        <w:pStyle w:val="ListParagraph"/>
        <w:numPr>
          <w:ilvl w:val="0"/>
          <w:numId w:val="51"/>
        </w:numPr>
        <w:ind w:left="709" w:hanging="283"/>
      </w:pPr>
      <w:r w:rsidRPr="003F438B">
        <w:rPr>
          <w:color w:val="002F5D"/>
        </w:rPr>
        <w:t xml:space="preserve">This illustrates that data relating to future planning and associated growth obtained by the </w:t>
      </w:r>
      <w:r w:rsidR="00FC70F8">
        <w:rPr>
          <w:color w:val="002F5D"/>
        </w:rPr>
        <w:t>CCCRG</w:t>
      </w:r>
      <w:r w:rsidRPr="003F438B">
        <w:rPr>
          <w:color w:val="002F5D"/>
        </w:rPr>
        <w:t xml:space="preserve"> lead to predictions of greater service demand in future years than that predicted by the POPPI/PANSI data. </w:t>
      </w:r>
    </w:p>
    <w:p w14:paraId="20B507EE" w14:textId="77777777" w:rsidR="00802BA7" w:rsidRPr="0037351D" w:rsidRDefault="00802BA7" w:rsidP="00620C02">
      <w:pPr>
        <w:spacing w:line="240" w:lineRule="auto"/>
        <w:rPr>
          <w:color w:val="FF0000"/>
        </w:rPr>
      </w:pPr>
    </w:p>
    <w:p w14:paraId="469386B7" w14:textId="2DA80FCB" w:rsidR="00F25940" w:rsidRDefault="00F25940" w:rsidP="00F25940">
      <w:pPr>
        <w:rPr>
          <w:color w:val="002F5D"/>
        </w:rPr>
      </w:pPr>
      <w:r w:rsidRPr="00F25940">
        <w:rPr>
          <w:b/>
          <w:color w:val="002F5D"/>
        </w:rPr>
        <w:t xml:space="preserve">Table </w:t>
      </w:r>
      <w:r w:rsidR="00B81E4B">
        <w:rPr>
          <w:b/>
          <w:color w:val="002F5D"/>
        </w:rPr>
        <w:t>101</w:t>
      </w:r>
      <w:r w:rsidRPr="00F25940">
        <w:rPr>
          <w:b/>
          <w:color w:val="002F5D"/>
        </w:rPr>
        <w:t xml:space="preserve">: </w:t>
      </w:r>
      <w:r w:rsidRPr="00F25940">
        <w:rPr>
          <w:color w:val="002F5D"/>
        </w:rPr>
        <w:t>Total population aged 18-64 predicted to have a serious physical disability, POPPI/PANSI &amp; C</w:t>
      </w:r>
      <w:r w:rsidR="00E61269">
        <w:rPr>
          <w:color w:val="002F5D"/>
        </w:rPr>
        <w:t>C</w:t>
      </w:r>
      <w:r w:rsidRPr="00F25940">
        <w:rPr>
          <w:color w:val="002F5D"/>
        </w:rPr>
        <w:t xml:space="preserve">CRG Forecasts 2017 – 2035, </w:t>
      </w:r>
      <w:r w:rsidR="00E9766D">
        <w:rPr>
          <w:color w:val="002F5D"/>
        </w:rPr>
        <w:t>p</w:t>
      </w:r>
      <w:r w:rsidRPr="00F25940">
        <w:rPr>
          <w:color w:val="002F5D"/>
        </w:rPr>
        <w:t xml:space="preserve">opulation </w:t>
      </w:r>
      <w:r w:rsidR="00E9766D">
        <w:rPr>
          <w:color w:val="002F5D"/>
        </w:rPr>
        <w:t>c</w:t>
      </w:r>
      <w:r w:rsidRPr="00F25940">
        <w:rPr>
          <w:color w:val="002F5D"/>
        </w:rPr>
        <w:t>hange</w:t>
      </w:r>
    </w:p>
    <w:p w14:paraId="40E4062B" w14:textId="77777777" w:rsidR="00ED50A1" w:rsidRPr="00B20D04" w:rsidRDefault="00ED50A1" w:rsidP="00F25940">
      <w:pPr>
        <w:rPr>
          <w:b/>
        </w:rPr>
      </w:pPr>
    </w:p>
    <w:p w14:paraId="5BFDF380" w14:textId="6DB31DBD" w:rsidR="00802BA7" w:rsidRPr="0037351D" w:rsidRDefault="00746C12" w:rsidP="00620C02">
      <w:pPr>
        <w:spacing w:line="240" w:lineRule="auto"/>
        <w:rPr>
          <w:color w:val="FF0000"/>
        </w:rPr>
      </w:pPr>
      <w:r w:rsidRPr="00746C12">
        <w:rPr>
          <w:noProof/>
          <w:lang w:eastAsia="en-GB"/>
        </w:rPr>
        <w:drawing>
          <wp:inline distT="0" distB="0" distL="0" distR="0" wp14:anchorId="36E5547D" wp14:editId="0A681249">
            <wp:extent cx="6120130" cy="1113213"/>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0130" cy="1113213"/>
                    </a:xfrm>
                    <a:prstGeom prst="rect">
                      <a:avLst/>
                    </a:prstGeom>
                    <a:noFill/>
                    <a:ln>
                      <a:noFill/>
                    </a:ln>
                  </pic:spPr>
                </pic:pic>
              </a:graphicData>
            </a:graphic>
          </wp:inline>
        </w:drawing>
      </w:r>
    </w:p>
    <w:p w14:paraId="38735EA0" w14:textId="6E356481" w:rsidR="00802BA7" w:rsidRPr="00330B65" w:rsidRDefault="00802BA7" w:rsidP="00620C02">
      <w:pPr>
        <w:spacing w:line="240" w:lineRule="auto"/>
        <w:rPr>
          <w:color w:val="FF0000"/>
          <w:sz w:val="18"/>
          <w:szCs w:val="18"/>
        </w:rPr>
      </w:pPr>
    </w:p>
    <w:p w14:paraId="3AA4BEF6" w14:textId="61DCC31F" w:rsidR="00394131" w:rsidRPr="00330B65" w:rsidRDefault="00303763" w:rsidP="00394131">
      <w:pPr>
        <w:spacing w:line="240" w:lineRule="auto"/>
        <w:rPr>
          <w:color w:val="002F5D"/>
          <w:sz w:val="18"/>
          <w:szCs w:val="18"/>
        </w:rPr>
      </w:pPr>
      <w:r w:rsidRPr="00330B65">
        <w:rPr>
          <w:color w:val="002F5D"/>
          <w:sz w:val="18"/>
          <w:szCs w:val="18"/>
        </w:rPr>
        <w:t xml:space="preserve">Note: </w:t>
      </w:r>
      <w:r w:rsidR="00394131" w:rsidRPr="00330B65">
        <w:rPr>
          <w:color w:val="002F5D"/>
          <w:sz w:val="18"/>
          <w:szCs w:val="18"/>
        </w:rPr>
        <w:t>*Cambridgeshire values are calculated separately by POPPI/PANSI and will not necessarily sum with district sub-values</w:t>
      </w:r>
    </w:p>
    <w:p w14:paraId="3D01F3E5" w14:textId="77777777" w:rsidR="00802BA7" w:rsidRPr="0037351D" w:rsidRDefault="00802BA7" w:rsidP="00620C02">
      <w:pPr>
        <w:spacing w:line="240" w:lineRule="auto"/>
        <w:rPr>
          <w:color w:val="FF0000"/>
        </w:rPr>
      </w:pPr>
    </w:p>
    <w:p w14:paraId="0813FCD3" w14:textId="2EEF3370" w:rsidR="00566BE1" w:rsidRDefault="00566BE1" w:rsidP="00566BE1">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sidR="00E61269">
        <w:rPr>
          <w:color w:val="002F5D"/>
        </w:rPr>
        <w:t>C</w:t>
      </w:r>
      <w:r w:rsidRPr="00566BE1">
        <w:rPr>
          <w:color w:val="002F5D"/>
        </w:rPr>
        <w:t>CRG) Population Data &amp; Projections</w:t>
      </w:r>
    </w:p>
    <w:p w14:paraId="13955912" w14:textId="77777777" w:rsidR="00E9766D" w:rsidRDefault="00E9766D" w:rsidP="00F25940">
      <w:pPr>
        <w:rPr>
          <w:b/>
          <w:color w:val="002F5D"/>
        </w:rPr>
      </w:pPr>
    </w:p>
    <w:p w14:paraId="7E722496" w14:textId="07261C8E" w:rsidR="00746C12" w:rsidRPr="0037351D" w:rsidRDefault="00746C12" w:rsidP="00620C02">
      <w:pPr>
        <w:spacing w:line="240" w:lineRule="auto"/>
        <w:rPr>
          <w:color w:val="FF0000"/>
        </w:rPr>
      </w:pPr>
    </w:p>
    <w:p w14:paraId="1D70F13B" w14:textId="44B6197D" w:rsidR="00F25940" w:rsidRDefault="00F25940" w:rsidP="00F25940">
      <w:pPr>
        <w:spacing w:line="240" w:lineRule="auto"/>
        <w:rPr>
          <w:rFonts w:ascii="Calibri" w:eastAsia="Times New Roman" w:hAnsi="Calibri" w:cs="Times New Roman"/>
          <w:bCs/>
          <w:color w:val="002F5D"/>
          <w:lang w:eastAsia="en-GB"/>
        </w:rPr>
      </w:pPr>
      <w:r w:rsidRPr="00F25940">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102</w:t>
      </w:r>
      <w:r w:rsidRPr="00F25940">
        <w:rPr>
          <w:rFonts w:ascii="Calibri" w:eastAsia="Times New Roman" w:hAnsi="Calibri" w:cs="Times New Roman"/>
          <w:b/>
          <w:bCs/>
          <w:color w:val="002F5D"/>
          <w:lang w:eastAsia="en-GB"/>
        </w:rPr>
        <w:t xml:space="preserve">: </w:t>
      </w:r>
      <w:r w:rsidRPr="00F25940">
        <w:rPr>
          <w:rFonts w:ascii="Calibri" w:eastAsia="Times New Roman" w:hAnsi="Calibri" w:cs="Times New Roman"/>
          <w:bCs/>
          <w:color w:val="002F5D"/>
          <w:lang w:eastAsia="en-GB"/>
        </w:rPr>
        <w:t>Total population aged 18-64 predicted to have a serious physical disability, POPPI/PANSI &amp; C</w:t>
      </w:r>
      <w:r w:rsidR="00E61269">
        <w:rPr>
          <w:rFonts w:ascii="Calibri" w:eastAsia="Times New Roman" w:hAnsi="Calibri" w:cs="Times New Roman"/>
          <w:bCs/>
          <w:color w:val="002F5D"/>
          <w:lang w:eastAsia="en-GB"/>
        </w:rPr>
        <w:t>C</w:t>
      </w:r>
      <w:r w:rsidRPr="00F25940">
        <w:rPr>
          <w:rFonts w:ascii="Calibri" w:eastAsia="Times New Roman" w:hAnsi="Calibri" w:cs="Times New Roman"/>
          <w:bCs/>
          <w:color w:val="002F5D"/>
          <w:lang w:eastAsia="en-GB"/>
        </w:rPr>
        <w:t xml:space="preserve">CRG Forecasts 2017 – 2035, </w:t>
      </w:r>
      <w:r w:rsidR="00511CB9">
        <w:rPr>
          <w:rFonts w:ascii="Calibri" w:eastAsia="Times New Roman" w:hAnsi="Calibri" w:cs="Times New Roman"/>
          <w:bCs/>
          <w:color w:val="002F5D"/>
          <w:lang w:eastAsia="en-GB"/>
        </w:rPr>
        <w:t>p</w:t>
      </w:r>
      <w:r w:rsidRPr="00F25940">
        <w:rPr>
          <w:rFonts w:ascii="Calibri" w:eastAsia="Times New Roman" w:hAnsi="Calibri" w:cs="Times New Roman"/>
          <w:bCs/>
          <w:color w:val="002F5D"/>
          <w:lang w:eastAsia="en-GB"/>
        </w:rPr>
        <w:t xml:space="preserve">ercentage </w:t>
      </w:r>
      <w:r w:rsidR="00511CB9">
        <w:rPr>
          <w:rFonts w:ascii="Calibri" w:eastAsia="Times New Roman" w:hAnsi="Calibri" w:cs="Times New Roman"/>
          <w:bCs/>
          <w:color w:val="002F5D"/>
          <w:lang w:eastAsia="en-GB"/>
        </w:rPr>
        <w:t>c</w:t>
      </w:r>
      <w:r w:rsidRPr="00F25940">
        <w:rPr>
          <w:rFonts w:ascii="Calibri" w:eastAsia="Times New Roman" w:hAnsi="Calibri" w:cs="Times New Roman"/>
          <w:bCs/>
          <w:color w:val="002F5D"/>
          <w:lang w:eastAsia="en-GB"/>
        </w:rPr>
        <w:t>hange</w:t>
      </w:r>
    </w:p>
    <w:p w14:paraId="481088CB" w14:textId="77777777" w:rsidR="002001FD" w:rsidRDefault="002001FD" w:rsidP="00F25940">
      <w:pPr>
        <w:spacing w:line="240" w:lineRule="auto"/>
        <w:rPr>
          <w:rFonts w:ascii="Calibri" w:eastAsia="Times New Roman" w:hAnsi="Calibri" w:cs="Times New Roman"/>
          <w:bCs/>
          <w:color w:val="002F5D"/>
          <w:lang w:eastAsia="en-GB"/>
        </w:rPr>
      </w:pPr>
    </w:p>
    <w:p w14:paraId="3D5C9D1A" w14:textId="12911ABD" w:rsidR="002001FD" w:rsidRDefault="002001FD" w:rsidP="00F25940">
      <w:pPr>
        <w:spacing w:line="240" w:lineRule="auto"/>
        <w:rPr>
          <w:rFonts w:ascii="Calibri" w:eastAsia="Times New Roman" w:hAnsi="Calibri" w:cs="Times New Roman"/>
          <w:bCs/>
          <w:color w:val="002F5D"/>
          <w:lang w:eastAsia="en-GB"/>
        </w:rPr>
      </w:pPr>
      <w:r w:rsidRPr="002001FD">
        <w:rPr>
          <w:noProof/>
          <w:lang w:eastAsia="en-GB"/>
        </w:rPr>
        <w:drawing>
          <wp:inline distT="0" distB="0" distL="0" distR="0" wp14:anchorId="1BCBCA3C" wp14:editId="7F161CF2">
            <wp:extent cx="5731510" cy="1913313"/>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31510" cy="1913313"/>
                    </a:xfrm>
                    <a:prstGeom prst="rect">
                      <a:avLst/>
                    </a:prstGeom>
                    <a:noFill/>
                    <a:ln>
                      <a:noFill/>
                    </a:ln>
                  </pic:spPr>
                </pic:pic>
              </a:graphicData>
            </a:graphic>
          </wp:inline>
        </w:drawing>
      </w:r>
    </w:p>
    <w:p w14:paraId="48CC9B07" w14:textId="77777777" w:rsidR="002001FD" w:rsidRDefault="002001FD" w:rsidP="00566BE1">
      <w:pPr>
        <w:spacing w:line="240" w:lineRule="auto"/>
        <w:rPr>
          <w:rFonts w:ascii="Calibri" w:eastAsia="Times New Roman" w:hAnsi="Calibri" w:cs="Times New Roman"/>
          <w:bCs/>
          <w:color w:val="002F5D"/>
          <w:lang w:eastAsia="en-GB"/>
        </w:rPr>
      </w:pPr>
    </w:p>
    <w:p w14:paraId="71FCBE0D" w14:textId="33FE8833" w:rsidR="00566BE1" w:rsidRDefault="00566BE1" w:rsidP="00566BE1">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(CC</w:t>
      </w:r>
      <w:r w:rsidR="00E61269">
        <w:rPr>
          <w:color w:val="002F5D"/>
        </w:rPr>
        <w:t>C</w:t>
      </w:r>
      <w:r w:rsidRPr="00566BE1">
        <w:rPr>
          <w:color w:val="002F5D"/>
        </w:rPr>
        <w:t>RG) Population Data &amp; Projections</w:t>
      </w:r>
    </w:p>
    <w:p w14:paraId="7CD31D02" w14:textId="77777777" w:rsidR="00F25940" w:rsidRDefault="00F25940" w:rsidP="00F25940">
      <w:pPr>
        <w:spacing w:line="240" w:lineRule="auto"/>
        <w:rPr>
          <w:color w:val="002F5D"/>
        </w:rPr>
      </w:pPr>
    </w:p>
    <w:p w14:paraId="7723526D" w14:textId="77777777" w:rsidR="00F25940" w:rsidRPr="00152DA8" w:rsidRDefault="00F25940" w:rsidP="00F25940">
      <w:pPr>
        <w:spacing w:line="240" w:lineRule="auto"/>
        <w:rPr>
          <w:rFonts w:cs="Arial"/>
          <w:b/>
          <w:color w:val="002F5D"/>
        </w:rPr>
      </w:pPr>
      <w:r w:rsidRPr="00152DA8">
        <w:rPr>
          <w:rFonts w:cs="Arial"/>
          <w:b/>
          <w:color w:val="002F5D"/>
        </w:rPr>
        <w:t>Key points:</w:t>
      </w:r>
    </w:p>
    <w:p w14:paraId="4A0CE105" w14:textId="77777777" w:rsidR="00F25940" w:rsidRPr="003F438B" w:rsidRDefault="00F25940" w:rsidP="00F25940">
      <w:pPr>
        <w:spacing w:line="240" w:lineRule="auto"/>
        <w:rPr>
          <w:color w:val="002F5D"/>
        </w:rPr>
      </w:pPr>
    </w:p>
    <w:p w14:paraId="65AC0488" w14:textId="201B8CA7" w:rsidR="00F25940" w:rsidRDefault="00F25940" w:rsidP="00F25940">
      <w:pPr>
        <w:pStyle w:val="ListParagraph"/>
        <w:numPr>
          <w:ilvl w:val="0"/>
          <w:numId w:val="78"/>
        </w:numPr>
        <w:rPr>
          <w:color w:val="002F5D"/>
        </w:rPr>
      </w:pPr>
      <w:r w:rsidRPr="00F25940">
        <w:rPr>
          <w:color w:val="002F5D"/>
        </w:rPr>
        <w:t xml:space="preserve">Numbers of residents with a serious physical disability in Cambridgeshire are expected to increase by 7.3% (from 9,223 to 9,892) between 2017 and 2035 according to PANSI data and from 9,224 to 10,521 (+14.1%) according to </w:t>
      </w:r>
      <w:r w:rsidR="008D32F8">
        <w:rPr>
          <w:color w:val="002F5D"/>
        </w:rPr>
        <w:t>C</w:t>
      </w:r>
      <w:r w:rsidRPr="00F25940">
        <w:rPr>
          <w:color w:val="002F5D"/>
        </w:rPr>
        <w:t xml:space="preserve">CCRG forecasts. </w:t>
      </w:r>
    </w:p>
    <w:p w14:paraId="55822505" w14:textId="709BB27E" w:rsidR="00F25940" w:rsidRDefault="00F25940" w:rsidP="00F25940">
      <w:pPr>
        <w:pStyle w:val="ListParagraph"/>
        <w:numPr>
          <w:ilvl w:val="0"/>
          <w:numId w:val="78"/>
        </w:numPr>
        <w:rPr>
          <w:color w:val="002F5D"/>
        </w:rPr>
      </w:pPr>
      <w:r w:rsidRPr="00F25940">
        <w:rPr>
          <w:color w:val="002F5D"/>
        </w:rPr>
        <w:t>In Peterborough the increase is expected to be more pron</w:t>
      </w:r>
      <w:r>
        <w:rPr>
          <w:color w:val="002F5D"/>
        </w:rPr>
        <w:t>ounced, with an increase of 11.9</w:t>
      </w:r>
      <w:r w:rsidRPr="00F25940">
        <w:rPr>
          <w:color w:val="002F5D"/>
        </w:rPr>
        <w:t xml:space="preserve">% (from 2,588 to 2,895) between 2017 and 2035 as per ONS projections and an increase of 16.9% (from 2,618 to 3,060) predicted by </w:t>
      </w:r>
      <w:r w:rsidR="008D32F8">
        <w:rPr>
          <w:color w:val="002F5D"/>
        </w:rPr>
        <w:t>C</w:t>
      </w:r>
      <w:r w:rsidRPr="00F25940">
        <w:rPr>
          <w:color w:val="002F5D"/>
        </w:rPr>
        <w:t xml:space="preserve">CCRG. </w:t>
      </w:r>
    </w:p>
    <w:p w14:paraId="0602921F" w14:textId="4BBB6EEF" w:rsidR="00F25940" w:rsidRPr="00F25940" w:rsidRDefault="00F25940" w:rsidP="00F25940">
      <w:pPr>
        <w:pStyle w:val="ListParagraph"/>
        <w:numPr>
          <w:ilvl w:val="0"/>
          <w:numId w:val="78"/>
        </w:numPr>
        <w:rPr>
          <w:color w:val="002F5D"/>
        </w:rPr>
      </w:pPr>
      <w:r w:rsidRPr="00F25940">
        <w:rPr>
          <w:color w:val="002F5D"/>
        </w:rPr>
        <w:t xml:space="preserve">In </w:t>
      </w:r>
      <w:r>
        <w:rPr>
          <w:color w:val="002F5D"/>
        </w:rPr>
        <w:t xml:space="preserve">Cambridgeshire and </w:t>
      </w:r>
      <w:r w:rsidRPr="00F25940">
        <w:rPr>
          <w:color w:val="002F5D"/>
        </w:rPr>
        <w:t>Peterborough</w:t>
      </w:r>
      <w:r>
        <w:rPr>
          <w:color w:val="002F5D"/>
        </w:rPr>
        <w:t xml:space="preserve"> Combined authority</w:t>
      </w:r>
      <w:r w:rsidRPr="00F25940">
        <w:rPr>
          <w:color w:val="002F5D"/>
        </w:rPr>
        <w:t xml:space="preserve"> the increase is expected to be more pron</w:t>
      </w:r>
      <w:r>
        <w:rPr>
          <w:color w:val="002F5D"/>
        </w:rPr>
        <w:t>ounced, with an increase of 8.3% (from 11,811 to 12,787</w:t>
      </w:r>
      <w:r w:rsidRPr="00F25940">
        <w:rPr>
          <w:color w:val="002F5D"/>
        </w:rPr>
        <w:t>) between 2017 and 2035 as per ONS pro</w:t>
      </w:r>
      <w:r>
        <w:rPr>
          <w:color w:val="002F5D"/>
        </w:rPr>
        <w:t>jections and an increase of 14.7% (from 11,842 to 13,581</w:t>
      </w:r>
      <w:r w:rsidRPr="00F25940">
        <w:rPr>
          <w:color w:val="002F5D"/>
        </w:rPr>
        <w:t xml:space="preserve">) predicted by </w:t>
      </w:r>
      <w:r w:rsidR="008D32F8">
        <w:rPr>
          <w:color w:val="002F5D"/>
        </w:rPr>
        <w:t>C</w:t>
      </w:r>
      <w:r w:rsidRPr="00F25940">
        <w:rPr>
          <w:color w:val="002F5D"/>
        </w:rPr>
        <w:t xml:space="preserve">CCRG. </w:t>
      </w:r>
    </w:p>
    <w:p w14:paraId="1A5D3D3A" w14:textId="77777777" w:rsidR="00F25940" w:rsidRPr="00330B65" w:rsidRDefault="00F25940" w:rsidP="00F25940">
      <w:pPr>
        <w:pStyle w:val="ListParagraph"/>
        <w:rPr>
          <w:b/>
          <w:color w:val="002F5D"/>
        </w:rPr>
      </w:pPr>
    </w:p>
    <w:p w14:paraId="27E075AD" w14:textId="5487025E" w:rsidR="00746C12" w:rsidRPr="00330B65" w:rsidRDefault="00566BE1" w:rsidP="00566BE1">
      <w:pPr>
        <w:rPr>
          <w:color w:val="002F5D"/>
        </w:rPr>
      </w:pPr>
      <w:r w:rsidRPr="00511CB9">
        <w:rPr>
          <w:b/>
          <w:color w:val="002F5D"/>
        </w:rPr>
        <w:t xml:space="preserve">Table </w:t>
      </w:r>
      <w:r w:rsidR="00B81E4B">
        <w:rPr>
          <w:b/>
          <w:color w:val="002F5D"/>
        </w:rPr>
        <w:t>103</w:t>
      </w:r>
      <w:r w:rsidRPr="00511CB9">
        <w:rPr>
          <w:b/>
          <w:color w:val="002F5D"/>
        </w:rPr>
        <w:t xml:space="preserve">: </w:t>
      </w:r>
      <w:r w:rsidRPr="002B5E2A">
        <w:rPr>
          <w:color w:val="002F5D"/>
        </w:rPr>
        <w:t>Total population aged 18-64 predicted to have a moderate or serious personal care disability, POPPI/PANSI &amp; CC</w:t>
      </w:r>
      <w:r w:rsidR="00E61269" w:rsidRPr="002B5E2A">
        <w:rPr>
          <w:color w:val="002F5D"/>
        </w:rPr>
        <w:t>C</w:t>
      </w:r>
      <w:r w:rsidRPr="002B5E2A">
        <w:rPr>
          <w:color w:val="002F5D"/>
        </w:rPr>
        <w:t>RG Forecasts 2017 – 2035, Population Change</w:t>
      </w:r>
    </w:p>
    <w:p w14:paraId="78844C02" w14:textId="435ED364" w:rsidR="00566BE1" w:rsidRPr="00330B65" w:rsidRDefault="00566BE1" w:rsidP="00566BE1">
      <w:pPr>
        <w:rPr>
          <w:b/>
          <w:color w:val="002F5D"/>
        </w:rPr>
      </w:pPr>
    </w:p>
    <w:p w14:paraId="3DC322A1" w14:textId="7D63718D" w:rsidR="00566BE1" w:rsidRPr="00330B65" w:rsidRDefault="00746C12" w:rsidP="00566BE1">
      <w:pPr>
        <w:rPr>
          <w:b/>
          <w:color w:val="002F5D"/>
        </w:rPr>
      </w:pPr>
      <w:r w:rsidRPr="00746C12">
        <w:rPr>
          <w:noProof/>
          <w:lang w:eastAsia="en-GB"/>
        </w:rPr>
        <w:drawing>
          <wp:inline distT="0" distB="0" distL="0" distR="0" wp14:anchorId="0AC2EA83" wp14:editId="7E39C0FF">
            <wp:extent cx="6486525" cy="1644339"/>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490620" cy="1645377"/>
                    </a:xfrm>
                    <a:prstGeom prst="rect">
                      <a:avLst/>
                    </a:prstGeom>
                    <a:noFill/>
                    <a:ln>
                      <a:noFill/>
                    </a:ln>
                  </pic:spPr>
                </pic:pic>
              </a:graphicData>
            </a:graphic>
          </wp:inline>
        </w:drawing>
      </w:r>
    </w:p>
    <w:p w14:paraId="21F67965" w14:textId="4DDB7AA0" w:rsidR="00566BE1" w:rsidRPr="00330B65" w:rsidRDefault="00566BE1" w:rsidP="00566BE1">
      <w:pPr>
        <w:rPr>
          <w:b/>
          <w:color w:val="002F5D"/>
        </w:rPr>
      </w:pPr>
    </w:p>
    <w:p w14:paraId="76C65198" w14:textId="50C573CA" w:rsidR="00855DBE" w:rsidRPr="00E61D24" w:rsidRDefault="00746C12" w:rsidP="00855DBE">
      <w:pPr>
        <w:spacing w:line="240" w:lineRule="auto"/>
        <w:rPr>
          <w:color w:val="002F5D"/>
          <w:sz w:val="18"/>
          <w:szCs w:val="18"/>
        </w:rPr>
      </w:pPr>
      <w:r w:rsidRPr="00E61D24">
        <w:rPr>
          <w:color w:val="002F5D"/>
          <w:sz w:val="18"/>
          <w:szCs w:val="18"/>
        </w:rPr>
        <w:t xml:space="preserve">Note: </w:t>
      </w:r>
      <w:r w:rsidR="00855DBE" w:rsidRPr="00E61D24">
        <w:rPr>
          <w:color w:val="002F5D"/>
          <w:sz w:val="18"/>
          <w:szCs w:val="18"/>
        </w:rPr>
        <w:t>*Cambridgeshire values are calculated separately by POPPI/PANSI and will not necessarily sum with district sub-values</w:t>
      </w:r>
    </w:p>
    <w:p w14:paraId="3421106A" w14:textId="77777777" w:rsidR="00F25940" w:rsidRPr="00330B65" w:rsidRDefault="00F25940" w:rsidP="00F25940">
      <w:pPr>
        <w:spacing w:line="240" w:lineRule="auto"/>
        <w:rPr>
          <w:rFonts w:ascii="Calibri" w:eastAsia="Times New Roman" w:hAnsi="Calibri" w:cs="Times New Roman"/>
          <w:b/>
          <w:bCs/>
          <w:color w:val="002F5D"/>
          <w:lang w:eastAsia="en-GB"/>
        </w:rPr>
      </w:pPr>
    </w:p>
    <w:p w14:paraId="312F9173" w14:textId="5D01FE2C" w:rsidR="00566BE1" w:rsidRPr="00837184" w:rsidRDefault="00566BE1" w:rsidP="00566BE1">
      <w:pPr>
        <w:spacing w:line="240" w:lineRule="auto"/>
        <w:rPr>
          <w:rFonts w:ascii="Calibri" w:eastAsia="Times New Roman" w:hAnsi="Calibri" w:cs="Times New Roman"/>
          <w:bCs/>
          <w:color w:val="002F5D"/>
          <w:lang w:eastAsia="en-GB"/>
        </w:rPr>
      </w:pPr>
      <w:r w:rsidRPr="00330B65">
        <w:rPr>
          <w:color w:val="002F5D"/>
        </w:rPr>
        <w:lastRenderedPageBreak/>
        <w:t>Source</w:t>
      </w:r>
      <w:r w:rsidRPr="00837184">
        <w:rPr>
          <w:color w:val="002F5D"/>
        </w:rPr>
        <w:t>: Projecting Older People Population Information (POPPI), Projecting Adult Needs &amp; Service Information (PANSI) &amp; Cambridgeshire County Council Research Group (</w:t>
      </w:r>
      <w:r w:rsidR="00E61269" w:rsidRPr="00837184">
        <w:rPr>
          <w:color w:val="002F5D"/>
        </w:rPr>
        <w:t>C</w:t>
      </w:r>
      <w:r w:rsidRPr="00837184">
        <w:rPr>
          <w:color w:val="002F5D"/>
        </w:rPr>
        <w:t>CCRG) Population Data &amp; Projection</w:t>
      </w:r>
    </w:p>
    <w:p w14:paraId="56674C84" w14:textId="10DE499E" w:rsidR="00303763" w:rsidRDefault="00303763" w:rsidP="00566BE1">
      <w:pPr>
        <w:spacing w:line="240" w:lineRule="auto"/>
        <w:rPr>
          <w:rFonts w:ascii="Calibri" w:eastAsia="Times New Roman" w:hAnsi="Calibri" w:cs="Times New Roman"/>
          <w:bCs/>
          <w:color w:val="002F5D"/>
          <w:lang w:eastAsia="en-GB"/>
        </w:rPr>
      </w:pPr>
    </w:p>
    <w:p w14:paraId="29689ED7" w14:textId="4CBBFF17" w:rsidR="00566BE1" w:rsidRDefault="00566BE1" w:rsidP="00566BE1">
      <w:pPr>
        <w:spacing w:line="240" w:lineRule="auto"/>
        <w:rPr>
          <w:rFonts w:ascii="Calibri" w:eastAsia="Times New Roman" w:hAnsi="Calibri" w:cs="Times New Roman"/>
          <w:bCs/>
          <w:color w:val="002F5D"/>
          <w:lang w:eastAsia="en-GB"/>
        </w:rPr>
      </w:pPr>
      <w:r w:rsidRPr="00566BE1">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104</w:t>
      </w:r>
      <w:r w:rsidRPr="00566BE1">
        <w:rPr>
          <w:rFonts w:ascii="Calibri" w:eastAsia="Times New Roman" w:hAnsi="Calibri" w:cs="Times New Roman"/>
          <w:bCs/>
          <w:color w:val="002F5D"/>
          <w:lang w:eastAsia="en-GB"/>
        </w:rPr>
        <w:t>: Total population aged 18-64 predicted to have a moderate or serious personal care disability, POPPI/PANSI &amp; C</w:t>
      </w:r>
      <w:r w:rsidR="00E61269">
        <w:rPr>
          <w:rFonts w:ascii="Calibri" w:eastAsia="Times New Roman" w:hAnsi="Calibri" w:cs="Times New Roman"/>
          <w:bCs/>
          <w:color w:val="002F5D"/>
          <w:lang w:eastAsia="en-GB"/>
        </w:rPr>
        <w:t>C</w:t>
      </w:r>
      <w:r w:rsidRPr="00566BE1">
        <w:rPr>
          <w:rFonts w:ascii="Calibri" w:eastAsia="Times New Roman" w:hAnsi="Calibri" w:cs="Times New Roman"/>
          <w:bCs/>
          <w:color w:val="002F5D"/>
          <w:lang w:eastAsia="en-GB"/>
        </w:rPr>
        <w:t xml:space="preserve">CRG Forecasts 2017 – 2035, </w:t>
      </w:r>
      <w:r w:rsidR="00E9766D">
        <w:rPr>
          <w:rFonts w:ascii="Calibri" w:eastAsia="Times New Roman" w:hAnsi="Calibri" w:cs="Times New Roman"/>
          <w:bCs/>
          <w:color w:val="002F5D"/>
          <w:lang w:eastAsia="en-GB"/>
        </w:rPr>
        <w:t>p</w:t>
      </w:r>
      <w:r w:rsidRPr="00566BE1">
        <w:rPr>
          <w:rFonts w:ascii="Calibri" w:eastAsia="Times New Roman" w:hAnsi="Calibri" w:cs="Times New Roman"/>
          <w:bCs/>
          <w:color w:val="002F5D"/>
          <w:lang w:eastAsia="en-GB"/>
        </w:rPr>
        <w:t xml:space="preserve">ercentage </w:t>
      </w:r>
      <w:r w:rsidR="00E9766D">
        <w:rPr>
          <w:rFonts w:ascii="Calibri" w:eastAsia="Times New Roman" w:hAnsi="Calibri" w:cs="Times New Roman"/>
          <w:bCs/>
          <w:color w:val="002F5D"/>
          <w:lang w:eastAsia="en-GB"/>
        </w:rPr>
        <w:t>c</w:t>
      </w:r>
      <w:r w:rsidRPr="00566BE1">
        <w:rPr>
          <w:rFonts w:ascii="Calibri" w:eastAsia="Times New Roman" w:hAnsi="Calibri" w:cs="Times New Roman"/>
          <w:bCs/>
          <w:color w:val="002F5D"/>
          <w:lang w:eastAsia="en-GB"/>
        </w:rPr>
        <w:t>hange</w:t>
      </w:r>
    </w:p>
    <w:p w14:paraId="6C64389A" w14:textId="77777777" w:rsidR="002001FD" w:rsidRDefault="002001FD" w:rsidP="00566BE1">
      <w:pPr>
        <w:spacing w:line="240" w:lineRule="auto"/>
        <w:rPr>
          <w:rFonts w:ascii="Calibri" w:eastAsia="Times New Roman" w:hAnsi="Calibri" w:cs="Times New Roman"/>
          <w:bCs/>
          <w:color w:val="002F5D"/>
          <w:lang w:eastAsia="en-GB"/>
        </w:rPr>
      </w:pPr>
    </w:p>
    <w:p w14:paraId="5BDC5CB6" w14:textId="33366E39" w:rsidR="002001FD" w:rsidRDefault="002001FD" w:rsidP="00566BE1">
      <w:pPr>
        <w:spacing w:line="240" w:lineRule="auto"/>
        <w:rPr>
          <w:rFonts w:ascii="Calibri" w:eastAsia="Times New Roman" w:hAnsi="Calibri" w:cs="Times New Roman"/>
          <w:bCs/>
          <w:color w:val="002F5D"/>
          <w:lang w:eastAsia="en-GB"/>
        </w:rPr>
      </w:pPr>
      <w:r w:rsidRPr="002001FD">
        <w:rPr>
          <w:noProof/>
          <w:lang w:eastAsia="en-GB"/>
        </w:rPr>
        <w:drawing>
          <wp:inline distT="0" distB="0" distL="0" distR="0" wp14:anchorId="5E98EEF7" wp14:editId="7C12B14A">
            <wp:extent cx="5731510" cy="195078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31510" cy="1950785"/>
                    </a:xfrm>
                    <a:prstGeom prst="rect">
                      <a:avLst/>
                    </a:prstGeom>
                    <a:noFill/>
                    <a:ln>
                      <a:noFill/>
                    </a:ln>
                  </pic:spPr>
                </pic:pic>
              </a:graphicData>
            </a:graphic>
          </wp:inline>
        </w:drawing>
      </w:r>
    </w:p>
    <w:p w14:paraId="58F11696" w14:textId="77777777" w:rsidR="00ED50A1" w:rsidRPr="00566BE1" w:rsidRDefault="00ED50A1" w:rsidP="00566BE1">
      <w:pPr>
        <w:spacing w:line="240" w:lineRule="auto"/>
        <w:rPr>
          <w:rFonts w:ascii="Calibri" w:eastAsia="Times New Roman" w:hAnsi="Calibri" w:cs="Times New Roman"/>
          <w:bCs/>
          <w:color w:val="002F5D"/>
          <w:lang w:eastAsia="en-GB"/>
        </w:rPr>
      </w:pPr>
    </w:p>
    <w:p w14:paraId="3599AAD9" w14:textId="26303886" w:rsidR="00566BE1" w:rsidRDefault="00566BE1" w:rsidP="00F25940">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(CC</w:t>
      </w:r>
      <w:r w:rsidR="00E61269">
        <w:rPr>
          <w:color w:val="002F5D"/>
        </w:rPr>
        <w:t>C</w:t>
      </w:r>
      <w:r w:rsidRPr="00566BE1">
        <w:rPr>
          <w:color w:val="002F5D"/>
        </w:rPr>
        <w:t>RG) Population Data &amp; Projections</w:t>
      </w:r>
    </w:p>
    <w:p w14:paraId="55810958" w14:textId="77777777" w:rsidR="00566BE1" w:rsidRDefault="00566BE1" w:rsidP="00F25940">
      <w:pPr>
        <w:spacing w:line="240" w:lineRule="auto"/>
        <w:rPr>
          <w:rFonts w:ascii="Calibri" w:eastAsia="Times New Roman" w:hAnsi="Calibri" w:cs="Times New Roman"/>
          <w:bCs/>
          <w:color w:val="002F5D"/>
          <w:lang w:eastAsia="en-GB"/>
        </w:rPr>
      </w:pPr>
    </w:p>
    <w:p w14:paraId="76DEE35E" w14:textId="77777777" w:rsidR="00566BE1" w:rsidRDefault="00566BE1" w:rsidP="00566BE1">
      <w:pPr>
        <w:spacing w:line="240" w:lineRule="auto"/>
        <w:rPr>
          <w:rFonts w:cs="Arial"/>
          <w:b/>
          <w:color w:val="002F5D"/>
        </w:rPr>
      </w:pPr>
      <w:r w:rsidRPr="00152DA8">
        <w:rPr>
          <w:rFonts w:cs="Arial"/>
          <w:b/>
          <w:color w:val="002F5D"/>
        </w:rPr>
        <w:t>Key points:</w:t>
      </w:r>
    </w:p>
    <w:p w14:paraId="25DFDC40" w14:textId="77777777" w:rsidR="00566BE1" w:rsidRPr="00566BE1" w:rsidRDefault="00566BE1" w:rsidP="00566BE1">
      <w:pPr>
        <w:pStyle w:val="ListParagraph"/>
        <w:numPr>
          <w:ilvl w:val="0"/>
          <w:numId w:val="79"/>
        </w:numPr>
        <w:rPr>
          <w:color w:val="002F5D"/>
        </w:rPr>
      </w:pPr>
      <w:r w:rsidRPr="00566BE1">
        <w:rPr>
          <w:color w:val="002F5D"/>
        </w:rPr>
        <w:t xml:space="preserve">Numbers of residents predicted to have a moderate or serious personal care disability are expected to rise most substantially in the affluent districts of East Cambridgeshire and South Cambridgeshire and in Peterborough between 2017 and 2035. </w:t>
      </w:r>
    </w:p>
    <w:p w14:paraId="2E664E8A" w14:textId="77777777" w:rsidR="00566BE1" w:rsidRPr="00152DA8" w:rsidRDefault="00566BE1" w:rsidP="00566BE1">
      <w:pPr>
        <w:spacing w:line="240" w:lineRule="auto"/>
        <w:rPr>
          <w:rFonts w:cs="Arial"/>
          <w:b/>
          <w:color w:val="002F5D"/>
        </w:rPr>
      </w:pPr>
    </w:p>
    <w:p w14:paraId="7D8E9724" w14:textId="77777777" w:rsidR="00F25940" w:rsidRDefault="00F25940" w:rsidP="00F25940">
      <w:pPr>
        <w:spacing w:line="240" w:lineRule="auto"/>
        <w:rPr>
          <w:rFonts w:ascii="Calibri" w:eastAsia="Times New Roman" w:hAnsi="Calibri" w:cs="Times New Roman"/>
          <w:bCs/>
          <w:color w:val="002F5D"/>
          <w:lang w:eastAsia="en-GB"/>
        </w:rPr>
      </w:pPr>
    </w:p>
    <w:p w14:paraId="52FCE4A8" w14:textId="3DF78CFC" w:rsidR="00566BE1" w:rsidRDefault="00566BE1" w:rsidP="00566BE1">
      <w:pPr>
        <w:spacing w:line="240" w:lineRule="auto"/>
        <w:rPr>
          <w:rFonts w:ascii="Calibri" w:eastAsia="Times New Roman" w:hAnsi="Calibri" w:cs="Times New Roman"/>
          <w:bCs/>
          <w:color w:val="002F5D"/>
          <w:lang w:eastAsia="en-GB"/>
        </w:rPr>
      </w:pPr>
      <w:r w:rsidRPr="00566BE1">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105</w:t>
      </w:r>
      <w:r w:rsidRPr="00566BE1">
        <w:rPr>
          <w:rFonts w:ascii="Calibri" w:eastAsia="Times New Roman" w:hAnsi="Calibri" w:cs="Times New Roman"/>
          <w:b/>
          <w:bCs/>
          <w:color w:val="002F5D"/>
          <w:lang w:eastAsia="en-GB"/>
        </w:rPr>
        <w:t xml:space="preserve">: </w:t>
      </w:r>
      <w:r w:rsidRPr="00566BE1">
        <w:rPr>
          <w:rFonts w:ascii="Calibri" w:eastAsia="Times New Roman" w:hAnsi="Calibri" w:cs="Times New Roman"/>
          <w:bCs/>
          <w:color w:val="002F5D"/>
          <w:lang w:eastAsia="en-GB"/>
        </w:rPr>
        <w:t>Total population aged 18-64 predicted to have a common mental disorder, POPPI/PANSI &amp; CC</w:t>
      </w:r>
      <w:r w:rsidR="00E61269">
        <w:rPr>
          <w:rFonts w:ascii="Calibri" w:eastAsia="Times New Roman" w:hAnsi="Calibri" w:cs="Times New Roman"/>
          <w:bCs/>
          <w:color w:val="002F5D"/>
          <w:lang w:eastAsia="en-GB"/>
        </w:rPr>
        <w:t>C</w:t>
      </w:r>
      <w:r w:rsidRPr="00566BE1">
        <w:rPr>
          <w:rFonts w:ascii="Calibri" w:eastAsia="Times New Roman" w:hAnsi="Calibri" w:cs="Times New Roman"/>
          <w:bCs/>
          <w:color w:val="002F5D"/>
          <w:lang w:eastAsia="en-GB"/>
        </w:rPr>
        <w:t>RG Forecasts 2017 – 2035, Population Change</w:t>
      </w:r>
    </w:p>
    <w:p w14:paraId="4BEBE584" w14:textId="77777777" w:rsidR="00ED50A1" w:rsidRPr="00566BE1" w:rsidRDefault="00ED50A1" w:rsidP="00566BE1">
      <w:pPr>
        <w:spacing w:line="240" w:lineRule="auto"/>
        <w:rPr>
          <w:rFonts w:ascii="Calibri" w:eastAsia="Times New Roman" w:hAnsi="Calibri" w:cs="Times New Roman"/>
          <w:b/>
          <w:bCs/>
          <w:color w:val="000000"/>
          <w:lang w:eastAsia="en-GB"/>
        </w:rPr>
      </w:pPr>
    </w:p>
    <w:p w14:paraId="62493C15" w14:textId="7BCDD250" w:rsidR="00F25940" w:rsidRDefault="00303763" w:rsidP="00F25940">
      <w:pPr>
        <w:spacing w:line="240" w:lineRule="auto"/>
        <w:rPr>
          <w:rFonts w:ascii="Calibri" w:eastAsia="Times New Roman" w:hAnsi="Calibri" w:cs="Times New Roman"/>
          <w:bCs/>
          <w:color w:val="002F5D"/>
          <w:lang w:eastAsia="en-GB"/>
        </w:rPr>
      </w:pPr>
      <w:r w:rsidRPr="00303763">
        <w:rPr>
          <w:noProof/>
          <w:lang w:eastAsia="en-GB"/>
        </w:rPr>
        <w:drawing>
          <wp:inline distT="0" distB="0" distL="0" distR="0" wp14:anchorId="1FBFA6FE" wp14:editId="6BACF4BE">
            <wp:extent cx="6575746" cy="147637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582364" cy="1477861"/>
                    </a:xfrm>
                    <a:prstGeom prst="rect">
                      <a:avLst/>
                    </a:prstGeom>
                    <a:noFill/>
                    <a:ln>
                      <a:noFill/>
                    </a:ln>
                  </pic:spPr>
                </pic:pic>
              </a:graphicData>
            </a:graphic>
          </wp:inline>
        </w:drawing>
      </w:r>
    </w:p>
    <w:p w14:paraId="2E92E326" w14:textId="19E80A80" w:rsidR="00F25940" w:rsidRPr="00330B65" w:rsidRDefault="00F25940" w:rsidP="00F25940">
      <w:pPr>
        <w:spacing w:line="240" w:lineRule="auto"/>
        <w:rPr>
          <w:rFonts w:ascii="Calibri" w:eastAsia="Times New Roman" w:hAnsi="Calibri" w:cs="Times New Roman"/>
          <w:bCs/>
          <w:color w:val="002F5D"/>
          <w:sz w:val="18"/>
          <w:szCs w:val="18"/>
          <w:lang w:eastAsia="en-GB"/>
        </w:rPr>
      </w:pPr>
    </w:p>
    <w:p w14:paraId="31352D27" w14:textId="330DDE20" w:rsidR="00855DBE" w:rsidRPr="00330B65" w:rsidRDefault="00303763" w:rsidP="00855DBE">
      <w:pPr>
        <w:spacing w:line="240" w:lineRule="auto"/>
        <w:rPr>
          <w:color w:val="002F5D"/>
          <w:sz w:val="18"/>
          <w:szCs w:val="18"/>
        </w:rPr>
      </w:pPr>
      <w:r w:rsidRPr="00330B65">
        <w:rPr>
          <w:color w:val="002F5D"/>
          <w:sz w:val="18"/>
          <w:szCs w:val="18"/>
        </w:rPr>
        <w:t xml:space="preserve">Note: </w:t>
      </w:r>
      <w:r w:rsidR="00855DBE" w:rsidRPr="00330B65">
        <w:rPr>
          <w:color w:val="002F5D"/>
          <w:sz w:val="18"/>
          <w:szCs w:val="18"/>
        </w:rPr>
        <w:t>*Cambridgeshire values are calculated separately by POPPI/PANSI and will not necessarily sum with district sub-values</w:t>
      </w:r>
    </w:p>
    <w:p w14:paraId="60C5F7A1" w14:textId="77777777" w:rsidR="00566BE1" w:rsidRDefault="00566BE1" w:rsidP="00566BE1">
      <w:pPr>
        <w:spacing w:line="240" w:lineRule="auto"/>
        <w:rPr>
          <w:b/>
          <w:color w:val="002F5D"/>
        </w:rPr>
      </w:pPr>
    </w:p>
    <w:p w14:paraId="0AEDD30B" w14:textId="0E50E6D4" w:rsidR="00566BE1" w:rsidRDefault="00566BE1" w:rsidP="00566BE1">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sidR="00E61269">
        <w:rPr>
          <w:color w:val="002F5D"/>
        </w:rPr>
        <w:t>C</w:t>
      </w:r>
      <w:r w:rsidRPr="00566BE1">
        <w:rPr>
          <w:color w:val="002F5D"/>
        </w:rPr>
        <w:t>CRG) Population Data &amp; Projections</w:t>
      </w:r>
    </w:p>
    <w:p w14:paraId="24694F21" w14:textId="77777777" w:rsidR="00566BE1" w:rsidRDefault="00566BE1" w:rsidP="00F25940">
      <w:pPr>
        <w:spacing w:line="240" w:lineRule="auto"/>
        <w:rPr>
          <w:rFonts w:ascii="Calibri" w:eastAsia="Times New Roman" w:hAnsi="Calibri" w:cs="Times New Roman"/>
          <w:bCs/>
          <w:color w:val="002F5D"/>
          <w:lang w:eastAsia="en-GB"/>
        </w:rPr>
      </w:pPr>
    </w:p>
    <w:p w14:paraId="770D60C7" w14:textId="77777777" w:rsidR="00566BE1" w:rsidRDefault="00566BE1" w:rsidP="00F25940">
      <w:pPr>
        <w:spacing w:line="240" w:lineRule="auto"/>
        <w:rPr>
          <w:rFonts w:ascii="Calibri" w:eastAsia="Times New Roman" w:hAnsi="Calibri" w:cs="Times New Roman"/>
          <w:bCs/>
          <w:color w:val="002F5D"/>
          <w:lang w:eastAsia="en-GB"/>
        </w:rPr>
      </w:pPr>
    </w:p>
    <w:p w14:paraId="3A8E7039" w14:textId="6B954847" w:rsidR="003209A4" w:rsidRDefault="003209A4" w:rsidP="00F25940">
      <w:pPr>
        <w:spacing w:line="240" w:lineRule="auto"/>
        <w:rPr>
          <w:rFonts w:ascii="Calibri" w:eastAsia="Times New Roman" w:hAnsi="Calibri" w:cs="Times New Roman"/>
          <w:bCs/>
          <w:color w:val="002F5D"/>
          <w:lang w:eastAsia="en-GB"/>
        </w:rPr>
      </w:pPr>
    </w:p>
    <w:p w14:paraId="2D15425F" w14:textId="77777777" w:rsidR="003209A4" w:rsidRDefault="003209A4" w:rsidP="00F25940">
      <w:pPr>
        <w:spacing w:line="240" w:lineRule="auto"/>
        <w:rPr>
          <w:rFonts w:ascii="Calibri" w:eastAsia="Times New Roman" w:hAnsi="Calibri" w:cs="Times New Roman"/>
          <w:bCs/>
          <w:color w:val="002F5D"/>
          <w:lang w:eastAsia="en-GB"/>
        </w:rPr>
      </w:pPr>
    </w:p>
    <w:p w14:paraId="3CC792A3" w14:textId="6F4065BD" w:rsidR="00566BE1" w:rsidRDefault="00566BE1" w:rsidP="00566BE1">
      <w:pPr>
        <w:spacing w:line="240" w:lineRule="auto"/>
        <w:rPr>
          <w:rFonts w:ascii="Calibri" w:eastAsia="Times New Roman" w:hAnsi="Calibri" w:cs="Times New Roman"/>
          <w:bCs/>
          <w:color w:val="002F5D"/>
          <w:lang w:eastAsia="en-GB"/>
        </w:rPr>
      </w:pPr>
      <w:bookmarkStart w:id="821" w:name="OLE_LINK2"/>
      <w:r w:rsidRPr="00566BE1">
        <w:rPr>
          <w:rFonts w:ascii="Calibri" w:eastAsia="Times New Roman" w:hAnsi="Calibri" w:cs="Times New Roman"/>
          <w:b/>
          <w:bCs/>
          <w:color w:val="002F5D"/>
          <w:lang w:eastAsia="en-GB"/>
        </w:rPr>
        <w:lastRenderedPageBreak/>
        <w:t xml:space="preserve">Table </w:t>
      </w:r>
      <w:r w:rsidR="00B81E4B">
        <w:rPr>
          <w:rFonts w:ascii="Calibri" w:eastAsia="Times New Roman" w:hAnsi="Calibri" w:cs="Times New Roman"/>
          <w:b/>
          <w:bCs/>
          <w:color w:val="002F5D"/>
          <w:lang w:eastAsia="en-GB"/>
        </w:rPr>
        <w:t>106</w:t>
      </w:r>
      <w:r w:rsidRPr="00566BE1">
        <w:rPr>
          <w:rFonts w:ascii="Calibri" w:eastAsia="Times New Roman" w:hAnsi="Calibri" w:cs="Times New Roman"/>
          <w:b/>
          <w:bCs/>
          <w:color w:val="002F5D"/>
          <w:lang w:eastAsia="en-GB"/>
        </w:rPr>
        <w:t xml:space="preserve">: </w:t>
      </w:r>
      <w:r w:rsidRPr="00566BE1">
        <w:rPr>
          <w:rFonts w:ascii="Calibri" w:eastAsia="Times New Roman" w:hAnsi="Calibri" w:cs="Times New Roman"/>
          <w:bCs/>
          <w:color w:val="002F5D"/>
          <w:lang w:eastAsia="en-GB"/>
        </w:rPr>
        <w:t>Total population aged 18-64 predicted to have a common me</w:t>
      </w:r>
      <w:r w:rsidR="00E61269">
        <w:rPr>
          <w:rFonts w:ascii="Calibri" w:eastAsia="Times New Roman" w:hAnsi="Calibri" w:cs="Times New Roman"/>
          <w:bCs/>
          <w:color w:val="002F5D"/>
          <w:lang w:eastAsia="en-GB"/>
        </w:rPr>
        <w:t>ntal disorder, POPPI/PANSI &amp; CCCR</w:t>
      </w:r>
      <w:r w:rsidRPr="00566BE1">
        <w:rPr>
          <w:rFonts w:ascii="Calibri" w:eastAsia="Times New Roman" w:hAnsi="Calibri" w:cs="Times New Roman"/>
          <w:bCs/>
          <w:color w:val="002F5D"/>
          <w:lang w:eastAsia="en-GB"/>
        </w:rPr>
        <w:t>G Forecasts 2017 – 2035, Percentage Change</w:t>
      </w:r>
    </w:p>
    <w:p w14:paraId="4C2CF665" w14:textId="77777777" w:rsidR="002001FD" w:rsidRDefault="002001FD" w:rsidP="00566BE1">
      <w:pPr>
        <w:spacing w:line="240" w:lineRule="auto"/>
        <w:rPr>
          <w:rFonts w:ascii="Calibri" w:eastAsia="Times New Roman" w:hAnsi="Calibri" w:cs="Times New Roman"/>
          <w:bCs/>
          <w:color w:val="002F5D"/>
          <w:lang w:eastAsia="en-GB"/>
        </w:rPr>
      </w:pPr>
    </w:p>
    <w:p w14:paraId="08C6440F" w14:textId="4163124D" w:rsidR="002001FD" w:rsidRDefault="002001FD" w:rsidP="00566BE1">
      <w:pPr>
        <w:spacing w:line="240" w:lineRule="auto"/>
        <w:rPr>
          <w:rFonts w:ascii="Calibri" w:eastAsia="Times New Roman" w:hAnsi="Calibri" w:cs="Times New Roman"/>
          <w:bCs/>
          <w:color w:val="002F5D"/>
          <w:lang w:eastAsia="en-GB"/>
        </w:rPr>
      </w:pPr>
      <w:r w:rsidRPr="002001FD">
        <w:rPr>
          <w:noProof/>
          <w:lang w:eastAsia="en-GB"/>
        </w:rPr>
        <w:drawing>
          <wp:inline distT="0" distB="0" distL="0" distR="0" wp14:anchorId="69690683" wp14:editId="15172C6F">
            <wp:extent cx="5731510" cy="2066954"/>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31510" cy="2066954"/>
                    </a:xfrm>
                    <a:prstGeom prst="rect">
                      <a:avLst/>
                    </a:prstGeom>
                    <a:noFill/>
                    <a:ln>
                      <a:noFill/>
                    </a:ln>
                  </pic:spPr>
                </pic:pic>
              </a:graphicData>
            </a:graphic>
          </wp:inline>
        </w:drawing>
      </w:r>
    </w:p>
    <w:bookmarkEnd w:id="821"/>
    <w:p w14:paraId="6A790988" w14:textId="77777777" w:rsidR="00F25940" w:rsidRDefault="00F25940" w:rsidP="00F25940">
      <w:pPr>
        <w:spacing w:line="240" w:lineRule="auto"/>
        <w:rPr>
          <w:rFonts w:ascii="Calibri" w:eastAsia="Times New Roman" w:hAnsi="Calibri" w:cs="Times New Roman"/>
          <w:bCs/>
          <w:color w:val="002F5D"/>
          <w:lang w:eastAsia="en-GB"/>
        </w:rPr>
      </w:pPr>
    </w:p>
    <w:p w14:paraId="406F97C6" w14:textId="252FC3EE" w:rsidR="00F25940" w:rsidRPr="00E61269" w:rsidRDefault="00566BE1" w:rsidP="00F25940">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(CC</w:t>
      </w:r>
      <w:r w:rsidR="00E61269">
        <w:rPr>
          <w:color w:val="002F5D"/>
        </w:rPr>
        <w:t>C</w:t>
      </w:r>
      <w:r w:rsidRPr="00566BE1">
        <w:rPr>
          <w:color w:val="002F5D"/>
        </w:rPr>
        <w:t>RG) Population Data &amp; Projections</w:t>
      </w:r>
    </w:p>
    <w:p w14:paraId="514EB6D1" w14:textId="77777777" w:rsidR="00566BE1" w:rsidRDefault="00566BE1" w:rsidP="00566BE1">
      <w:pPr>
        <w:spacing w:line="240" w:lineRule="auto"/>
        <w:rPr>
          <w:color w:val="002F5D"/>
        </w:rPr>
      </w:pPr>
    </w:p>
    <w:p w14:paraId="53C853BB" w14:textId="77777777" w:rsidR="00566BE1" w:rsidRPr="00152DA8" w:rsidRDefault="00566BE1" w:rsidP="00566BE1">
      <w:pPr>
        <w:spacing w:line="240" w:lineRule="auto"/>
        <w:rPr>
          <w:rFonts w:cs="Arial"/>
          <w:b/>
          <w:color w:val="002F5D"/>
        </w:rPr>
      </w:pPr>
      <w:r w:rsidRPr="00152DA8">
        <w:rPr>
          <w:rFonts w:cs="Arial"/>
          <w:b/>
          <w:color w:val="002F5D"/>
        </w:rPr>
        <w:t>Key points:</w:t>
      </w:r>
    </w:p>
    <w:p w14:paraId="474104AD" w14:textId="77777777" w:rsidR="00566BE1" w:rsidRPr="003F438B" w:rsidRDefault="00566BE1" w:rsidP="00566BE1">
      <w:pPr>
        <w:spacing w:line="240" w:lineRule="auto"/>
        <w:rPr>
          <w:color w:val="002F5D"/>
        </w:rPr>
      </w:pPr>
    </w:p>
    <w:p w14:paraId="239F75FD" w14:textId="7C1E3A7C" w:rsidR="00D51014" w:rsidRDefault="00D51014" w:rsidP="00D51014">
      <w:pPr>
        <w:pStyle w:val="ListParagraph"/>
        <w:numPr>
          <w:ilvl w:val="0"/>
          <w:numId w:val="79"/>
        </w:numPr>
        <w:rPr>
          <w:color w:val="002F5D"/>
        </w:rPr>
      </w:pPr>
      <w:r w:rsidRPr="00D51014">
        <w:rPr>
          <w:color w:val="002F5D"/>
        </w:rPr>
        <w:t xml:space="preserve">POPPI/PANSI projections suggest an increase of 4.1% in numbers of residents aged 18-64 with a common mental disorder (e.g. mild/moderate depression) in Cambridgeshire between 2017 and 2035, which represents an increase from 64,465 to 67,087 people. </w:t>
      </w:r>
      <w:r w:rsidR="00E61269">
        <w:rPr>
          <w:color w:val="002F5D"/>
        </w:rPr>
        <w:t xml:space="preserve"> </w:t>
      </w:r>
    </w:p>
    <w:p w14:paraId="6ED85412" w14:textId="5B053950" w:rsidR="00E61269" w:rsidRDefault="00E61269" w:rsidP="00D51014">
      <w:pPr>
        <w:pStyle w:val="ListParagraph"/>
        <w:numPr>
          <w:ilvl w:val="0"/>
          <w:numId w:val="79"/>
        </w:numPr>
        <w:rPr>
          <w:color w:val="002F5D"/>
        </w:rPr>
      </w:pPr>
      <w:r>
        <w:rPr>
          <w:color w:val="002F5D"/>
        </w:rPr>
        <w:t>The Cambridgeshire and Peterborough combined increase is predicted to be similar at 4.7% which represents an increase from 84,121 to 93,561 people.</w:t>
      </w:r>
    </w:p>
    <w:p w14:paraId="7CCAE8D9" w14:textId="77777777" w:rsidR="00D51014" w:rsidRDefault="00D51014" w:rsidP="00D51014">
      <w:pPr>
        <w:pStyle w:val="ListParagraph"/>
        <w:numPr>
          <w:ilvl w:val="0"/>
          <w:numId w:val="79"/>
        </w:numPr>
        <w:rPr>
          <w:color w:val="002F5D"/>
        </w:rPr>
      </w:pPr>
      <w:r w:rsidRPr="00D51014">
        <w:rPr>
          <w:color w:val="002F5D"/>
        </w:rPr>
        <w:t>The Peterborough increase is predicted to be higher, from 19,191 to 20,521 (+6.9%).</w:t>
      </w:r>
    </w:p>
    <w:p w14:paraId="60A8A76F" w14:textId="0F53CD90" w:rsidR="00D51014" w:rsidRPr="00D51014" w:rsidRDefault="00D51014" w:rsidP="00D51014">
      <w:pPr>
        <w:pStyle w:val="ListParagraph"/>
        <w:numPr>
          <w:ilvl w:val="0"/>
          <w:numId w:val="79"/>
        </w:numPr>
        <w:rPr>
          <w:color w:val="002F5D"/>
        </w:rPr>
      </w:pPr>
      <w:r w:rsidRPr="00D51014">
        <w:rPr>
          <w:color w:val="002F5D"/>
        </w:rPr>
        <w:t xml:space="preserve"> South Cambridgeshire and East Cambridgeshire have predicted increases of 7.9% and 5.7% respectively. </w:t>
      </w:r>
    </w:p>
    <w:p w14:paraId="6706B840" w14:textId="0B5160B0" w:rsidR="00E61269" w:rsidRDefault="00DE5C21" w:rsidP="00330B65">
      <w:pPr>
        <w:pStyle w:val="ListParagraph"/>
        <w:numPr>
          <w:ilvl w:val="0"/>
          <w:numId w:val="79"/>
        </w:numPr>
        <w:rPr>
          <w:lang w:eastAsia="en-GB"/>
        </w:rPr>
      </w:pPr>
      <w:r>
        <w:rPr>
          <w:color w:val="002F5D"/>
        </w:rPr>
        <w:t>C</w:t>
      </w:r>
      <w:r w:rsidR="00D51014" w:rsidRPr="00E61269">
        <w:rPr>
          <w:color w:val="002F5D"/>
        </w:rPr>
        <w:t xml:space="preserve">CCRG data predict greater rises in numbers, with projected increases of 17.8% in South Cambridgeshire (from 14,859 to 17,498), 15.0% in East Cambridgeshire (from 8,128 to 9,351), 11.3% in Cambridgeshire (64,663 to 71,973) and 10.9% in Peterborough (19,458 to 21,588). </w:t>
      </w:r>
    </w:p>
    <w:p w14:paraId="07D75921" w14:textId="09B77985" w:rsidR="00E61269" w:rsidRDefault="00E61269" w:rsidP="00F25940">
      <w:pPr>
        <w:spacing w:line="240" w:lineRule="auto"/>
        <w:rPr>
          <w:rFonts w:ascii="Calibri" w:eastAsia="Times New Roman" w:hAnsi="Calibri" w:cs="Times New Roman"/>
          <w:b/>
          <w:bCs/>
          <w:color w:val="002F5D"/>
          <w:lang w:eastAsia="en-GB"/>
        </w:rPr>
      </w:pPr>
    </w:p>
    <w:p w14:paraId="5EBDA028" w14:textId="3C02AA65" w:rsidR="00ED50A1" w:rsidRDefault="00ED50A1" w:rsidP="00F25940">
      <w:pPr>
        <w:spacing w:line="240" w:lineRule="auto"/>
        <w:rPr>
          <w:rFonts w:ascii="Calibri" w:eastAsia="Times New Roman" w:hAnsi="Calibri" w:cs="Times New Roman"/>
          <w:b/>
          <w:bCs/>
          <w:color w:val="002F5D"/>
          <w:lang w:eastAsia="en-GB"/>
        </w:rPr>
      </w:pPr>
    </w:p>
    <w:p w14:paraId="4D4FAF52" w14:textId="1595FEAD" w:rsidR="00ED50A1" w:rsidRDefault="00ED50A1" w:rsidP="00F25940">
      <w:pPr>
        <w:spacing w:line="240" w:lineRule="auto"/>
        <w:rPr>
          <w:rFonts w:ascii="Calibri" w:eastAsia="Times New Roman" w:hAnsi="Calibri" w:cs="Times New Roman"/>
          <w:b/>
          <w:bCs/>
          <w:color w:val="002F5D"/>
          <w:lang w:eastAsia="en-GB"/>
        </w:rPr>
      </w:pPr>
    </w:p>
    <w:p w14:paraId="3657DED5" w14:textId="51E03FAA" w:rsidR="00ED50A1" w:rsidRDefault="00ED50A1" w:rsidP="00F25940">
      <w:pPr>
        <w:spacing w:line="240" w:lineRule="auto"/>
        <w:rPr>
          <w:rFonts w:ascii="Calibri" w:eastAsia="Times New Roman" w:hAnsi="Calibri" w:cs="Times New Roman"/>
          <w:b/>
          <w:bCs/>
          <w:color w:val="002F5D"/>
          <w:lang w:eastAsia="en-GB"/>
        </w:rPr>
      </w:pPr>
    </w:p>
    <w:p w14:paraId="22F73BEB" w14:textId="7DA9566A" w:rsidR="00ED50A1" w:rsidRDefault="00ED50A1" w:rsidP="00F25940">
      <w:pPr>
        <w:spacing w:line="240" w:lineRule="auto"/>
        <w:rPr>
          <w:rFonts w:ascii="Calibri" w:eastAsia="Times New Roman" w:hAnsi="Calibri" w:cs="Times New Roman"/>
          <w:b/>
          <w:bCs/>
          <w:color w:val="002F5D"/>
          <w:lang w:eastAsia="en-GB"/>
        </w:rPr>
      </w:pPr>
    </w:p>
    <w:p w14:paraId="64652162" w14:textId="6EDCA590" w:rsidR="00ED50A1" w:rsidRDefault="00ED50A1" w:rsidP="00F25940">
      <w:pPr>
        <w:spacing w:line="240" w:lineRule="auto"/>
        <w:rPr>
          <w:rFonts w:ascii="Calibri" w:eastAsia="Times New Roman" w:hAnsi="Calibri" w:cs="Times New Roman"/>
          <w:b/>
          <w:bCs/>
          <w:color w:val="002F5D"/>
          <w:lang w:eastAsia="en-GB"/>
        </w:rPr>
      </w:pPr>
    </w:p>
    <w:p w14:paraId="21C866DF" w14:textId="196A48E2" w:rsidR="00ED50A1" w:rsidRDefault="00ED50A1" w:rsidP="00F25940">
      <w:pPr>
        <w:spacing w:line="240" w:lineRule="auto"/>
        <w:rPr>
          <w:rFonts w:ascii="Calibri" w:eastAsia="Times New Roman" w:hAnsi="Calibri" w:cs="Times New Roman"/>
          <w:b/>
          <w:bCs/>
          <w:color w:val="002F5D"/>
          <w:lang w:eastAsia="en-GB"/>
        </w:rPr>
      </w:pPr>
    </w:p>
    <w:p w14:paraId="1D7AD0BC" w14:textId="438FCE20" w:rsidR="00ED50A1" w:rsidRDefault="00ED50A1" w:rsidP="00F25940">
      <w:pPr>
        <w:spacing w:line="240" w:lineRule="auto"/>
        <w:rPr>
          <w:rFonts w:ascii="Calibri" w:eastAsia="Times New Roman" w:hAnsi="Calibri" w:cs="Times New Roman"/>
          <w:b/>
          <w:bCs/>
          <w:color w:val="002F5D"/>
          <w:lang w:eastAsia="en-GB"/>
        </w:rPr>
      </w:pPr>
    </w:p>
    <w:p w14:paraId="7EE37910" w14:textId="2E75B208" w:rsidR="00ED50A1" w:rsidRDefault="00ED50A1" w:rsidP="00F25940">
      <w:pPr>
        <w:spacing w:line="240" w:lineRule="auto"/>
        <w:rPr>
          <w:rFonts w:ascii="Calibri" w:eastAsia="Times New Roman" w:hAnsi="Calibri" w:cs="Times New Roman"/>
          <w:b/>
          <w:bCs/>
          <w:color w:val="002F5D"/>
          <w:lang w:eastAsia="en-GB"/>
        </w:rPr>
      </w:pPr>
    </w:p>
    <w:p w14:paraId="743BB372" w14:textId="6828B9DD" w:rsidR="00ED50A1" w:rsidRDefault="00ED50A1" w:rsidP="00F25940">
      <w:pPr>
        <w:spacing w:line="240" w:lineRule="auto"/>
        <w:rPr>
          <w:rFonts w:ascii="Calibri" w:eastAsia="Times New Roman" w:hAnsi="Calibri" w:cs="Times New Roman"/>
          <w:b/>
          <w:bCs/>
          <w:color w:val="002F5D"/>
          <w:lang w:eastAsia="en-GB"/>
        </w:rPr>
      </w:pPr>
    </w:p>
    <w:p w14:paraId="7D6F47CC" w14:textId="5052A99D" w:rsidR="00ED50A1" w:rsidRDefault="00ED50A1" w:rsidP="00F25940">
      <w:pPr>
        <w:spacing w:line="240" w:lineRule="auto"/>
        <w:rPr>
          <w:rFonts w:ascii="Calibri" w:eastAsia="Times New Roman" w:hAnsi="Calibri" w:cs="Times New Roman"/>
          <w:b/>
          <w:bCs/>
          <w:color w:val="002F5D"/>
          <w:lang w:eastAsia="en-GB"/>
        </w:rPr>
      </w:pPr>
    </w:p>
    <w:p w14:paraId="35106B34" w14:textId="77777777" w:rsidR="002001FD" w:rsidRDefault="002001FD" w:rsidP="00F25940">
      <w:pPr>
        <w:spacing w:line="240" w:lineRule="auto"/>
        <w:rPr>
          <w:rFonts w:ascii="Calibri" w:eastAsia="Times New Roman" w:hAnsi="Calibri" w:cs="Times New Roman"/>
          <w:b/>
          <w:bCs/>
          <w:color w:val="002F5D"/>
          <w:lang w:eastAsia="en-GB"/>
        </w:rPr>
      </w:pPr>
    </w:p>
    <w:p w14:paraId="056C3159" w14:textId="77777777" w:rsidR="002001FD" w:rsidRDefault="002001FD" w:rsidP="00F25940">
      <w:pPr>
        <w:spacing w:line="240" w:lineRule="auto"/>
        <w:rPr>
          <w:rFonts w:ascii="Calibri" w:eastAsia="Times New Roman" w:hAnsi="Calibri" w:cs="Times New Roman"/>
          <w:b/>
          <w:bCs/>
          <w:color w:val="002F5D"/>
          <w:lang w:eastAsia="en-GB"/>
        </w:rPr>
      </w:pPr>
    </w:p>
    <w:p w14:paraId="22ADC427" w14:textId="77777777" w:rsidR="002001FD" w:rsidRDefault="002001FD" w:rsidP="00F25940">
      <w:pPr>
        <w:spacing w:line="240" w:lineRule="auto"/>
        <w:rPr>
          <w:rFonts w:ascii="Calibri" w:eastAsia="Times New Roman" w:hAnsi="Calibri" w:cs="Times New Roman"/>
          <w:b/>
          <w:bCs/>
          <w:color w:val="002F5D"/>
          <w:lang w:eastAsia="en-GB"/>
        </w:rPr>
      </w:pPr>
    </w:p>
    <w:p w14:paraId="7F4AD512" w14:textId="77777777" w:rsidR="002001FD" w:rsidRDefault="002001FD" w:rsidP="00F25940">
      <w:pPr>
        <w:spacing w:line="240" w:lineRule="auto"/>
        <w:rPr>
          <w:rFonts w:ascii="Calibri" w:eastAsia="Times New Roman" w:hAnsi="Calibri" w:cs="Times New Roman"/>
          <w:b/>
          <w:bCs/>
          <w:color w:val="002F5D"/>
          <w:lang w:eastAsia="en-GB"/>
        </w:rPr>
      </w:pPr>
    </w:p>
    <w:p w14:paraId="0E41CCB2" w14:textId="280E1B9A" w:rsidR="00ED50A1" w:rsidRDefault="00ED50A1" w:rsidP="00F25940">
      <w:pPr>
        <w:spacing w:line="240" w:lineRule="auto"/>
        <w:rPr>
          <w:rFonts w:ascii="Calibri" w:eastAsia="Times New Roman" w:hAnsi="Calibri" w:cs="Times New Roman"/>
          <w:b/>
          <w:bCs/>
          <w:color w:val="002F5D"/>
          <w:lang w:eastAsia="en-GB"/>
        </w:rPr>
      </w:pPr>
    </w:p>
    <w:p w14:paraId="4045A123" w14:textId="77777777" w:rsidR="00ED50A1" w:rsidRDefault="00ED50A1" w:rsidP="00F25940">
      <w:pPr>
        <w:spacing w:line="240" w:lineRule="auto"/>
        <w:rPr>
          <w:rFonts w:ascii="Calibri" w:eastAsia="Times New Roman" w:hAnsi="Calibri" w:cs="Times New Roman"/>
          <w:b/>
          <w:bCs/>
          <w:color w:val="002F5D"/>
          <w:lang w:eastAsia="en-GB"/>
        </w:rPr>
      </w:pPr>
    </w:p>
    <w:p w14:paraId="5C392BB2" w14:textId="08BB76FC" w:rsidR="00E61269" w:rsidRDefault="00E61269" w:rsidP="00E61269">
      <w:pPr>
        <w:rPr>
          <w:color w:val="002F5D"/>
        </w:rPr>
      </w:pPr>
      <w:r w:rsidRPr="00E61269">
        <w:rPr>
          <w:b/>
          <w:color w:val="002F5D"/>
        </w:rPr>
        <w:lastRenderedPageBreak/>
        <w:t xml:space="preserve">Table </w:t>
      </w:r>
      <w:r w:rsidR="00B81E4B">
        <w:rPr>
          <w:b/>
          <w:color w:val="002F5D"/>
        </w:rPr>
        <w:t>107</w:t>
      </w:r>
      <w:r w:rsidRPr="00E61269">
        <w:rPr>
          <w:b/>
          <w:color w:val="002F5D"/>
        </w:rPr>
        <w:t>:</w:t>
      </w:r>
      <w:r w:rsidRPr="00E61269">
        <w:rPr>
          <w:color w:val="002F5D"/>
        </w:rPr>
        <w:t xml:space="preserve"> Total population aged 65+ predicted to have a fall, POPPI/PANSI &amp; CC</w:t>
      </w:r>
      <w:r>
        <w:rPr>
          <w:color w:val="002F5D"/>
        </w:rPr>
        <w:t>C</w:t>
      </w:r>
      <w:r w:rsidRPr="00E61269">
        <w:rPr>
          <w:color w:val="002F5D"/>
        </w:rPr>
        <w:t>RG Forecasts 2017 – 2035, Population Change</w:t>
      </w:r>
    </w:p>
    <w:p w14:paraId="0E98748A" w14:textId="77777777" w:rsidR="00ED50A1" w:rsidRDefault="00ED50A1" w:rsidP="00E61269">
      <w:pPr>
        <w:rPr>
          <w:color w:val="002F5D"/>
        </w:rPr>
      </w:pPr>
    </w:p>
    <w:p w14:paraId="5B60777F" w14:textId="6F6014EF" w:rsidR="00E61269" w:rsidRPr="00E61269" w:rsidRDefault="00303763" w:rsidP="00E61269">
      <w:pPr>
        <w:rPr>
          <w:b/>
          <w:color w:val="002F5D"/>
        </w:rPr>
      </w:pPr>
      <w:r w:rsidRPr="00303763">
        <w:rPr>
          <w:noProof/>
          <w:lang w:eastAsia="en-GB"/>
        </w:rPr>
        <w:drawing>
          <wp:inline distT="0" distB="0" distL="0" distR="0" wp14:anchorId="66F080FB" wp14:editId="22EF949E">
            <wp:extent cx="6504894" cy="14668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509860" cy="1467970"/>
                    </a:xfrm>
                    <a:prstGeom prst="rect">
                      <a:avLst/>
                    </a:prstGeom>
                    <a:noFill/>
                    <a:ln>
                      <a:noFill/>
                    </a:ln>
                  </pic:spPr>
                </pic:pic>
              </a:graphicData>
            </a:graphic>
          </wp:inline>
        </w:drawing>
      </w:r>
    </w:p>
    <w:p w14:paraId="7F0ACBCB" w14:textId="76130775" w:rsidR="00E61269" w:rsidRDefault="00E61269" w:rsidP="00F25940">
      <w:pPr>
        <w:spacing w:line="240" w:lineRule="auto"/>
        <w:rPr>
          <w:rFonts w:ascii="Calibri" w:eastAsia="Times New Roman" w:hAnsi="Calibri" w:cs="Times New Roman"/>
          <w:b/>
          <w:bCs/>
          <w:color w:val="002F5D"/>
          <w:lang w:eastAsia="en-GB"/>
        </w:rPr>
      </w:pPr>
    </w:p>
    <w:p w14:paraId="60121199" w14:textId="640749D4" w:rsidR="00855DBE" w:rsidRPr="00330B65" w:rsidRDefault="00303763" w:rsidP="00855DBE">
      <w:pPr>
        <w:spacing w:line="240" w:lineRule="auto"/>
        <w:rPr>
          <w:color w:val="002F5D"/>
          <w:sz w:val="18"/>
          <w:szCs w:val="18"/>
        </w:rPr>
      </w:pPr>
      <w:r w:rsidRPr="00330B65">
        <w:rPr>
          <w:color w:val="002F5D"/>
          <w:sz w:val="18"/>
          <w:szCs w:val="18"/>
        </w:rPr>
        <w:t xml:space="preserve">Note: </w:t>
      </w:r>
      <w:r w:rsidR="00855DBE" w:rsidRPr="00330B65">
        <w:rPr>
          <w:color w:val="002F5D"/>
          <w:sz w:val="18"/>
          <w:szCs w:val="18"/>
        </w:rPr>
        <w:t>*Cambridgeshire values are calculated separately by POPPI/PANSI and will not necessarily sum with district sub-values</w:t>
      </w:r>
    </w:p>
    <w:p w14:paraId="0528B411" w14:textId="77777777" w:rsidR="00E61269" w:rsidRDefault="00E61269" w:rsidP="00E61269">
      <w:pPr>
        <w:spacing w:line="240" w:lineRule="auto"/>
        <w:rPr>
          <w:b/>
          <w:color w:val="002F5D"/>
        </w:rPr>
      </w:pPr>
    </w:p>
    <w:p w14:paraId="72F03B88" w14:textId="18582A4F" w:rsidR="00E61269" w:rsidRPr="00E61269" w:rsidRDefault="00E61269" w:rsidP="00E61269">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w:t>
      </w:r>
      <w:r>
        <w:rPr>
          <w:color w:val="002F5D"/>
        </w:rPr>
        <w:t>C</w:t>
      </w:r>
      <w:r w:rsidRPr="00566BE1">
        <w:rPr>
          <w:color w:val="002F5D"/>
        </w:rPr>
        <w:t>CCRG) Population Data &amp; Projections</w:t>
      </w:r>
    </w:p>
    <w:p w14:paraId="213391FF" w14:textId="77777777" w:rsidR="00566BE1" w:rsidRDefault="00566BE1" w:rsidP="00F25940">
      <w:pPr>
        <w:spacing w:line="240" w:lineRule="auto"/>
        <w:rPr>
          <w:rFonts w:ascii="Calibri" w:eastAsia="Times New Roman" w:hAnsi="Calibri" w:cs="Times New Roman"/>
          <w:b/>
          <w:bCs/>
          <w:color w:val="002F5D"/>
          <w:lang w:eastAsia="en-GB"/>
        </w:rPr>
      </w:pPr>
    </w:p>
    <w:p w14:paraId="7FBDBB4E" w14:textId="24CD263A" w:rsidR="00E61269" w:rsidRDefault="00E61269" w:rsidP="00E61269">
      <w:pPr>
        <w:spacing w:line="240" w:lineRule="auto"/>
        <w:rPr>
          <w:rFonts w:ascii="Calibri" w:eastAsia="Times New Roman" w:hAnsi="Calibri" w:cs="Times New Roman"/>
          <w:bCs/>
          <w:color w:val="002F5D"/>
          <w:lang w:eastAsia="en-GB"/>
        </w:rPr>
      </w:pPr>
      <w:r>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108</w:t>
      </w:r>
      <w:r w:rsidRPr="00E61269">
        <w:rPr>
          <w:rFonts w:ascii="Calibri" w:eastAsia="Times New Roman" w:hAnsi="Calibri" w:cs="Times New Roman"/>
          <w:b/>
          <w:bCs/>
          <w:color w:val="002F5D"/>
          <w:lang w:eastAsia="en-GB"/>
        </w:rPr>
        <w:t xml:space="preserve">: </w:t>
      </w:r>
      <w:r w:rsidRPr="00E61269">
        <w:rPr>
          <w:rFonts w:ascii="Calibri" w:eastAsia="Times New Roman" w:hAnsi="Calibri" w:cs="Times New Roman"/>
          <w:bCs/>
          <w:color w:val="002F5D"/>
          <w:lang w:eastAsia="en-GB"/>
        </w:rPr>
        <w:t>Total population aged 65+ predicted to have a fall, POPPI/PANSI &amp; C</w:t>
      </w:r>
      <w:r>
        <w:rPr>
          <w:rFonts w:ascii="Calibri" w:eastAsia="Times New Roman" w:hAnsi="Calibri" w:cs="Times New Roman"/>
          <w:bCs/>
          <w:color w:val="002F5D"/>
          <w:lang w:eastAsia="en-GB"/>
        </w:rPr>
        <w:t>C</w:t>
      </w:r>
      <w:r w:rsidRPr="00E61269">
        <w:rPr>
          <w:rFonts w:ascii="Calibri" w:eastAsia="Times New Roman" w:hAnsi="Calibri" w:cs="Times New Roman"/>
          <w:bCs/>
          <w:color w:val="002F5D"/>
          <w:lang w:eastAsia="en-GB"/>
        </w:rPr>
        <w:t>CRG Forecasts 2017 – 2035, Percentage Change</w:t>
      </w:r>
    </w:p>
    <w:p w14:paraId="438C1541" w14:textId="77777777" w:rsidR="00ED50A1" w:rsidRDefault="00ED50A1" w:rsidP="00E61269">
      <w:pPr>
        <w:spacing w:line="240" w:lineRule="auto"/>
        <w:rPr>
          <w:rFonts w:ascii="Calibri" w:eastAsia="Times New Roman" w:hAnsi="Calibri" w:cs="Times New Roman"/>
          <w:b/>
          <w:bCs/>
          <w:color w:val="002F5D"/>
          <w:lang w:eastAsia="en-GB"/>
        </w:rPr>
      </w:pPr>
    </w:p>
    <w:p w14:paraId="74DD09A0" w14:textId="2A5B5B69" w:rsidR="002001FD" w:rsidRDefault="002001FD" w:rsidP="00E61269">
      <w:pPr>
        <w:spacing w:line="240" w:lineRule="auto"/>
        <w:rPr>
          <w:rFonts w:ascii="Calibri" w:eastAsia="Times New Roman" w:hAnsi="Calibri" w:cs="Times New Roman"/>
          <w:b/>
          <w:bCs/>
          <w:color w:val="002F5D"/>
          <w:lang w:eastAsia="en-GB"/>
        </w:rPr>
      </w:pPr>
      <w:r w:rsidRPr="002001FD">
        <w:rPr>
          <w:noProof/>
          <w:lang w:eastAsia="en-GB"/>
        </w:rPr>
        <w:drawing>
          <wp:inline distT="0" distB="0" distL="0" distR="0" wp14:anchorId="78B387AA" wp14:editId="368A6BEA">
            <wp:extent cx="5731510" cy="19507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31510" cy="1950785"/>
                    </a:xfrm>
                    <a:prstGeom prst="rect">
                      <a:avLst/>
                    </a:prstGeom>
                    <a:noFill/>
                    <a:ln>
                      <a:noFill/>
                    </a:ln>
                  </pic:spPr>
                </pic:pic>
              </a:graphicData>
            </a:graphic>
          </wp:inline>
        </w:drawing>
      </w:r>
    </w:p>
    <w:p w14:paraId="5EC72327" w14:textId="77777777" w:rsidR="002001FD" w:rsidRPr="00E61269" w:rsidRDefault="002001FD" w:rsidP="00E61269">
      <w:pPr>
        <w:spacing w:line="240" w:lineRule="auto"/>
        <w:rPr>
          <w:rFonts w:ascii="Calibri" w:eastAsia="Times New Roman" w:hAnsi="Calibri" w:cs="Times New Roman"/>
          <w:b/>
          <w:bCs/>
          <w:color w:val="002F5D"/>
          <w:lang w:eastAsia="en-GB"/>
        </w:rPr>
      </w:pPr>
    </w:p>
    <w:p w14:paraId="47CB3715" w14:textId="1156C4C2" w:rsidR="00E61269" w:rsidRDefault="00E61269" w:rsidP="00E61269">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Pr>
          <w:color w:val="002F5D"/>
        </w:rPr>
        <w:t>C</w:t>
      </w:r>
      <w:r w:rsidRPr="00566BE1">
        <w:rPr>
          <w:color w:val="002F5D"/>
        </w:rPr>
        <w:t>CRG) Population Data &amp; Projections</w:t>
      </w:r>
    </w:p>
    <w:p w14:paraId="17E6FF37" w14:textId="77777777" w:rsidR="00E61269" w:rsidRDefault="00E61269" w:rsidP="00E61269">
      <w:pPr>
        <w:spacing w:line="240" w:lineRule="auto"/>
        <w:rPr>
          <w:color w:val="002F5D"/>
        </w:rPr>
      </w:pPr>
    </w:p>
    <w:p w14:paraId="0884842C" w14:textId="22269780" w:rsidR="00E61269" w:rsidRDefault="00E61269" w:rsidP="00E61269">
      <w:pPr>
        <w:spacing w:line="240" w:lineRule="auto"/>
        <w:rPr>
          <w:color w:val="002F5D"/>
        </w:rPr>
      </w:pPr>
      <w:r w:rsidRPr="00E61269">
        <w:rPr>
          <w:color w:val="002F5D"/>
        </w:rPr>
        <w:t>Falls are the most common cause of emergency hospital admissions for older people and significantly impact on long term outcomes, e.g. being a major cause of people moving from their own home to long-term nursing or residential care.</w:t>
      </w:r>
      <w:r w:rsidRPr="00E61269">
        <w:rPr>
          <w:rStyle w:val="FootnoteReference"/>
          <w:color w:val="002F5D"/>
        </w:rPr>
        <w:footnoteReference w:id="22"/>
      </w:r>
      <w:r w:rsidRPr="00E61269">
        <w:rPr>
          <w:color w:val="002F5D"/>
        </w:rPr>
        <w:t xml:space="preserve"> The table above outlines predicted numbers of falls in residents aged 65+, who may still be susceptible to hospital admission/minor injury and potentially lose resilience as a re</w:t>
      </w:r>
      <w:r w:rsidR="00E1381A">
        <w:rPr>
          <w:color w:val="002F5D"/>
        </w:rPr>
        <w:t>sult of falls. The number</w:t>
      </w:r>
      <w:r w:rsidRPr="00E61269">
        <w:rPr>
          <w:color w:val="002F5D"/>
        </w:rPr>
        <w:t xml:space="preserve"> of</w:t>
      </w:r>
      <w:r w:rsidR="00E1381A">
        <w:rPr>
          <w:color w:val="002F5D"/>
        </w:rPr>
        <w:t xml:space="preserve"> people experiencing a fall is</w:t>
      </w:r>
      <w:r w:rsidRPr="00E61269">
        <w:rPr>
          <w:color w:val="002F5D"/>
        </w:rPr>
        <w:t xml:space="preserve"> expected to increase substantially between 2017 and 2035.</w:t>
      </w:r>
    </w:p>
    <w:p w14:paraId="41D6CF05" w14:textId="77777777" w:rsidR="00ED50A1" w:rsidRDefault="00ED50A1" w:rsidP="00E61269">
      <w:pPr>
        <w:spacing w:line="240" w:lineRule="auto"/>
        <w:rPr>
          <w:color w:val="002F5D"/>
        </w:rPr>
      </w:pPr>
    </w:p>
    <w:p w14:paraId="1CD125D3" w14:textId="77777777" w:rsidR="00011BF0" w:rsidRDefault="00011BF0" w:rsidP="00E61269">
      <w:pPr>
        <w:spacing w:line="240" w:lineRule="auto"/>
        <w:rPr>
          <w:color w:val="002F5D"/>
        </w:rPr>
      </w:pPr>
    </w:p>
    <w:p w14:paraId="6F8BA330" w14:textId="77777777" w:rsidR="002001FD" w:rsidRDefault="002001FD" w:rsidP="00E61269">
      <w:pPr>
        <w:spacing w:line="240" w:lineRule="auto"/>
        <w:rPr>
          <w:color w:val="002F5D"/>
        </w:rPr>
      </w:pPr>
    </w:p>
    <w:p w14:paraId="30D28938" w14:textId="77777777" w:rsidR="00E61269" w:rsidRPr="00152DA8" w:rsidRDefault="00E61269" w:rsidP="00E61269">
      <w:pPr>
        <w:spacing w:line="240" w:lineRule="auto"/>
        <w:rPr>
          <w:rFonts w:cs="Arial"/>
          <w:b/>
          <w:color w:val="002F5D"/>
        </w:rPr>
      </w:pPr>
      <w:r w:rsidRPr="00152DA8">
        <w:rPr>
          <w:rFonts w:cs="Arial"/>
          <w:b/>
          <w:color w:val="002F5D"/>
        </w:rPr>
        <w:lastRenderedPageBreak/>
        <w:t>Key points:</w:t>
      </w:r>
    </w:p>
    <w:p w14:paraId="13D99A9A" w14:textId="77777777" w:rsidR="00E61269" w:rsidRDefault="00E61269" w:rsidP="00E61269"/>
    <w:p w14:paraId="6698ADC4" w14:textId="3A5466BF" w:rsidR="003209A4" w:rsidRPr="00330B65" w:rsidRDefault="00E61269">
      <w:pPr>
        <w:pStyle w:val="ListParagraph"/>
        <w:numPr>
          <w:ilvl w:val="0"/>
          <w:numId w:val="80"/>
        </w:numPr>
        <w:rPr>
          <w:color w:val="002F5D"/>
        </w:rPr>
      </w:pPr>
      <w:r w:rsidRPr="00E61269">
        <w:rPr>
          <w:color w:val="002F5D"/>
        </w:rPr>
        <w:t xml:space="preserve"> Numbers of</w:t>
      </w:r>
      <w:r w:rsidR="00E1381A">
        <w:rPr>
          <w:color w:val="002F5D"/>
        </w:rPr>
        <w:t xml:space="preserve"> people experiencing a</w:t>
      </w:r>
      <w:r w:rsidRPr="00E61269">
        <w:rPr>
          <w:color w:val="002F5D"/>
        </w:rPr>
        <w:t xml:space="preserve"> fall</w:t>
      </w:r>
      <w:r w:rsidR="00E1381A">
        <w:rPr>
          <w:color w:val="002F5D"/>
        </w:rPr>
        <w:t xml:space="preserve"> is </w:t>
      </w:r>
      <w:r w:rsidRPr="00E61269">
        <w:rPr>
          <w:color w:val="002F5D"/>
        </w:rPr>
        <w:t xml:space="preserve">expected to increase substantially between 2017 and 2035. POPPI/PANSI estimates predict increase of between 52.6% (Fenland) and 66.9% (Huntingdonshire) and </w:t>
      </w:r>
      <w:r>
        <w:rPr>
          <w:color w:val="002F5D"/>
        </w:rPr>
        <w:t>C</w:t>
      </w:r>
      <w:r w:rsidRPr="00E61269">
        <w:rPr>
          <w:color w:val="002F5D"/>
        </w:rPr>
        <w:t xml:space="preserve">CCRG predictions show increases of between 58.2% (Cambridge) and 72.9% (Huntingdonshire) for this indicator. </w:t>
      </w:r>
    </w:p>
    <w:p w14:paraId="7286994D" w14:textId="77777777" w:rsidR="00566BE1" w:rsidRPr="00F25940" w:rsidRDefault="00566BE1" w:rsidP="00F25940">
      <w:pPr>
        <w:spacing w:line="240" w:lineRule="auto"/>
        <w:rPr>
          <w:rFonts w:ascii="Calibri" w:eastAsia="Times New Roman" w:hAnsi="Calibri" w:cs="Times New Roman"/>
          <w:b/>
          <w:bCs/>
          <w:color w:val="002F5D"/>
          <w:lang w:eastAsia="en-GB"/>
        </w:rPr>
      </w:pPr>
    </w:p>
    <w:p w14:paraId="13E81A58" w14:textId="727D3899" w:rsidR="00011BF0" w:rsidRDefault="00011BF0" w:rsidP="00011BF0">
      <w:pPr>
        <w:spacing w:line="240" w:lineRule="auto"/>
        <w:rPr>
          <w:rFonts w:ascii="Calibri" w:eastAsia="Times New Roman" w:hAnsi="Calibri" w:cs="Times New Roman"/>
          <w:bCs/>
          <w:color w:val="002F5D"/>
          <w:lang w:eastAsia="en-GB"/>
        </w:rPr>
      </w:pPr>
      <w:r>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109</w:t>
      </w:r>
      <w:r w:rsidRPr="00011BF0">
        <w:rPr>
          <w:rFonts w:ascii="Calibri" w:eastAsia="Times New Roman" w:hAnsi="Calibri" w:cs="Times New Roman"/>
          <w:b/>
          <w:bCs/>
          <w:color w:val="002F5D"/>
          <w:lang w:eastAsia="en-GB"/>
        </w:rPr>
        <w:t xml:space="preserve">: </w:t>
      </w:r>
      <w:r w:rsidRPr="00011BF0">
        <w:rPr>
          <w:rFonts w:ascii="Calibri" w:eastAsia="Times New Roman" w:hAnsi="Calibri" w:cs="Times New Roman"/>
          <w:bCs/>
          <w:color w:val="002F5D"/>
          <w:lang w:eastAsia="en-GB"/>
        </w:rPr>
        <w:t>Total population aged 65+ predicted to have dementia, POPPI/PANSI &amp; C</w:t>
      </w:r>
      <w:r>
        <w:rPr>
          <w:rFonts w:ascii="Calibri" w:eastAsia="Times New Roman" w:hAnsi="Calibri" w:cs="Times New Roman"/>
          <w:bCs/>
          <w:color w:val="002F5D"/>
          <w:lang w:eastAsia="en-GB"/>
        </w:rPr>
        <w:t>CC</w:t>
      </w:r>
      <w:r w:rsidRPr="00011BF0">
        <w:rPr>
          <w:rFonts w:ascii="Calibri" w:eastAsia="Times New Roman" w:hAnsi="Calibri" w:cs="Times New Roman"/>
          <w:bCs/>
          <w:color w:val="002F5D"/>
          <w:lang w:eastAsia="en-GB"/>
        </w:rPr>
        <w:t>RG Forecasts 2017 – 2035, Population Change</w:t>
      </w:r>
    </w:p>
    <w:p w14:paraId="644A44C2" w14:textId="77777777" w:rsidR="002B5E2A" w:rsidRDefault="002B5E2A" w:rsidP="00011BF0">
      <w:pPr>
        <w:spacing w:line="240" w:lineRule="auto"/>
        <w:rPr>
          <w:rFonts w:ascii="Calibri" w:eastAsia="Times New Roman" w:hAnsi="Calibri" w:cs="Times New Roman"/>
          <w:bCs/>
          <w:color w:val="002F5D"/>
          <w:lang w:eastAsia="en-GB"/>
        </w:rPr>
      </w:pPr>
    </w:p>
    <w:p w14:paraId="6978A848" w14:textId="58AD5049" w:rsidR="00011BF0" w:rsidRDefault="00303763" w:rsidP="00011BF0">
      <w:pPr>
        <w:spacing w:line="240" w:lineRule="auto"/>
        <w:rPr>
          <w:rFonts w:ascii="Calibri" w:eastAsia="Times New Roman" w:hAnsi="Calibri" w:cs="Times New Roman"/>
          <w:bCs/>
          <w:color w:val="002F5D"/>
          <w:lang w:eastAsia="en-GB"/>
        </w:rPr>
      </w:pPr>
      <w:r w:rsidRPr="00303763">
        <w:rPr>
          <w:noProof/>
          <w:lang w:eastAsia="en-GB"/>
        </w:rPr>
        <w:drawing>
          <wp:inline distT="0" distB="0" distL="0" distR="0" wp14:anchorId="21550A32" wp14:editId="624CD967">
            <wp:extent cx="6533322" cy="1466850"/>
            <wp:effectExtent l="0" t="0" r="127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541414" cy="1468667"/>
                    </a:xfrm>
                    <a:prstGeom prst="rect">
                      <a:avLst/>
                    </a:prstGeom>
                    <a:noFill/>
                    <a:ln>
                      <a:noFill/>
                    </a:ln>
                  </pic:spPr>
                </pic:pic>
              </a:graphicData>
            </a:graphic>
          </wp:inline>
        </w:drawing>
      </w:r>
    </w:p>
    <w:p w14:paraId="54DCBEA7" w14:textId="335EBEEC" w:rsidR="00011BF0" w:rsidRDefault="00011BF0" w:rsidP="00011BF0">
      <w:pPr>
        <w:spacing w:line="240" w:lineRule="auto"/>
        <w:rPr>
          <w:rFonts w:ascii="Calibri" w:eastAsia="Times New Roman" w:hAnsi="Calibri" w:cs="Times New Roman"/>
          <w:bCs/>
          <w:color w:val="002F5D"/>
          <w:lang w:eastAsia="en-GB"/>
        </w:rPr>
      </w:pPr>
    </w:p>
    <w:p w14:paraId="303A1205" w14:textId="446C9F96" w:rsidR="00855DBE" w:rsidRPr="00330B65" w:rsidRDefault="00303763" w:rsidP="00855DBE">
      <w:pPr>
        <w:spacing w:line="240" w:lineRule="auto"/>
        <w:rPr>
          <w:color w:val="002F5D"/>
          <w:sz w:val="18"/>
          <w:szCs w:val="18"/>
        </w:rPr>
      </w:pPr>
      <w:r w:rsidRPr="00330B65">
        <w:rPr>
          <w:color w:val="002F5D"/>
          <w:sz w:val="18"/>
          <w:szCs w:val="18"/>
        </w:rPr>
        <w:t xml:space="preserve">Note: </w:t>
      </w:r>
      <w:r w:rsidR="00855DBE" w:rsidRPr="00330B65">
        <w:rPr>
          <w:color w:val="002F5D"/>
          <w:sz w:val="18"/>
          <w:szCs w:val="18"/>
        </w:rPr>
        <w:t>*Cambridgeshire values are calculated separately by POPPI/PANSI and will not necessarily sum with district sub-values</w:t>
      </w:r>
    </w:p>
    <w:p w14:paraId="3FA3FB34" w14:textId="77777777" w:rsidR="00011BF0" w:rsidRDefault="00011BF0" w:rsidP="00011BF0">
      <w:pPr>
        <w:spacing w:line="240" w:lineRule="auto"/>
        <w:rPr>
          <w:b/>
          <w:color w:val="002F5D"/>
        </w:rPr>
      </w:pPr>
    </w:p>
    <w:p w14:paraId="4A6C812A" w14:textId="77777777" w:rsidR="00011BF0" w:rsidRDefault="00011BF0" w:rsidP="00011BF0">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Pr>
          <w:color w:val="002F5D"/>
        </w:rPr>
        <w:t>C</w:t>
      </w:r>
      <w:r w:rsidRPr="00566BE1">
        <w:rPr>
          <w:color w:val="002F5D"/>
        </w:rPr>
        <w:t>CRG) Population Data &amp; Projections</w:t>
      </w:r>
    </w:p>
    <w:p w14:paraId="302AD0CD" w14:textId="77777777" w:rsidR="00011BF0" w:rsidRDefault="00011BF0" w:rsidP="00011BF0">
      <w:pPr>
        <w:spacing w:line="240" w:lineRule="auto"/>
        <w:rPr>
          <w:color w:val="002F5D"/>
        </w:rPr>
      </w:pPr>
    </w:p>
    <w:p w14:paraId="7AAC0DBE" w14:textId="4BF6E3C1" w:rsidR="00011BF0" w:rsidRDefault="00011BF0" w:rsidP="00011BF0">
      <w:pPr>
        <w:spacing w:line="240" w:lineRule="auto"/>
        <w:rPr>
          <w:rFonts w:ascii="Calibri" w:eastAsia="Times New Roman" w:hAnsi="Calibri" w:cs="Times New Roman"/>
          <w:bCs/>
          <w:color w:val="002F5D"/>
          <w:lang w:eastAsia="en-GB"/>
        </w:rPr>
      </w:pPr>
      <w:r>
        <w:rPr>
          <w:rFonts w:ascii="Calibri" w:eastAsia="Times New Roman" w:hAnsi="Calibri" w:cs="Times New Roman"/>
          <w:b/>
          <w:bCs/>
          <w:color w:val="002F5D"/>
          <w:lang w:eastAsia="en-GB"/>
        </w:rPr>
        <w:t xml:space="preserve">Table </w:t>
      </w:r>
      <w:r w:rsidR="00B81E4B">
        <w:rPr>
          <w:rFonts w:ascii="Calibri" w:eastAsia="Times New Roman" w:hAnsi="Calibri" w:cs="Times New Roman"/>
          <w:b/>
          <w:bCs/>
          <w:color w:val="002F5D"/>
          <w:lang w:eastAsia="en-GB"/>
        </w:rPr>
        <w:t>110</w:t>
      </w:r>
      <w:r w:rsidRPr="00011BF0">
        <w:rPr>
          <w:rFonts w:ascii="Calibri" w:eastAsia="Times New Roman" w:hAnsi="Calibri" w:cs="Times New Roman"/>
          <w:b/>
          <w:bCs/>
          <w:color w:val="002F5D"/>
          <w:lang w:eastAsia="en-GB"/>
        </w:rPr>
        <w:t xml:space="preserve">: </w:t>
      </w:r>
      <w:r w:rsidRPr="00011BF0">
        <w:rPr>
          <w:rFonts w:ascii="Calibri" w:eastAsia="Times New Roman" w:hAnsi="Calibri" w:cs="Times New Roman"/>
          <w:bCs/>
          <w:color w:val="002F5D"/>
          <w:lang w:eastAsia="en-GB"/>
        </w:rPr>
        <w:t>Total population aged 65+ predicted to have dementia, POPPI/PANSI &amp; C</w:t>
      </w:r>
      <w:r w:rsidR="00DE5C21">
        <w:rPr>
          <w:rFonts w:ascii="Calibri" w:eastAsia="Times New Roman" w:hAnsi="Calibri" w:cs="Times New Roman"/>
          <w:bCs/>
          <w:color w:val="002F5D"/>
          <w:lang w:eastAsia="en-GB"/>
        </w:rPr>
        <w:t>C</w:t>
      </w:r>
      <w:r w:rsidRPr="00011BF0">
        <w:rPr>
          <w:rFonts w:ascii="Calibri" w:eastAsia="Times New Roman" w:hAnsi="Calibri" w:cs="Times New Roman"/>
          <w:bCs/>
          <w:color w:val="002F5D"/>
          <w:lang w:eastAsia="en-GB"/>
        </w:rPr>
        <w:t xml:space="preserve">CRG Forecasts 2017 – 2035, Percentage Change </w:t>
      </w:r>
    </w:p>
    <w:p w14:paraId="6742F992" w14:textId="77777777" w:rsidR="00EC6150" w:rsidRDefault="00EC6150" w:rsidP="00011BF0">
      <w:pPr>
        <w:spacing w:line="240" w:lineRule="auto"/>
        <w:rPr>
          <w:rFonts w:ascii="Calibri" w:eastAsia="Times New Roman" w:hAnsi="Calibri" w:cs="Times New Roman"/>
          <w:bCs/>
          <w:color w:val="002F5D"/>
          <w:lang w:eastAsia="en-GB"/>
        </w:rPr>
      </w:pPr>
    </w:p>
    <w:p w14:paraId="5B0059A7" w14:textId="3BA0C4A9" w:rsidR="002001FD" w:rsidRDefault="002001FD" w:rsidP="00011BF0">
      <w:pPr>
        <w:spacing w:line="240" w:lineRule="auto"/>
        <w:rPr>
          <w:rFonts w:ascii="Calibri" w:eastAsia="Times New Roman" w:hAnsi="Calibri" w:cs="Times New Roman"/>
          <w:bCs/>
          <w:color w:val="002F5D"/>
          <w:lang w:eastAsia="en-GB"/>
        </w:rPr>
      </w:pPr>
      <w:r w:rsidRPr="002001FD">
        <w:rPr>
          <w:noProof/>
          <w:lang w:eastAsia="en-GB"/>
        </w:rPr>
        <w:drawing>
          <wp:inline distT="0" distB="0" distL="0" distR="0" wp14:anchorId="6E23F378" wp14:editId="4B865E82">
            <wp:extent cx="5731510" cy="1918994"/>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31510" cy="1918994"/>
                    </a:xfrm>
                    <a:prstGeom prst="rect">
                      <a:avLst/>
                    </a:prstGeom>
                    <a:noFill/>
                    <a:ln>
                      <a:noFill/>
                    </a:ln>
                  </pic:spPr>
                </pic:pic>
              </a:graphicData>
            </a:graphic>
          </wp:inline>
        </w:drawing>
      </w:r>
    </w:p>
    <w:p w14:paraId="21EFB501" w14:textId="77777777" w:rsidR="00620C02" w:rsidRDefault="00620C02" w:rsidP="00620C02">
      <w:pPr>
        <w:spacing w:line="240" w:lineRule="auto"/>
        <w:rPr>
          <w:bCs/>
          <w:color w:val="FF0000"/>
        </w:rPr>
      </w:pPr>
    </w:p>
    <w:p w14:paraId="0458F348" w14:textId="77777777" w:rsidR="00011BF0" w:rsidRDefault="00011BF0" w:rsidP="00011BF0">
      <w:pPr>
        <w:spacing w:line="240" w:lineRule="auto"/>
        <w:rPr>
          <w:color w:val="002F5D"/>
        </w:rPr>
      </w:pPr>
      <w:r w:rsidRPr="008266DA">
        <w:rPr>
          <w:b/>
          <w:color w:val="002F5D"/>
        </w:rPr>
        <w:t>Source</w:t>
      </w:r>
      <w:r w:rsidRPr="003F438B">
        <w:rPr>
          <w:color w:val="002F5D"/>
        </w:rPr>
        <w:t xml:space="preserve">: </w:t>
      </w:r>
      <w:r w:rsidRPr="00566BE1">
        <w:rPr>
          <w:color w:val="002F5D"/>
        </w:rPr>
        <w:t>Projecting Older People Population Information (POPPI), Projecting Adult Needs &amp; Service Information (PANSI) &amp; Cambridgeshire County Council Research Group (C</w:t>
      </w:r>
      <w:r>
        <w:rPr>
          <w:color w:val="002F5D"/>
        </w:rPr>
        <w:t>C</w:t>
      </w:r>
      <w:r w:rsidRPr="00566BE1">
        <w:rPr>
          <w:color w:val="002F5D"/>
        </w:rPr>
        <w:t>CRG) Population Data &amp; Projections</w:t>
      </w:r>
    </w:p>
    <w:p w14:paraId="00E4ECDE" w14:textId="77777777" w:rsidR="00011BF0" w:rsidRDefault="00011BF0" w:rsidP="00620C02">
      <w:pPr>
        <w:spacing w:line="240" w:lineRule="auto"/>
        <w:rPr>
          <w:bCs/>
          <w:color w:val="FF0000"/>
        </w:rPr>
      </w:pPr>
    </w:p>
    <w:p w14:paraId="39AF2EA7" w14:textId="77777777" w:rsidR="00011BF0" w:rsidRPr="00152DA8" w:rsidRDefault="00011BF0" w:rsidP="00011BF0">
      <w:pPr>
        <w:spacing w:line="240" w:lineRule="auto"/>
        <w:rPr>
          <w:rFonts w:cs="Arial"/>
          <w:b/>
          <w:color w:val="002F5D"/>
        </w:rPr>
      </w:pPr>
      <w:r w:rsidRPr="00152DA8">
        <w:rPr>
          <w:rFonts w:cs="Arial"/>
          <w:b/>
          <w:color w:val="002F5D"/>
        </w:rPr>
        <w:t>Key points:</w:t>
      </w:r>
    </w:p>
    <w:p w14:paraId="09F13BE6" w14:textId="79E1027B" w:rsidR="00011BF0" w:rsidRPr="00011BF0" w:rsidRDefault="00011BF0" w:rsidP="00011BF0">
      <w:pPr>
        <w:pStyle w:val="ListParagraph"/>
        <w:numPr>
          <w:ilvl w:val="0"/>
          <w:numId w:val="80"/>
        </w:numPr>
        <w:rPr>
          <w:color w:val="002F5D"/>
        </w:rPr>
      </w:pPr>
      <w:r w:rsidRPr="00011BF0">
        <w:rPr>
          <w:color w:val="002F5D"/>
        </w:rPr>
        <w:t>Numbers of people with dementia are expected to increase substantially in both Ca</w:t>
      </w:r>
      <w:r>
        <w:rPr>
          <w:color w:val="002F5D"/>
        </w:rPr>
        <w:t xml:space="preserve">mbridgeshire and Peterborough </w:t>
      </w:r>
      <w:r w:rsidRPr="00011BF0">
        <w:rPr>
          <w:color w:val="002F5D"/>
        </w:rPr>
        <w:t>between 2017 and 2035, with the highest increase predicted to be in Huntingdonshire</w:t>
      </w:r>
      <w:r w:rsidR="00E1381A">
        <w:rPr>
          <w:color w:val="002F5D"/>
        </w:rPr>
        <w:t xml:space="preserve"> in excess of 4,000</w:t>
      </w:r>
      <w:r w:rsidRPr="00011BF0">
        <w:rPr>
          <w:color w:val="002F5D"/>
        </w:rPr>
        <w:t xml:space="preserve"> (+103.4% as per ONS forecasts, + 109.3% as per </w:t>
      </w:r>
      <w:r w:rsidR="00EA3A45">
        <w:rPr>
          <w:color w:val="002F5D"/>
        </w:rPr>
        <w:t>C</w:t>
      </w:r>
      <w:r w:rsidRPr="00011BF0">
        <w:rPr>
          <w:color w:val="002F5D"/>
        </w:rPr>
        <w:t xml:space="preserve">CCRG forecasts). </w:t>
      </w:r>
    </w:p>
    <w:p w14:paraId="1C1A05AC" w14:textId="5CE58F41" w:rsidR="003209A4" w:rsidRDefault="003209A4" w:rsidP="00620C02">
      <w:pPr>
        <w:spacing w:line="240" w:lineRule="auto"/>
        <w:rPr>
          <w:bCs/>
          <w:color w:val="FF0000"/>
        </w:rPr>
      </w:pPr>
    </w:p>
    <w:p w14:paraId="03FF9D77" w14:textId="77777777" w:rsidR="002172CB" w:rsidRPr="00152DA8" w:rsidRDefault="002172CB" w:rsidP="00FA1277">
      <w:pPr>
        <w:pStyle w:val="JSNA2"/>
      </w:pPr>
      <w:bookmarkStart w:id="822" w:name="_Toc4407894"/>
      <w:r w:rsidRPr="00152DA8">
        <w:lastRenderedPageBreak/>
        <w:t xml:space="preserve">Main causes of </w:t>
      </w:r>
      <w:r w:rsidR="00286C6E" w:rsidRPr="00152DA8">
        <w:t>death</w:t>
      </w:r>
      <w:bookmarkEnd w:id="822"/>
    </w:p>
    <w:p w14:paraId="00489741" w14:textId="77777777" w:rsidR="002172CB" w:rsidRPr="0037351D" w:rsidRDefault="002172CB" w:rsidP="0038179C">
      <w:pPr>
        <w:spacing w:line="240" w:lineRule="auto"/>
        <w:rPr>
          <w:rFonts w:cs="Arial"/>
          <w:color w:val="FF0000"/>
        </w:rPr>
      </w:pPr>
    </w:p>
    <w:p w14:paraId="7BDF54DA" w14:textId="525E2EF3" w:rsidR="00317F1D" w:rsidRPr="00152DA8" w:rsidRDefault="00EB09E2" w:rsidP="00EB09E2">
      <w:pPr>
        <w:pStyle w:val="Caption"/>
        <w:rPr>
          <w:rFonts w:cs="Arial"/>
          <w:b/>
          <w:color w:val="002F5D"/>
        </w:rPr>
      </w:pPr>
      <w:r w:rsidRPr="00152DA8">
        <w:rPr>
          <w:b/>
          <w:color w:val="002F5D"/>
        </w:rPr>
        <w:t xml:space="preserve">Table </w:t>
      </w:r>
      <w:r w:rsidR="00B81E4B">
        <w:rPr>
          <w:b/>
          <w:color w:val="002F5D"/>
        </w:rPr>
        <w:t>111</w:t>
      </w:r>
      <w:r w:rsidR="00317F1D" w:rsidRPr="00152DA8">
        <w:rPr>
          <w:rFonts w:cs="Arial"/>
          <w:b/>
          <w:color w:val="002F5D"/>
        </w:rPr>
        <w:t xml:space="preserve">. </w:t>
      </w:r>
      <w:r w:rsidR="00317F1D" w:rsidRPr="00330B65">
        <w:rPr>
          <w:rFonts w:cs="Arial"/>
          <w:color w:val="002F5D"/>
        </w:rPr>
        <w:t>Major causes of death, Cambridgeshire</w:t>
      </w:r>
      <w:r w:rsidR="008D238F" w:rsidRPr="00330B65">
        <w:rPr>
          <w:rFonts w:cs="Arial"/>
          <w:color w:val="002F5D"/>
        </w:rPr>
        <w:t xml:space="preserve"> and Peterborough</w:t>
      </w:r>
      <w:r w:rsidR="00152DA8" w:rsidRPr="00330B65">
        <w:rPr>
          <w:rFonts w:cs="Arial"/>
          <w:color w:val="002F5D"/>
        </w:rPr>
        <w:t>, 2015-17</w:t>
      </w:r>
    </w:p>
    <w:p w14:paraId="10965E81" w14:textId="77777777" w:rsidR="00152DA8" w:rsidRPr="00152DA8" w:rsidRDefault="00152DA8" w:rsidP="00152DA8"/>
    <w:p w14:paraId="41C730E6" w14:textId="52E881D5" w:rsidR="00E56DA2" w:rsidRPr="0037351D" w:rsidRDefault="00152DA8" w:rsidP="00EC7E66">
      <w:pPr>
        <w:spacing w:line="240" w:lineRule="auto"/>
        <w:rPr>
          <w:color w:val="FF0000"/>
        </w:rPr>
      </w:pPr>
      <w:r w:rsidRPr="00152DA8">
        <w:rPr>
          <w:noProof/>
          <w:lang w:eastAsia="en-GB"/>
        </w:rPr>
        <w:drawing>
          <wp:inline distT="0" distB="0" distL="0" distR="0" wp14:anchorId="26438F41" wp14:editId="65AA576B">
            <wp:extent cx="3895725" cy="1552575"/>
            <wp:effectExtent l="0" t="0" r="9525"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95725" cy="1552575"/>
                    </a:xfrm>
                    <a:prstGeom prst="rect">
                      <a:avLst/>
                    </a:prstGeom>
                    <a:noFill/>
                    <a:ln>
                      <a:noFill/>
                    </a:ln>
                  </pic:spPr>
                </pic:pic>
              </a:graphicData>
            </a:graphic>
          </wp:inline>
        </w:drawing>
      </w:r>
    </w:p>
    <w:p w14:paraId="03FC1ED1" w14:textId="77777777" w:rsidR="003A021F" w:rsidRPr="00152DA8" w:rsidRDefault="003A021F" w:rsidP="00330B65">
      <w:pPr>
        <w:rPr>
          <w:rFonts w:cs="Arial"/>
          <w:color w:val="002F5D"/>
        </w:rPr>
      </w:pPr>
    </w:p>
    <w:p w14:paraId="7A36F18B" w14:textId="7960B413" w:rsidR="00317F1D" w:rsidRPr="00152DA8" w:rsidRDefault="00317F1D" w:rsidP="005B7C21">
      <w:pPr>
        <w:spacing w:line="240" w:lineRule="auto"/>
        <w:rPr>
          <w:color w:val="002F5D"/>
        </w:rPr>
      </w:pPr>
      <w:r w:rsidRPr="00152DA8">
        <w:rPr>
          <w:b/>
          <w:color w:val="002F5D"/>
        </w:rPr>
        <w:t>Source:</w:t>
      </w:r>
      <w:r w:rsidRPr="00152DA8">
        <w:rPr>
          <w:color w:val="002F5D"/>
        </w:rPr>
        <w:t xml:space="preserve"> Cambridgeshire County Council Public Health Intelligence (NHS Digital Primary Care Mortality Database, </w:t>
      </w:r>
      <w:r w:rsidR="007750E0">
        <w:rPr>
          <w:color w:val="002F5D"/>
        </w:rPr>
        <w:t>ONS</w:t>
      </w:r>
      <w:r w:rsidRPr="00152DA8">
        <w:rPr>
          <w:color w:val="002F5D"/>
        </w:rPr>
        <w:t xml:space="preserve"> mid-year population estimates).</w:t>
      </w:r>
    </w:p>
    <w:p w14:paraId="28DD557D" w14:textId="77777777" w:rsidR="00317F1D" w:rsidRPr="00152DA8" w:rsidRDefault="00317F1D" w:rsidP="005B7C21">
      <w:pPr>
        <w:spacing w:line="240" w:lineRule="auto"/>
        <w:rPr>
          <w:rFonts w:cs="Arial"/>
          <w:b/>
          <w:color w:val="002F5D"/>
        </w:rPr>
      </w:pPr>
    </w:p>
    <w:p w14:paraId="4E2556C7" w14:textId="77777777" w:rsidR="00317F1D" w:rsidRPr="00152DA8" w:rsidRDefault="00317F1D" w:rsidP="005B7C21">
      <w:pPr>
        <w:spacing w:line="240" w:lineRule="auto"/>
        <w:rPr>
          <w:rFonts w:cs="Arial"/>
          <w:b/>
          <w:color w:val="002F5D"/>
        </w:rPr>
      </w:pPr>
      <w:r w:rsidRPr="00152DA8">
        <w:rPr>
          <w:rFonts w:cs="Arial"/>
          <w:b/>
          <w:color w:val="002F5D"/>
        </w:rPr>
        <w:t>Key points:</w:t>
      </w:r>
    </w:p>
    <w:p w14:paraId="097EFD3E" w14:textId="2CFD7825" w:rsidR="00317F1D" w:rsidRPr="00152DA8" w:rsidRDefault="00317F1D" w:rsidP="005B7C21">
      <w:pPr>
        <w:pStyle w:val="ListParagraph"/>
        <w:numPr>
          <w:ilvl w:val="0"/>
          <w:numId w:val="41"/>
        </w:numPr>
        <w:spacing w:line="240" w:lineRule="auto"/>
        <w:rPr>
          <w:rFonts w:cs="Arial"/>
          <w:b/>
          <w:color w:val="002F5D"/>
        </w:rPr>
      </w:pPr>
      <w:r w:rsidRPr="00152DA8">
        <w:rPr>
          <w:rFonts w:cs="Arial"/>
          <w:color w:val="002F5D"/>
        </w:rPr>
        <w:t xml:space="preserve">Around </w:t>
      </w:r>
      <w:r w:rsidR="00152DA8" w:rsidRPr="00152DA8">
        <w:rPr>
          <w:rFonts w:cs="Arial"/>
          <w:color w:val="002F5D"/>
        </w:rPr>
        <w:t>6,900</w:t>
      </w:r>
      <w:r w:rsidRPr="00152DA8">
        <w:rPr>
          <w:rFonts w:cs="Arial"/>
          <w:color w:val="002F5D"/>
        </w:rPr>
        <w:t xml:space="preserve"> deaths occurred each year in Cambridgeshire</w:t>
      </w:r>
      <w:r w:rsidR="008D238F" w:rsidRPr="00152DA8">
        <w:rPr>
          <w:rFonts w:cs="Arial"/>
          <w:color w:val="002F5D"/>
        </w:rPr>
        <w:t xml:space="preserve"> and Peterborough</w:t>
      </w:r>
      <w:r w:rsidRPr="00152DA8">
        <w:rPr>
          <w:rFonts w:cs="Arial"/>
          <w:color w:val="002F5D"/>
        </w:rPr>
        <w:t xml:space="preserve"> residents du</w:t>
      </w:r>
      <w:r w:rsidR="00152DA8" w:rsidRPr="00152DA8">
        <w:rPr>
          <w:rFonts w:cs="Arial"/>
          <w:color w:val="002F5D"/>
        </w:rPr>
        <w:t>ring 2015-17</w:t>
      </w:r>
      <w:r w:rsidR="008D238F" w:rsidRPr="00152DA8">
        <w:rPr>
          <w:rFonts w:cs="Arial"/>
          <w:color w:val="002F5D"/>
        </w:rPr>
        <w:t>.</w:t>
      </w:r>
    </w:p>
    <w:p w14:paraId="67C5EB0B" w14:textId="234C3F49" w:rsidR="00317F1D" w:rsidRPr="00152DA8" w:rsidRDefault="00317F1D" w:rsidP="005B7C21">
      <w:pPr>
        <w:pStyle w:val="ListParagraph"/>
        <w:numPr>
          <w:ilvl w:val="0"/>
          <w:numId w:val="41"/>
        </w:numPr>
        <w:spacing w:line="240" w:lineRule="auto"/>
        <w:rPr>
          <w:rFonts w:cs="Arial"/>
          <w:b/>
          <w:color w:val="002F5D"/>
        </w:rPr>
      </w:pPr>
      <w:r w:rsidRPr="00152DA8">
        <w:rPr>
          <w:rFonts w:cs="Arial"/>
          <w:color w:val="002F5D"/>
        </w:rPr>
        <w:t>The majority of deaths were due to cancer (2</w:t>
      </w:r>
      <w:r w:rsidR="008D238F" w:rsidRPr="00152DA8">
        <w:rPr>
          <w:rFonts w:cs="Arial"/>
          <w:color w:val="002F5D"/>
        </w:rPr>
        <w:t>8</w:t>
      </w:r>
      <w:r w:rsidRPr="00152DA8">
        <w:rPr>
          <w:rFonts w:cs="Arial"/>
          <w:color w:val="002F5D"/>
        </w:rPr>
        <w:t>%) and cardiovascular disease (2</w:t>
      </w:r>
      <w:r w:rsidR="00152DA8" w:rsidRPr="00152DA8">
        <w:rPr>
          <w:rFonts w:cs="Arial"/>
          <w:color w:val="002F5D"/>
        </w:rPr>
        <w:t>5</w:t>
      </w:r>
      <w:r w:rsidRPr="00152DA8">
        <w:rPr>
          <w:rFonts w:cs="Arial"/>
          <w:color w:val="002F5D"/>
        </w:rPr>
        <w:t>%), followed by respiratory disease (1</w:t>
      </w:r>
      <w:r w:rsidR="008D238F" w:rsidRPr="00152DA8">
        <w:rPr>
          <w:rFonts w:cs="Arial"/>
          <w:color w:val="002F5D"/>
        </w:rPr>
        <w:t>3</w:t>
      </w:r>
      <w:r w:rsidRPr="00152DA8">
        <w:rPr>
          <w:rFonts w:cs="Arial"/>
          <w:color w:val="002F5D"/>
        </w:rPr>
        <w:t>%) and dementia and Alzheimer’s (12%).</w:t>
      </w:r>
    </w:p>
    <w:p w14:paraId="2ED6F5B1" w14:textId="77777777" w:rsidR="00317F1D" w:rsidRPr="00152DA8" w:rsidRDefault="00317F1D" w:rsidP="005B7C21">
      <w:pPr>
        <w:pStyle w:val="ListParagraph"/>
        <w:numPr>
          <w:ilvl w:val="0"/>
          <w:numId w:val="41"/>
        </w:numPr>
        <w:spacing w:line="240" w:lineRule="auto"/>
        <w:rPr>
          <w:rFonts w:cs="Arial"/>
          <w:b/>
          <w:color w:val="002F5D"/>
        </w:rPr>
      </w:pPr>
      <w:r w:rsidRPr="00152DA8">
        <w:rPr>
          <w:rFonts w:cs="Arial"/>
          <w:color w:val="002F5D"/>
        </w:rPr>
        <w:t xml:space="preserve">The major causes of death </w:t>
      </w:r>
      <w:r w:rsidR="008D238F" w:rsidRPr="00152DA8">
        <w:rPr>
          <w:rFonts w:cs="Arial"/>
          <w:color w:val="002F5D"/>
        </w:rPr>
        <w:t>across</w:t>
      </w:r>
      <w:r w:rsidRPr="00152DA8">
        <w:rPr>
          <w:rFonts w:cs="Arial"/>
          <w:color w:val="002F5D"/>
        </w:rPr>
        <w:t xml:space="preserve"> Cambridgeshire</w:t>
      </w:r>
      <w:r w:rsidR="008D238F" w:rsidRPr="00152DA8">
        <w:rPr>
          <w:rFonts w:cs="Arial"/>
          <w:color w:val="002F5D"/>
        </w:rPr>
        <w:t xml:space="preserve"> and Peterborough</w:t>
      </w:r>
      <w:r w:rsidRPr="00152DA8">
        <w:rPr>
          <w:rFonts w:cs="Arial"/>
          <w:color w:val="002F5D"/>
        </w:rPr>
        <w:t xml:space="preserve"> are similar to those seen nationally.</w:t>
      </w:r>
      <w:r w:rsidRPr="00152DA8">
        <w:rPr>
          <w:rStyle w:val="FootnoteReference"/>
          <w:rFonts w:cs="Arial"/>
          <w:color w:val="002F5D"/>
        </w:rPr>
        <w:footnoteReference w:id="23"/>
      </w:r>
    </w:p>
    <w:p w14:paraId="079C41F9" w14:textId="77777777" w:rsidR="00286C6E" w:rsidRPr="0037351D" w:rsidRDefault="00286C6E" w:rsidP="0038179C">
      <w:pPr>
        <w:spacing w:line="240" w:lineRule="auto"/>
        <w:rPr>
          <w:rFonts w:cs="Arial"/>
          <w:b/>
          <w:color w:val="FF0000"/>
        </w:rPr>
      </w:pPr>
    </w:p>
    <w:p w14:paraId="109BA98E" w14:textId="77777777" w:rsidR="00317F1D" w:rsidRPr="0037351D" w:rsidRDefault="00317F1D">
      <w:pPr>
        <w:rPr>
          <w:rFonts w:eastAsiaTheme="majorEastAsia" w:cstheme="majorBidi"/>
          <w:b/>
          <w:color w:val="FF0000"/>
        </w:rPr>
      </w:pPr>
      <w:r w:rsidRPr="0037351D">
        <w:rPr>
          <w:color w:val="FF0000"/>
        </w:rPr>
        <w:br w:type="page"/>
      </w:r>
    </w:p>
    <w:p w14:paraId="3EC453A0" w14:textId="77777777" w:rsidR="00286C6E" w:rsidRPr="0037351D" w:rsidRDefault="00286C6E" w:rsidP="00A3568F">
      <w:pPr>
        <w:pStyle w:val="JSNA3"/>
      </w:pPr>
      <w:bookmarkStart w:id="823" w:name="_Toc4407895"/>
      <w:r w:rsidRPr="0037351D">
        <w:lastRenderedPageBreak/>
        <w:t>Cardiovascular disease</w:t>
      </w:r>
      <w:bookmarkEnd w:id="823"/>
    </w:p>
    <w:p w14:paraId="0CC8ECF5" w14:textId="77777777" w:rsidR="00286C6E" w:rsidRPr="0037351D" w:rsidRDefault="00286C6E" w:rsidP="00121F24">
      <w:pPr>
        <w:spacing w:line="240" w:lineRule="auto"/>
        <w:rPr>
          <w:color w:val="FF0000"/>
        </w:rPr>
      </w:pPr>
    </w:p>
    <w:p w14:paraId="13371F97" w14:textId="05353884" w:rsidR="00D33F31" w:rsidRDefault="00EB09E2" w:rsidP="00121F24">
      <w:pPr>
        <w:pStyle w:val="Caption"/>
        <w:rPr>
          <w:color w:val="002F5D"/>
        </w:rPr>
      </w:pPr>
      <w:r w:rsidRPr="00395E4D">
        <w:rPr>
          <w:b/>
          <w:color w:val="002F5D"/>
        </w:rPr>
        <w:t xml:space="preserve">Table </w:t>
      </w:r>
      <w:r w:rsidR="00B81E4B">
        <w:rPr>
          <w:b/>
          <w:color w:val="002F5D"/>
        </w:rPr>
        <w:t>112</w:t>
      </w:r>
      <w:r w:rsidR="00286C6E" w:rsidRPr="00395E4D">
        <w:rPr>
          <w:b/>
          <w:color w:val="002F5D"/>
        </w:rPr>
        <w:t xml:space="preserve">. </w:t>
      </w:r>
      <w:r w:rsidR="00286C6E" w:rsidRPr="00395E4D">
        <w:rPr>
          <w:color w:val="002F5D"/>
        </w:rPr>
        <w:t>Mortality from cardiovascular disease, Cambridgeshire</w:t>
      </w:r>
      <w:r w:rsidR="00641B84" w:rsidRPr="00395E4D">
        <w:rPr>
          <w:color w:val="002F5D"/>
        </w:rPr>
        <w:t xml:space="preserve"> and Peterborough</w:t>
      </w:r>
      <w:r w:rsidR="00395E4D">
        <w:rPr>
          <w:color w:val="002F5D"/>
        </w:rPr>
        <w:t>, 2015-17</w:t>
      </w:r>
    </w:p>
    <w:p w14:paraId="6ABECAA0" w14:textId="77777777" w:rsidR="00A2687A" w:rsidRPr="00A2687A" w:rsidRDefault="00A2687A" w:rsidP="00A2687A"/>
    <w:p w14:paraId="44C39A41" w14:textId="47877BE7" w:rsidR="00CC1405" w:rsidRDefault="00196B41" w:rsidP="00CC1405">
      <w:pPr>
        <w:rPr>
          <w:color w:val="FF0000"/>
        </w:rPr>
      </w:pPr>
      <w:r w:rsidRPr="00196B41">
        <w:rPr>
          <w:noProof/>
          <w:lang w:eastAsia="en-GB"/>
        </w:rPr>
        <w:drawing>
          <wp:inline distT="0" distB="0" distL="0" distR="0" wp14:anchorId="12E86703" wp14:editId="06ECDA83">
            <wp:extent cx="4838700" cy="23812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838700" cy="2381250"/>
                    </a:xfrm>
                    <a:prstGeom prst="rect">
                      <a:avLst/>
                    </a:prstGeom>
                    <a:noFill/>
                    <a:ln>
                      <a:noFill/>
                    </a:ln>
                  </pic:spPr>
                </pic:pic>
              </a:graphicData>
            </a:graphic>
          </wp:inline>
        </w:drawing>
      </w:r>
    </w:p>
    <w:p w14:paraId="1845415A" w14:textId="77777777" w:rsidR="00AA30CB" w:rsidRPr="0037351D" w:rsidRDefault="00AA30CB" w:rsidP="005B7C21">
      <w:pPr>
        <w:spacing w:line="240" w:lineRule="auto"/>
        <w:rPr>
          <w:color w:val="FF0000"/>
        </w:rPr>
      </w:pPr>
    </w:p>
    <w:p w14:paraId="33E8D02B" w14:textId="77777777" w:rsidR="00286C6E" w:rsidRPr="00395E4D" w:rsidRDefault="00286C6E" w:rsidP="005B7C21">
      <w:pPr>
        <w:spacing w:line="240" w:lineRule="auto"/>
        <w:rPr>
          <w:color w:val="002F5D"/>
          <w:sz w:val="18"/>
        </w:rPr>
      </w:pPr>
      <w:r w:rsidRPr="00395E4D">
        <w:rPr>
          <w:color w:val="002F5D"/>
          <w:sz w:val="18"/>
        </w:rPr>
        <w:t>DASR - Directly age-standardised rate</w:t>
      </w:r>
    </w:p>
    <w:p w14:paraId="38C3E27A" w14:textId="77777777" w:rsidR="00196B41" w:rsidRPr="0037351D" w:rsidRDefault="00196B41" w:rsidP="00196B41">
      <w:pPr>
        <w:spacing w:line="240" w:lineRule="auto"/>
        <w:rPr>
          <w:color w:val="FF0000"/>
        </w:rPr>
      </w:pPr>
    </w:p>
    <w:p w14:paraId="4DD42408" w14:textId="77777777" w:rsidR="00196B41" w:rsidRPr="00196B41" w:rsidRDefault="00196B41" w:rsidP="00196B41">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5E772C35" w14:textId="77777777" w:rsidR="00196B41" w:rsidRPr="00196B41" w:rsidRDefault="00196B41" w:rsidP="00196B41">
      <w:pPr>
        <w:spacing w:line="240" w:lineRule="auto"/>
        <w:rPr>
          <w:color w:val="002F5D"/>
          <w:sz w:val="18"/>
          <w:szCs w:val="18"/>
        </w:rPr>
      </w:pPr>
    </w:p>
    <w:p w14:paraId="21EBAC0D" w14:textId="53A18683" w:rsidR="00286C6E" w:rsidRPr="00196B41" w:rsidRDefault="00196B41" w:rsidP="005B7C21">
      <w:pPr>
        <w:spacing w:line="240" w:lineRule="auto"/>
        <w:rPr>
          <w:color w:val="002F5D"/>
          <w:sz w:val="18"/>
        </w:rPr>
      </w:pPr>
      <w:r>
        <w:rPr>
          <w:noProof/>
          <w:color w:val="002F5D"/>
          <w:sz w:val="18"/>
          <w:lang w:eastAsia="en-GB"/>
        </w:rPr>
        <w:drawing>
          <wp:inline distT="0" distB="0" distL="0" distR="0" wp14:anchorId="06208F1D" wp14:editId="2A1F065B">
            <wp:extent cx="3733800" cy="53948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127" cy="541699"/>
                    </a:xfrm>
                    <a:prstGeom prst="rect">
                      <a:avLst/>
                    </a:prstGeom>
                    <a:noFill/>
                  </pic:spPr>
                </pic:pic>
              </a:graphicData>
            </a:graphic>
          </wp:inline>
        </w:drawing>
      </w:r>
    </w:p>
    <w:p w14:paraId="69342591" w14:textId="77777777" w:rsidR="00286C6E" w:rsidRPr="0037351D" w:rsidRDefault="00286C6E" w:rsidP="005B7C21">
      <w:pPr>
        <w:spacing w:line="240" w:lineRule="auto"/>
        <w:rPr>
          <w:color w:val="FF0000"/>
        </w:rPr>
      </w:pPr>
    </w:p>
    <w:p w14:paraId="10922A62" w14:textId="56FB901A" w:rsidR="00286C6E" w:rsidRPr="00395E4D" w:rsidRDefault="00286C6E" w:rsidP="005B7C21">
      <w:pPr>
        <w:spacing w:line="240" w:lineRule="auto"/>
        <w:rPr>
          <w:color w:val="002F5D"/>
        </w:rPr>
      </w:pPr>
      <w:r w:rsidRPr="00395E4D">
        <w:rPr>
          <w:b/>
          <w:color w:val="002F5D"/>
        </w:rPr>
        <w:t>Source:</w:t>
      </w:r>
      <w:r w:rsidRPr="00395E4D">
        <w:rPr>
          <w:color w:val="002F5D"/>
        </w:rPr>
        <w:t xml:space="preserve"> Cambridgeshire County Council Public Health Intelligence (NHS Digital Primary Care Mortality Database, O</w:t>
      </w:r>
      <w:r w:rsidR="007750E0">
        <w:rPr>
          <w:color w:val="002F5D"/>
        </w:rPr>
        <w:t>NS</w:t>
      </w:r>
      <w:r w:rsidRPr="00395E4D">
        <w:rPr>
          <w:color w:val="002F5D"/>
        </w:rPr>
        <w:t xml:space="preserve"> mid-year population estimates).</w:t>
      </w:r>
    </w:p>
    <w:p w14:paraId="5270AAFF" w14:textId="77777777" w:rsidR="00286C6E" w:rsidRPr="00395E4D" w:rsidRDefault="00286C6E" w:rsidP="005B7C21">
      <w:pPr>
        <w:spacing w:line="240" w:lineRule="auto"/>
        <w:rPr>
          <w:color w:val="002F5D"/>
        </w:rPr>
      </w:pPr>
    </w:p>
    <w:p w14:paraId="475CD7B8" w14:textId="77777777" w:rsidR="00286C6E" w:rsidRPr="00395E4D" w:rsidRDefault="00286C6E" w:rsidP="005B7C21">
      <w:pPr>
        <w:spacing w:line="240" w:lineRule="auto"/>
        <w:rPr>
          <w:b/>
          <w:color w:val="002F5D"/>
        </w:rPr>
      </w:pPr>
      <w:r w:rsidRPr="00395E4D">
        <w:rPr>
          <w:b/>
          <w:color w:val="002F5D"/>
        </w:rPr>
        <w:t>Key points:</w:t>
      </w:r>
    </w:p>
    <w:p w14:paraId="4FCC9AF0" w14:textId="77777777" w:rsidR="008D238F" w:rsidRPr="00395E4D" w:rsidRDefault="008D238F" w:rsidP="005B7C21">
      <w:pPr>
        <w:pStyle w:val="ListParagraph"/>
        <w:numPr>
          <w:ilvl w:val="0"/>
          <w:numId w:val="11"/>
        </w:numPr>
        <w:spacing w:line="240" w:lineRule="auto"/>
        <w:rPr>
          <w:color w:val="002F5D"/>
        </w:rPr>
      </w:pPr>
      <w:r w:rsidRPr="00395E4D">
        <w:rPr>
          <w:color w:val="002F5D"/>
        </w:rPr>
        <w:t>The rates of all-age and under 75 mortality from cardiovascular disease are statistically significantly higher than the Cambridgeshire and Peterborough combined average in Peterborough.</w:t>
      </w:r>
    </w:p>
    <w:p w14:paraId="7760D502" w14:textId="76CE2655" w:rsidR="008D238F" w:rsidRPr="00395E4D" w:rsidRDefault="00121F24" w:rsidP="005B7C21">
      <w:pPr>
        <w:pStyle w:val="ListParagraph"/>
        <w:numPr>
          <w:ilvl w:val="0"/>
          <w:numId w:val="11"/>
        </w:numPr>
        <w:spacing w:line="240" w:lineRule="auto"/>
        <w:rPr>
          <w:color w:val="002F5D"/>
        </w:rPr>
      </w:pPr>
      <w:r w:rsidRPr="00395E4D">
        <w:rPr>
          <w:color w:val="002F5D"/>
        </w:rPr>
        <w:t>The rate</w:t>
      </w:r>
      <w:r w:rsidR="00395E4D" w:rsidRPr="00395E4D">
        <w:rPr>
          <w:color w:val="002F5D"/>
        </w:rPr>
        <w:t>s</w:t>
      </w:r>
      <w:r w:rsidR="008D238F" w:rsidRPr="00395E4D">
        <w:rPr>
          <w:color w:val="002F5D"/>
        </w:rPr>
        <w:t xml:space="preserve"> of all-age </w:t>
      </w:r>
      <w:r w:rsidR="00395E4D" w:rsidRPr="00395E4D">
        <w:rPr>
          <w:color w:val="002F5D"/>
        </w:rPr>
        <w:t xml:space="preserve">and under 75 </w:t>
      </w:r>
      <w:r w:rsidR="008D238F" w:rsidRPr="00395E4D">
        <w:rPr>
          <w:color w:val="002F5D"/>
        </w:rPr>
        <w:t>mortality</w:t>
      </w:r>
      <w:r w:rsidR="00395E4D" w:rsidRPr="00395E4D">
        <w:rPr>
          <w:color w:val="002F5D"/>
        </w:rPr>
        <w:t xml:space="preserve"> from cardiovascular disease are</w:t>
      </w:r>
      <w:r w:rsidR="008D238F" w:rsidRPr="00395E4D">
        <w:rPr>
          <w:color w:val="002F5D"/>
        </w:rPr>
        <w:t xml:space="preserve"> statistically similar </w:t>
      </w:r>
      <w:r w:rsidRPr="00395E4D">
        <w:rPr>
          <w:color w:val="002F5D"/>
        </w:rPr>
        <w:t xml:space="preserve">to </w:t>
      </w:r>
      <w:r w:rsidR="008D238F" w:rsidRPr="00395E4D">
        <w:rPr>
          <w:color w:val="002F5D"/>
        </w:rPr>
        <w:t>the Cambridgeshire and Peterborough com</w:t>
      </w:r>
      <w:r w:rsidRPr="00395E4D">
        <w:rPr>
          <w:color w:val="002F5D"/>
        </w:rPr>
        <w:t>bined average in Cambridgeshire</w:t>
      </w:r>
      <w:r w:rsidR="00395E4D" w:rsidRPr="00395E4D">
        <w:rPr>
          <w:color w:val="002F5D"/>
        </w:rPr>
        <w:t>.</w:t>
      </w:r>
    </w:p>
    <w:p w14:paraId="58D8962D" w14:textId="437F9CF5" w:rsidR="00286C6E" w:rsidRDefault="00395E4D" w:rsidP="005B7C21">
      <w:pPr>
        <w:pStyle w:val="ListParagraph"/>
        <w:numPr>
          <w:ilvl w:val="0"/>
          <w:numId w:val="11"/>
        </w:numPr>
        <w:spacing w:line="240" w:lineRule="auto"/>
        <w:rPr>
          <w:color w:val="002F5D"/>
        </w:rPr>
      </w:pPr>
      <w:r w:rsidRPr="00395E4D">
        <w:rPr>
          <w:color w:val="002F5D"/>
        </w:rPr>
        <w:t>The rate</w:t>
      </w:r>
      <w:r w:rsidR="00286C6E" w:rsidRPr="00395E4D">
        <w:rPr>
          <w:color w:val="002F5D"/>
        </w:rPr>
        <w:t xml:space="preserve"> of all-age mortality</w:t>
      </w:r>
      <w:r w:rsidRPr="00395E4D">
        <w:rPr>
          <w:color w:val="002F5D"/>
        </w:rPr>
        <w:t xml:space="preserve"> from cardiovascular disease is</w:t>
      </w:r>
      <w:r w:rsidR="00286C6E" w:rsidRPr="00395E4D">
        <w:rPr>
          <w:color w:val="002F5D"/>
        </w:rPr>
        <w:t xml:space="preserve"> statistically significantly higher than the Camb</w:t>
      </w:r>
      <w:r w:rsidRPr="00395E4D">
        <w:rPr>
          <w:color w:val="002F5D"/>
        </w:rPr>
        <w:t>ridgeshire average in Cambridge.</w:t>
      </w:r>
    </w:p>
    <w:p w14:paraId="30995BD5" w14:textId="144D7D77" w:rsidR="005842D2" w:rsidRPr="00395E4D" w:rsidRDefault="005842D2" w:rsidP="005B7C21">
      <w:pPr>
        <w:pStyle w:val="ListParagraph"/>
        <w:numPr>
          <w:ilvl w:val="0"/>
          <w:numId w:val="11"/>
        </w:numPr>
        <w:spacing w:line="240" w:lineRule="auto"/>
        <w:rPr>
          <w:color w:val="002F5D"/>
        </w:rPr>
      </w:pPr>
      <w:r>
        <w:rPr>
          <w:color w:val="002F5D"/>
        </w:rPr>
        <w:t xml:space="preserve">The rates of all-age and under 75 mortality from cardiovascular disease are statistically significantly lower than the </w:t>
      </w:r>
      <w:r w:rsidRPr="00395E4D">
        <w:rPr>
          <w:color w:val="002F5D"/>
        </w:rPr>
        <w:t xml:space="preserve">Cambridgeshire average in </w:t>
      </w:r>
      <w:r>
        <w:rPr>
          <w:color w:val="002F5D"/>
        </w:rPr>
        <w:t xml:space="preserve">South </w:t>
      </w:r>
      <w:r w:rsidRPr="00395E4D">
        <w:rPr>
          <w:color w:val="002F5D"/>
        </w:rPr>
        <w:t>Cambridgeshire</w:t>
      </w:r>
      <w:r w:rsidR="00C502E9">
        <w:rPr>
          <w:color w:val="002F5D"/>
        </w:rPr>
        <w:t>.</w:t>
      </w:r>
    </w:p>
    <w:p w14:paraId="5FBAC750" w14:textId="773FC920" w:rsidR="00395E4D" w:rsidRPr="00395E4D" w:rsidRDefault="00395E4D" w:rsidP="00395E4D">
      <w:pPr>
        <w:pStyle w:val="ListParagraph"/>
        <w:numPr>
          <w:ilvl w:val="0"/>
          <w:numId w:val="11"/>
        </w:numPr>
        <w:spacing w:line="240" w:lineRule="auto"/>
        <w:rPr>
          <w:color w:val="002F5D"/>
        </w:rPr>
      </w:pPr>
      <w:r w:rsidRPr="00395E4D">
        <w:rPr>
          <w:color w:val="002F5D"/>
        </w:rPr>
        <w:t>The rate of under 75 mortality from cardiovascular disease is statistically significantly higher than the Cambridgeshire average in Fenland.</w:t>
      </w:r>
    </w:p>
    <w:p w14:paraId="08061E48" w14:textId="26D82920" w:rsidR="00286C6E" w:rsidRPr="00395E4D" w:rsidRDefault="00286C6E" w:rsidP="005B7C21">
      <w:pPr>
        <w:pStyle w:val="ListParagraph"/>
        <w:numPr>
          <w:ilvl w:val="0"/>
          <w:numId w:val="11"/>
        </w:numPr>
        <w:spacing w:line="240" w:lineRule="auto"/>
        <w:rPr>
          <w:color w:val="002F5D"/>
        </w:rPr>
      </w:pPr>
      <w:r w:rsidRPr="00395E4D">
        <w:rPr>
          <w:color w:val="002F5D"/>
        </w:rPr>
        <w:t>Around 1,</w:t>
      </w:r>
      <w:r w:rsidR="00395E4D" w:rsidRPr="00395E4D">
        <w:rPr>
          <w:color w:val="002F5D"/>
        </w:rPr>
        <w:t>760</w:t>
      </w:r>
      <w:r w:rsidRPr="00395E4D">
        <w:rPr>
          <w:color w:val="002F5D"/>
        </w:rPr>
        <w:t xml:space="preserve"> Cambridgeshire</w:t>
      </w:r>
      <w:r w:rsidR="008D238F" w:rsidRPr="00395E4D">
        <w:rPr>
          <w:color w:val="002F5D"/>
        </w:rPr>
        <w:t xml:space="preserve"> and Peterborough</w:t>
      </w:r>
      <w:r w:rsidRPr="00395E4D">
        <w:rPr>
          <w:color w:val="002F5D"/>
        </w:rPr>
        <w:t xml:space="preserve"> residents died </w:t>
      </w:r>
      <w:r w:rsidR="00D66680" w:rsidRPr="00395E4D">
        <w:rPr>
          <w:color w:val="002F5D"/>
        </w:rPr>
        <w:t xml:space="preserve">from cardiovascular disease </w:t>
      </w:r>
      <w:r w:rsidR="00395E4D">
        <w:rPr>
          <w:color w:val="002F5D"/>
        </w:rPr>
        <w:t>each year between 2015 and 2017</w:t>
      </w:r>
      <w:r w:rsidRPr="00395E4D">
        <w:rPr>
          <w:color w:val="002F5D"/>
        </w:rPr>
        <w:t>.</w:t>
      </w:r>
    </w:p>
    <w:p w14:paraId="6DC47324" w14:textId="77777777" w:rsidR="00286C6E" w:rsidRPr="0037351D" w:rsidRDefault="00286C6E" w:rsidP="005B7C21">
      <w:pPr>
        <w:spacing w:line="240" w:lineRule="auto"/>
        <w:rPr>
          <w:color w:val="FF0000"/>
        </w:rPr>
      </w:pPr>
    </w:p>
    <w:p w14:paraId="248214C1" w14:textId="1D178AC1" w:rsidR="00FE1AAC" w:rsidRDefault="00286C6E" w:rsidP="00656C79">
      <w:pPr>
        <w:spacing w:line="240" w:lineRule="auto"/>
        <w:rPr>
          <w:color w:val="002F5D"/>
        </w:rPr>
      </w:pPr>
      <w:r w:rsidRPr="0037351D">
        <w:rPr>
          <w:b/>
          <w:color w:val="FF0000"/>
        </w:rPr>
        <w:br w:type="page"/>
      </w:r>
      <w:r w:rsidR="00E07539" w:rsidRPr="005936B8">
        <w:rPr>
          <w:b/>
          <w:color w:val="002F5D"/>
        </w:rPr>
        <w:lastRenderedPageBreak/>
        <w:t>Table</w:t>
      </w:r>
      <w:r w:rsidR="003209A4">
        <w:rPr>
          <w:b/>
          <w:color w:val="002F5D"/>
        </w:rPr>
        <w:t xml:space="preserve"> </w:t>
      </w:r>
      <w:r w:rsidR="00B81E4B">
        <w:rPr>
          <w:b/>
          <w:color w:val="002F5D"/>
        </w:rPr>
        <w:t>113</w:t>
      </w:r>
      <w:r w:rsidR="00FE1AAC" w:rsidRPr="005936B8">
        <w:rPr>
          <w:b/>
          <w:color w:val="002F5D"/>
        </w:rPr>
        <w:t>.</w:t>
      </w:r>
      <w:r w:rsidR="00FE1AAC" w:rsidRPr="005936B8">
        <w:rPr>
          <w:color w:val="002F5D"/>
        </w:rPr>
        <w:t xml:space="preserve"> Mortality from cardiovascular disease by deprivation quintile of ward of</w:t>
      </w:r>
      <w:r w:rsidR="005936B8" w:rsidRPr="005936B8">
        <w:rPr>
          <w:color w:val="002F5D"/>
        </w:rPr>
        <w:t xml:space="preserve"> residence, Cambridgeshire, 2015-17</w:t>
      </w:r>
    </w:p>
    <w:p w14:paraId="6EA41C4B" w14:textId="77777777" w:rsidR="00F44B6A" w:rsidRDefault="00F44B6A" w:rsidP="00656C79">
      <w:pPr>
        <w:spacing w:line="240" w:lineRule="auto"/>
        <w:rPr>
          <w:color w:val="FF0000"/>
        </w:rPr>
      </w:pPr>
    </w:p>
    <w:p w14:paraId="557A8699" w14:textId="7B58E0B2" w:rsidR="005936B8" w:rsidRDefault="00F44B6A" w:rsidP="00656C79">
      <w:pPr>
        <w:spacing w:line="240" w:lineRule="auto"/>
        <w:rPr>
          <w:color w:val="FF0000"/>
        </w:rPr>
      </w:pPr>
      <w:r w:rsidRPr="00F44B6A">
        <w:rPr>
          <w:noProof/>
          <w:lang w:eastAsia="en-GB"/>
        </w:rPr>
        <w:drawing>
          <wp:inline distT="0" distB="0" distL="0" distR="0" wp14:anchorId="4E3BEB51" wp14:editId="1DD123D8">
            <wp:extent cx="4295775" cy="194310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295775" cy="1943100"/>
                    </a:xfrm>
                    <a:prstGeom prst="rect">
                      <a:avLst/>
                    </a:prstGeom>
                    <a:noFill/>
                    <a:ln>
                      <a:noFill/>
                    </a:ln>
                  </pic:spPr>
                </pic:pic>
              </a:graphicData>
            </a:graphic>
          </wp:inline>
        </w:drawing>
      </w:r>
    </w:p>
    <w:p w14:paraId="4A17779B" w14:textId="6A6D52C1" w:rsidR="00FE1AAC" w:rsidRPr="0037351D" w:rsidRDefault="00FE1AAC" w:rsidP="00CC1405">
      <w:pPr>
        <w:rPr>
          <w:color w:val="FF0000"/>
        </w:rPr>
      </w:pPr>
    </w:p>
    <w:p w14:paraId="0154633C" w14:textId="77777777" w:rsidR="00FE1AAC" w:rsidRPr="005936B8" w:rsidRDefault="00FE1AAC" w:rsidP="005B7C21">
      <w:pPr>
        <w:spacing w:line="240" w:lineRule="auto"/>
        <w:rPr>
          <w:color w:val="002F5D"/>
          <w:sz w:val="18"/>
        </w:rPr>
      </w:pPr>
      <w:r w:rsidRPr="005936B8">
        <w:rPr>
          <w:color w:val="002F5D"/>
          <w:sz w:val="18"/>
        </w:rPr>
        <w:t>DASR - Directly age-standardised rate</w:t>
      </w:r>
    </w:p>
    <w:p w14:paraId="1D6F93D2" w14:textId="77777777" w:rsidR="00713219" w:rsidRPr="0037351D" w:rsidRDefault="00713219" w:rsidP="005B7C21">
      <w:pPr>
        <w:spacing w:line="240" w:lineRule="auto"/>
        <w:rPr>
          <w:color w:val="FF0000"/>
          <w:sz w:val="16"/>
          <w:szCs w:val="16"/>
        </w:rPr>
      </w:pPr>
    </w:p>
    <w:p w14:paraId="5C869A68" w14:textId="77777777" w:rsidR="00FE1AAC" w:rsidRPr="0037351D" w:rsidRDefault="00FE1AAC" w:rsidP="005B7C21">
      <w:pPr>
        <w:spacing w:line="240" w:lineRule="auto"/>
        <w:rPr>
          <w:color w:val="FF0000"/>
        </w:rPr>
      </w:pPr>
      <w:r w:rsidRPr="0037351D">
        <w:rPr>
          <w:noProof/>
          <w:color w:val="FF0000"/>
          <w:lang w:eastAsia="en-GB"/>
        </w:rPr>
        <w:drawing>
          <wp:inline distT="0" distB="0" distL="0" distR="0" wp14:anchorId="05258FBE" wp14:editId="0D081B28">
            <wp:extent cx="3808674" cy="428039"/>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68771" cy="434793"/>
                    </a:xfrm>
                    <a:prstGeom prst="rect">
                      <a:avLst/>
                    </a:prstGeom>
                    <a:noFill/>
                    <a:ln>
                      <a:noFill/>
                    </a:ln>
                  </pic:spPr>
                </pic:pic>
              </a:graphicData>
            </a:graphic>
          </wp:inline>
        </w:drawing>
      </w:r>
    </w:p>
    <w:p w14:paraId="32DE7930" w14:textId="77777777" w:rsidR="00FE1AAC" w:rsidRPr="0037351D" w:rsidRDefault="00FE1AAC" w:rsidP="005B7C21">
      <w:pPr>
        <w:spacing w:line="240" w:lineRule="auto"/>
        <w:rPr>
          <w:color w:val="FF0000"/>
          <w:sz w:val="16"/>
          <w:szCs w:val="16"/>
        </w:rPr>
      </w:pPr>
    </w:p>
    <w:p w14:paraId="1BDBE9BA" w14:textId="58647122" w:rsidR="00FE1AAC" w:rsidRPr="005936B8" w:rsidRDefault="00FE1AAC" w:rsidP="005B7C21">
      <w:pPr>
        <w:spacing w:line="240" w:lineRule="auto"/>
        <w:rPr>
          <w:color w:val="002F5D"/>
        </w:rPr>
      </w:pPr>
      <w:r w:rsidRPr="005936B8">
        <w:rPr>
          <w:b/>
          <w:color w:val="002F5D"/>
        </w:rPr>
        <w:t>Source:</w:t>
      </w:r>
      <w:r w:rsidRPr="005936B8">
        <w:rPr>
          <w:color w:val="002F5D"/>
        </w:rPr>
        <w:t xml:space="preserve"> Cambridgeshire County Council Public Health Intelligence (NHS Digital Primary Care Mortality Database, </w:t>
      </w:r>
      <w:r w:rsidR="000C6516">
        <w:rPr>
          <w:color w:val="002F5D"/>
        </w:rPr>
        <w:t xml:space="preserve">ONS </w:t>
      </w:r>
      <w:r w:rsidRPr="005936B8">
        <w:rPr>
          <w:color w:val="002F5D"/>
        </w:rPr>
        <w:t>mid-year population estimates, 2015 Index of Multiple Deprivation).</w:t>
      </w:r>
    </w:p>
    <w:p w14:paraId="5EA23C64" w14:textId="77777777" w:rsidR="00FE1AAC" w:rsidRPr="0037351D" w:rsidRDefault="00FE1AAC" w:rsidP="005B7C21">
      <w:pPr>
        <w:spacing w:line="240" w:lineRule="auto"/>
        <w:rPr>
          <w:color w:val="FF0000"/>
          <w:sz w:val="16"/>
          <w:szCs w:val="16"/>
        </w:rPr>
      </w:pPr>
    </w:p>
    <w:p w14:paraId="10F3AE89" w14:textId="77777777" w:rsidR="00FE1AAC" w:rsidRPr="005936B8" w:rsidRDefault="00802BA7" w:rsidP="005B7C21">
      <w:pPr>
        <w:spacing w:line="240" w:lineRule="auto"/>
        <w:rPr>
          <w:b/>
          <w:color w:val="002F5D"/>
        </w:rPr>
      </w:pPr>
      <w:r w:rsidRPr="005936B8">
        <w:rPr>
          <w:b/>
          <w:color w:val="002F5D"/>
        </w:rPr>
        <w:t>Key point</w:t>
      </w:r>
      <w:r w:rsidR="00FE1AAC" w:rsidRPr="005936B8">
        <w:rPr>
          <w:b/>
          <w:color w:val="002F5D"/>
        </w:rPr>
        <w:t>:</w:t>
      </w:r>
    </w:p>
    <w:p w14:paraId="6F7B67F4" w14:textId="0FB1BC81" w:rsidR="00FE1AAC" w:rsidRPr="005936B8" w:rsidRDefault="00FE1AAC" w:rsidP="005B7C21">
      <w:pPr>
        <w:pStyle w:val="ListParagraph"/>
        <w:numPr>
          <w:ilvl w:val="0"/>
          <w:numId w:val="11"/>
        </w:numPr>
        <w:spacing w:line="240" w:lineRule="auto"/>
        <w:rPr>
          <w:color w:val="002F5D"/>
        </w:rPr>
      </w:pPr>
      <w:r w:rsidRPr="005936B8">
        <w:rPr>
          <w:color w:val="002F5D"/>
        </w:rPr>
        <w:t>The rate</w:t>
      </w:r>
      <w:r w:rsidR="00EC5366" w:rsidRPr="005936B8">
        <w:rPr>
          <w:color w:val="002F5D"/>
        </w:rPr>
        <w:t>s</w:t>
      </w:r>
      <w:r w:rsidRPr="005936B8">
        <w:rPr>
          <w:color w:val="002F5D"/>
        </w:rPr>
        <w:t xml:space="preserve"> of </w:t>
      </w:r>
      <w:r w:rsidR="00EC5366" w:rsidRPr="005936B8">
        <w:rPr>
          <w:color w:val="002F5D"/>
        </w:rPr>
        <w:t xml:space="preserve">all-age and under 75 </w:t>
      </w:r>
      <w:r w:rsidRPr="005936B8">
        <w:rPr>
          <w:color w:val="002F5D"/>
        </w:rPr>
        <w:t>mortality due to cardiovascular disease</w:t>
      </w:r>
      <w:r w:rsidR="00EC5366" w:rsidRPr="005936B8">
        <w:rPr>
          <w:color w:val="002F5D"/>
        </w:rPr>
        <w:t xml:space="preserve"> are</w:t>
      </w:r>
      <w:r w:rsidRPr="005936B8">
        <w:rPr>
          <w:color w:val="002F5D"/>
        </w:rPr>
        <w:t xml:space="preserve"> statistically significantly higher than the Cambridgeshire average in the most deprived 20% of wards in the county</w:t>
      </w:r>
      <w:r w:rsidR="005842D2">
        <w:rPr>
          <w:color w:val="002F5D"/>
        </w:rPr>
        <w:t xml:space="preserve"> and statistically significantly lower than the Cambridgeshire average in the least deprived 20% of wards in the county</w:t>
      </w:r>
      <w:r w:rsidRPr="005936B8">
        <w:rPr>
          <w:color w:val="002F5D"/>
        </w:rPr>
        <w:t>.</w:t>
      </w:r>
    </w:p>
    <w:p w14:paraId="6C4FDF98" w14:textId="77777777" w:rsidR="00C73A58" w:rsidRPr="00F44B6A" w:rsidRDefault="00C73A58" w:rsidP="005B7C21">
      <w:pPr>
        <w:spacing w:line="240" w:lineRule="auto"/>
        <w:rPr>
          <w:b/>
          <w:color w:val="FF0000"/>
          <w:sz w:val="16"/>
          <w:szCs w:val="16"/>
        </w:rPr>
      </w:pPr>
    </w:p>
    <w:p w14:paraId="4F41B00C" w14:textId="4FDC05B9" w:rsidR="00802BA7" w:rsidRPr="00F44B6A" w:rsidRDefault="00802BA7" w:rsidP="005B7C21">
      <w:pPr>
        <w:pStyle w:val="Caption"/>
        <w:rPr>
          <w:b/>
          <w:color w:val="002F5D"/>
        </w:rPr>
      </w:pPr>
      <w:r w:rsidRPr="00F44B6A">
        <w:rPr>
          <w:b/>
          <w:color w:val="002F5D"/>
        </w:rPr>
        <w:t>Table</w:t>
      </w:r>
      <w:r w:rsidR="003209A4">
        <w:rPr>
          <w:b/>
          <w:color w:val="002F5D"/>
        </w:rPr>
        <w:t xml:space="preserve"> </w:t>
      </w:r>
      <w:r w:rsidR="00B81E4B">
        <w:rPr>
          <w:b/>
          <w:color w:val="002F5D"/>
        </w:rPr>
        <w:t>114</w:t>
      </w:r>
      <w:r w:rsidRPr="00F44B6A">
        <w:rPr>
          <w:b/>
          <w:color w:val="002F5D"/>
        </w:rPr>
        <w:t xml:space="preserve">. </w:t>
      </w:r>
      <w:r w:rsidRPr="00330B65">
        <w:rPr>
          <w:color w:val="002F5D"/>
        </w:rPr>
        <w:t xml:space="preserve">Mortality from cardiovascular disease by deprivation quintile of ward </w:t>
      </w:r>
      <w:r w:rsidR="00AA1196" w:rsidRPr="00330B65">
        <w:rPr>
          <w:color w:val="002F5D"/>
        </w:rPr>
        <w:t>of residence, Peterborough, 2015-17</w:t>
      </w:r>
    </w:p>
    <w:p w14:paraId="77A546EE" w14:textId="77777777" w:rsidR="00F44B6A" w:rsidRPr="00F44B6A" w:rsidRDefault="00F44B6A" w:rsidP="00F44B6A"/>
    <w:p w14:paraId="57A01C98" w14:textId="65FA92A3" w:rsidR="00AA1196" w:rsidRDefault="00F44B6A" w:rsidP="00AA1196">
      <w:r w:rsidRPr="00F44B6A">
        <w:rPr>
          <w:noProof/>
          <w:lang w:eastAsia="en-GB"/>
        </w:rPr>
        <w:drawing>
          <wp:inline distT="0" distB="0" distL="0" distR="0" wp14:anchorId="2DAA0C77" wp14:editId="34EBCF2F">
            <wp:extent cx="4200525" cy="19431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200525" cy="1943100"/>
                    </a:xfrm>
                    <a:prstGeom prst="rect">
                      <a:avLst/>
                    </a:prstGeom>
                    <a:noFill/>
                    <a:ln>
                      <a:noFill/>
                    </a:ln>
                  </pic:spPr>
                </pic:pic>
              </a:graphicData>
            </a:graphic>
          </wp:inline>
        </w:drawing>
      </w:r>
    </w:p>
    <w:p w14:paraId="24B37E08" w14:textId="477FF339" w:rsidR="00802BA7" w:rsidRPr="00AA1196" w:rsidRDefault="00802BA7" w:rsidP="00656C79">
      <w:pPr>
        <w:spacing w:line="240" w:lineRule="auto"/>
        <w:rPr>
          <w:color w:val="002F5D"/>
          <w:sz w:val="16"/>
          <w:szCs w:val="16"/>
        </w:rPr>
      </w:pPr>
    </w:p>
    <w:p w14:paraId="14F6B23B" w14:textId="77777777" w:rsidR="00802BA7" w:rsidRPr="00AA1196" w:rsidRDefault="00802BA7" w:rsidP="005B7C21">
      <w:pPr>
        <w:spacing w:line="240" w:lineRule="auto"/>
        <w:rPr>
          <w:color w:val="002F5D"/>
          <w:sz w:val="18"/>
        </w:rPr>
      </w:pPr>
      <w:r w:rsidRPr="00AA1196">
        <w:rPr>
          <w:color w:val="002F5D"/>
          <w:sz w:val="18"/>
        </w:rPr>
        <w:t>DASR - Directly age-standardised rate</w:t>
      </w:r>
    </w:p>
    <w:p w14:paraId="5720332F" w14:textId="77777777" w:rsidR="00713219" w:rsidRPr="0037351D" w:rsidRDefault="00713219" w:rsidP="005B7C21">
      <w:pPr>
        <w:spacing w:line="240" w:lineRule="auto"/>
        <w:rPr>
          <w:color w:val="FF0000"/>
          <w:sz w:val="16"/>
          <w:szCs w:val="16"/>
        </w:rPr>
      </w:pPr>
    </w:p>
    <w:p w14:paraId="0958834B" w14:textId="77777777" w:rsidR="00802BA7" w:rsidRPr="0037351D" w:rsidRDefault="00D33F31" w:rsidP="005B7C21">
      <w:pPr>
        <w:spacing w:line="240" w:lineRule="auto"/>
        <w:rPr>
          <w:color w:val="FF0000"/>
        </w:rPr>
      </w:pPr>
      <w:r w:rsidRPr="0037351D">
        <w:rPr>
          <w:noProof/>
          <w:color w:val="FF0000"/>
          <w:lang w:eastAsia="en-GB"/>
        </w:rPr>
        <w:drawing>
          <wp:inline distT="0" distB="0" distL="0" distR="0" wp14:anchorId="2727AD57" wp14:editId="3831BACC">
            <wp:extent cx="3355450" cy="505719"/>
            <wp:effectExtent l="0" t="0" r="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412288" cy="514285"/>
                    </a:xfrm>
                    <a:prstGeom prst="rect">
                      <a:avLst/>
                    </a:prstGeom>
                    <a:noFill/>
                  </pic:spPr>
                </pic:pic>
              </a:graphicData>
            </a:graphic>
          </wp:inline>
        </w:drawing>
      </w:r>
    </w:p>
    <w:p w14:paraId="23B19955" w14:textId="77777777" w:rsidR="00D33F31" w:rsidRPr="0037351D" w:rsidRDefault="00D33F31" w:rsidP="005B7C21">
      <w:pPr>
        <w:spacing w:line="240" w:lineRule="auto"/>
        <w:rPr>
          <w:color w:val="FF0000"/>
          <w:sz w:val="16"/>
          <w:szCs w:val="16"/>
        </w:rPr>
      </w:pPr>
    </w:p>
    <w:p w14:paraId="6F54177C" w14:textId="49C668D0" w:rsidR="00802BA7" w:rsidRPr="00AA1196" w:rsidRDefault="00802BA7" w:rsidP="00713219">
      <w:pPr>
        <w:spacing w:line="240" w:lineRule="auto"/>
        <w:rPr>
          <w:color w:val="002F5D"/>
        </w:rPr>
      </w:pPr>
      <w:r w:rsidRPr="00AA1196">
        <w:rPr>
          <w:b/>
          <w:color w:val="002F5D"/>
        </w:rPr>
        <w:t>Source:</w:t>
      </w:r>
      <w:r w:rsidRPr="00AA1196">
        <w:rPr>
          <w:color w:val="002F5D"/>
        </w:rPr>
        <w:t xml:space="preserve"> Cambridgeshire County Council Public Health Intelligence (NHS Digital Primary Care Mortality Database, </w:t>
      </w:r>
      <w:r w:rsidR="000C6516">
        <w:rPr>
          <w:color w:val="002F5D"/>
        </w:rPr>
        <w:t>ONS</w:t>
      </w:r>
      <w:r w:rsidRPr="00AA1196">
        <w:rPr>
          <w:color w:val="002F5D"/>
        </w:rPr>
        <w:t xml:space="preserve"> mid-year population estimates, 2015 Index of Multiple Deprivation).</w:t>
      </w:r>
    </w:p>
    <w:p w14:paraId="0D1632AF" w14:textId="77777777" w:rsidR="00AA1196" w:rsidRDefault="00AA1196" w:rsidP="007368D9">
      <w:pPr>
        <w:spacing w:line="240" w:lineRule="auto"/>
        <w:rPr>
          <w:b/>
          <w:color w:val="FF0000"/>
        </w:rPr>
      </w:pPr>
    </w:p>
    <w:p w14:paraId="4B3609DD" w14:textId="77777777" w:rsidR="007368D9" w:rsidRDefault="00802BA7" w:rsidP="007368D9">
      <w:pPr>
        <w:spacing w:line="240" w:lineRule="auto"/>
        <w:rPr>
          <w:b/>
          <w:color w:val="002F5D"/>
        </w:rPr>
      </w:pPr>
      <w:r w:rsidRPr="00AA1196">
        <w:rPr>
          <w:b/>
          <w:color w:val="002F5D"/>
        </w:rPr>
        <w:t>Key point:</w:t>
      </w:r>
    </w:p>
    <w:p w14:paraId="59E9A7CF" w14:textId="77777777" w:rsidR="00AA1196" w:rsidRPr="00AA1196" w:rsidRDefault="00AA1196" w:rsidP="007368D9">
      <w:pPr>
        <w:spacing w:line="240" w:lineRule="auto"/>
        <w:rPr>
          <w:b/>
          <w:color w:val="002F5D"/>
        </w:rPr>
      </w:pPr>
    </w:p>
    <w:p w14:paraId="76FFE249" w14:textId="1A84B86B" w:rsidR="00656C79" w:rsidRPr="0031090A" w:rsidRDefault="00AA1196" w:rsidP="00C700D7">
      <w:pPr>
        <w:pStyle w:val="ListParagraph"/>
        <w:numPr>
          <w:ilvl w:val="0"/>
          <w:numId w:val="11"/>
        </w:numPr>
        <w:spacing w:line="240" w:lineRule="auto"/>
        <w:rPr>
          <w:color w:val="FF0000"/>
        </w:rPr>
      </w:pPr>
      <w:r w:rsidRPr="00C700D7">
        <w:rPr>
          <w:color w:val="002F5D"/>
        </w:rPr>
        <w:t>Rates of all-age and under 75 mortality due to cardiovascular disease are statistically significantly hi</w:t>
      </w:r>
      <w:r w:rsidR="00DF6F5B">
        <w:rPr>
          <w:color w:val="002F5D"/>
        </w:rPr>
        <w:t>gher</w:t>
      </w:r>
      <w:r w:rsidRPr="00C700D7">
        <w:rPr>
          <w:color w:val="002F5D"/>
        </w:rPr>
        <w:t xml:space="preserve"> than the Peterborough average in Peterborough’s second most depr</w:t>
      </w:r>
      <w:r w:rsidR="0031090A">
        <w:rPr>
          <w:color w:val="002F5D"/>
        </w:rPr>
        <w:t>ived 20% of wards and</w:t>
      </w:r>
      <w:r w:rsidR="00C700D7" w:rsidRPr="00C700D7">
        <w:rPr>
          <w:color w:val="002F5D"/>
        </w:rPr>
        <w:t xml:space="preserve"> </w:t>
      </w:r>
      <w:r w:rsidR="00C700D7">
        <w:rPr>
          <w:color w:val="002F5D"/>
        </w:rPr>
        <w:t xml:space="preserve">statistically significantly lower than the Peterborough average in the </w:t>
      </w:r>
      <w:r w:rsidR="00DF6F5B">
        <w:rPr>
          <w:color w:val="002F5D"/>
        </w:rPr>
        <w:t xml:space="preserve">second </w:t>
      </w:r>
      <w:r w:rsidR="00C700D7">
        <w:rPr>
          <w:color w:val="002F5D"/>
        </w:rPr>
        <w:t>least deprived 20% of wards</w:t>
      </w:r>
      <w:r w:rsidR="0031090A">
        <w:rPr>
          <w:color w:val="002F5D"/>
        </w:rPr>
        <w:t xml:space="preserve"> in Peterborough. Rates of under 75 mortality due to cardiovascular disease are</w:t>
      </w:r>
      <w:r w:rsidR="00C700D7">
        <w:rPr>
          <w:color w:val="002F5D"/>
        </w:rPr>
        <w:t xml:space="preserve"> also statistically significantly lower in the least deprived 20%</w:t>
      </w:r>
      <w:r w:rsidR="0031090A">
        <w:rPr>
          <w:color w:val="002F5D"/>
        </w:rPr>
        <w:t xml:space="preserve"> of wards in Peterborough.</w:t>
      </w:r>
    </w:p>
    <w:p w14:paraId="018BF8A2" w14:textId="77777777" w:rsidR="0031090A" w:rsidRPr="00C700D7" w:rsidRDefault="0031090A" w:rsidP="0031090A">
      <w:pPr>
        <w:pStyle w:val="ListParagraph"/>
        <w:spacing w:line="240" w:lineRule="auto"/>
        <w:rPr>
          <w:color w:val="FF0000"/>
        </w:rPr>
      </w:pPr>
    </w:p>
    <w:p w14:paraId="5198FDAF" w14:textId="77777777" w:rsidR="000A0ABA" w:rsidRPr="0037351D" w:rsidRDefault="000A0ABA" w:rsidP="00A3568F">
      <w:pPr>
        <w:pStyle w:val="JSNA3"/>
      </w:pPr>
      <w:bookmarkStart w:id="824" w:name="_Toc4407896"/>
      <w:r w:rsidRPr="0037351D">
        <w:t>Cancer</w:t>
      </w:r>
      <w:bookmarkEnd w:id="824"/>
    </w:p>
    <w:p w14:paraId="75490374" w14:textId="77777777" w:rsidR="00641B84" w:rsidRPr="0037351D" w:rsidRDefault="00641B84" w:rsidP="00F10E66">
      <w:pPr>
        <w:pStyle w:val="Caption"/>
        <w:rPr>
          <w:iCs w:val="0"/>
          <w:color w:val="FF0000"/>
          <w:szCs w:val="22"/>
        </w:rPr>
      </w:pPr>
    </w:p>
    <w:p w14:paraId="0D167407" w14:textId="3C9CD2F6" w:rsidR="000A0ABA" w:rsidRDefault="00E07539" w:rsidP="005B7C21">
      <w:pPr>
        <w:pStyle w:val="Caption"/>
        <w:rPr>
          <w:color w:val="002F5D"/>
        </w:rPr>
      </w:pPr>
      <w:r w:rsidRPr="00950912">
        <w:rPr>
          <w:b/>
          <w:color w:val="002F5D"/>
        </w:rPr>
        <w:t>Table</w:t>
      </w:r>
      <w:r w:rsidR="003209A4">
        <w:rPr>
          <w:b/>
          <w:color w:val="002F5D"/>
        </w:rPr>
        <w:t xml:space="preserve"> </w:t>
      </w:r>
      <w:r w:rsidR="00B81E4B">
        <w:rPr>
          <w:b/>
          <w:color w:val="002F5D"/>
        </w:rPr>
        <w:t>115</w:t>
      </w:r>
      <w:r w:rsidR="000A0ABA" w:rsidRPr="00950912">
        <w:rPr>
          <w:b/>
          <w:color w:val="002F5D"/>
        </w:rPr>
        <w:t xml:space="preserve">. </w:t>
      </w:r>
      <w:r w:rsidR="000A0ABA" w:rsidRPr="00950912">
        <w:rPr>
          <w:color w:val="002F5D"/>
        </w:rPr>
        <w:t>Mortality from cancer, Cambridgeshire</w:t>
      </w:r>
      <w:r w:rsidR="00641B84" w:rsidRPr="00950912">
        <w:rPr>
          <w:color w:val="002F5D"/>
        </w:rPr>
        <w:t xml:space="preserve"> and Peterborough</w:t>
      </w:r>
      <w:r w:rsidR="00950912" w:rsidRPr="00950912">
        <w:rPr>
          <w:color w:val="002F5D"/>
        </w:rPr>
        <w:t>, 2015-17</w:t>
      </w:r>
    </w:p>
    <w:p w14:paraId="3F4B4CD3" w14:textId="77777777" w:rsidR="00DA58E7" w:rsidRPr="00DA58E7" w:rsidRDefault="00DA58E7" w:rsidP="00DA58E7"/>
    <w:p w14:paraId="57578661" w14:textId="103B3AFF" w:rsidR="00950912" w:rsidRPr="00950912" w:rsidRDefault="00DA58E7" w:rsidP="00950912">
      <w:r w:rsidRPr="00DA58E7">
        <w:rPr>
          <w:noProof/>
          <w:lang w:eastAsia="en-GB"/>
        </w:rPr>
        <w:drawing>
          <wp:inline distT="0" distB="0" distL="0" distR="0" wp14:anchorId="7047BA47" wp14:editId="03BCD5B4">
            <wp:extent cx="5229225" cy="21526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29225" cy="2152650"/>
                    </a:xfrm>
                    <a:prstGeom prst="rect">
                      <a:avLst/>
                    </a:prstGeom>
                    <a:noFill/>
                    <a:ln>
                      <a:noFill/>
                    </a:ln>
                  </pic:spPr>
                </pic:pic>
              </a:graphicData>
            </a:graphic>
          </wp:inline>
        </w:drawing>
      </w:r>
    </w:p>
    <w:p w14:paraId="5FC81BEC" w14:textId="77777777" w:rsidR="00AA30CB" w:rsidRPr="00950912" w:rsidRDefault="00AA30CB" w:rsidP="005B7C21">
      <w:pPr>
        <w:spacing w:line="240" w:lineRule="auto"/>
        <w:rPr>
          <w:color w:val="002F5D"/>
        </w:rPr>
      </w:pPr>
    </w:p>
    <w:p w14:paraId="1AE40C58" w14:textId="77777777" w:rsidR="000A0ABA" w:rsidRDefault="000A0ABA" w:rsidP="005B7C21">
      <w:pPr>
        <w:spacing w:line="240" w:lineRule="auto"/>
        <w:rPr>
          <w:color w:val="002F5D"/>
          <w:sz w:val="18"/>
        </w:rPr>
      </w:pPr>
      <w:r w:rsidRPr="00950912">
        <w:rPr>
          <w:color w:val="002F5D"/>
          <w:sz w:val="18"/>
        </w:rPr>
        <w:t>DASR - Directly age-standardised rate</w:t>
      </w:r>
    </w:p>
    <w:p w14:paraId="2D6341B2" w14:textId="77777777" w:rsidR="00196B41" w:rsidRPr="0037351D" w:rsidRDefault="00196B41" w:rsidP="00196B41">
      <w:pPr>
        <w:spacing w:line="240" w:lineRule="auto"/>
        <w:rPr>
          <w:color w:val="FF0000"/>
        </w:rPr>
      </w:pPr>
    </w:p>
    <w:p w14:paraId="53DC0CF3" w14:textId="77777777" w:rsidR="00196B41" w:rsidRPr="00196B41" w:rsidRDefault="00196B41" w:rsidP="00196B41">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3BE9A476" w14:textId="77777777" w:rsidR="00196B41" w:rsidRPr="00196B41" w:rsidRDefault="00196B41" w:rsidP="00196B41">
      <w:pPr>
        <w:spacing w:line="240" w:lineRule="auto"/>
        <w:rPr>
          <w:color w:val="002F5D"/>
          <w:sz w:val="18"/>
          <w:szCs w:val="18"/>
        </w:rPr>
      </w:pPr>
    </w:p>
    <w:p w14:paraId="0D5FC05C" w14:textId="1E90FE46" w:rsidR="00196B41" w:rsidRPr="00950912" w:rsidRDefault="00196B41" w:rsidP="005B7C21">
      <w:pPr>
        <w:spacing w:line="240" w:lineRule="auto"/>
        <w:rPr>
          <w:color w:val="002F5D"/>
          <w:sz w:val="18"/>
        </w:rPr>
      </w:pPr>
      <w:r>
        <w:rPr>
          <w:noProof/>
          <w:color w:val="002F5D"/>
          <w:sz w:val="18"/>
          <w:lang w:eastAsia="en-GB"/>
        </w:rPr>
        <w:drawing>
          <wp:inline distT="0" distB="0" distL="0" distR="0" wp14:anchorId="49305FEB" wp14:editId="0ACB19F9">
            <wp:extent cx="3733800" cy="53948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127" cy="541699"/>
                    </a:xfrm>
                    <a:prstGeom prst="rect">
                      <a:avLst/>
                    </a:prstGeom>
                    <a:noFill/>
                  </pic:spPr>
                </pic:pic>
              </a:graphicData>
            </a:graphic>
          </wp:inline>
        </w:drawing>
      </w:r>
    </w:p>
    <w:p w14:paraId="4EE15415" w14:textId="77777777" w:rsidR="000A0ABA" w:rsidRPr="0037351D" w:rsidRDefault="000A0ABA" w:rsidP="005B7C21">
      <w:pPr>
        <w:spacing w:line="240" w:lineRule="auto"/>
        <w:rPr>
          <w:color w:val="FF0000"/>
        </w:rPr>
      </w:pPr>
    </w:p>
    <w:p w14:paraId="35639920" w14:textId="660F89EF" w:rsidR="000A0ABA" w:rsidRPr="00950912" w:rsidRDefault="000A0ABA" w:rsidP="005B7C21">
      <w:pPr>
        <w:spacing w:line="240" w:lineRule="auto"/>
        <w:rPr>
          <w:color w:val="002F5D"/>
        </w:rPr>
      </w:pPr>
      <w:r w:rsidRPr="00950912">
        <w:rPr>
          <w:b/>
          <w:color w:val="002F5D"/>
        </w:rPr>
        <w:t>Source:</w:t>
      </w:r>
      <w:r w:rsidRPr="00950912">
        <w:rPr>
          <w:color w:val="002F5D"/>
        </w:rPr>
        <w:t xml:space="preserve"> Cambridgeshire County Council Public Health Intelligence (NHS Digital Primary Care Mortality Database, </w:t>
      </w:r>
      <w:r w:rsidR="000C6516">
        <w:rPr>
          <w:color w:val="002F5D"/>
        </w:rPr>
        <w:t>ONS</w:t>
      </w:r>
      <w:r w:rsidRPr="00950912">
        <w:rPr>
          <w:color w:val="002F5D"/>
        </w:rPr>
        <w:t xml:space="preserve"> mid-year population estimates).</w:t>
      </w:r>
    </w:p>
    <w:p w14:paraId="48F61EE4" w14:textId="77777777" w:rsidR="000A0ABA" w:rsidRPr="0037351D" w:rsidRDefault="000A0ABA" w:rsidP="005B7C21">
      <w:pPr>
        <w:spacing w:line="240" w:lineRule="auto"/>
        <w:rPr>
          <w:color w:val="FF0000"/>
        </w:rPr>
      </w:pPr>
    </w:p>
    <w:p w14:paraId="250BE87F" w14:textId="77777777" w:rsidR="000A0ABA" w:rsidRPr="00950912" w:rsidRDefault="000A0ABA" w:rsidP="005B7C21">
      <w:pPr>
        <w:spacing w:line="240" w:lineRule="auto"/>
        <w:rPr>
          <w:b/>
          <w:color w:val="002F5D"/>
        </w:rPr>
      </w:pPr>
      <w:r w:rsidRPr="00950912">
        <w:rPr>
          <w:b/>
          <w:color w:val="002F5D"/>
        </w:rPr>
        <w:t>Key points:</w:t>
      </w:r>
    </w:p>
    <w:p w14:paraId="54E3178B" w14:textId="77777777" w:rsidR="00F631B3" w:rsidRPr="00950912" w:rsidRDefault="00F631B3" w:rsidP="005B7C21">
      <w:pPr>
        <w:pStyle w:val="ListParagraph"/>
        <w:numPr>
          <w:ilvl w:val="0"/>
          <w:numId w:val="11"/>
        </w:numPr>
        <w:spacing w:line="240" w:lineRule="auto"/>
        <w:rPr>
          <w:color w:val="002F5D"/>
        </w:rPr>
      </w:pPr>
      <w:r w:rsidRPr="00950912">
        <w:rPr>
          <w:color w:val="002F5D"/>
        </w:rPr>
        <w:t>The rate of all-age and under 75 mortality from cancer is statistically significantly higher (worse) than the Cambridgeshire and Peterborough combined average in Peterborough.</w:t>
      </w:r>
    </w:p>
    <w:p w14:paraId="270B0D4F" w14:textId="78FBAE42" w:rsidR="00F631B3" w:rsidRPr="00950912" w:rsidRDefault="00950912" w:rsidP="005B7C21">
      <w:pPr>
        <w:pStyle w:val="ListParagraph"/>
        <w:numPr>
          <w:ilvl w:val="0"/>
          <w:numId w:val="11"/>
        </w:numPr>
        <w:spacing w:line="240" w:lineRule="auto"/>
        <w:rPr>
          <w:color w:val="002F5D"/>
        </w:rPr>
      </w:pPr>
      <w:r>
        <w:rPr>
          <w:color w:val="002F5D"/>
        </w:rPr>
        <w:t>The rate of all-age mortality</w:t>
      </w:r>
      <w:r w:rsidRPr="00950912">
        <w:rPr>
          <w:color w:val="002F5D"/>
        </w:rPr>
        <w:t xml:space="preserve"> and under 75 mortality </w:t>
      </w:r>
      <w:r w:rsidR="00F631B3" w:rsidRPr="00950912">
        <w:rPr>
          <w:color w:val="002F5D"/>
        </w:rPr>
        <w:t>from cancer is statistically similar to the Cambridgeshire and Peterborough com</w:t>
      </w:r>
      <w:r w:rsidRPr="00950912">
        <w:rPr>
          <w:color w:val="002F5D"/>
        </w:rPr>
        <w:t>bined average in Cambridgeshire.</w:t>
      </w:r>
    </w:p>
    <w:p w14:paraId="6E0A530F" w14:textId="77777777" w:rsidR="000A0ABA" w:rsidRPr="00950912" w:rsidRDefault="000A0ABA" w:rsidP="005B7C21">
      <w:pPr>
        <w:pStyle w:val="ListParagraph"/>
        <w:numPr>
          <w:ilvl w:val="0"/>
          <w:numId w:val="11"/>
        </w:numPr>
        <w:spacing w:line="240" w:lineRule="auto"/>
        <w:rPr>
          <w:color w:val="002F5D"/>
        </w:rPr>
      </w:pPr>
      <w:r w:rsidRPr="00950912">
        <w:rPr>
          <w:color w:val="002F5D"/>
        </w:rPr>
        <w:t>The rate of all-age and under 75 mortality from cancer is statistically significantly higher than the Cambridgeshire average in Fenland.</w:t>
      </w:r>
    </w:p>
    <w:p w14:paraId="1D214B9B" w14:textId="4A9BAAD3" w:rsidR="000A0ABA" w:rsidRPr="00950912" w:rsidRDefault="000A0ABA" w:rsidP="005B7C21">
      <w:pPr>
        <w:pStyle w:val="ListParagraph"/>
        <w:numPr>
          <w:ilvl w:val="0"/>
          <w:numId w:val="11"/>
        </w:numPr>
        <w:spacing w:line="240" w:lineRule="auto"/>
        <w:rPr>
          <w:color w:val="002F5D"/>
        </w:rPr>
      </w:pPr>
      <w:r w:rsidRPr="00950912">
        <w:rPr>
          <w:color w:val="002F5D"/>
        </w:rPr>
        <w:t>Around 1,</w:t>
      </w:r>
      <w:r w:rsidR="00F631B3" w:rsidRPr="00950912">
        <w:rPr>
          <w:color w:val="002F5D"/>
        </w:rPr>
        <w:t>9</w:t>
      </w:r>
      <w:r w:rsidR="00DA58E7">
        <w:rPr>
          <w:color w:val="002F5D"/>
        </w:rPr>
        <w:t>6</w:t>
      </w:r>
      <w:r w:rsidRPr="00950912">
        <w:rPr>
          <w:color w:val="002F5D"/>
        </w:rPr>
        <w:t>0 Cambridgeshire</w:t>
      </w:r>
      <w:r w:rsidR="00F631B3" w:rsidRPr="00950912">
        <w:rPr>
          <w:color w:val="002F5D"/>
        </w:rPr>
        <w:t xml:space="preserve"> and Peterborough</w:t>
      </w:r>
      <w:r w:rsidRPr="00950912">
        <w:rPr>
          <w:color w:val="002F5D"/>
        </w:rPr>
        <w:t xml:space="preserve"> residents died each year </w:t>
      </w:r>
      <w:r w:rsidR="00D66680" w:rsidRPr="00950912">
        <w:rPr>
          <w:color w:val="002F5D"/>
        </w:rPr>
        <w:t xml:space="preserve">from cancer </w:t>
      </w:r>
      <w:r w:rsidR="00950912" w:rsidRPr="00950912">
        <w:rPr>
          <w:color w:val="002F5D"/>
        </w:rPr>
        <w:t>between 2015 and 2017</w:t>
      </w:r>
      <w:r w:rsidRPr="00950912">
        <w:rPr>
          <w:color w:val="002F5D"/>
        </w:rPr>
        <w:t>.</w:t>
      </w:r>
    </w:p>
    <w:p w14:paraId="215E352E" w14:textId="77777777" w:rsidR="000A0ABA" w:rsidRPr="0037351D" w:rsidRDefault="000A0ABA" w:rsidP="005B7C21">
      <w:pPr>
        <w:spacing w:line="240" w:lineRule="auto"/>
        <w:rPr>
          <w:color w:val="FF0000"/>
        </w:rPr>
      </w:pPr>
    </w:p>
    <w:p w14:paraId="362ADE35" w14:textId="77777777" w:rsidR="000A0ABA" w:rsidRPr="0037351D" w:rsidRDefault="000A0ABA" w:rsidP="00F10E66">
      <w:pPr>
        <w:spacing w:line="240" w:lineRule="auto"/>
        <w:rPr>
          <w:b/>
          <w:color w:val="FF0000"/>
        </w:rPr>
      </w:pPr>
      <w:r w:rsidRPr="0037351D">
        <w:rPr>
          <w:b/>
          <w:color w:val="FF0000"/>
        </w:rPr>
        <w:br w:type="page"/>
      </w:r>
    </w:p>
    <w:p w14:paraId="259B6F72" w14:textId="2B7FD979" w:rsidR="000A0ABA" w:rsidRDefault="00E07539" w:rsidP="005B7C21">
      <w:pPr>
        <w:pStyle w:val="Caption"/>
        <w:rPr>
          <w:color w:val="002F5D"/>
        </w:rPr>
      </w:pPr>
      <w:r w:rsidRPr="00950912">
        <w:rPr>
          <w:b/>
          <w:color w:val="002F5D"/>
        </w:rPr>
        <w:lastRenderedPageBreak/>
        <w:t>Table</w:t>
      </w:r>
      <w:r w:rsidR="003209A4">
        <w:rPr>
          <w:b/>
          <w:color w:val="002F5D"/>
        </w:rPr>
        <w:t xml:space="preserve"> </w:t>
      </w:r>
      <w:r w:rsidR="00B81E4B">
        <w:rPr>
          <w:b/>
          <w:color w:val="002F5D"/>
        </w:rPr>
        <w:t>116</w:t>
      </w:r>
      <w:r w:rsidR="000A0ABA" w:rsidRPr="00950912">
        <w:rPr>
          <w:b/>
          <w:color w:val="002F5D"/>
        </w:rPr>
        <w:t>.</w:t>
      </w:r>
      <w:r w:rsidR="000A0ABA" w:rsidRPr="00950912">
        <w:rPr>
          <w:color w:val="002F5D"/>
        </w:rPr>
        <w:t xml:space="preserve"> Mortality from </w:t>
      </w:r>
      <w:r w:rsidR="002341D5" w:rsidRPr="00950912">
        <w:rPr>
          <w:color w:val="002F5D"/>
        </w:rPr>
        <w:t>cancer</w:t>
      </w:r>
      <w:r w:rsidR="000A0ABA" w:rsidRPr="00950912">
        <w:rPr>
          <w:color w:val="002F5D"/>
        </w:rPr>
        <w:t xml:space="preserve"> by deprivation quintile of ward of</w:t>
      </w:r>
      <w:r w:rsidR="00950912">
        <w:rPr>
          <w:color w:val="002F5D"/>
        </w:rPr>
        <w:t xml:space="preserve"> residence, Cambridgeshire, 2015-17</w:t>
      </w:r>
    </w:p>
    <w:p w14:paraId="7AD9ED49" w14:textId="77777777" w:rsidR="007B2AC1" w:rsidRPr="007B2AC1" w:rsidRDefault="007B2AC1" w:rsidP="007B2AC1"/>
    <w:p w14:paraId="273F0068" w14:textId="0EFE97DE" w:rsidR="00934510" w:rsidRDefault="007B2AC1" w:rsidP="00934510">
      <w:r w:rsidRPr="007B2AC1">
        <w:rPr>
          <w:noProof/>
          <w:lang w:eastAsia="en-GB"/>
        </w:rPr>
        <w:drawing>
          <wp:inline distT="0" distB="0" distL="0" distR="0" wp14:anchorId="3371582A" wp14:editId="6DA73328">
            <wp:extent cx="4210050" cy="165877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15279" cy="1660838"/>
                    </a:xfrm>
                    <a:prstGeom prst="rect">
                      <a:avLst/>
                    </a:prstGeom>
                    <a:noFill/>
                    <a:ln>
                      <a:noFill/>
                    </a:ln>
                  </pic:spPr>
                </pic:pic>
              </a:graphicData>
            </a:graphic>
          </wp:inline>
        </w:drawing>
      </w:r>
    </w:p>
    <w:p w14:paraId="10CA4C9C" w14:textId="77777777" w:rsidR="003A021F" w:rsidRPr="0037351D" w:rsidRDefault="003A021F" w:rsidP="005B7C21">
      <w:pPr>
        <w:spacing w:line="240" w:lineRule="auto"/>
        <w:rPr>
          <w:color w:val="FF0000"/>
          <w:sz w:val="18"/>
        </w:rPr>
      </w:pPr>
    </w:p>
    <w:p w14:paraId="3BE9C953" w14:textId="77777777" w:rsidR="000A0ABA" w:rsidRPr="00934510" w:rsidRDefault="000A0ABA" w:rsidP="005B7C21">
      <w:pPr>
        <w:spacing w:line="240" w:lineRule="auto"/>
        <w:rPr>
          <w:color w:val="002F5D"/>
          <w:sz w:val="18"/>
        </w:rPr>
      </w:pPr>
      <w:r w:rsidRPr="00934510">
        <w:rPr>
          <w:color w:val="002F5D"/>
          <w:sz w:val="18"/>
        </w:rPr>
        <w:t>DASR - Directly age-standardised rate</w:t>
      </w:r>
    </w:p>
    <w:p w14:paraId="12DD4807" w14:textId="77777777" w:rsidR="000A0ABA" w:rsidRPr="0037351D" w:rsidRDefault="000A0ABA" w:rsidP="005B7C21">
      <w:pPr>
        <w:spacing w:line="240" w:lineRule="auto"/>
        <w:rPr>
          <w:color w:val="FF0000"/>
        </w:rPr>
      </w:pPr>
    </w:p>
    <w:p w14:paraId="4E20E3F9" w14:textId="77777777" w:rsidR="000A0ABA" w:rsidRPr="0037351D" w:rsidRDefault="000A0ABA" w:rsidP="005B7C21">
      <w:pPr>
        <w:spacing w:line="240" w:lineRule="auto"/>
        <w:rPr>
          <w:color w:val="FF0000"/>
        </w:rPr>
      </w:pPr>
      <w:r w:rsidRPr="0037351D">
        <w:rPr>
          <w:noProof/>
          <w:color w:val="FF0000"/>
          <w:lang w:eastAsia="en-GB"/>
        </w:rPr>
        <w:drawing>
          <wp:inline distT="0" distB="0" distL="0" distR="0" wp14:anchorId="56D2F473" wp14:editId="75F8B890">
            <wp:extent cx="4152900" cy="46672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5ED6A078" w14:textId="77777777" w:rsidR="000A0ABA" w:rsidRPr="0037351D" w:rsidRDefault="000A0ABA" w:rsidP="005B7C21">
      <w:pPr>
        <w:spacing w:line="240" w:lineRule="auto"/>
        <w:rPr>
          <w:color w:val="FF0000"/>
        </w:rPr>
      </w:pPr>
    </w:p>
    <w:p w14:paraId="6AD713B4" w14:textId="281AFB55" w:rsidR="000A0ABA" w:rsidRPr="0037351D" w:rsidRDefault="000A0ABA" w:rsidP="005B7C21">
      <w:pPr>
        <w:spacing w:line="240" w:lineRule="auto"/>
        <w:rPr>
          <w:color w:val="FF0000"/>
        </w:rPr>
      </w:pPr>
      <w:r w:rsidRPr="00934510">
        <w:rPr>
          <w:b/>
          <w:color w:val="002F5D"/>
        </w:rPr>
        <w:t>Source:</w:t>
      </w:r>
      <w:r w:rsidRPr="00934510">
        <w:rPr>
          <w:color w:val="002F5D"/>
        </w:rPr>
        <w:t xml:space="preserve"> Cambridgeshire County Council Public Health Intelligence (NHS Digital Primary Care Mortality Database, </w:t>
      </w:r>
      <w:r w:rsidR="000C6516">
        <w:rPr>
          <w:color w:val="002F5D"/>
        </w:rPr>
        <w:t>ONS</w:t>
      </w:r>
      <w:r w:rsidRPr="00934510">
        <w:rPr>
          <w:color w:val="002F5D"/>
        </w:rPr>
        <w:t xml:space="preserve"> mid-year population estimates, 2015 Index of Multiple Deprivation).</w:t>
      </w:r>
    </w:p>
    <w:p w14:paraId="581BC0BF" w14:textId="77777777" w:rsidR="000A0ABA" w:rsidRPr="0037351D" w:rsidRDefault="000A0ABA" w:rsidP="005B7C21">
      <w:pPr>
        <w:spacing w:line="240" w:lineRule="auto"/>
        <w:rPr>
          <w:color w:val="FF0000"/>
        </w:rPr>
      </w:pPr>
    </w:p>
    <w:p w14:paraId="3BBE5001" w14:textId="16DC9365" w:rsidR="000A0ABA" w:rsidRPr="00934510" w:rsidRDefault="000A0ABA" w:rsidP="005B7C21">
      <w:pPr>
        <w:spacing w:line="240" w:lineRule="auto"/>
        <w:rPr>
          <w:b/>
          <w:color w:val="002F5D"/>
        </w:rPr>
      </w:pPr>
      <w:r w:rsidRPr="00934510">
        <w:rPr>
          <w:b/>
          <w:color w:val="002F5D"/>
        </w:rPr>
        <w:t>Key point:</w:t>
      </w:r>
    </w:p>
    <w:p w14:paraId="0F10106E" w14:textId="77777777" w:rsidR="000A0ABA" w:rsidRPr="00934510" w:rsidRDefault="000A0ABA" w:rsidP="005B7C21">
      <w:pPr>
        <w:pStyle w:val="ListParagraph"/>
        <w:numPr>
          <w:ilvl w:val="0"/>
          <w:numId w:val="11"/>
        </w:numPr>
        <w:spacing w:line="240" w:lineRule="auto"/>
        <w:rPr>
          <w:color w:val="002F5D"/>
        </w:rPr>
      </w:pPr>
      <w:r w:rsidRPr="00934510">
        <w:rPr>
          <w:color w:val="002F5D"/>
        </w:rPr>
        <w:t xml:space="preserve">The rate of all-age and under 75 mortality due to </w:t>
      </w:r>
      <w:r w:rsidR="002341D5" w:rsidRPr="00934510">
        <w:rPr>
          <w:color w:val="002F5D"/>
        </w:rPr>
        <w:t>cancer</w:t>
      </w:r>
      <w:r w:rsidRPr="00934510">
        <w:rPr>
          <w:color w:val="002F5D"/>
        </w:rPr>
        <w:t xml:space="preserve"> </w:t>
      </w:r>
      <w:r w:rsidR="002341D5" w:rsidRPr="00934510">
        <w:rPr>
          <w:color w:val="002F5D"/>
        </w:rPr>
        <w:t>is</w:t>
      </w:r>
      <w:r w:rsidRPr="00934510">
        <w:rPr>
          <w:color w:val="002F5D"/>
        </w:rPr>
        <w:t xml:space="preserve"> statistically significantly higher than the Cambridgeshire average in the most deprived 20% of wards in the county.</w:t>
      </w:r>
    </w:p>
    <w:p w14:paraId="76530C2C" w14:textId="77777777" w:rsidR="000A0ABA" w:rsidRPr="0037351D" w:rsidRDefault="000A0ABA" w:rsidP="005B7C21">
      <w:pPr>
        <w:spacing w:line="240" w:lineRule="auto"/>
        <w:rPr>
          <w:color w:val="FF0000"/>
        </w:rPr>
      </w:pPr>
    </w:p>
    <w:p w14:paraId="02244D69" w14:textId="4F8A2466" w:rsidR="002B5E2A" w:rsidRDefault="00802BA7" w:rsidP="00330B65">
      <w:pPr>
        <w:pStyle w:val="Caption"/>
        <w:rPr>
          <w:color w:val="002F5D"/>
        </w:rPr>
      </w:pPr>
      <w:r w:rsidRPr="00934510">
        <w:rPr>
          <w:b/>
          <w:color w:val="002F5D"/>
        </w:rPr>
        <w:t>Table</w:t>
      </w:r>
      <w:r w:rsidR="00B81E4B">
        <w:rPr>
          <w:b/>
          <w:color w:val="002F5D"/>
        </w:rPr>
        <w:t xml:space="preserve"> 117</w:t>
      </w:r>
      <w:r w:rsidRPr="00934510">
        <w:rPr>
          <w:b/>
          <w:color w:val="002F5D"/>
        </w:rPr>
        <w:t>.</w:t>
      </w:r>
      <w:r w:rsidRPr="00934510">
        <w:rPr>
          <w:color w:val="002F5D"/>
        </w:rPr>
        <w:t xml:space="preserve"> Mortality from cancer by deprivation quintile of ward of residen</w:t>
      </w:r>
      <w:r w:rsidR="00934510" w:rsidRPr="00934510">
        <w:rPr>
          <w:color w:val="002F5D"/>
        </w:rPr>
        <w:t xml:space="preserve">ce, Peterborough, </w:t>
      </w:r>
    </w:p>
    <w:p w14:paraId="251931C4" w14:textId="01A32D02" w:rsidR="007B2AC1" w:rsidRPr="007B2AC1" w:rsidRDefault="00934510" w:rsidP="00330B65">
      <w:pPr>
        <w:pStyle w:val="Caption"/>
      </w:pPr>
      <w:r w:rsidRPr="00934510">
        <w:rPr>
          <w:color w:val="002F5D"/>
        </w:rPr>
        <w:t>2015-17</w:t>
      </w:r>
    </w:p>
    <w:p w14:paraId="02E71D3A" w14:textId="6120097F" w:rsidR="00656C79" w:rsidRDefault="007B2AC1" w:rsidP="00656C79">
      <w:pPr>
        <w:rPr>
          <w:color w:val="FF0000"/>
        </w:rPr>
      </w:pPr>
      <w:r w:rsidRPr="007B2AC1">
        <w:rPr>
          <w:noProof/>
          <w:lang w:eastAsia="en-GB"/>
        </w:rPr>
        <w:drawing>
          <wp:inline distT="0" distB="0" distL="0" distR="0" wp14:anchorId="06D26A73" wp14:editId="50ED2B9E">
            <wp:extent cx="4238625" cy="1670036"/>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250089" cy="1674553"/>
                    </a:xfrm>
                    <a:prstGeom prst="rect">
                      <a:avLst/>
                    </a:prstGeom>
                    <a:noFill/>
                    <a:ln>
                      <a:noFill/>
                    </a:ln>
                  </pic:spPr>
                </pic:pic>
              </a:graphicData>
            </a:graphic>
          </wp:inline>
        </w:drawing>
      </w:r>
    </w:p>
    <w:p w14:paraId="2BAECDBD" w14:textId="77777777" w:rsidR="00802BA7" w:rsidRPr="0037351D" w:rsidRDefault="00802BA7" w:rsidP="00802BA7">
      <w:pPr>
        <w:spacing w:line="240" w:lineRule="auto"/>
        <w:rPr>
          <w:color w:val="FF0000"/>
          <w:sz w:val="18"/>
        </w:rPr>
      </w:pPr>
    </w:p>
    <w:p w14:paraId="6C179EC1" w14:textId="77777777" w:rsidR="00802BA7" w:rsidRPr="00934510" w:rsidRDefault="00802BA7" w:rsidP="00802BA7">
      <w:pPr>
        <w:spacing w:line="240" w:lineRule="auto"/>
        <w:rPr>
          <w:color w:val="002F5D"/>
          <w:sz w:val="18"/>
        </w:rPr>
      </w:pPr>
      <w:r w:rsidRPr="00934510">
        <w:rPr>
          <w:color w:val="002F5D"/>
          <w:sz w:val="18"/>
        </w:rPr>
        <w:t>DASR - Directly age-standardised rate</w:t>
      </w:r>
    </w:p>
    <w:p w14:paraId="61323CCF" w14:textId="77777777" w:rsidR="00802BA7" w:rsidRPr="0037351D" w:rsidRDefault="00802BA7" w:rsidP="00802BA7">
      <w:pPr>
        <w:spacing w:line="240" w:lineRule="auto"/>
        <w:rPr>
          <w:color w:val="FF0000"/>
        </w:rPr>
      </w:pPr>
    </w:p>
    <w:p w14:paraId="5F53C436" w14:textId="77777777" w:rsidR="00802BA7" w:rsidRPr="0037351D" w:rsidRDefault="00743B04" w:rsidP="00802BA7">
      <w:pPr>
        <w:spacing w:line="240" w:lineRule="auto"/>
        <w:rPr>
          <w:color w:val="FF0000"/>
        </w:rPr>
      </w:pPr>
      <w:r w:rsidRPr="0037351D">
        <w:rPr>
          <w:noProof/>
          <w:color w:val="FF0000"/>
          <w:lang w:eastAsia="en-GB"/>
        </w:rPr>
        <w:drawing>
          <wp:inline distT="0" distB="0" distL="0" distR="0" wp14:anchorId="2C19E8D9" wp14:editId="7906A385">
            <wp:extent cx="3680460" cy="55626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80460" cy="556260"/>
                    </a:xfrm>
                    <a:prstGeom prst="rect">
                      <a:avLst/>
                    </a:prstGeom>
                    <a:noFill/>
                    <a:ln>
                      <a:noFill/>
                    </a:ln>
                  </pic:spPr>
                </pic:pic>
              </a:graphicData>
            </a:graphic>
          </wp:inline>
        </w:drawing>
      </w:r>
    </w:p>
    <w:p w14:paraId="2B9B44DA" w14:textId="77777777" w:rsidR="00802BA7" w:rsidRPr="0037351D" w:rsidRDefault="00802BA7" w:rsidP="00802BA7">
      <w:pPr>
        <w:spacing w:line="240" w:lineRule="auto"/>
        <w:rPr>
          <w:color w:val="FF0000"/>
        </w:rPr>
      </w:pPr>
    </w:p>
    <w:p w14:paraId="06676B03" w14:textId="6C0251EF" w:rsidR="00EC6150" w:rsidRDefault="00802BA7" w:rsidP="00802BA7">
      <w:pPr>
        <w:spacing w:line="240" w:lineRule="auto"/>
        <w:rPr>
          <w:color w:val="FF0000"/>
        </w:rPr>
      </w:pPr>
      <w:r w:rsidRPr="00934510">
        <w:rPr>
          <w:b/>
          <w:color w:val="002F5D"/>
        </w:rPr>
        <w:t>Source:</w:t>
      </w:r>
      <w:r w:rsidRPr="00934510">
        <w:rPr>
          <w:color w:val="002F5D"/>
        </w:rPr>
        <w:t xml:space="preserve"> Cambridgeshire County Council Public Health Intelligence (NHS Digital Primary Care Mortality Database, </w:t>
      </w:r>
      <w:r w:rsidR="000C6516">
        <w:rPr>
          <w:color w:val="002F5D"/>
        </w:rPr>
        <w:t>ONS</w:t>
      </w:r>
      <w:r w:rsidRPr="00934510">
        <w:rPr>
          <w:color w:val="002F5D"/>
        </w:rPr>
        <w:t xml:space="preserve"> mid-year population estimates, 2015 Index of Multiple Deprivation).</w:t>
      </w:r>
    </w:p>
    <w:p w14:paraId="09D8B50B" w14:textId="77777777" w:rsidR="00EC6150" w:rsidRPr="0037351D" w:rsidRDefault="00EC6150" w:rsidP="00802BA7">
      <w:pPr>
        <w:spacing w:line="240" w:lineRule="auto"/>
        <w:rPr>
          <w:color w:val="FF0000"/>
        </w:rPr>
      </w:pPr>
    </w:p>
    <w:p w14:paraId="26CEA3D9" w14:textId="77777777" w:rsidR="00802BA7" w:rsidRPr="0040058F" w:rsidRDefault="00802BA7" w:rsidP="00802BA7">
      <w:pPr>
        <w:spacing w:line="240" w:lineRule="auto"/>
        <w:rPr>
          <w:b/>
          <w:color w:val="002F5D"/>
        </w:rPr>
      </w:pPr>
      <w:r w:rsidRPr="0040058F">
        <w:rPr>
          <w:b/>
          <w:color w:val="002F5D"/>
        </w:rPr>
        <w:t>Key point:</w:t>
      </w:r>
    </w:p>
    <w:p w14:paraId="5565101E" w14:textId="274F590C" w:rsidR="000A0ABA" w:rsidRPr="00330B65" w:rsidRDefault="00802BA7" w:rsidP="00330B65">
      <w:pPr>
        <w:pStyle w:val="ListParagraph"/>
        <w:numPr>
          <w:ilvl w:val="0"/>
          <w:numId w:val="11"/>
        </w:numPr>
        <w:spacing w:line="240" w:lineRule="auto"/>
        <w:rPr>
          <w:color w:val="FF0000"/>
        </w:rPr>
      </w:pPr>
      <w:r w:rsidRPr="0040058F">
        <w:rPr>
          <w:color w:val="002F5D"/>
        </w:rPr>
        <w:t>The rate</w:t>
      </w:r>
      <w:r w:rsidR="005842D2">
        <w:rPr>
          <w:color w:val="002F5D"/>
        </w:rPr>
        <w:t>s</w:t>
      </w:r>
      <w:r w:rsidRPr="0040058F">
        <w:rPr>
          <w:color w:val="002F5D"/>
        </w:rPr>
        <w:t xml:space="preserve"> of</w:t>
      </w:r>
      <w:r w:rsidR="00196B41">
        <w:rPr>
          <w:color w:val="002F5D"/>
        </w:rPr>
        <w:t xml:space="preserve"> all-age and</w:t>
      </w:r>
      <w:r w:rsidRPr="0040058F">
        <w:rPr>
          <w:color w:val="002F5D"/>
        </w:rPr>
        <w:t xml:space="preserve"> under 75 mortality due to cancer</w:t>
      </w:r>
      <w:r w:rsidR="005842D2">
        <w:rPr>
          <w:color w:val="002F5D"/>
        </w:rPr>
        <w:t xml:space="preserve"> are statistically</w:t>
      </w:r>
      <w:r w:rsidR="00EA3F72" w:rsidRPr="0040058F">
        <w:rPr>
          <w:color w:val="002F5D"/>
        </w:rPr>
        <w:t xml:space="preserve"> </w:t>
      </w:r>
      <w:r w:rsidRPr="0040058F">
        <w:rPr>
          <w:color w:val="002F5D"/>
        </w:rPr>
        <w:t>s</w:t>
      </w:r>
      <w:r w:rsidR="0040058F" w:rsidRPr="0040058F">
        <w:rPr>
          <w:color w:val="002F5D"/>
        </w:rPr>
        <w:t>imilar to</w:t>
      </w:r>
      <w:r w:rsidR="005842D2">
        <w:rPr>
          <w:color w:val="002F5D"/>
        </w:rPr>
        <w:t xml:space="preserve"> the Peterborough average for</w:t>
      </w:r>
      <w:r w:rsidRPr="0040058F">
        <w:rPr>
          <w:color w:val="002F5D"/>
        </w:rPr>
        <w:t xml:space="preserve"> </w:t>
      </w:r>
      <w:r w:rsidR="0040058F" w:rsidRPr="0040058F">
        <w:rPr>
          <w:color w:val="002F5D"/>
        </w:rPr>
        <w:t>all deprivation quintiles</w:t>
      </w:r>
      <w:r w:rsidRPr="0040058F">
        <w:rPr>
          <w:color w:val="002F5D"/>
        </w:rPr>
        <w:t xml:space="preserve"> in Peterborough.</w:t>
      </w:r>
    </w:p>
    <w:p w14:paraId="21284164" w14:textId="77777777" w:rsidR="00CC5C66" w:rsidRPr="0037351D" w:rsidRDefault="00CC5C66" w:rsidP="00A3568F">
      <w:pPr>
        <w:pStyle w:val="JSNA3"/>
      </w:pPr>
      <w:bookmarkStart w:id="825" w:name="_Toc4407897"/>
      <w:r w:rsidRPr="0037351D">
        <w:lastRenderedPageBreak/>
        <w:t>Respiratory disease</w:t>
      </w:r>
      <w:bookmarkEnd w:id="825"/>
    </w:p>
    <w:p w14:paraId="206161C9" w14:textId="77777777" w:rsidR="00CC5C66" w:rsidRPr="00A2687A" w:rsidRDefault="00CC5C66" w:rsidP="00F10E66">
      <w:pPr>
        <w:spacing w:line="240" w:lineRule="auto"/>
        <w:rPr>
          <w:color w:val="002F5D"/>
        </w:rPr>
      </w:pPr>
    </w:p>
    <w:p w14:paraId="090C41BA" w14:textId="77A0E2A9" w:rsidR="00A2687A" w:rsidRDefault="00E07539" w:rsidP="00A2687A">
      <w:pPr>
        <w:pStyle w:val="Caption"/>
        <w:rPr>
          <w:color w:val="002F5D"/>
        </w:rPr>
      </w:pPr>
      <w:r w:rsidRPr="00A2687A">
        <w:rPr>
          <w:b/>
          <w:color w:val="002F5D"/>
        </w:rPr>
        <w:t xml:space="preserve">Table </w:t>
      </w:r>
      <w:r w:rsidR="003209A4">
        <w:rPr>
          <w:b/>
          <w:color w:val="002F5D"/>
        </w:rPr>
        <w:t>11</w:t>
      </w:r>
      <w:r w:rsidR="00B81E4B">
        <w:rPr>
          <w:b/>
          <w:color w:val="002F5D"/>
        </w:rPr>
        <w:t>8</w:t>
      </w:r>
      <w:r w:rsidR="00CC5C66" w:rsidRPr="00A2687A">
        <w:rPr>
          <w:b/>
          <w:color w:val="002F5D"/>
        </w:rPr>
        <w:t xml:space="preserve">. </w:t>
      </w:r>
      <w:r w:rsidR="00CC5C66" w:rsidRPr="00A2687A">
        <w:rPr>
          <w:color w:val="002F5D"/>
        </w:rPr>
        <w:t>Mortality from respiratory disease, Cambridgeshire</w:t>
      </w:r>
      <w:r w:rsidR="0060177B" w:rsidRPr="00A2687A">
        <w:rPr>
          <w:color w:val="002F5D"/>
        </w:rPr>
        <w:t xml:space="preserve"> and Peterborough</w:t>
      </w:r>
      <w:r w:rsidR="00A2687A" w:rsidRPr="00A2687A">
        <w:rPr>
          <w:color w:val="002F5D"/>
        </w:rPr>
        <w:t>, 2015-17</w:t>
      </w:r>
    </w:p>
    <w:p w14:paraId="63591D7A" w14:textId="77777777" w:rsidR="00473A6D" w:rsidRPr="00473A6D" w:rsidRDefault="00473A6D" w:rsidP="00473A6D"/>
    <w:p w14:paraId="0D566467" w14:textId="3657DA29" w:rsidR="00656C79" w:rsidRPr="00473A6D" w:rsidRDefault="00473A6D" w:rsidP="00473A6D">
      <w:r w:rsidRPr="00473A6D">
        <w:rPr>
          <w:noProof/>
          <w:lang w:eastAsia="en-GB"/>
        </w:rPr>
        <w:drawing>
          <wp:inline distT="0" distB="0" distL="0" distR="0" wp14:anchorId="48873A04" wp14:editId="58A6977D">
            <wp:extent cx="5238750" cy="21526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38750" cy="2152650"/>
                    </a:xfrm>
                    <a:prstGeom prst="rect">
                      <a:avLst/>
                    </a:prstGeom>
                    <a:noFill/>
                    <a:ln>
                      <a:noFill/>
                    </a:ln>
                  </pic:spPr>
                </pic:pic>
              </a:graphicData>
            </a:graphic>
          </wp:inline>
        </w:drawing>
      </w:r>
    </w:p>
    <w:p w14:paraId="46567432" w14:textId="77777777" w:rsidR="00656C79" w:rsidRPr="0037351D" w:rsidRDefault="00656C79" w:rsidP="005B7C21">
      <w:pPr>
        <w:spacing w:line="240" w:lineRule="auto"/>
        <w:rPr>
          <w:color w:val="FF0000"/>
        </w:rPr>
      </w:pPr>
    </w:p>
    <w:p w14:paraId="7DB48584" w14:textId="77777777" w:rsidR="00CC5C66" w:rsidRPr="00A2687A" w:rsidRDefault="00CC5C66" w:rsidP="005B7C21">
      <w:pPr>
        <w:spacing w:line="240" w:lineRule="auto"/>
        <w:rPr>
          <w:color w:val="002F5D"/>
          <w:sz w:val="18"/>
        </w:rPr>
      </w:pPr>
      <w:r w:rsidRPr="00A2687A">
        <w:rPr>
          <w:color w:val="002F5D"/>
          <w:sz w:val="18"/>
        </w:rPr>
        <w:t>DASR - Directly age-standardised rate</w:t>
      </w:r>
    </w:p>
    <w:p w14:paraId="1173139D" w14:textId="77777777" w:rsidR="00CC5C66" w:rsidRPr="0037351D" w:rsidRDefault="00CC5C66" w:rsidP="005B7C21">
      <w:pPr>
        <w:spacing w:line="240" w:lineRule="auto"/>
        <w:rPr>
          <w:color w:val="FF0000"/>
        </w:rPr>
      </w:pPr>
    </w:p>
    <w:p w14:paraId="06C42EDA" w14:textId="77777777" w:rsidR="0013763C" w:rsidRPr="00196B41" w:rsidRDefault="0013763C" w:rsidP="005B7C21">
      <w:pPr>
        <w:spacing w:line="240" w:lineRule="auto"/>
        <w:rPr>
          <w:color w:val="002F5D"/>
          <w:sz w:val="18"/>
          <w:szCs w:val="18"/>
        </w:rPr>
      </w:pPr>
      <w:r w:rsidRPr="00196B41">
        <w:rPr>
          <w:color w:val="002F5D"/>
          <w:sz w:val="18"/>
          <w:szCs w:val="18"/>
        </w:rPr>
        <w:t>Note: Cambridgeshire districts are benchmarked against Cambridgeshire average, Cambridgeshire against C&amp;P average, and Peterborough against C&amp;P average</w:t>
      </w:r>
    </w:p>
    <w:p w14:paraId="2F46193E" w14:textId="77777777" w:rsidR="0013763C" w:rsidRPr="00196B41" w:rsidRDefault="0013763C" w:rsidP="005B7C21">
      <w:pPr>
        <w:spacing w:line="240" w:lineRule="auto"/>
        <w:rPr>
          <w:color w:val="002F5D"/>
          <w:sz w:val="18"/>
          <w:szCs w:val="18"/>
        </w:rPr>
      </w:pPr>
    </w:p>
    <w:p w14:paraId="2F433445" w14:textId="77777777" w:rsidR="0013763C" w:rsidRPr="00A2687A" w:rsidRDefault="0013763C" w:rsidP="005B7C21">
      <w:pPr>
        <w:spacing w:line="240" w:lineRule="auto"/>
        <w:rPr>
          <w:color w:val="002F5D"/>
          <w:sz w:val="18"/>
          <w:szCs w:val="18"/>
        </w:rPr>
      </w:pPr>
      <w:r w:rsidRPr="00A2687A">
        <w:rPr>
          <w:noProof/>
          <w:color w:val="002F5D"/>
          <w:lang w:eastAsia="en-GB"/>
        </w:rPr>
        <w:drawing>
          <wp:inline distT="0" distB="0" distL="0" distR="0" wp14:anchorId="4AC3B471" wp14:editId="50EE3F9F">
            <wp:extent cx="3840480" cy="5562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40480" cy="556260"/>
                    </a:xfrm>
                    <a:prstGeom prst="rect">
                      <a:avLst/>
                    </a:prstGeom>
                    <a:noFill/>
                    <a:ln>
                      <a:noFill/>
                    </a:ln>
                  </pic:spPr>
                </pic:pic>
              </a:graphicData>
            </a:graphic>
          </wp:inline>
        </w:drawing>
      </w:r>
    </w:p>
    <w:p w14:paraId="4038FF40" w14:textId="77777777" w:rsidR="0013763C" w:rsidRPr="00A2687A" w:rsidRDefault="0013763C" w:rsidP="005B7C21">
      <w:pPr>
        <w:spacing w:line="240" w:lineRule="auto"/>
        <w:rPr>
          <w:color w:val="002F5D"/>
        </w:rPr>
      </w:pPr>
    </w:p>
    <w:p w14:paraId="65A51F54" w14:textId="4DF836BA" w:rsidR="00CC5C66" w:rsidRPr="00A2687A" w:rsidRDefault="00CC5C66" w:rsidP="005B7C21">
      <w:pPr>
        <w:spacing w:line="240" w:lineRule="auto"/>
        <w:rPr>
          <w:color w:val="002F5D"/>
        </w:rPr>
      </w:pPr>
      <w:r w:rsidRPr="00A2687A">
        <w:rPr>
          <w:b/>
          <w:color w:val="002F5D"/>
        </w:rPr>
        <w:t>Source:</w:t>
      </w:r>
      <w:r w:rsidRPr="00A2687A">
        <w:rPr>
          <w:color w:val="002F5D"/>
        </w:rPr>
        <w:t xml:space="preserve"> Cambridgeshire County Council Public Health Intelligence (NHS Digital Primary Care Mortality Database,</w:t>
      </w:r>
      <w:r w:rsidR="000C6516">
        <w:rPr>
          <w:color w:val="002F5D"/>
        </w:rPr>
        <w:t xml:space="preserve"> </w:t>
      </w:r>
      <w:r w:rsidRPr="00A2687A">
        <w:rPr>
          <w:color w:val="002F5D"/>
        </w:rPr>
        <w:t xml:space="preserve"> </w:t>
      </w:r>
      <w:r w:rsidR="000C6516">
        <w:rPr>
          <w:color w:val="002F5D"/>
        </w:rPr>
        <w:t>ONS</w:t>
      </w:r>
      <w:r w:rsidRPr="00A2687A">
        <w:rPr>
          <w:color w:val="002F5D"/>
        </w:rPr>
        <w:t xml:space="preserve"> mid-year population estimates).</w:t>
      </w:r>
    </w:p>
    <w:p w14:paraId="0AAFB4A2" w14:textId="77777777" w:rsidR="00CC5C66" w:rsidRPr="0037351D" w:rsidRDefault="00CC5C66" w:rsidP="005B7C21">
      <w:pPr>
        <w:spacing w:line="240" w:lineRule="auto"/>
        <w:rPr>
          <w:color w:val="FF0000"/>
        </w:rPr>
      </w:pPr>
    </w:p>
    <w:p w14:paraId="11B15989" w14:textId="77777777" w:rsidR="00CC5C66" w:rsidRPr="00A2687A" w:rsidRDefault="00CC5C66" w:rsidP="005B7C21">
      <w:pPr>
        <w:spacing w:line="240" w:lineRule="auto"/>
        <w:rPr>
          <w:b/>
          <w:color w:val="002F5D"/>
        </w:rPr>
      </w:pPr>
      <w:r w:rsidRPr="00A2687A">
        <w:rPr>
          <w:b/>
          <w:color w:val="002F5D"/>
        </w:rPr>
        <w:t>Key points:</w:t>
      </w:r>
    </w:p>
    <w:p w14:paraId="5BC49677" w14:textId="77777777" w:rsidR="00546C7C" w:rsidRPr="00041203" w:rsidRDefault="00546C7C" w:rsidP="005B7C21">
      <w:pPr>
        <w:pStyle w:val="ListParagraph"/>
        <w:numPr>
          <w:ilvl w:val="0"/>
          <w:numId w:val="11"/>
        </w:numPr>
        <w:spacing w:line="240" w:lineRule="auto"/>
        <w:rPr>
          <w:color w:val="002F5D"/>
        </w:rPr>
      </w:pPr>
      <w:r w:rsidRPr="00041203">
        <w:rPr>
          <w:color w:val="002F5D"/>
        </w:rPr>
        <w:t>The rates of all-age and under 75 mortality from respiratory disease are statistically significantly higher than the Cambridgeshire and Peterborough combined average in Peterborough.</w:t>
      </w:r>
    </w:p>
    <w:p w14:paraId="1FCD27D4" w14:textId="4DC76B65" w:rsidR="00546C7C" w:rsidRPr="00041203" w:rsidRDefault="00546C7C" w:rsidP="005B7C21">
      <w:pPr>
        <w:pStyle w:val="ListParagraph"/>
        <w:numPr>
          <w:ilvl w:val="0"/>
          <w:numId w:val="11"/>
        </w:numPr>
        <w:spacing w:line="240" w:lineRule="auto"/>
        <w:rPr>
          <w:color w:val="002F5D"/>
        </w:rPr>
      </w:pPr>
      <w:r w:rsidRPr="00041203">
        <w:rPr>
          <w:color w:val="002F5D"/>
        </w:rPr>
        <w:t xml:space="preserve">The rates of all-age and under 75 mortality from respiratory disease are statistically </w:t>
      </w:r>
      <w:r w:rsidR="00041203" w:rsidRPr="00041203">
        <w:rPr>
          <w:color w:val="002F5D"/>
        </w:rPr>
        <w:t>similar to</w:t>
      </w:r>
      <w:r w:rsidRPr="00041203">
        <w:rPr>
          <w:color w:val="002F5D"/>
        </w:rPr>
        <w:t xml:space="preserve"> the Cambridgeshire and Peterborough combined average in Cambridgeshire.  </w:t>
      </w:r>
    </w:p>
    <w:p w14:paraId="6CCCAF34" w14:textId="0E4FB26A" w:rsidR="00473A6D" w:rsidRPr="00473A6D" w:rsidRDefault="00CC5C66" w:rsidP="00473A6D">
      <w:pPr>
        <w:pStyle w:val="ListParagraph"/>
        <w:numPr>
          <w:ilvl w:val="0"/>
          <w:numId w:val="11"/>
        </w:numPr>
        <w:spacing w:line="240" w:lineRule="auto"/>
        <w:rPr>
          <w:color w:val="002F5D"/>
        </w:rPr>
      </w:pPr>
      <w:r w:rsidRPr="00041203">
        <w:rPr>
          <w:color w:val="002F5D"/>
        </w:rPr>
        <w:t>The rate</w:t>
      </w:r>
      <w:r w:rsidR="0009001C" w:rsidRPr="00041203">
        <w:rPr>
          <w:color w:val="002F5D"/>
        </w:rPr>
        <w:t>s</w:t>
      </w:r>
      <w:r w:rsidRPr="00041203">
        <w:rPr>
          <w:color w:val="002F5D"/>
        </w:rPr>
        <w:t xml:space="preserve"> of all-age </w:t>
      </w:r>
      <w:r w:rsidR="0009001C" w:rsidRPr="00041203">
        <w:rPr>
          <w:color w:val="002F5D"/>
        </w:rPr>
        <w:t xml:space="preserve">and under 75 </w:t>
      </w:r>
      <w:r w:rsidRPr="00041203">
        <w:rPr>
          <w:color w:val="002F5D"/>
        </w:rPr>
        <w:t xml:space="preserve">mortality from </w:t>
      </w:r>
      <w:r w:rsidR="0009001C" w:rsidRPr="00041203">
        <w:rPr>
          <w:color w:val="002F5D"/>
        </w:rPr>
        <w:t>respiratory disease are</w:t>
      </w:r>
      <w:r w:rsidRPr="00041203">
        <w:rPr>
          <w:color w:val="002F5D"/>
        </w:rPr>
        <w:t xml:space="preserve"> statistically significantly higher than the Cambridgeshire average in </w:t>
      </w:r>
      <w:r w:rsidR="0009001C" w:rsidRPr="00041203">
        <w:rPr>
          <w:color w:val="002F5D"/>
        </w:rPr>
        <w:t>Fenland.  All-age rates are also statistically significantly higher in Huntingdonshire.</w:t>
      </w:r>
    </w:p>
    <w:p w14:paraId="1B6045AA" w14:textId="6BCE73A7" w:rsidR="00CC5C66" w:rsidRPr="00041203" w:rsidRDefault="0009001C" w:rsidP="005B7C21">
      <w:pPr>
        <w:pStyle w:val="ListParagraph"/>
        <w:numPr>
          <w:ilvl w:val="0"/>
          <w:numId w:val="11"/>
        </w:numPr>
        <w:spacing w:line="240" w:lineRule="auto"/>
        <w:rPr>
          <w:color w:val="002F5D"/>
        </w:rPr>
      </w:pPr>
      <w:r w:rsidRPr="00041203">
        <w:rPr>
          <w:color w:val="002F5D"/>
        </w:rPr>
        <w:t xml:space="preserve">Around </w:t>
      </w:r>
      <w:r w:rsidR="00041203" w:rsidRPr="00041203">
        <w:rPr>
          <w:color w:val="002F5D"/>
        </w:rPr>
        <w:t>920</w:t>
      </w:r>
      <w:r w:rsidR="00CC5C66" w:rsidRPr="00041203">
        <w:rPr>
          <w:color w:val="002F5D"/>
        </w:rPr>
        <w:t xml:space="preserve"> Cambridgeshire </w:t>
      </w:r>
      <w:r w:rsidR="009404E0">
        <w:rPr>
          <w:color w:val="002F5D"/>
        </w:rPr>
        <w:t xml:space="preserve">and Peterborough </w:t>
      </w:r>
      <w:r w:rsidR="00CC5C66" w:rsidRPr="00041203">
        <w:rPr>
          <w:color w:val="002F5D"/>
        </w:rPr>
        <w:t xml:space="preserve">residents died </w:t>
      </w:r>
      <w:r w:rsidR="00D66680" w:rsidRPr="00041203">
        <w:rPr>
          <w:color w:val="002F5D"/>
        </w:rPr>
        <w:t xml:space="preserve">from respiratory disease </w:t>
      </w:r>
      <w:r w:rsidR="00041203" w:rsidRPr="00041203">
        <w:rPr>
          <w:color w:val="002F5D"/>
        </w:rPr>
        <w:t>each year between 2015 and 2017</w:t>
      </w:r>
      <w:r w:rsidR="00CC5C66" w:rsidRPr="00041203">
        <w:rPr>
          <w:color w:val="002F5D"/>
        </w:rPr>
        <w:t>.</w:t>
      </w:r>
    </w:p>
    <w:p w14:paraId="575D3EC2" w14:textId="77777777" w:rsidR="00CC5C66" w:rsidRPr="0037351D" w:rsidRDefault="00CC5C66" w:rsidP="00F10E66">
      <w:pPr>
        <w:spacing w:line="240" w:lineRule="auto"/>
        <w:rPr>
          <w:color w:val="FF0000"/>
        </w:rPr>
      </w:pPr>
    </w:p>
    <w:p w14:paraId="2F3D7491" w14:textId="77777777" w:rsidR="00CC5C66" w:rsidRPr="0037351D" w:rsidRDefault="00CC5C66" w:rsidP="00F10E66">
      <w:pPr>
        <w:spacing w:line="240" w:lineRule="auto"/>
        <w:rPr>
          <w:b/>
          <w:color w:val="FF0000"/>
        </w:rPr>
      </w:pPr>
      <w:r w:rsidRPr="0037351D">
        <w:rPr>
          <w:b/>
          <w:color w:val="FF0000"/>
        </w:rPr>
        <w:br w:type="page"/>
      </w:r>
    </w:p>
    <w:p w14:paraId="63AD9B37" w14:textId="2918D58A" w:rsidR="00CC5C66" w:rsidRDefault="00E07539" w:rsidP="005B7C21">
      <w:pPr>
        <w:pStyle w:val="Caption"/>
        <w:rPr>
          <w:b/>
          <w:color w:val="002F5D"/>
        </w:rPr>
      </w:pPr>
      <w:r w:rsidRPr="00041203">
        <w:rPr>
          <w:b/>
          <w:color w:val="002F5D"/>
        </w:rPr>
        <w:lastRenderedPageBreak/>
        <w:t>Table</w:t>
      </w:r>
      <w:r w:rsidR="00B81E4B">
        <w:rPr>
          <w:b/>
          <w:color w:val="002F5D"/>
        </w:rPr>
        <w:t xml:space="preserve"> 119</w:t>
      </w:r>
      <w:r w:rsidR="00CC5C66" w:rsidRPr="00041203">
        <w:rPr>
          <w:b/>
          <w:color w:val="002F5D"/>
        </w:rPr>
        <w:t xml:space="preserve">. </w:t>
      </w:r>
      <w:r w:rsidR="00CC5C66" w:rsidRPr="00330B65">
        <w:rPr>
          <w:color w:val="002F5D"/>
        </w:rPr>
        <w:t>Mortality from</w:t>
      </w:r>
      <w:r w:rsidR="00F67F54" w:rsidRPr="00330B65">
        <w:rPr>
          <w:color w:val="002F5D"/>
        </w:rPr>
        <w:t xml:space="preserve"> respiratory disease</w:t>
      </w:r>
      <w:r w:rsidR="00CC5C66" w:rsidRPr="00330B65">
        <w:rPr>
          <w:color w:val="002F5D"/>
        </w:rPr>
        <w:t xml:space="preserve"> by deprivation quintile of ward of</w:t>
      </w:r>
      <w:r w:rsidR="00041203" w:rsidRPr="00330B65">
        <w:rPr>
          <w:color w:val="002F5D"/>
        </w:rPr>
        <w:t xml:space="preserve"> residence, Cambridgeshire, 2015-17</w:t>
      </w:r>
    </w:p>
    <w:p w14:paraId="4F649C22" w14:textId="77777777" w:rsidR="0003351B" w:rsidRPr="0003351B" w:rsidRDefault="0003351B" w:rsidP="0003351B"/>
    <w:p w14:paraId="07B7EE9D" w14:textId="0E2F8095" w:rsidR="0003351B" w:rsidRDefault="0003351B" w:rsidP="0003351B">
      <w:r w:rsidRPr="0003351B">
        <w:rPr>
          <w:noProof/>
          <w:lang w:eastAsia="en-GB"/>
        </w:rPr>
        <w:drawing>
          <wp:inline distT="0" distB="0" distL="0" distR="0" wp14:anchorId="31D7FEBE" wp14:editId="5F8CBFFE">
            <wp:extent cx="4086225" cy="1609990"/>
            <wp:effectExtent l="0" t="0" r="0"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090139" cy="1611532"/>
                    </a:xfrm>
                    <a:prstGeom prst="rect">
                      <a:avLst/>
                    </a:prstGeom>
                    <a:noFill/>
                    <a:ln>
                      <a:noFill/>
                    </a:ln>
                  </pic:spPr>
                </pic:pic>
              </a:graphicData>
            </a:graphic>
          </wp:inline>
        </w:drawing>
      </w:r>
    </w:p>
    <w:p w14:paraId="3BF676E6" w14:textId="77777777" w:rsidR="00DB6158" w:rsidRPr="0037351D" w:rsidRDefault="00DB6158" w:rsidP="005B7C21">
      <w:pPr>
        <w:spacing w:line="240" w:lineRule="auto"/>
        <w:rPr>
          <w:color w:val="FF0000"/>
          <w:sz w:val="18"/>
        </w:rPr>
      </w:pPr>
    </w:p>
    <w:p w14:paraId="793C1D2F" w14:textId="77777777" w:rsidR="00CC5C66" w:rsidRPr="00041203" w:rsidRDefault="00CC5C66" w:rsidP="005B7C21">
      <w:pPr>
        <w:spacing w:line="240" w:lineRule="auto"/>
        <w:rPr>
          <w:color w:val="002F5D"/>
          <w:sz w:val="18"/>
        </w:rPr>
      </w:pPr>
      <w:r w:rsidRPr="00041203">
        <w:rPr>
          <w:color w:val="002F5D"/>
          <w:sz w:val="18"/>
        </w:rPr>
        <w:t>DASR - Directly age-standardised rate</w:t>
      </w:r>
    </w:p>
    <w:p w14:paraId="123886CB" w14:textId="77777777" w:rsidR="00CC5C66" w:rsidRPr="0037351D" w:rsidRDefault="00CC5C66" w:rsidP="005B7C21">
      <w:pPr>
        <w:spacing w:line="240" w:lineRule="auto"/>
        <w:rPr>
          <w:color w:val="FF0000"/>
        </w:rPr>
      </w:pPr>
    </w:p>
    <w:p w14:paraId="1D97D0D2" w14:textId="77777777" w:rsidR="00CC5C66" w:rsidRPr="0037351D" w:rsidRDefault="00CC5C66" w:rsidP="005B7C21">
      <w:pPr>
        <w:spacing w:line="240" w:lineRule="auto"/>
        <w:rPr>
          <w:color w:val="FF0000"/>
        </w:rPr>
      </w:pPr>
      <w:r w:rsidRPr="0037351D">
        <w:rPr>
          <w:noProof/>
          <w:color w:val="FF0000"/>
          <w:lang w:eastAsia="en-GB"/>
        </w:rPr>
        <w:drawing>
          <wp:inline distT="0" distB="0" distL="0" distR="0" wp14:anchorId="66588EBE" wp14:editId="6E690316">
            <wp:extent cx="4152900" cy="46672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432CF2B" w14:textId="77777777" w:rsidR="00CC5C66" w:rsidRPr="0037351D" w:rsidRDefault="00CC5C66" w:rsidP="005B7C21">
      <w:pPr>
        <w:spacing w:line="240" w:lineRule="auto"/>
        <w:rPr>
          <w:color w:val="FF0000"/>
        </w:rPr>
      </w:pPr>
    </w:p>
    <w:p w14:paraId="0C429E62" w14:textId="182EB92C" w:rsidR="00CC5C66" w:rsidRPr="00041203" w:rsidRDefault="00CC5C66" w:rsidP="005B7C21">
      <w:pPr>
        <w:spacing w:line="240" w:lineRule="auto"/>
        <w:rPr>
          <w:color w:val="002F5D"/>
        </w:rPr>
      </w:pPr>
      <w:r w:rsidRPr="00041203">
        <w:rPr>
          <w:b/>
          <w:color w:val="002F5D"/>
        </w:rPr>
        <w:t>Source:</w:t>
      </w:r>
      <w:r w:rsidRPr="00041203">
        <w:rPr>
          <w:color w:val="002F5D"/>
        </w:rPr>
        <w:t xml:space="preserve"> Cambridgeshire County Council Public Health Intelligence (NHS Digital Primary Care Mortality Database, </w:t>
      </w:r>
      <w:r w:rsidR="000C6516">
        <w:rPr>
          <w:color w:val="002F5D"/>
        </w:rPr>
        <w:t>ONS</w:t>
      </w:r>
      <w:r w:rsidRPr="00041203">
        <w:rPr>
          <w:color w:val="002F5D"/>
        </w:rPr>
        <w:t xml:space="preserve"> mid-year population estimates, 2015 Index of Multiple Deprivation).</w:t>
      </w:r>
    </w:p>
    <w:p w14:paraId="72C2CF72" w14:textId="77777777" w:rsidR="00CC5C66" w:rsidRPr="0037351D" w:rsidRDefault="00CC5C66" w:rsidP="005B7C21">
      <w:pPr>
        <w:spacing w:line="240" w:lineRule="auto"/>
        <w:rPr>
          <w:color w:val="FF0000"/>
        </w:rPr>
      </w:pPr>
    </w:p>
    <w:p w14:paraId="369D2AF2" w14:textId="77777777" w:rsidR="00CC5C66" w:rsidRPr="005842D2" w:rsidRDefault="00730FBE" w:rsidP="005B7C21">
      <w:pPr>
        <w:spacing w:line="240" w:lineRule="auto"/>
        <w:rPr>
          <w:b/>
          <w:color w:val="002F5D"/>
        </w:rPr>
      </w:pPr>
      <w:r w:rsidRPr="005842D2">
        <w:rPr>
          <w:b/>
          <w:color w:val="002F5D"/>
        </w:rPr>
        <w:t>Key point</w:t>
      </w:r>
      <w:r w:rsidR="00CC5C66" w:rsidRPr="005842D2">
        <w:rPr>
          <w:b/>
          <w:color w:val="002F5D"/>
        </w:rPr>
        <w:t>:</w:t>
      </w:r>
    </w:p>
    <w:p w14:paraId="46855A5C" w14:textId="6177149C" w:rsidR="00CC5C66" w:rsidRPr="005842D2" w:rsidRDefault="00CC5C66" w:rsidP="005B7C21">
      <w:pPr>
        <w:pStyle w:val="ListParagraph"/>
        <w:numPr>
          <w:ilvl w:val="0"/>
          <w:numId w:val="11"/>
        </w:numPr>
        <w:spacing w:line="240" w:lineRule="auto"/>
        <w:rPr>
          <w:color w:val="002F5D"/>
        </w:rPr>
      </w:pPr>
      <w:r w:rsidRPr="005842D2">
        <w:rPr>
          <w:color w:val="002F5D"/>
        </w:rPr>
        <w:t xml:space="preserve">The rates of all-age and under 75 mortality due to </w:t>
      </w:r>
      <w:r w:rsidR="00386D8E" w:rsidRPr="005842D2">
        <w:rPr>
          <w:color w:val="002F5D"/>
        </w:rPr>
        <w:t>respiratory disease</w:t>
      </w:r>
      <w:r w:rsidRPr="005842D2">
        <w:rPr>
          <w:color w:val="002F5D"/>
        </w:rPr>
        <w:t xml:space="preserve"> are statistically significantly higher than the Cambridgeshire average in the most deprived 20% of wards in the county</w:t>
      </w:r>
      <w:r w:rsidR="005842D2">
        <w:rPr>
          <w:color w:val="002F5D"/>
        </w:rPr>
        <w:t xml:space="preserve"> and statistically significantly lower in the least deprived 20% of wards in the county</w:t>
      </w:r>
      <w:r w:rsidRPr="005842D2">
        <w:rPr>
          <w:color w:val="002F5D"/>
        </w:rPr>
        <w:t>.</w:t>
      </w:r>
    </w:p>
    <w:p w14:paraId="04E84A1A" w14:textId="77777777" w:rsidR="00CC5C66" w:rsidRPr="0037351D" w:rsidRDefault="00CC5C66" w:rsidP="005B7C21">
      <w:pPr>
        <w:spacing w:line="240" w:lineRule="auto"/>
        <w:rPr>
          <w:color w:val="FF0000"/>
        </w:rPr>
      </w:pPr>
    </w:p>
    <w:p w14:paraId="5E6F7048" w14:textId="38AE8411" w:rsidR="00A97AED" w:rsidRDefault="00DA4152" w:rsidP="005B7C21">
      <w:pPr>
        <w:pStyle w:val="Caption"/>
        <w:rPr>
          <w:b/>
          <w:color w:val="002F5D"/>
        </w:rPr>
      </w:pPr>
      <w:r w:rsidRPr="005842D2">
        <w:rPr>
          <w:b/>
          <w:color w:val="002F5D"/>
        </w:rPr>
        <w:t>Table</w:t>
      </w:r>
      <w:r w:rsidR="00837184">
        <w:rPr>
          <w:b/>
          <w:color w:val="002F5D"/>
        </w:rPr>
        <w:t xml:space="preserve"> </w:t>
      </w:r>
      <w:r w:rsidR="00B81E4B">
        <w:rPr>
          <w:b/>
          <w:color w:val="002F5D"/>
        </w:rPr>
        <w:t>120</w:t>
      </w:r>
      <w:r w:rsidRPr="005842D2">
        <w:rPr>
          <w:b/>
          <w:color w:val="002F5D"/>
        </w:rPr>
        <w:t xml:space="preserve">. </w:t>
      </w:r>
      <w:r w:rsidR="00A97AED" w:rsidRPr="00330B65">
        <w:rPr>
          <w:color w:val="002F5D"/>
        </w:rPr>
        <w:t xml:space="preserve">Mortality from respiratory disease by deprivation quintile of ward of residence, </w:t>
      </w:r>
      <w:r w:rsidR="00743B04" w:rsidRPr="00330B65">
        <w:rPr>
          <w:color w:val="002F5D"/>
        </w:rPr>
        <w:t>Peterborough</w:t>
      </w:r>
      <w:r w:rsidR="005842D2" w:rsidRPr="00330B65">
        <w:rPr>
          <w:color w:val="002F5D"/>
        </w:rPr>
        <w:t>, 2015-17</w:t>
      </w:r>
    </w:p>
    <w:p w14:paraId="2062533B" w14:textId="77777777" w:rsidR="00CB6B36" w:rsidRPr="00CB6B36" w:rsidRDefault="00CB6B36" w:rsidP="00CB6B36"/>
    <w:p w14:paraId="70218FB2" w14:textId="17ED32D1" w:rsidR="00A97AED" w:rsidRPr="00750976" w:rsidRDefault="00CB6B36" w:rsidP="00656C79">
      <w:r w:rsidRPr="00CB6B36">
        <w:rPr>
          <w:noProof/>
          <w:lang w:eastAsia="en-GB"/>
        </w:rPr>
        <w:drawing>
          <wp:inline distT="0" distB="0" distL="0" distR="0" wp14:anchorId="77EB854D" wp14:editId="474566F9">
            <wp:extent cx="4248150" cy="1673789"/>
            <wp:effectExtent l="0" t="0" r="0" b="317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258240" cy="1677764"/>
                    </a:xfrm>
                    <a:prstGeom prst="rect">
                      <a:avLst/>
                    </a:prstGeom>
                    <a:noFill/>
                    <a:ln>
                      <a:noFill/>
                    </a:ln>
                  </pic:spPr>
                </pic:pic>
              </a:graphicData>
            </a:graphic>
          </wp:inline>
        </w:drawing>
      </w:r>
    </w:p>
    <w:p w14:paraId="5292857E" w14:textId="77777777" w:rsidR="00743B04" w:rsidRPr="005842D2" w:rsidRDefault="00743B04" w:rsidP="00A97AED">
      <w:pPr>
        <w:spacing w:line="240" w:lineRule="auto"/>
        <w:rPr>
          <w:color w:val="002F5D"/>
          <w:sz w:val="18"/>
        </w:rPr>
      </w:pPr>
    </w:p>
    <w:p w14:paraId="5A1806EB" w14:textId="77777777" w:rsidR="00A97AED" w:rsidRDefault="00A97AED" w:rsidP="00A97AED">
      <w:pPr>
        <w:spacing w:line="240" w:lineRule="auto"/>
        <w:rPr>
          <w:color w:val="002F5D"/>
          <w:sz w:val="18"/>
        </w:rPr>
      </w:pPr>
      <w:r w:rsidRPr="005842D2">
        <w:rPr>
          <w:color w:val="002F5D"/>
          <w:sz w:val="18"/>
        </w:rPr>
        <w:t>DASR - Directly age-standardised rate</w:t>
      </w:r>
    </w:p>
    <w:p w14:paraId="01C33ACB" w14:textId="77777777" w:rsidR="00CB6B36" w:rsidRPr="005842D2" w:rsidRDefault="00CB6B36" w:rsidP="00A97AED">
      <w:pPr>
        <w:spacing w:line="240" w:lineRule="auto"/>
        <w:rPr>
          <w:color w:val="002F5D"/>
          <w:sz w:val="18"/>
        </w:rPr>
      </w:pPr>
    </w:p>
    <w:p w14:paraId="66CE3E89" w14:textId="77777777" w:rsidR="00A97AED" w:rsidRPr="0037351D" w:rsidRDefault="00743B04" w:rsidP="00A97AED">
      <w:pPr>
        <w:spacing w:line="240" w:lineRule="auto"/>
        <w:rPr>
          <w:color w:val="FF0000"/>
        </w:rPr>
      </w:pPr>
      <w:r w:rsidRPr="0037351D">
        <w:rPr>
          <w:noProof/>
          <w:color w:val="FF0000"/>
          <w:lang w:eastAsia="en-GB"/>
        </w:rPr>
        <w:drawing>
          <wp:inline distT="0" distB="0" distL="0" distR="0" wp14:anchorId="40A316E3" wp14:editId="4BB1C946">
            <wp:extent cx="3352800" cy="506738"/>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387213" cy="511939"/>
                    </a:xfrm>
                    <a:prstGeom prst="rect">
                      <a:avLst/>
                    </a:prstGeom>
                    <a:noFill/>
                    <a:ln>
                      <a:noFill/>
                    </a:ln>
                  </pic:spPr>
                </pic:pic>
              </a:graphicData>
            </a:graphic>
          </wp:inline>
        </w:drawing>
      </w:r>
    </w:p>
    <w:p w14:paraId="1141ED75" w14:textId="77777777" w:rsidR="00743B04" w:rsidRPr="0037351D" w:rsidRDefault="00743B04" w:rsidP="00A97AED">
      <w:pPr>
        <w:spacing w:line="240" w:lineRule="auto"/>
        <w:rPr>
          <w:color w:val="FF0000"/>
        </w:rPr>
      </w:pPr>
    </w:p>
    <w:p w14:paraId="31B846DA" w14:textId="34F3E6DD" w:rsidR="00EC6150" w:rsidRPr="005842D2" w:rsidRDefault="00A97AED" w:rsidP="00A97AED">
      <w:pPr>
        <w:spacing w:line="240" w:lineRule="auto"/>
        <w:rPr>
          <w:color w:val="002F5D"/>
        </w:rPr>
      </w:pPr>
      <w:r w:rsidRPr="005842D2">
        <w:rPr>
          <w:b/>
          <w:color w:val="002F5D"/>
        </w:rPr>
        <w:t>Source:</w:t>
      </w:r>
      <w:r w:rsidRPr="005842D2">
        <w:rPr>
          <w:color w:val="002F5D"/>
        </w:rPr>
        <w:t xml:space="preserve"> Cambridgeshire County Council Public Health Intelligence (NHS Digital Primary Care Mortality Database, </w:t>
      </w:r>
      <w:r w:rsidR="000C6516">
        <w:rPr>
          <w:color w:val="002F5D"/>
        </w:rPr>
        <w:t>ONS</w:t>
      </w:r>
      <w:r w:rsidRPr="005842D2">
        <w:rPr>
          <w:color w:val="002F5D"/>
        </w:rPr>
        <w:t xml:space="preserve"> mid-year population estimates, 2015 Index of Multiple Deprivation).</w:t>
      </w:r>
    </w:p>
    <w:p w14:paraId="713229C0" w14:textId="77777777" w:rsidR="00A2366A" w:rsidRDefault="00A2366A" w:rsidP="00A97AED">
      <w:pPr>
        <w:spacing w:line="240" w:lineRule="auto"/>
        <w:rPr>
          <w:color w:val="FF0000"/>
        </w:rPr>
      </w:pPr>
    </w:p>
    <w:p w14:paraId="71CE113A" w14:textId="77777777" w:rsidR="005842D2" w:rsidRPr="0037351D" w:rsidRDefault="005842D2" w:rsidP="00A97AED">
      <w:pPr>
        <w:spacing w:line="240" w:lineRule="auto"/>
        <w:rPr>
          <w:color w:val="FF0000"/>
        </w:rPr>
      </w:pPr>
    </w:p>
    <w:p w14:paraId="603D1176" w14:textId="77777777" w:rsidR="00A97AED" w:rsidRPr="005842D2" w:rsidRDefault="00730FBE" w:rsidP="00A97AED">
      <w:pPr>
        <w:spacing w:line="240" w:lineRule="auto"/>
        <w:rPr>
          <w:b/>
          <w:color w:val="002F5D"/>
        </w:rPr>
      </w:pPr>
      <w:r w:rsidRPr="005842D2">
        <w:rPr>
          <w:b/>
          <w:color w:val="002F5D"/>
        </w:rPr>
        <w:lastRenderedPageBreak/>
        <w:t>Key point</w:t>
      </w:r>
      <w:r w:rsidR="00A97AED" w:rsidRPr="005842D2">
        <w:rPr>
          <w:b/>
          <w:color w:val="002F5D"/>
        </w:rPr>
        <w:t>:</w:t>
      </w:r>
    </w:p>
    <w:p w14:paraId="2CBBAF21" w14:textId="70093192" w:rsidR="00CB6B36" w:rsidRPr="0040058F" w:rsidRDefault="00CB6B36" w:rsidP="00CB6B36">
      <w:pPr>
        <w:pStyle w:val="ListParagraph"/>
        <w:numPr>
          <w:ilvl w:val="0"/>
          <w:numId w:val="11"/>
        </w:numPr>
        <w:spacing w:line="240" w:lineRule="auto"/>
        <w:rPr>
          <w:color w:val="002F5D"/>
        </w:rPr>
      </w:pPr>
      <w:r w:rsidRPr="0040058F">
        <w:rPr>
          <w:color w:val="002F5D"/>
        </w:rPr>
        <w:t>The rate</w:t>
      </w:r>
      <w:r>
        <w:rPr>
          <w:color w:val="002F5D"/>
        </w:rPr>
        <w:t>s</w:t>
      </w:r>
      <w:r w:rsidRPr="0040058F">
        <w:rPr>
          <w:color w:val="002F5D"/>
        </w:rPr>
        <w:t xml:space="preserve"> of</w:t>
      </w:r>
      <w:r>
        <w:rPr>
          <w:color w:val="002F5D"/>
        </w:rPr>
        <w:t xml:space="preserve"> all-age and</w:t>
      </w:r>
      <w:r w:rsidRPr="0040058F">
        <w:rPr>
          <w:color w:val="002F5D"/>
        </w:rPr>
        <w:t xml:space="preserve"> under 75 mortality due to </w:t>
      </w:r>
      <w:r w:rsidRPr="005842D2">
        <w:rPr>
          <w:color w:val="002F5D"/>
        </w:rPr>
        <w:t>respiratory disease</w:t>
      </w:r>
      <w:r>
        <w:rPr>
          <w:color w:val="002F5D"/>
        </w:rPr>
        <w:t xml:space="preserve"> are statistically</w:t>
      </w:r>
      <w:r w:rsidRPr="0040058F">
        <w:rPr>
          <w:color w:val="002F5D"/>
        </w:rPr>
        <w:t xml:space="preserve"> similar to</w:t>
      </w:r>
      <w:r>
        <w:rPr>
          <w:color w:val="002F5D"/>
        </w:rPr>
        <w:t xml:space="preserve"> the Peterborough average for</w:t>
      </w:r>
      <w:r w:rsidRPr="0040058F">
        <w:rPr>
          <w:color w:val="002F5D"/>
        </w:rPr>
        <w:t xml:space="preserve"> all deprivation quintiles in Peterborough.</w:t>
      </w:r>
    </w:p>
    <w:p w14:paraId="0977E578" w14:textId="77777777" w:rsidR="005842D2" w:rsidRPr="0037351D" w:rsidRDefault="005842D2" w:rsidP="005842D2">
      <w:pPr>
        <w:pStyle w:val="ListParagraph"/>
        <w:spacing w:line="240" w:lineRule="auto"/>
        <w:rPr>
          <w:color w:val="FF0000"/>
        </w:rPr>
      </w:pPr>
    </w:p>
    <w:p w14:paraId="54AC12DF" w14:textId="77777777" w:rsidR="00D14ECC" w:rsidRPr="0037351D" w:rsidRDefault="00D14ECC" w:rsidP="00A3568F">
      <w:pPr>
        <w:pStyle w:val="JSNA3"/>
      </w:pPr>
      <w:bookmarkStart w:id="826" w:name="_Toc4407898"/>
      <w:r w:rsidRPr="0037351D">
        <w:t>Dementia and Alzheimer’s</w:t>
      </w:r>
      <w:bookmarkEnd w:id="826"/>
    </w:p>
    <w:p w14:paraId="685CC64F" w14:textId="77777777" w:rsidR="00D14ECC" w:rsidRPr="0037351D" w:rsidRDefault="00D14ECC" w:rsidP="00F10E66">
      <w:pPr>
        <w:spacing w:line="240" w:lineRule="auto"/>
        <w:rPr>
          <w:color w:val="FF0000"/>
        </w:rPr>
      </w:pPr>
    </w:p>
    <w:p w14:paraId="1F1A3959" w14:textId="492E10B6" w:rsidR="002A49AA" w:rsidRPr="00330B65" w:rsidRDefault="00E07539" w:rsidP="002A49AA">
      <w:pPr>
        <w:pStyle w:val="Caption"/>
        <w:rPr>
          <w:color w:val="002F5D"/>
        </w:rPr>
      </w:pPr>
      <w:r w:rsidRPr="002A49AA">
        <w:rPr>
          <w:b/>
          <w:color w:val="002F5D"/>
        </w:rPr>
        <w:t>Table</w:t>
      </w:r>
      <w:r w:rsidR="00837184">
        <w:rPr>
          <w:b/>
          <w:color w:val="002F5D"/>
        </w:rPr>
        <w:t xml:space="preserve"> </w:t>
      </w:r>
      <w:r w:rsidR="00B81E4B">
        <w:rPr>
          <w:b/>
          <w:color w:val="002F5D"/>
        </w:rPr>
        <w:t>121</w:t>
      </w:r>
      <w:r w:rsidR="00D14ECC" w:rsidRPr="002A49AA">
        <w:rPr>
          <w:b/>
          <w:color w:val="002F5D"/>
        </w:rPr>
        <w:t xml:space="preserve">. </w:t>
      </w:r>
      <w:r w:rsidR="00CB6B36" w:rsidRPr="00330B65">
        <w:rPr>
          <w:color w:val="002F5D"/>
        </w:rPr>
        <w:t>Mortality from dementia and A</w:t>
      </w:r>
      <w:r w:rsidR="002A49AA" w:rsidRPr="00330B65">
        <w:rPr>
          <w:color w:val="002F5D"/>
        </w:rPr>
        <w:t>lzheimer’s, Cambridgeshire, 2015-17</w:t>
      </w:r>
    </w:p>
    <w:p w14:paraId="120A2858" w14:textId="77777777" w:rsidR="00CB6B36" w:rsidRPr="00CB6B36" w:rsidRDefault="00CB6B36" w:rsidP="00CB6B36"/>
    <w:p w14:paraId="220A0133" w14:textId="38878D11" w:rsidR="002A49AA" w:rsidRPr="002A49AA" w:rsidRDefault="00CB6B36" w:rsidP="002A49AA">
      <w:r w:rsidRPr="00CB6B36">
        <w:rPr>
          <w:noProof/>
          <w:lang w:eastAsia="en-GB"/>
        </w:rPr>
        <w:drawing>
          <wp:inline distT="0" distB="0" distL="0" distR="0" wp14:anchorId="293837CE" wp14:editId="22F8A967">
            <wp:extent cx="5114925" cy="21526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114925" cy="2152650"/>
                    </a:xfrm>
                    <a:prstGeom prst="rect">
                      <a:avLst/>
                    </a:prstGeom>
                    <a:noFill/>
                    <a:ln>
                      <a:noFill/>
                    </a:ln>
                  </pic:spPr>
                </pic:pic>
              </a:graphicData>
            </a:graphic>
          </wp:inline>
        </w:drawing>
      </w:r>
    </w:p>
    <w:p w14:paraId="6FF2FC9B" w14:textId="77777777" w:rsidR="0013763C" w:rsidRPr="0037351D" w:rsidRDefault="0013763C" w:rsidP="005B7C21">
      <w:pPr>
        <w:spacing w:line="240" w:lineRule="auto"/>
        <w:rPr>
          <w:color w:val="FF0000"/>
        </w:rPr>
      </w:pPr>
    </w:p>
    <w:p w14:paraId="57D1C17D" w14:textId="77777777" w:rsidR="00D14ECC" w:rsidRDefault="00D14ECC" w:rsidP="005B7C21">
      <w:pPr>
        <w:spacing w:line="240" w:lineRule="auto"/>
        <w:rPr>
          <w:color w:val="002F5D"/>
          <w:sz w:val="18"/>
        </w:rPr>
      </w:pPr>
      <w:r w:rsidRPr="002A49AA">
        <w:rPr>
          <w:color w:val="002F5D"/>
          <w:sz w:val="18"/>
        </w:rPr>
        <w:t>DASR - Directly age-standardised rate</w:t>
      </w:r>
    </w:p>
    <w:p w14:paraId="2ABA79C2" w14:textId="77777777" w:rsidR="00CB6B36" w:rsidRPr="002A49AA" w:rsidRDefault="00CB6B36" w:rsidP="005B7C21">
      <w:pPr>
        <w:spacing w:line="240" w:lineRule="auto"/>
        <w:rPr>
          <w:color w:val="002F5D"/>
          <w:sz w:val="18"/>
        </w:rPr>
      </w:pPr>
    </w:p>
    <w:p w14:paraId="24F8C9EE" w14:textId="77777777" w:rsidR="00CC7729" w:rsidRPr="002A49AA" w:rsidRDefault="00CC7729" w:rsidP="005B7C21">
      <w:pPr>
        <w:spacing w:line="240" w:lineRule="auto"/>
        <w:rPr>
          <w:color w:val="002F5D"/>
          <w:sz w:val="18"/>
          <w:szCs w:val="18"/>
        </w:rPr>
      </w:pPr>
      <w:r w:rsidRPr="002A49AA">
        <w:rPr>
          <w:color w:val="002F5D"/>
          <w:sz w:val="18"/>
          <w:szCs w:val="18"/>
        </w:rPr>
        <w:t>Cambridgeshire districts are benchmarked against Cambridgeshire average, Cambridgeshire against C&amp;P average, and Peterborough against C&amp;P average</w:t>
      </w:r>
    </w:p>
    <w:p w14:paraId="77676A0D" w14:textId="77777777" w:rsidR="0013763C" w:rsidRPr="0037351D" w:rsidRDefault="0013763C" w:rsidP="005B7C21">
      <w:pPr>
        <w:spacing w:line="240" w:lineRule="auto"/>
        <w:rPr>
          <w:color w:val="FF0000"/>
          <w:sz w:val="18"/>
          <w:szCs w:val="18"/>
        </w:rPr>
      </w:pPr>
    </w:p>
    <w:p w14:paraId="555C7693" w14:textId="77777777" w:rsidR="0013763C" w:rsidRPr="0037351D" w:rsidRDefault="0013763C" w:rsidP="005B7C21">
      <w:pPr>
        <w:spacing w:line="240" w:lineRule="auto"/>
        <w:rPr>
          <w:color w:val="FF0000"/>
          <w:sz w:val="18"/>
          <w:szCs w:val="18"/>
        </w:rPr>
      </w:pPr>
      <w:r w:rsidRPr="0037351D">
        <w:rPr>
          <w:noProof/>
          <w:color w:val="FF0000"/>
          <w:lang w:eastAsia="en-GB"/>
        </w:rPr>
        <w:drawing>
          <wp:inline distT="0" distB="0" distL="0" distR="0" wp14:anchorId="3B55E5B2" wp14:editId="6959BC85">
            <wp:extent cx="3840480" cy="5562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40480" cy="556260"/>
                    </a:xfrm>
                    <a:prstGeom prst="rect">
                      <a:avLst/>
                    </a:prstGeom>
                    <a:noFill/>
                    <a:ln>
                      <a:noFill/>
                    </a:ln>
                  </pic:spPr>
                </pic:pic>
              </a:graphicData>
            </a:graphic>
          </wp:inline>
        </w:drawing>
      </w:r>
    </w:p>
    <w:p w14:paraId="573DB700" w14:textId="77777777" w:rsidR="0013763C" w:rsidRPr="0037351D" w:rsidRDefault="0013763C" w:rsidP="005B7C21">
      <w:pPr>
        <w:spacing w:line="240" w:lineRule="auto"/>
        <w:rPr>
          <w:color w:val="FF0000"/>
        </w:rPr>
      </w:pPr>
    </w:p>
    <w:p w14:paraId="75A24D6B" w14:textId="033D2CC7" w:rsidR="00D14ECC" w:rsidRPr="002A49AA" w:rsidRDefault="00D14ECC" w:rsidP="005B7C21">
      <w:pPr>
        <w:spacing w:line="240" w:lineRule="auto"/>
        <w:rPr>
          <w:color w:val="002F5D"/>
        </w:rPr>
      </w:pPr>
      <w:r w:rsidRPr="002A49AA">
        <w:rPr>
          <w:b/>
          <w:color w:val="002F5D"/>
        </w:rPr>
        <w:t>Source:</w:t>
      </w:r>
      <w:r w:rsidRPr="002A49AA">
        <w:rPr>
          <w:color w:val="002F5D"/>
        </w:rPr>
        <w:t xml:space="preserve"> Cambridgeshire County Council Public Health Intelligence (NHS Digital Primary Care Mortality Database, </w:t>
      </w:r>
      <w:r w:rsidR="000C6516">
        <w:rPr>
          <w:color w:val="002F5D"/>
        </w:rPr>
        <w:t>ONS</w:t>
      </w:r>
      <w:r w:rsidRPr="002A49AA">
        <w:rPr>
          <w:color w:val="002F5D"/>
        </w:rPr>
        <w:t xml:space="preserve"> mid-year population estimates).</w:t>
      </w:r>
    </w:p>
    <w:p w14:paraId="6E80FA94" w14:textId="77777777" w:rsidR="00D14ECC" w:rsidRPr="0037351D" w:rsidRDefault="00D14ECC" w:rsidP="005B7C21">
      <w:pPr>
        <w:spacing w:line="240" w:lineRule="auto"/>
        <w:rPr>
          <w:color w:val="FF0000"/>
        </w:rPr>
      </w:pPr>
    </w:p>
    <w:p w14:paraId="6519F194" w14:textId="77777777" w:rsidR="00D14ECC" w:rsidRPr="006E14F5" w:rsidRDefault="00D14ECC" w:rsidP="005B7C21">
      <w:pPr>
        <w:spacing w:line="240" w:lineRule="auto"/>
        <w:rPr>
          <w:b/>
          <w:color w:val="002F5D"/>
        </w:rPr>
      </w:pPr>
      <w:r w:rsidRPr="006E14F5">
        <w:rPr>
          <w:b/>
          <w:color w:val="002F5D"/>
        </w:rPr>
        <w:t>Key points:</w:t>
      </w:r>
    </w:p>
    <w:p w14:paraId="2E1B3E68" w14:textId="5F8FC28E" w:rsidR="00725063" w:rsidRPr="002A49AA" w:rsidRDefault="00725063" w:rsidP="005B7C21">
      <w:pPr>
        <w:pStyle w:val="ListParagraph"/>
        <w:numPr>
          <w:ilvl w:val="0"/>
          <w:numId w:val="11"/>
        </w:numPr>
        <w:spacing w:line="240" w:lineRule="auto"/>
        <w:rPr>
          <w:color w:val="002F5D"/>
        </w:rPr>
      </w:pPr>
      <w:r w:rsidRPr="002A49AA">
        <w:rPr>
          <w:color w:val="002F5D"/>
        </w:rPr>
        <w:t>The rate of</w:t>
      </w:r>
      <w:r w:rsidR="003B7CE5">
        <w:rPr>
          <w:color w:val="002F5D"/>
        </w:rPr>
        <w:t xml:space="preserve"> all-age and </w:t>
      </w:r>
      <w:r w:rsidR="002A49AA" w:rsidRPr="002A49AA">
        <w:rPr>
          <w:color w:val="002F5D"/>
        </w:rPr>
        <w:t>u</w:t>
      </w:r>
      <w:r w:rsidRPr="002A49AA">
        <w:rPr>
          <w:color w:val="002F5D"/>
        </w:rPr>
        <w:t>nder 7</w:t>
      </w:r>
      <w:r w:rsidR="00CB6B36">
        <w:rPr>
          <w:color w:val="002F5D"/>
        </w:rPr>
        <w:t>5s mortality from dementia and A</w:t>
      </w:r>
      <w:r w:rsidRPr="002A49AA">
        <w:rPr>
          <w:color w:val="002F5D"/>
        </w:rPr>
        <w:t>lzheimer’s is statistically similar to the Cambridgeshire and Peterborough combined average in both Cambridgeshire and Peterborough.</w:t>
      </w:r>
    </w:p>
    <w:p w14:paraId="6635D985" w14:textId="6FF29139" w:rsidR="00D14ECC" w:rsidRPr="002A49AA" w:rsidRDefault="00D14ECC" w:rsidP="005B7C21">
      <w:pPr>
        <w:pStyle w:val="ListParagraph"/>
        <w:numPr>
          <w:ilvl w:val="0"/>
          <w:numId w:val="11"/>
        </w:numPr>
        <w:spacing w:line="240" w:lineRule="auto"/>
        <w:rPr>
          <w:color w:val="002F5D"/>
        </w:rPr>
      </w:pPr>
      <w:r w:rsidRPr="002A49AA">
        <w:rPr>
          <w:color w:val="002F5D"/>
        </w:rPr>
        <w:t>The rate of all-a</w:t>
      </w:r>
      <w:r w:rsidR="00CB6B36">
        <w:rPr>
          <w:color w:val="002F5D"/>
        </w:rPr>
        <w:t>ge mortality from dementia and A</w:t>
      </w:r>
      <w:r w:rsidRPr="002A49AA">
        <w:rPr>
          <w:color w:val="002F5D"/>
        </w:rPr>
        <w:t>lzheimer’s is statistically significantly higher than the Cambridgeshire average in Cambridge.</w:t>
      </w:r>
    </w:p>
    <w:p w14:paraId="3AE6B6EE" w14:textId="4CD7A4A3" w:rsidR="00725063" w:rsidRPr="002A49AA" w:rsidRDefault="00725063" w:rsidP="005B7C21">
      <w:pPr>
        <w:pStyle w:val="ListParagraph"/>
        <w:numPr>
          <w:ilvl w:val="0"/>
          <w:numId w:val="11"/>
        </w:numPr>
        <w:spacing w:line="240" w:lineRule="auto"/>
        <w:rPr>
          <w:color w:val="002F5D"/>
        </w:rPr>
      </w:pPr>
      <w:r w:rsidRPr="002A49AA">
        <w:rPr>
          <w:color w:val="002F5D"/>
        </w:rPr>
        <w:t>The rate of Under 75s mortality f</w:t>
      </w:r>
      <w:r w:rsidR="00CB6B36">
        <w:rPr>
          <w:color w:val="002F5D"/>
        </w:rPr>
        <w:t>rom dementia and A</w:t>
      </w:r>
      <w:r w:rsidR="002A49AA" w:rsidRPr="002A49AA">
        <w:rPr>
          <w:color w:val="002F5D"/>
        </w:rPr>
        <w:t>lzheimer’s is</w:t>
      </w:r>
      <w:r w:rsidR="00062938" w:rsidRPr="002A49AA">
        <w:rPr>
          <w:color w:val="002F5D"/>
        </w:rPr>
        <w:t xml:space="preserve"> </w:t>
      </w:r>
      <w:r w:rsidRPr="002A49AA">
        <w:rPr>
          <w:color w:val="002F5D"/>
        </w:rPr>
        <w:t>statistically significantly higher than the Cambridgeshire average in Fenland.</w:t>
      </w:r>
    </w:p>
    <w:p w14:paraId="4004ACB7" w14:textId="0E09E85A" w:rsidR="00D14ECC" w:rsidRPr="002A49AA" w:rsidRDefault="00D14ECC" w:rsidP="005B7C21">
      <w:pPr>
        <w:pStyle w:val="ListParagraph"/>
        <w:numPr>
          <w:ilvl w:val="0"/>
          <w:numId w:val="11"/>
        </w:numPr>
        <w:spacing w:line="240" w:lineRule="auto"/>
        <w:rPr>
          <w:color w:val="002F5D"/>
        </w:rPr>
      </w:pPr>
      <w:r w:rsidRPr="002A49AA">
        <w:rPr>
          <w:color w:val="002F5D"/>
        </w:rPr>
        <w:t xml:space="preserve">Around </w:t>
      </w:r>
      <w:r w:rsidR="002A49AA" w:rsidRPr="002A49AA">
        <w:rPr>
          <w:color w:val="002F5D"/>
        </w:rPr>
        <w:t>850</w:t>
      </w:r>
      <w:r w:rsidRPr="002A49AA">
        <w:rPr>
          <w:color w:val="002F5D"/>
        </w:rPr>
        <w:t xml:space="preserve"> Cambridgeshire </w:t>
      </w:r>
      <w:r w:rsidR="002A49AA" w:rsidRPr="002A49AA">
        <w:rPr>
          <w:color w:val="002F5D"/>
        </w:rPr>
        <w:t xml:space="preserve">and Peterborough </w:t>
      </w:r>
      <w:r w:rsidRPr="002A49AA">
        <w:rPr>
          <w:color w:val="002F5D"/>
        </w:rPr>
        <w:t>residents died each year</w:t>
      </w:r>
      <w:r w:rsidR="00CB6B36">
        <w:rPr>
          <w:color w:val="002F5D"/>
        </w:rPr>
        <w:t xml:space="preserve"> from dementia and A</w:t>
      </w:r>
      <w:r w:rsidR="00D66680" w:rsidRPr="002A49AA">
        <w:rPr>
          <w:color w:val="002F5D"/>
        </w:rPr>
        <w:t xml:space="preserve">lzheimer’s </w:t>
      </w:r>
      <w:r w:rsidR="009404E0">
        <w:rPr>
          <w:color w:val="002F5D"/>
        </w:rPr>
        <w:t>between 2015</w:t>
      </w:r>
      <w:r w:rsidRPr="002A49AA">
        <w:rPr>
          <w:color w:val="002F5D"/>
        </w:rPr>
        <w:t xml:space="preserve"> and</w:t>
      </w:r>
      <w:r w:rsidR="009404E0">
        <w:rPr>
          <w:color w:val="002F5D"/>
        </w:rPr>
        <w:t xml:space="preserve"> 2017</w:t>
      </w:r>
      <w:r w:rsidRPr="002A49AA">
        <w:rPr>
          <w:color w:val="002F5D"/>
        </w:rPr>
        <w:t>.</w:t>
      </w:r>
    </w:p>
    <w:p w14:paraId="0E62C3AC" w14:textId="77777777" w:rsidR="00D14ECC" w:rsidRPr="0037351D" w:rsidRDefault="00D14ECC" w:rsidP="00F10E66">
      <w:pPr>
        <w:spacing w:line="240" w:lineRule="auto"/>
        <w:rPr>
          <w:color w:val="FF0000"/>
        </w:rPr>
      </w:pPr>
    </w:p>
    <w:p w14:paraId="7DF95321" w14:textId="77777777" w:rsidR="00D14ECC" w:rsidRPr="0037351D" w:rsidRDefault="00D14ECC" w:rsidP="00F10E66">
      <w:pPr>
        <w:spacing w:line="240" w:lineRule="auto"/>
        <w:rPr>
          <w:b/>
          <w:color w:val="FF0000"/>
        </w:rPr>
      </w:pPr>
      <w:r w:rsidRPr="0037351D">
        <w:rPr>
          <w:b/>
          <w:color w:val="FF0000"/>
        </w:rPr>
        <w:br w:type="page"/>
      </w:r>
    </w:p>
    <w:p w14:paraId="60F71B49" w14:textId="2071E54B" w:rsidR="00C1152A" w:rsidRDefault="006F11BF" w:rsidP="00730FBE">
      <w:pPr>
        <w:pStyle w:val="Caption"/>
        <w:rPr>
          <w:b/>
          <w:color w:val="002F5D"/>
        </w:rPr>
      </w:pPr>
      <w:r w:rsidRPr="00C34620">
        <w:rPr>
          <w:b/>
          <w:color w:val="002F5D"/>
        </w:rPr>
        <w:lastRenderedPageBreak/>
        <w:t>Table</w:t>
      </w:r>
      <w:r w:rsidR="00837184">
        <w:rPr>
          <w:b/>
          <w:color w:val="002F5D"/>
        </w:rPr>
        <w:t xml:space="preserve"> </w:t>
      </w:r>
      <w:r w:rsidR="00B81E4B">
        <w:rPr>
          <w:b/>
          <w:color w:val="002F5D"/>
        </w:rPr>
        <w:t>122</w:t>
      </w:r>
      <w:r w:rsidR="00D14ECC" w:rsidRPr="00C34620">
        <w:rPr>
          <w:b/>
          <w:color w:val="002F5D"/>
        </w:rPr>
        <w:t>.</w:t>
      </w:r>
      <w:r w:rsidR="002536F1">
        <w:rPr>
          <w:b/>
          <w:color w:val="002F5D"/>
        </w:rPr>
        <w:t xml:space="preserve"> </w:t>
      </w:r>
      <w:r w:rsidR="002536F1" w:rsidRPr="00330B65">
        <w:rPr>
          <w:color w:val="002F5D"/>
        </w:rPr>
        <w:t>Mortality from D</w:t>
      </w:r>
      <w:r w:rsidR="00D14ECC" w:rsidRPr="00330B65">
        <w:rPr>
          <w:color w:val="002F5D"/>
        </w:rPr>
        <w:t>ementia and Alzheimer’s by deprivation quintile of ward of</w:t>
      </w:r>
      <w:r w:rsidR="00C34620" w:rsidRPr="00330B65">
        <w:rPr>
          <w:color w:val="002F5D"/>
        </w:rPr>
        <w:t xml:space="preserve"> residence, Cambridgeshire, 2015-17</w:t>
      </w:r>
    </w:p>
    <w:p w14:paraId="5D98B44F" w14:textId="77777777" w:rsidR="005A1EC1" w:rsidRPr="005A1EC1" w:rsidRDefault="005A1EC1" w:rsidP="005A1EC1"/>
    <w:p w14:paraId="4B53C419" w14:textId="2F68ABEF" w:rsidR="0003351B" w:rsidRPr="0003351B" w:rsidRDefault="005A1EC1" w:rsidP="0003351B">
      <w:r w:rsidRPr="005A1EC1">
        <w:rPr>
          <w:noProof/>
          <w:lang w:eastAsia="en-GB"/>
        </w:rPr>
        <w:drawing>
          <wp:inline distT="0" distB="0" distL="0" distR="0" wp14:anchorId="2ADC709B" wp14:editId="028124AD">
            <wp:extent cx="4448175" cy="17526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4AFA90DD" w14:textId="77777777" w:rsidR="00C34620" w:rsidRPr="0037351D" w:rsidRDefault="00C34620" w:rsidP="00F10E66">
      <w:pPr>
        <w:spacing w:line="240" w:lineRule="auto"/>
        <w:rPr>
          <w:color w:val="FF0000"/>
          <w:sz w:val="16"/>
          <w:szCs w:val="16"/>
        </w:rPr>
      </w:pPr>
    </w:p>
    <w:p w14:paraId="20B13121" w14:textId="77777777" w:rsidR="00D14ECC" w:rsidRDefault="00D14ECC" w:rsidP="00F10E66">
      <w:pPr>
        <w:spacing w:line="240" w:lineRule="auto"/>
        <w:rPr>
          <w:color w:val="002F5D"/>
          <w:sz w:val="18"/>
        </w:rPr>
      </w:pPr>
      <w:r w:rsidRPr="00C34620">
        <w:rPr>
          <w:color w:val="002F5D"/>
          <w:sz w:val="18"/>
        </w:rPr>
        <w:t>DASR - Directly age-standardised rate</w:t>
      </w:r>
    </w:p>
    <w:p w14:paraId="099456F7" w14:textId="77777777" w:rsidR="00C34620" w:rsidRPr="00C34620" w:rsidRDefault="00C34620" w:rsidP="00F10E66">
      <w:pPr>
        <w:spacing w:line="240" w:lineRule="auto"/>
        <w:rPr>
          <w:color w:val="002F5D"/>
          <w:sz w:val="16"/>
          <w:szCs w:val="16"/>
        </w:rPr>
      </w:pPr>
    </w:p>
    <w:p w14:paraId="48B68C3D" w14:textId="77777777" w:rsidR="00D14ECC" w:rsidRPr="0037351D" w:rsidRDefault="00D14ECC" w:rsidP="00F10E66">
      <w:pPr>
        <w:spacing w:line="240" w:lineRule="auto"/>
        <w:rPr>
          <w:color w:val="FF0000"/>
        </w:rPr>
      </w:pPr>
      <w:r w:rsidRPr="0037351D">
        <w:rPr>
          <w:noProof/>
          <w:color w:val="FF0000"/>
          <w:lang w:eastAsia="en-GB"/>
        </w:rPr>
        <w:drawing>
          <wp:inline distT="0" distB="0" distL="0" distR="0" wp14:anchorId="249696B5" wp14:editId="402063BD">
            <wp:extent cx="4152900" cy="4667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E2EE46B" w14:textId="77777777" w:rsidR="00D14ECC" w:rsidRPr="00C34620" w:rsidRDefault="00D14ECC" w:rsidP="00F10E66">
      <w:pPr>
        <w:spacing w:line="240" w:lineRule="auto"/>
        <w:rPr>
          <w:color w:val="002F5D"/>
          <w:sz w:val="16"/>
          <w:szCs w:val="16"/>
        </w:rPr>
      </w:pPr>
    </w:p>
    <w:p w14:paraId="07FD91B3" w14:textId="36C87887" w:rsidR="00D14ECC" w:rsidRPr="00C34620" w:rsidRDefault="00D14ECC" w:rsidP="00F10E66">
      <w:pPr>
        <w:spacing w:line="240" w:lineRule="auto"/>
        <w:rPr>
          <w:color w:val="002F5D"/>
        </w:rPr>
      </w:pPr>
      <w:r w:rsidRPr="00C34620">
        <w:rPr>
          <w:b/>
          <w:color w:val="002F5D"/>
        </w:rPr>
        <w:t>Source:</w:t>
      </w:r>
      <w:r w:rsidRPr="00C34620">
        <w:rPr>
          <w:color w:val="002F5D"/>
        </w:rPr>
        <w:t xml:space="preserve"> Cambridgeshire County Council Public Health Intelligence (NHS Digital Primary Care Mortality Database, </w:t>
      </w:r>
      <w:r w:rsidR="000C6516">
        <w:rPr>
          <w:color w:val="002F5D"/>
        </w:rPr>
        <w:t>ONS</w:t>
      </w:r>
      <w:r w:rsidRPr="00C34620">
        <w:rPr>
          <w:color w:val="002F5D"/>
        </w:rPr>
        <w:t xml:space="preserve"> mid-year population estimates, 2015 Index of Multiple Deprivation).</w:t>
      </w:r>
    </w:p>
    <w:p w14:paraId="25CB35AE" w14:textId="77777777" w:rsidR="002E2F56" w:rsidRPr="0037351D" w:rsidRDefault="002E2F56" w:rsidP="00F10E66">
      <w:pPr>
        <w:spacing w:line="240" w:lineRule="auto"/>
        <w:rPr>
          <w:b/>
          <w:color w:val="FF0000"/>
          <w:sz w:val="16"/>
          <w:szCs w:val="16"/>
        </w:rPr>
      </w:pPr>
    </w:p>
    <w:p w14:paraId="7FD709C8" w14:textId="77777777" w:rsidR="00D14ECC" w:rsidRPr="002536F1" w:rsidRDefault="002E2F56" w:rsidP="00F10E66">
      <w:pPr>
        <w:spacing w:line="240" w:lineRule="auto"/>
        <w:rPr>
          <w:b/>
          <w:color w:val="002F5D"/>
        </w:rPr>
      </w:pPr>
      <w:r w:rsidRPr="002536F1">
        <w:rPr>
          <w:b/>
          <w:color w:val="002F5D"/>
        </w:rPr>
        <w:t>Key points</w:t>
      </w:r>
      <w:r w:rsidR="00D14ECC" w:rsidRPr="002536F1">
        <w:rPr>
          <w:b/>
          <w:color w:val="002F5D"/>
        </w:rPr>
        <w:t>:</w:t>
      </w:r>
    </w:p>
    <w:p w14:paraId="779F38FC" w14:textId="2BF22E49" w:rsidR="00D14ECC" w:rsidRPr="002536F1" w:rsidRDefault="00D14ECC" w:rsidP="00ED7FE4">
      <w:pPr>
        <w:pStyle w:val="ListParagraph"/>
        <w:numPr>
          <w:ilvl w:val="0"/>
          <w:numId w:val="11"/>
        </w:numPr>
        <w:spacing w:line="240" w:lineRule="auto"/>
        <w:rPr>
          <w:color w:val="002F5D"/>
        </w:rPr>
      </w:pPr>
      <w:r w:rsidRPr="002536F1">
        <w:rPr>
          <w:color w:val="002F5D"/>
        </w:rPr>
        <w:t>The rates of all-age</w:t>
      </w:r>
      <w:r w:rsidR="002536F1" w:rsidRPr="002536F1">
        <w:rPr>
          <w:color w:val="002F5D"/>
        </w:rPr>
        <w:t xml:space="preserve"> and under 75 mortality due to D</w:t>
      </w:r>
      <w:r w:rsidRPr="002536F1">
        <w:rPr>
          <w:color w:val="002F5D"/>
        </w:rPr>
        <w:t>ementia and Alzheimer’s are statistically significantly higher than the Cambridgeshire average in the most deprived 20% of wards in the county.</w:t>
      </w:r>
      <w:r w:rsidR="002E2F56" w:rsidRPr="002536F1">
        <w:rPr>
          <w:color w:val="002F5D"/>
        </w:rPr>
        <w:t xml:space="preserve"> </w:t>
      </w:r>
      <w:r w:rsidRPr="002536F1">
        <w:rPr>
          <w:color w:val="002F5D"/>
        </w:rPr>
        <w:t>All-age rates</w:t>
      </w:r>
      <w:r w:rsidR="005A1EC1">
        <w:rPr>
          <w:color w:val="002F5D"/>
        </w:rPr>
        <w:t xml:space="preserve"> are</w:t>
      </w:r>
      <w:r w:rsidRPr="002536F1">
        <w:rPr>
          <w:color w:val="002F5D"/>
        </w:rPr>
        <w:t xml:space="preserve"> st</w:t>
      </w:r>
      <w:r w:rsidR="005A1EC1">
        <w:rPr>
          <w:color w:val="002F5D"/>
        </w:rPr>
        <w:t>atistically significantly lower</w:t>
      </w:r>
      <w:r w:rsidRPr="002536F1">
        <w:rPr>
          <w:color w:val="002F5D"/>
        </w:rPr>
        <w:t xml:space="preserve"> than </w:t>
      </w:r>
      <w:r w:rsidR="005A1EC1">
        <w:rPr>
          <w:color w:val="002F5D"/>
        </w:rPr>
        <w:t>the county average in the least deprived 4</w:t>
      </w:r>
      <w:r w:rsidRPr="002536F1">
        <w:rPr>
          <w:color w:val="002F5D"/>
        </w:rPr>
        <w:t>0% of wards in Cambridgeshire.</w:t>
      </w:r>
    </w:p>
    <w:p w14:paraId="325A1B27" w14:textId="77777777" w:rsidR="00D14ECC" w:rsidRPr="0037351D" w:rsidRDefault="00D14ECC" w:rsidP="00F10E66">
      <w:pPr>
        <w:spacing w:line="240" w:lineRule="auto"/>
        <w:rPr>
          <w:color w:val="FF0000"/>
          <w:sz w:val="16"/>
          <w:szCs w:val="16"/>
        </w:rPr>
      </w:pPr>
    </w:p>
    <w:p w14:paraId="45D06788" w14:textId="53BD63FD" w:rsidR="00743B04" w:rsidRDefault="007A7BA8" w:rsidP="007A7BA8">
      <w:pPr>
        <w:pStyle w:val="Caption"/>
        <w:rPr>
          <w:b/>
          <w:color w:val="002F5D"/>
        </w:rPr>
      </w:pPr>
      <w:r w:rsidRPr="002536F1">
        <w:rPr>
          <w:b/>
          <w:color w:val="002F5D"/>
        </w:rPr>
        <w:t xml:space="preserve">Table </w:t>
      </w:r>
      <w:r w:rsidR="00B81E4B">
        <w:rPr>
          <w:b/>
          <w:color w:val="002F5D"/>
        </w:rPr>
        <w:t>123</w:t>
      </w:r>
      <w:r w:rsidRPr="00330B65">
        <w:rPr>
          <w:color w:val="002F5D"/>
        </w:rPr>
        <w:t xml:space="preserve">. Mortality from dementia and Alzheimer’s by deprivation quintile of ward </w:t>
      </w:r>
      <w:r w:rsidR="002536F1" w:rsidRPr="00330B65">
        <w:rPr>
          <w:color w:val="002F5D"/>
        </w:rPr>
        <w:t>of residence, Peterborough, 2015-17</w:t>
      </w:r>
    </w:p>
    <w:p w14:paraId="35B4FE93" w14:textId="77777777" w:rsidR="005A1EC1" w:rsidRPr="005A1EC1" w:rsidRDefault="005A1EC1" w:rsidP="005A1EC1"/>
    <w:p w14:paraId="6720A75E" w14:textId="2FA3B073" w:rsidR="00C1152A" w:rsidRDefault="005A1EC1" w:rsidP="00C1152A">
      <w:pPr>
        <w:rPr>
          <w:color w:val="FF0000"/>
          <w:sz w:val="16"/>
          <w:szCs w:val="16"/>
        </w:rPr>
      </w:pPr>
      <w:r w:rsidRPr="005A1EC1">
        <w:rPr>
          <w:noProof/>
          <w:lang w:eastAsia="en-GB"/>
        </w:rPr>
        <w:drawing>
          <wp:inline distT="0" distB="0" distL="0" distR="0" wp14:anchorId="17E16A21" wp14:editId="2E312D4D">
            <wp:extent cx="4448175" cy="175260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262C7EB6" w14:textId="77777777" w:rsidR="002536F1" w:rsidRPr="002536F1" w:rsidRDefault="002536F1" w:rsidP="002536F1">
      <w:pPr>
        <w:rPr>
          <w:color w:val="FF0000"/>
          <w:sz w:val="16"/>
          <w:szCs w:val="16"/>
        </w:rPr>
      </w:pPr>
    </w:p>
    <w:p w14:paraId="2354CBB3" w14:textId="77777777" w:rsidR="007A7BA8" w:rsidRDefault="007A7BA8" w:rsidP="007A7BA8">
      <w:pPr>
        <w:spacing w:line="240" w:lineRule="auto"/>
        <w:rPr>
          <w:color w:val="002F5D"/>
          <w:sz w:val="18"/>
          <w:szCs w:val="18"/>
        </w:rPr>
      </w:pPr>
      <w:r w:rsidRPr="002536F1">
        <w:rPr>
          <w:color w:val="002F5D"/>
          <w:sz w:val="18"/>
        </w:rPr>
        <w:t>DASR - Directly age-standardised rate</w:t>
      </w:r>
      <w:r w:rsidR="002E2F56" w:rsidRPr="002536F1">
        <w:rPr>
          <w:color w:val="002F5D"/>
          <w:sz w:val="18"/>
        </w:rPr>
        <w:t xml:space="preserve"> and </w:t>
      </w:r>
      <w:r w:rsidR="00743B04" w:rsidRPr="002536F1">
        <w:rPr>
          <w:color w:val="002F5D"/>
          <w:sz w:val="18"/>
          <w:szCs w:val="18"/>
        </w:rPr>
        <w:t>'-' denotes fewer than 5</w:t>
      </w:r>
    </w:p>
    <w:p w14:paraId="3B4F90FF" w14:textId="77777777" w:rsidR="002536F1" w:rsidRPr="002536F1" w:rsidRDefault="002536F1" w:rsidP="007A7BA8">
      <w:pPr>
        <w:spacing w:line="240" w:lineRule="auto"/>
        <w:rPr>
          <w:color w:val="002F5D"/>
          <w:sz w:val="18"/>
          <w:szCs w:val="18"/>
        </w:rPr>
      </w:pPr>
    </w:p>
    <w:p w14:paraId="071765E0" w14:textId="77777777" w:rsidR="00743B04" w:rsidRPr="0037351D" w:rsidRDefault="00743B04" w:rsidP="007A7BA8">
      <w:pPr>
        <w:spacing w:line="240" w:lineRule="auto"/>
        <w:rPr>
          <w:color w:val="FF0000"/>
          <w:sz w:val="18"/>
          <w:szCs w:val="18"/>
        </w:rPr>
      </w:pPr>
      <w:r w:rsidRPr="0037351D">
        <w:rPr>
          <w:noProof/>
          <w:color w:val="FF0000"/>
          <w:lang w:eastAsia="en-GB"/>
        </w:rPr>
        <w:drawing>
          <wp:inline distT="0" distB="0" distL="0" distR="0" wp14:anchorId="3C874BD6" wp14:editId="2D752902">
            <wp:extent cx="3451860" cy="52171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484284" cy="526611"/>
                    </a:xfrm>
                    <a:prstGeom prst="rect">
                      <a:avLst/>
                    </a:prstGeom>
                    <a:noFill/>
                    <a:ln>
                      <a:noFill/>
                    </a:ln>
                  </pic:spPr>
                </pic:pic>
              </a:graphicData>
            </a:graphic>
          </wp:inline>
        </w:drawing>
      </w:r>
    </w:p>
    <w:p w14:paraId="27ABFFAB" w14:textId="77777777" w:rsidR="00743B04" w:rsidRPr="0037351D" w:rsidRDefault="00743B04" w:rsidP="007A7BA8">
      <w:pPr>
        <w:spacing w:line="240" w:lineRule="auto"/>
        <w:rPr>
          <w:color w:val="FF0000"/>
          <w:sz w:val="16"/>
          <w:szCs w:val="16"/>
        </w:rPr>
      </w:pPr>
    </w:p>
    <w:p w14:paraId="0C7C0CEE" w14:textId="55689BC1" w:rsidR="007A7BA8" w:rsidRPr="002536F1" w:rsidRDefault="007A7BA8" w:rsidP="007A7BA8">
      <w:pPr>
        <w:spacing w:line="240" w:lineRule="auto"/>
        <w:rPr>
          <w:color w:val="002F5D"/>
        </w:rPr>
      </w:pPr>
      <w:r w:rsidRPr="002536F1">
        <w:rPr>
          <w:b/>
          <w:color w:val="002F5D"/>
        </w:rPr>
        <w:t>Source:</w:t>
      </w:r>
      <w:r w:rsidRPr="002536F1">
        <w:rPr>
          <w:color w:val="002F5D"/>
        </w:rPr>
        <w:t xml:space="preserve"> Cambridgeshire County Council Public Health Intelligence (NHS Digital Primary Care Mortality Database, O</w:t>
      </w:r>
      <w:r w:rsidR="000C6516">
        <w:rPr>
          <w:color w:val="002F5D"/>
        </w:rPr>
        <w:t>NS</w:t>
      </w:r>
      <w:r w:rsidRPr="002536F1">
        <w:rPr>
          <w:color w:val="002F5D"/>
        </w:rPr>
        <w:t xml:space="preserve"> mid-year population estimates, 2015 Index of Multiple Deprivation).</w:t>
      </w:r>
    </w:p>
    <w:p w14:paraId="0E08B6B8" w14:textId="77777777" w:rsidR="007A7BA8" w:rsidRPr="0037351D" w:rsidRDefault="007A7BA8" w:rsidP="007A7BA8">
      <w:pPr>
        <w:spacing w:line="240" w:lineRule="auto"/>
        <w:rPr>
          <w:color w:val="FF0000"/>
          <w:sz w:val="16"/>
          <w:szCs w:val="16"/>
        </w:rPr>
      </w:pPr>
    </w:p>
    <w:p w14:paraId="28F0C4E5" w14:textId="77777777" w:rsidR="00A7698E" w:rsidRDefault="00A7698E" w:rsidP="007A7BA8">
      <w:pPr>
        <w:spacing w:line="240" w:lineRule="auto"/>
        <w:rPr>
          <w:b/>
          <w:color w:val="002F5D"/>
        </w:rPr>
      </w:pPr>
    </w:p>
    <w:p w14:paraId="37BE4CE6" w14:textId="77777777" w:rsidR="00A7698E" w:rsidRDefault="00A7698E" w:rsidP="007A7BA8">
      <w:pPr>
        <w:spacing w:line="240" w:lineRule="auto"/>
        <w:rPr>
          <w:b/>
          <w:color w:val="002F5D"/>
        </w:rPr>
      </w:pPr>
    </w:p>
    <w:p w14:paraId="7F56636B" w14:textId="77777777" w:rsidR="007A7BA8" w:rsidRDefault="007A7BA8" w:rsidP="007A7BA8">
      <w:pPr>
        <w:spacing w:line="240" w:lineRule="auto"/>
        <w:rPr>
          <w:b/>
          <w:color w:val="002F5D"/>
        </w:rPr>
      </w:pPr>
      <w:r w:rsidRPr="002536F1">
        <w:rPr>
          <w:b/>
          <w:color w:val="002F5D"/>
        </w:rPr>
        <w:t>Key point:</w:t>
      </w:r>
    </w:p>
    <w:p w14:paraId="39407219" w14:textId="77777777" w:rsidR="001C4399" w:rsidRPr="0037351D" w:rsidRDefault="001C4399" w:rsidP="001C4399">
      <w:pPr>
        <w:pStyle w:val="ListParagraph"/>
        <w:numPr>
          <w:ilvl w:val="0"/>
          <w:numId w:val="11"/>
        </w:numPr>
        <w:spacing w:line="240" w:lineRule="auto"/>
        <w:rPr>
          <w:color w:val="FF0000"/>
        </w:rPr>
      </w:pPr>
      <w:r w:rsidRPr="002536F1">
        <w:rPr>
          <w:color w:val="002F5D"/>
        </w:rPr>
        <w:t xml:space="preserve">The rates of all-age mortality due to dementia and Alzheimer’s are statistically significantly higher than the Peterborough average in the second most deprived 20% of wards in Peterborough.  The rates of all-age mortality due to dementia and Alzheimer’s in Under 75s are statistically similar to the Peterborough average </w:t>
      </w:r>
      <w:r>
        <w:rPr>
          <w:color w:val="002F5D"/>
        </w:rPr>
        <w:t>for the middle three deprivation quintile</w:t>
      </w:r>
      <w:r w:rsidRPr="002536F1">
        <w:rPr>
          <w:color w:val="002F5D"/>
        </w:rPr>
        <w:t>s in Peterborough.  The numbers for Unde</w:t>
      </w:r>
      <w:r>
        <w:rPr>
          <w:color w:val="002F5D"/>
        </w:rPr>
        <w:t>r 75s were very low in the most and least deprived</w:t>
      </w:r>
      <w:r w:rsidRPr="002536F1">
        <w:rPr>
          <w:color w:val="002F5D"/>
        </w:rPr>
        <w:t xml:space="preserve"> quintiles and supressed for disclosure purposes.</w:t>
      </w:r>
    </w:p>
    <w:p w14:paraId="56A95576" w14:textId="38B66F23" w:rsidR="001C4399" w:rsidRDefault="001C4399" w:rsidP="007A7BA8">
      <w:pPr>
        <w:spacing w:line="240" w:lineRule="auto"/>
        <w:rPr>
          <w:b/>
          <w:color w:val="002F5D"/>
        </w:rPr>
      </w:pPr>
    </w:p>
    <w:p w14:paraId="49D25500" w14:textId="29766927" w:rsidR="00E9766D" w:rsidRDefault="00E9766D" w:rsidP="007A7BA8">
      <w:pPr>
        <w:spacing w:line="240" w:lineRule="auto"/>
        <w:rPr>
          <w:b/>
          <w:color w:val="002F5D"/>
        </w:rPr>
      </w:pPr>
    </w:p>
    <w:p w14:paraId="3EACB72A" w14:textId="7B4244BF" w:rsidR="00E9766D" w:rsidRDefault="00E9766D" w:rsidP="007A7BA8">
      <w:pPr>
        <w:spacing w:line="240" w:lineRule="auto"/>
        <w:rPr>
          <w:b/>
          <w:color w:val="002F5D"/>
        </w:rPr>
      </w:pPr>
    </w:p>
    <w:p w14:paraId="38544979" w14:textId="67AE0E3D" w:rsidR="00E9766D" w:rsidRDefault="00E9766D" w:rsidP="007A7BA8">
      <w:pPr>
        <w:spacing w:line="240" w:lineRule="auto"/>
        <w:rPr>
          <w:b/>
          <w:color w:val="002F5D"/>
        </w:rPr>
      </w:pPr>
    </w:p>
    <w:p w14:paraId="1B652755" w14:textId="34C45FE6" w:rsidR="00E9766D" w:rsidRDefault="00E9766D" w:rsidP="007A7BA8">
      <w:pPr>
        <w:spacing w:line="240" w:lineRule="auto"/>
        <w:rPr>
          <w:b/>
          <w:color w:val="002F5D"/>
        </w:rPr>
      </w:pPr>
    </w:p>
    <w:p w14:paraId="6C9FBEBD" w14:textId="4B74E475" w:rsidR="00E9766D" w:rsidRDefault="00E9766D" w:rsidP="007A7BA8">
      <w:pPr>
        <w:spacing w:line="240" w:lineRule="auto"/>
        <w:rPr>
          <w:b/>
          <w:color w:val="002F5D"/>
        </w:rPr>
      </w:pPr>
    </w:p>
    <w:p w14:paraId="5E6D2D6D" w14:textId="7F74324B" w:rsidR="00E9766D" w:rsidRDefault="00E9766D" w:rsidP="007A7BA8">
      <w:pPr>
        <w:spacing w:line="240" w:lineRule="auto"/>
        <w:rPr>
          <w:b/>
          <w:color w:val="002F5D"/>
        </w:rPr>
      </w:pPr>
    </w:p>
    <w:p w14:paraId="27BA69FF" w14:textId="15204548" w:rsidR="00E9766D" w:rsidRDefault="00E9766D" w:rsidP="007A7BA8">
      <w:pPr>
        <w:spacing w:line="240" w:lineRule="auto"/>
        <w:rPr>
          <w:b/>
          <w:color w:val="002F5D"/>
        </w:rPr>
      </w:pPr>
    </w:p>
    <w:p w14:paraId="120E9527" w14:textId="0879AAD4" w:rsidR="00E9766D" w:rsidRDefault="00E9766D" w:rsidP="007A7BA8">
      <w:pPr>
        <w:spacing w:line="240" w:lineRule="auto"/>
        <w:rPr>
          <w:b/>
          <w:color w:val="002F5D"/>
        </w:rPr>
      </w:pPr>
    </w:p>
    <w:p w14:paraId="3E9B4B0D" w14:textId="7E1E25F7" w:rsidR="00E9766D" w:rsidRDefault="00E9766D" w:rsidP="007A7BA8">
      <w:pPr>
        <w:spacing w:line="240" w:lineRule="auto"/>
        <w:rPr>
          <w:b/>
          <w:color w:val="002F5D"/>
        </w:rPr>
      </w:pPr>
    </w:p>
    <w:p w14:paraId="65A35EC1" w14:textId="2CB61312" w:rsidR="00E9766D" w:rsidRDefault="00E9766D" w:rsidP="007A7BA8">
      <w:pPr>
        <w:spacing w:line="240" w:lineRule="auto"/>
        <w:rPr>
          <w:b/>
          <w:color w:val="002F5D"/>
        </w:rPr>
      </w:pPr>
    </w:p>
    <w:p w14:paraId="600652B5" w14:textId="64DD7F01" w:rsidR="00E9766D" w:rsidRDefault="00E9766D" w:rsidP="007A7BA8">
      <w:pPr>
        <w:spacing w:line="240" w:lineRule="auto"/>
        <w:rPr>
          <w:b/>
          <w:color w:val="002F5D"/>
        </w:rPr>
      </w:pPr>
    </w:p>
    <w:p w14:paraId="205E3B1B" w14:textId="23A384EC" w:rsidR="00E9766D" w:rsidRDefault="00E9766D" w:rsidP="007A7BA8">
      <w:pPr>
        <w:spacing w:line="240" w:lineRule="auto"/>
        <w:rPr>
          <w:b/>
          <w:color w:val="002F5D"/>
        </w:rPr>
      </w:pPr>
    </w:p>
    <w:p w14:paraId="532F0F1A" w14:textId="6541B9B2" w:rsidR="00E9766D" w:rsidRDefault="00E9766D" w:rsidP="007A7BA8">
      <w:pPr>
        <w:spacing w:line="240" w:lineRule="auto"/>
        <w:rPr>
          <w:b/>
          <w:color w:val="002F5D"/>
        </w:rPr>
      </w:pPr>
    </w:p>
    <w:p w14:paraId="257DD847" w14:textId="7A9B3E0D" w:rsidR="00E9766D" w:rsidRDefault="00E9766D" w:rsidP="007A7BA8">
      <w:pPr>
        <w:spacing w:line="240" w:lineRule="auto"/>
        <w:rPr>
          <w:b/>
          <w:color w:val="002F5D"/>
        </w:rPr>
      </w:pPr>
    </w:p>
    <w:p w14:paraId="30A88524" w14:textId="5B48DD7B" w:rsidR="00E9766D" w:rsidRDefault="00E9766D" w:rsidP="007A7BA8">
      <w:pPr>
        <w:spacing w:line="240" w:lineRule="auto"/>
        <w:rPr>
          <w:b/>
          <w:color w:val="002F5D"/>
        </w:rPr>
      </w:pPr>
    </w:p>
    <w:p w14:paraId="1565A84E" w14:textId="4E394E3B" w:rsidR="00E9766D" w:rsidRDefault="00E9766D" w:rsidP="007A7BA8">
      <w:pPr>
        <w:spacing w:line="240" w:lineRule="auto"/>
        <w:rPr>
          <w:b/>
          <w:color w:val="002F5D"/>
        </w:rPr>
      </w:pPr>
    </w:p>
    <w:p w14:paraId="077B1B48" w14:textId="544F5496" w:rsidR="00E9766D" w:rsidRDefault="00E9766D" w:rsidP="007A7BA8">
      <w:pPr>
        <w:spacing w:line="240" w:lineRule="auto"/>
        <w:rPr>
          <w:b/>
          <w:color w:val="002F5D"/>
        </w:rPr>
      </w:pPr>
    </w:p>
    <w:p w14:paraId="026CD124" w14:textId="77FDAC66" w:rsidR="00E9766D" w:rsidRDefault="00E9766D" w:rsidP="007A7BA8">
      <w:pPr>
        <w:spacing w:line="240" w:lineRule="auto"/>
        <w:rPr>
          <w:b/>
          <w:color w:val="002F5D"/>
        </w:rPr>
      </w:pPr>
    </w:p>
    <w:p w14:paraId="59CBC6FB" w14:textId="27799845" w:rsidR="00E9766D" w:rsidRDefault="00E9766D" w:rsidP="007A7BA8">
      <w:pPr>
        <w:spacing w:line="240" w:lineRule="auto"/>
        <w:rPr>
          <w:b/>
          <w:color w:val="002F5D"/>
        </w:rPr>
      </w:pPr>
    </w:p>
    <w:p w14:paraId="7ED34FBA" w14:textId="47FE82B3" w:rsidR="00E9766D" w:rsidRDefault="00E9766D" w:rsidP="007A7BA8">
      <w:pPr>
        <w:spacing w:line="240" w:lineRule="auto"/>
        <w:rPr>
          <w:b/>
          <w:color w:val="002F5D"/>
        </w:rPr>
      </w:pPr>
    </w:p>
    <w:p w14:paraId="09E8F33C" w14:textId="1D18F6CC" w:rsidR="00E9766D" w:rsidRDefault="00E9766D" w:rsidP="007A7BA8">
      <w:pPr>
        <w:spacing w:line="240" w:lineRule="auto"/>
        <w:rPr>
          <w:b/>
          <w:color w:val="002F5D"/>
        </w:rPr>
      </w:pPr>
    </w:p>
    <w:p w14:paraId="61C0A9BA" w14:textId="77A32825" w:rsidR="00E9766D" w:rsidRDefault="00E9766D" w:rsidP="007A7BA8">
      <w:pPr>
        <w:spacing w:line="240" w:lineRule="auto"/>
        <w:rPr>
          <w:b/>
          <w:color w:val="002F5D"/>
        </w:rPr>
      </w:pPr>
    </w:p>
    <w:p w14:paraId="49481A16" w14:textId="6D4EE6FF" w:rsidR="00E9766D" w:rsidRDefault="00E9766D" w:rsidP="007A7BA8">
      <w:pPr>
        <w:spacing w:line="240" w:lineRule="auto"/>
        <w:rPr>
          <w:b/>
          <w:color w:val="002F5D"/>
        </w:rPr>
      </w:pPr>
    </w:p>
    <w:p w14:paraId="0700AC1E" w14:textId="31F41726" w:rsidR="00E9766D" w:rsidRDefault="00E9766D" w:rsidP="007A7BA8">
      <w:pPr>
        <w:spacing w:line="240" w:lineRule="auto"/>
        <w:rPr>
          <w:b/>
          <w:color w:val="002F5D"/>
        </w:rPr>
      </w:pPr>
    </w:p>
    <w:p w14:paraId="7C28D5DB" w14:textId="0D527154" w:rsidR="00E9766D" w:rsidRDefault="00E9766D" w:rsidP="007A7BA8">
      <w:pPr>
        <w:spacing w:line="240" w:lineRule="auto"/>
        <w:rPr>
          <w:b/>
          <w:color w:val="002F5D"/>
        </w:rPr>
      </w:pPr>
    </w:p>
    <w:p w14:paraId="2ED2490E" w14:textId="1F182973" w:rsidR="00E9766D" w:rsidRDefault="00E9766D" w:rsidP="007A7BA8">
      <w:pPr>
        <w:spacing w:line="240" w:lineRule="auto"/>
        <w:rPr>
          <w:b/>
          <w:color w:val="002F5D"/>
        </w:rPr>
      </w:pPr>
    </w:p>
    <w:p w14:paraId="7CFAEC14" w14:textId="67014EB2" w:rsidR="00E9766D" w:rsidRDefault="00E9766D" w:rsidP="007A7BA8">
      <w:pPr>
        <w:spacing w:line="240" w:lineRule="auto"/>
        <w:rPr>
          <w:b/>
          <w:color w:val="002F5D"/>
        </w:rPr>
      </w:pPr>
    </w:p>
    <w:p w14:paraId="3835039E" w14:textId="4BA477A3" w:rsidR="00E9766D" w:rsidRDefault="00E9766D" w:rsidP="007A7BA8">
      <w:pPr>
        <w:spacing w:line="240" w:lineRule="auto"/>
        <w:rPr>
          <w:b/>
          <w:color w:val="002F5D"/>
        </w:rPr>
      </w:pPr>
    </w:p>
    <w:p w14:paraId="7F8E8B44" w14:textId="76EC1424" w:rsidR="00E9766D" w:rsidRDefault="00E9766D" w:rsidP="007A7BA8">
      <w:pPr>
        <w:spacing w:line="240" w:lineRule="auto"/>
        <w:rPr>
          <w:b/>
          <w:color w:val="002F5D"/>
        </w:rPr>
      </w:pPr>
    </w:p>
    <w:p w14:paraId="59CDB33F" w14:textId="5C18ED93" w:rsidR="00E9766D" w:rsidRDefault="00E9766D" w:rsidP="007A7BA8">
      <w:pPr>
        <w:spacing w:line="240" w:lineRule="auto"/>
        <w:rPr>
          <w:b/>
          <w:color w:val="002F5D"/>
        </w:rPr>
      </w:pPr>
    </w:p>
    <w:p w14:paraId="435F17D7" w14:textId="44A13C21" w:rsidR="00E9766D" w:rsidRDefault="00E9766D" w:rsidP="007A7BA8">
      <w:pPr>
        <w:spacing w:line="240" w:lineRule="auto"/>
        <w:rPr>
          <w:b/>
          <w:color w:val="002F5D"/>
        </w:rPr>
      </w:pPr>
    </w:p>
    <w:p w14:paraId="788CA8C2" w14:textId="1B2C7FFD" w:rsidR="00E9766D" w:rsidRDefault="00E9766D" w:rsidP="007A7BA8">
      <w:pPr>
        <w:spacing w:line="240" w:lineRule="auto"/>
        <w:rPr>
          <w:b/>
          <w:color w:val="002F5D"/>
        </w:rPr>
      </w:pPr>
    </w:p>
    <w:p w14:paraId="1536D3A5" w14:textId="5B9B3C85" w:rsidR="00E9766D" w:rsidRDefault="00E9766D" w:rsidP="007A7BA8">
      <w:pPr>
        <w:spacing w:line="240" w:lineRule="auto"/>
        <w:rPr>
          <w:b/>
          <w:color w:val="002F5D"/>
        </w:rPr>
      </w:pPr>
    </w:p>
    <w:p w14:paraId="6D6DA35D" w14:textId="3577BCFD" w:rsidR="00E9766D" w:rsidRDefault="00E9766D" w:rsidP="007A7BA8">
      <w:pPr>
        <w:spacing w:line="240" w:lineRule="auto"/>
        <w:rPr>
          <w:b/>
          <w:color w:val="002F5D"/>
        </w:rPr>
      </w:pPr>
    </w:p>
    <w:p w14:paraId="4D99FE11" w14:textId="64AC7936" w:rsidR="00E9766D" w:rsidRDefault="00E9766D" w:rsidP="007A7BA8">
      <w:pPr>
        <w:spacing w:line="240" w:lineRule="auto"/>
        <w:rPr>
          <w:b/>
          <w:color w:val="002F5D"/>
        </w:rPr>
      </w:pPr>
    </w:p>
    <w:p w14:paraId="47B2FCC9" w14:textId="2DCE081C" w:rsidR="00E9766D" w:rsidRDefault="00E9766D" w:rsidP="007A7BA8">
      <w:pPr>
        <w:spacing w:line="240" w:lineRule="auto"/>
        <w:rPr>
          <w:b/>
          <w:color w:val="002F5D"/>
        </w:rPr>
      </w:pPr>
    </w:p>
    <w:p w14:paraId="5419D8D0" w14:textId="43A0BDCB" w:rsidR="00E9766D" w:rsidRDefault="00E9766D" w:rsidP="007A7BA8">
      <w:pPr>
        <w:spacing w:line="240" w:lineRule="auto"/>
        <w:rPr>
          <w:b/>
          <w:color w:val="002F5D"/>
        </w:rPr>
      </w:pPr>
    </w:p>
    <w:p w14:paraId="089DEDB1" w14:textId="7DF29926" w:rsidR="00E9766D" w:rsidRDefault="00E9766D" w:rsidP="007A7BA8">
      <w:pPr>
        <w:spacing w:line="240" w:lineRule="auto"/>
        <w:rPr>
          <w:b/>
          <w:color w:val="002F5D"/>
        </w:rPr>
      </w:pPr>
    </w:p>
    <w:p w14:paraId="5EEA4522" w14:textId="424AD118" w:rsidR="00E9766D" w:rsidRDefault="00E9766D" w:rsidP="007A7BA8">
      <w:pPr>
        <w:spacing w:line="240" w:lineRule="auto"/>
        <w:rPr>
          <w:b/>
          <w:color w:val="002F5D"/>
        </w:rPr>
      </w:pPr>
    </w:p>
    <w:p w14:paraId="4B44640E" w14:textId="77777777" w:rsidR="00E9766D" w:rsidRPr="002536F1" w:rsidRDefault="00E9766D" w:rsidP="007A7BA8">
      <w:pPr>
        <w:spacing w:line="240" w:lineRule="auto"/>
        <w:rPr>
          <w:b/>
          <w:color w:val="002F5D"/>
        </w:rPr>
      </w:pPr>
    </w:p>
    <w:p w14:paraId="609AE4B8" w14:textId="77777777" w:rsidR="009C3314" w:rsidRPr="00330B65" w:rsidRDefault="00B805F9" w:rsidP="00FA1277">
      <w:pPr>
        <w:pStyle w:val="JSNA1"/>
      </w:pPr>
      <w:bookmarkStart w:id="827" w:name="_Toc4407899"/>
      <w:r w:rsidRPr="00330B65">
        <w:lastRenderedPageBreak/>
        <w:t>CAMBRIDGESHIRE</w:t>
      </w:r>
      <w:r w:rsidR="00817E73" w:rsidRPr="00330B65">
        <w:t>’S</w:t>
      </w:r>
      <w:r w:rsidR="003D6CCD" w:rsidRPr="00330B65">
        <w:t xml:space="preserve"> AND PETERBOROUGH’S </w:t>
      </w:r>
      <w:r w:rsidRPr="00330B65">
        <w:t>J</w:t>
      </w:r>
      <w:r w:rsidR="00BC6FC1" w:rsidRPr="00330B65">
        <w:t>OINT STRATEGIC NEEDS ASSESSMENT PROGRAMME</w:t>
      </w:r>
      <w:bookmarkEnd w:id="827"/>
    </w:p>
    <w:p w14:paraId="31453E83" w14:textId="77777777" w:rsidR="009C3314" w:rsidRPr="0037351D" w:rsidRDefault="009C3314" w:rsidP="0038179C">
      <w:pPr>
        <w:spacing w:line="240" w:lineRule="auto"/>
        <w:rPr>
          <w:rFonts w:cs="Arial"/>
          <w:b/>
          <w:color w:val="FF0000"/>
        </w:rPr>
      </w:pPr>
    </w:p>
    <w:p w14:paraId="487BEEFF" w14:textId="77777777" w:rsidR="00091995" w:rsidRPr="00330B65" w:rsidRDefault="002172CB" w:rsidP="00FA1277">
      <w:pPr>
        <w:pStyle w:val="JSNA2"/>
      </w:pPr>
      <w:bookmarkStart w:id="828" w:name="_Toc4407900"/>
      <w:r w:rsidRPr="00330B65">
        <w:t xml:space="preserve">What </w:t>
      </w:r>
      <w:r w:rsidR="00B805F9" w:rsidRPr="00330B65">
        <w:t xml:space="preserve">is </w:t>
      </w:r>
      <w:r w:rsidRPr="00330B65">
        <w:t>Joint Strategic Needs Assessment (JSNA)?</w:t>
      </w:r>
      <w:bookmarkEnd w:id="828"/>
    </w:p>
    <w:p w14:paraId="558C8A72" w14:textId="77777777" w:rsidR="002172CB" w:rsidRPr="0037351D" w:rsidRDefault="002172CB" w:rsidP="0038179C">
      <w:pPr>
        <w:pStyle w:val="ListParagraph"/>
        <w:spacing w:line="240" w:lineRule="auto"/>
        <w:ind w:left="567" w:hanging="567"/>
        <w:rPr>
          <w:rFonts w:cs="Arial"/>
          <w:b/>
          <w:color w:val="FF0000"/>
        </w:rPr>
      </w:pPr>
    </w:p>
    <w:p w14:paraId="0BA82124" w14:textId="77777777" w:rsidR="00BC6FC1" w:rsidRPr="00330B65" w:rsidRDefault="00BC6FC1" w:rsidP="002E2F56">
      <w:pPr>
        <w:pStyle w:val="ListParagraph"/>
        <w:spacing w:line="240" w:lineRule="auto"/>
        <w:ind w:left="0"/>
        <w:rPr>
          <w:rFonts w:cs="Arial"/>
          <w:color w:val="002F5D"/>
        </w:rPr>
      </w:pPr>
      <w:r w:rsidRPr="00330B65">
        <w:rPr>
          <w:rFonts w:cs="Arial"/>
          <w:color w:val="002F5D"/>
        </w:rPr>
        <w:t>Joint strategic needs assessment (</w:t>
      </w:r>
      <w:r w:rsidRPr="00330B65">
        <w:rPr>
          <w:rFonts w:cs="Arial"/>
          <w:b/>
          <w:color w:val="002F5D"/>
        </w:rPr>
        <w:t>J</w:t>
      </w:r>
      <w:r w:rsidRPr="00330B65">
        <w:rPr>
          <w:rFonts w:cs="Arial"/>
          <w:color w:val="002F5D"/>
        </w:rPr>
        <w:t>SNA) is a statutory process by which Local Authorities (LAs) and Clinical Commissioning Groups (CCGs) assess and describe the current and future health, care and wellbeing needs of the local population in order to inform and guide the commissioning (buying) of preventive, health and social care services.</w:t>
      </w:r>
    </w:p>
    <w:p w14:paraId="4C0C20DE" w14:textId="77777777" w:rsidR="00BC6FC1" w:rsidRPr="00330B65" w:rsidRDefault="00BC6FC1" w:rsidP="002E2F56">
      <w:pPr>
        <w:pStyle w:val="ListParagraph"/>
        <w:spacing w:line="240" w:lineRule="auto"/>
        <w:ind w:left="0"/>
        <w:rPr>
          <w:rFonts w:cs="Arial"/>
          <w:color w:val="002F5D"/>
        </w:rPr>
      </w:pPr>
    </w:p>
    <w:p w14:paraId="0855C6BC" w14:textId="77777777" w:rsidR="00BC6FC1" w:rsidRPr="00330B65" w:rsidRDefault="00BC6FC1" w:rsidP="002E2F56">
      <w:pPr>
        <w:pStyle w:val="ListParagraph"/>
        <w:spacing w:line="240" w:lineRule="auto"/>
        <w:ind w:left="567" w:hanging="567"/>
        <w:rPr>
          <w:rFonts w:cs="Arial"/>
          <w:color w:val="002F5D"/>
        </w:rPr>
      </w:pPr>
      <w:r w:rsidRPr="00330B65">
        <w:rPr>
          <w:rFonts w:cs="Arial"/>
          <w:color w:val="002F5D"/>
        </w:rPr>
        <w:t>The primary aims of a JSNA are to:</w:t>
      </w:r>
    </w:p>
    <w:p w14:paraId="5DB5C4DB" w14:textId="77777777" w:rsidR="00BC6FC1" w:rsidRPr="00330B65" w:rsidRDefault="00BC6FC1" w:rsidP="002E2F56">
      <w:pPr>
        <w:pStyle w:val="ListParagraph"/>
        <w:numPr>
          <w:ilvl w:val="0"/>
          <w:numId w:val="47"/>
        </w:numPr>
        <w:spacing w:line="240" w:lineRule="auto"/>
        <w:ind w:left="709" w:hanging="283"/>
        <w:rPr>
          <w:rFonts w:cs="Arial"/>
          <w:color w:val="002F5D"/>
        </w:rPr>
      </w:pPr>
      <w:r w:rsidRPr="00330B65">
        <w:rPr>
          <w:rFonts w:cs="Arial"/>
          <w:color w:val="002F5D"/>
        </w:rPr>
        <w:t xml:space="preserve">Provide </w:t>
      </w:r>
      <w:r w:rsidR="00200A95" w:rsidRPr="00330B65">
        <w:rPr>
          <w:rFonts w:cs="Arial"/>
          <w:color w:val="002F5D"/>
        </w:rPr>
        <w:t>data analyse</w:t>
      </w:r>
      <w:r w:rsidRPr="00330B65">
        <w:rPr>
          <w:rFonts w:cs="Arial"/>
          <w:color w:val="002F5D"/>
        </w:rPr>
        <w:t>s to show the health and wellbeing status of local communities.</w:t>
      </w:r>
    </w:p>
    <w:p w14:paraId="214DE5FE" w14:textId="77777777" w:rsidR="00BC6FC1" w:rsidRPr="00330B65" w:rsidRDefault="00BC6FC1" w:rsidP="002E2F56">
      <w:pPr>
        <w:pStyle w:val="ListParagraph"/>
        <w:numPr>
          <w:ilvl w:val="0"/>
          <w:numId w:val="47"/>
        </w:numPr>
        <w:spacing w:line="240" w:lineRule="auto"/>
        <w:ind w:left="709" w:hanging="283"/>
        <w:rPr>
          <w:rFonts w:cs="Arial"/>
          <w:color w:val="002F5D"/>
        </w:rPr>
      </w:pPr>
      <w:r w:rsidRPr="00330B65">
        <w:rPr>
          <w:rFonts w:cs="Arial"/>
          <w:color w:val="002F5D"/>
        </w:rPr>
        <w:t>Define where important differences exist.</w:t>
      </w:r>
    </w:p>
    <w:p w14:paraId="447D1259" w14:textId="77777777" w:rsidR="00BC6FC1" w:rsidRPr="00330B65" w:rsidRDefault="00BC6FC1" w:rsidP="002E2F56">
      <w:pPr>
        <w:pStyle w:val="ListParagraph"/>
        <w:numPr>
          <w:ilvl w:val="0"/>
          <w:numId w:val="47"/>
        </w:numPr>
        <w:spacing w:line="240" w:lineRule="auto"/>
        <w:ind w:left="709" w:hanging="283"/>
        <w:rPr>
          <w:rFonts w:cs="Arial"/>
          <w:color w:val="002F5D"/>
        </w:rPr>
      </w:pPr>
      <w:r w:rsidRPr="00330B65">
        <w:rPr>
          <w:rFonts w:cs="Arial"/>
          <w:color w:val="002F5D"/>
        </w:rPr>
        <w:t>Provide information on local community views and evidence of effectiveness of existing interventions which will help to shape future plans for services</w:t>
      </w:r>
      <w:r w:rsidR="00952E6A" w:rsidRPr="00330B65">
        <w:rPr>
          <w:rFonts w:cs="Arial"/>
          <w:color w:val="002F5D"/>
        </w:rPr>
        <w:t>.</w:t>
      </w:r>
    </w:p>
    <w:p w14:paraId="0D35A857" w14:textId="77777777" w:rsidR="00BC6FC1" w:rsidRPr="00330B65" w:rsidRDefault="00BC6FC1" w:rsidP="002E2F56">
      <w:pPr>
        <w:pStyle w:val="ListParagraph"/>
        <w:numPr>
          <w:ilvl w:val="0"/>
          <w:numId w:val="47"/>
        </w:numPr>
        <w:spacing w:line="240" w:lineRule="auto"/>
        <w:ind w:left="709" w:hanging="283"/>
        <w:rPr>
          <w:rFonts w:cs="Arial"/>
          <w:color w:val="002F5D"/>
        </w:rPr>
      </w:pPr>
      <w:r w:rsidRPr="00330B65">
        <w:rPr>
          <w:rFonts w:cs="Arial"/>
          <w:color w:val="002F5D"/>
        </w:rPr>
        <w:t>Highlight key findings based on the information and evidence collected.</w:t>
      </w:r>
    </w:p>
    <w:p w14:paraId="5E87DA6F" w14:textId="77777777" w:rsidR="00BC6FC1" w:rsidRPr="00330B65" w:rsidRDefault="00BC6FC1" w:rsidP="002E2F56">
      <w:pPr>
        <w:spacing w:line="240" w:lineRule="auto"/>
        <w:rPr>
          <w:rFonts w:cs="Arial"/>
          <w:color w:val="002F5D"/>
        </w:rPr>
      </w:pPr>
    </w:p>
    <w:p w14:paraId="1CD3C372" w14:textId="77777777" w:rsidR="00BC6FC1" w:rsidRPr="00330B65" w:rsidRDefault="00BC6FC1" w:rsidP="002E2F56">
      <w:pPr>
        <w:spacing w:line="240" w:lineRule="auto"/>
        <w:rPr>
          <w:rFonts w:cs="Arial"/>
          <w:color w:val="002F5D"/>
        </w:rPr>
      </w:pPr>
      <w:r w:rsidRPr="00330B65">
        <w:rPr>
          <w:rFonts w:cs="Arial"/>
          <w:color w:val="002F5D"/>
        </w:rPr>
        <w:t>The local Health and Wellbeing Board has a statutory duty to have regard to the needs identified in the JSNA, along with stakeholder and community views, when it formulates the local population’s joint Health and Wellbeing Strategy (HWBS).</w:t>
      </w:r>
    </w:p>
    <w:p w14:paraId="02FDAE35" w14:textId="77777777" w:rsidR="00BC6FC1" w:rsidRPr="00330B65" w:rsidRDefault="00BC6FC1" w:rsidP="002E2F56">
      <w:pPr>
        <w:spacing w:line="240" w:lineRule="auto"/>
        <w:rPr>
          <w:rFonts w:cs="Arial"/>
          <w:color w:val="002F5D"/>
        </w:rPr>
      </w:pPr>
    </w:p>
    <w:p w14:paraId="5910C6CC" w14:textId="5B1725C4" w:rsidR="00BC6FC1" w:rsidRPr="00330B65" w:rsidRDefault="00BC6FC1" w:rsidP="0063498B">
      <w:pPr>
        <w:spacing w:line="240" w:lineRule="auto"/>
        <w:rPr>
          <w:rFonts w:cs="Arial"/>
          <w:color w:val="002F5D"/>
        </w:rPr>
      </w:pPr>
      <w:r w:rsidRPr="00330B65">
        <w:rPr>
          <w:rFonts w:cs="Arial"/>
          <w:b/>
          <w:color w:val="002F5D"/>
        </w:rPr>
        <w:t>Cambridgeshire’s</w:t>
      </w:r>
      <w:r w:rsidRPr="00330B65">
        <w:rPr>
          <w:rFonts w:cs="Arial"/>
          <w:color w:val="002F5D"/>
        </w:rPr>
        <w:t xml:space="preserve"> current </w:t>
      </w:r>
      <w:r w:rsidRPr="00330B65">
        <w:rPr>
          <w:rFonts w:cs="Arial"/>
          <w:b/>
          <w:color w:val="002F5D"/>
        </w:rPr>
        <w:t>Health and Wellbeing Strategy (HWBS)</w:t>
      </w:r>
      <w:r w:rsidRPr="00330B65">
        <w:rPr>
          <w:rFonts w:cs="Arial"/>
          <w:color w:val="002F5D"/>
        </w:rPr>
        <w:t xml:space="preserve"> can be found at </w:t>
      </w:r>
      <w:hyperlink r:id="rId310" w:history="1">
        <w:r w:rsidR="00E9766D" w:rsidRPr="00330B65">
          <w:rPr>
            <w:rStyle w:val="Hyperlink"/>
            <w:rFonts w:cs="Arial"/>
            <w:color w:val="002F5D"/>
          </w:rPr>
          <w:t>https://cambridgeshireinsight.org.uk/jsna/health-and-wellbeing-strategy/</w:t>
        </w:r>
      </w:hyperlink>
      <w:r w:rsidRPr="00330B65">
        <w:rPr>
          <w:rFonts w:cs="Arial"/>
          <w:color w:val="002F5D"/>
        </w:rPr>
        <w:t xml:space="preserve"> and identified the following overarching priorities:</w:t>
      </w:r>
    </w:p>
    <w:p w14:paraId="73A76C01" w14:textId="77777777" w:rsidR="00BC6FC1" w:rsidRPr="00330B65" w:rsidRDefault="00BC6FC1" w:rsidP="0063498B">
      <w:pPr>
        <w:spacing w:line="240" w:lineRule="auto"/>
        <w:rPr>
          <w:rFonts w:cs="Arial"/>
          <w:color w:val="002F5D"/>
        </w:rPr>
      </w:pPr>
    </w:p>
    <w:p w14:paraId="78E768C8" w14:textId="77777777" w:rsidR="00BC6FC1" w:rsidRPr="00330B65" w:rsidRDefault="00BC6FC1" w:rsidP="0063498B">
      <w:pPr>
        <w:pStyle w:val="ListParagraph"/>
        <w:numPr>
          <w:ilvl w:val="0"/>
          <w:numId w:val="48"/>
        </w:numPr>
        <w:spacing w:line="240" w:lineRule="auto"/>
        <w:ind w:left="709" w:hanging="349"/>
        <w:rPr>
          <w:rFonts w:cs="Arial"/>
          <w:color w:val="002F5D"/>
        </w:rPr>
      </w:pPr>
      <w:r w:rsidRPr="00330B65">
        <w:rPr>
          <w:rFonts w:cs="Arial"/>
          <w:color w:val="002F5D"/>
        </w:rPr>
        <w:t>Ensure a positive start to life for children, young people and their families.</w:t>
      </w:r>
    </w:p>
    <w:p w14:paraId="60ABBBC3" w14:textId="77777777" w:rsidR="00BC6FC1" w:rsidRPr="00330B65" w:rsidRDefault="00BC6FC1" w:rsidP="0063498B">
      <w:pPr>
        <w:pStyle w:val="ListParagraph"/>
        <w:numPr>
          <w:ilvl w:val="0"/>
          <w:numId w:val="48"/>
        </w:numPr>
        <w:spacing w:line="240" w:lineRule="auto"/>
        <w:ind w:left="709" w:hanging="352"/>
        <w:rPr>
          <w:rFonts w:cs="Arial"/>
          <w:color w:val="002F5D"/>
        </w:rPr>
      </w:pPr>
      <w:r w:rsidRPr="00330B65">
        <w:rPr>
          <w:rFonts w:cs="Arial"/>
          <w:color w:val="002F5D"/>
        </w:rPr>
        <w:t>Support older people to be independent, safe and well.</w:t>
      </w:r>
    </w:p>
    <w:p w14:paraId="374F1277" w14:textId="77777777" w:rsidR="00BC6FC1" w:rsidRPr="00330B65" w:rsidRDefault="00BC6FC1" w:rsidP="0063498B">
      <w:pPr>
        <w:pStyle w:val="ListParagraph"/>
        <w:numPr>
          <w:ilvl w:val="0"/>
          <w:numId w:val="48"/>
        </w:numPr>
        <w:spacing w:line="240" w:lineRule="auto"/>
        <w:ind w:left="709" w:hanging="349"/>
        <w:rPr>
          <w:rFonts w:cs="Arial"/>
          <w:color w:val="002F5D"/>
        </w:rPr>
      </w:pPr>
      <w:r w:rsidRPr="00330B65">
        <w:rPr>
          <w:rFonts w:cs="Arial"/>
          <w:color w:val="002F5D"/>
        </w:rPr>
        <w:t>Encourage healthy lifestyles and behaviours in all actions and activities while respecting people’s personal choices.</w:t>
      </w:r>
    </w:p>
    <w:p w14:paraId="6F8424E9" w14:textId="77777777" w:rsidR="00BC6FC1" w:rsidRPr="00330B65" w:rsidRDefault="00BC6FC1" w:rsidP="0063498B">
      <w:pPr>
        <w:pStyle w:val="ListParagraph"/>
        <w:numPr>
          <w:ilvl w:val="0"/>
          <w:numId w:val="48"/>
        </w:numPr>
        <w:spacing w:line="240" w:lineRule="auto"/>
        <w:ind w:left="709" w:hanging="349"/>
        <w:rPr>
          <w:rFonts w:cs="Arial"/>
          <w:color w:val="002F5D"/>
        </w:rPr>
      </w:pPr>
      <w:r w:rsidRPr="00330B65">
        <w:rPr>
          <w:rFonts w:cs="Arial"/>
          <w:color w:val="002F5D"/>
        </w:rPr>
        <w:t>Create a safe environment and help to build strong communities, wellbeing and mental health.</w:t>
      </w:r>
    </w:p>
    <w:p w14:paraId="3B88FC00" w14:textId="77777777" w:rsidR="00BC6FC1" w:rsidRPr="00330B65" w:rsidRDefault="00BC6FC1" w:rsidP="0063498B">
      <w:pPr>
        <w:pStyle w:val="ListParagraph"/>
        <w:numPr>
          <w:ilvl w:val="0"/>
          <w:numId w:val="48"/>
        </w:numPr>
        <w:spacing w:line="240" w:lineRule="auto"/>
        <w:ind w:left="709" w:hanging="349"/>
        <w:rPr>
          <w:rFonts w:cs="Arial"/>
          <w:color w:val="002F5D"/>
        </w:rPr>
      </w:pPr>
      <w:r w:rsidRPr="00330B65">
        <w:rPr>
          <w:rFonts w:cs="Arial"/>
          <w:color w:val="002F5D"/>
        </w:rPr>
        <w:t>Create a sustainable environment in which communities can flourish.</w:t>
      </w:r>
    </w:p>
    <w:p w14:paraId="1138617F" w14:textId="77777777" w:rsidR="00BC6FC1" w:rsidRPr="00330B65" w:rsidRDefault="00BC6FC1" w:rsidP="0063498B">
      <w:pPr>
        <w:pStyle w:val="ListParagraph"/>
        <w:numPr>
          <w:ilvl w:val="0"/>
          <w:numId w:val="48"/>
        </w:numPr>
        <w:spacing w:line="240" w:lineRule="auto"/>
        <w:ind w:left="709" w:hanging="349"/>
        <w:rPr>
          <w:rFonts w:cs="Arial"/>
          <w:color w:val="002F5D"/>
        </w:rPr>
      </w:pPr>
      <w:r w:rsidRPr="00330B65">
        <w:rPr>
          <w:rFonts w:cs="Arial"/>
          <w:color w:val="002F5D"/>
        </w:rPr>
        <w:t>Work together effectively.</w:t>
      </w:r>
    </w:p>
    <w:p w14:paraId="3B010247" w14:textId="77777777" w:rsidR="00BC6FC1" w:rsidRPr="00330B65" w:rsidRDefault="00BC6FC1" w:rsidP="0063498B">
      <w:pPr>
        <w:spacing w:line="240" w:lineRule="auto"/>
        <w:rPr>
          <w:rFonts w:cs="Arial"/>
          <w:color w:val="002F5D"/>
        </w:rPr>
      </w:pPr>
    </w:p>
    <w:p w14:paraId="30C14006" w14:textId="77777777" w:rsidR="00BC6FC1" w:rsidRPr="00330B65" w:rsidRDefault="00BC6FC1" w:rsidP="0063498B">
      <w:pPr>
        <w:pStyle w:val="ListParagraph"/>
        <w:spacing w:line="240" w:lineRule="auto"/>
        <w:ind w:left="567" w:hanging="567"/>
        <w:rPr>
          <w:rFonts w:cs="Arial"/>
          <w:color w:val="002F5D"/>
        </w:rPr>
      </w:pPr>
      <w:r w:rsidRPr="00330B65">
        <w:rPr>
          <w:rFonts w:cs="Arial"/>
          <w:color w:val="002F5D"/>
        </w:rPr>
        <w:t>The strategy is due to be refreshed in 2018.</w:t>
      </w:r>
    </w:p>
    <w:p w14:paraId="00C2050B" w14:textId="77777777" w:rsidR="0063498B" w:rsidRPr="00330B65" w:rsidRDefault="0063498B" w:rsidP="0063498B">
      <w:pPr>
        <w:pStyle w:val="ListParagraph"/>
        <w:spacing w:line="240" w:lineRule="auto"/>
        <w:ind w:left="567" w:hanging="567"/>
        <w:rPr>
          <w:rFonts w:cs="Arial"/>
          <w:color w:val="002F5D"/>
        </w:rPr>
      </w:pPr>
    </w:p>
    <w:p w14:paraId="2E4828D3" w14:textId="77777777" w:rsidR="0063498B" w:rsidRPr="00330B65" w:rsidRDefault="0063498B" w:rsidP="0063498B">
      <w:pPr>
        <w:pStyle w:val="ListParagraph"/>
        <w:spacing w:line="240" w:lineRule="auto"/>
        <w:ind w:left="0"/>
        <w:rPr>
          <w:rFonts w:cs="Arial"/>
          <w:color w:val="002F5D"/>
        </w:rPr>
      </w:pPr>
      <w:r w:rsidRPr="00330B65">
        <w:rPr>
          <w:rFonts w:cs="Arial"/>
          <w:b/>
          <w:color w:val="002F5D"/>
        </w:rPr>
        <w:t>Peterborough’s</w:t>
      </w:r>
      <w:r w:rsidRPr="00330B65">
        <w:rPr>
          <w:rFonts w:cs="Arial"/>
          <w:color w:val="002F5D"/>
        </w:rPr>
        <w:t xml:space="preserve"> current </w:t>
      </w:r>
      <w:r w:rsidRPr="00330B65">
        <w:rPr>
          <w:rFonts w:cs="Arial"/>
          <w:b/>
          <w:color w:val="002F5D"/>
        </w:rPr>
        <w:t>Health and Wellbeing Strategy (HWBS)</w:t>
      </w:r>
      <w:r w:rsidRPr="00330B65">
        <w:rPr>
          <w:rFonts w:cs="Arial"/>
          <w:color w:val="002F5D"/>
        </w:rPr>
        <w:t xml:space="preserve"> can be found at </w:t>
      </w:r>
      <w:hyperlink r:id="rId311" w:history="1">
        <w:r w:rsidRPr="00330B65">
          <w:rPr>
            <w:rStyle w:val="Hyperlink"/>
            <w:rFonts w:cs="Arial"/>
            <w:color w:val="002F5D"/>
          </w:rPr>
          <w:t>https://www.peterborough.gov.uk/healthcare/public-health/health-and-wellbeing-strategy/</w:t>
        </w:r>
      </w:hyperlink>
      <w:r w:rsidRPr="00330B65">
        <w:rPr>
          <w:rFonts w:cs="Arial"/>
          <w:color w:val="002F5D"/>
        </w:rPr>
        <w:t xml:space="preserve"> and identified the following overarching priorities:</w:t>
      </w:r>
    </w:p>
    <w:p w14:paraId="2152F87A" w14:textId="77777777" w:rsidR="0063498B" w:rsidRPr="00330B65" w:rsidRDefault="0063498B" w:rsidP="0063498B">
      <w:pPr>
        <w:pStyle w:val="ListParagraph"/>
        <w:spacing w:line="240" w:lineRule="auto"/>
        <w:ind w:left="0"/>
        <w:rPr>
          <w:rFonts w:cs="Arial"/>
          <w:color w:val="002F5D"/>
        </w:rPr>
      </w:pPr>
    </w:p>
    <w:p w14:paraId="07132CCA" w14:textId="77777777" w:rsidR="0063498B" w:rsidRPr="00330B65" w:rsidRDefault="0063498B" w:rsidP="0063498B">
      <w:pPr>
        <w:pStyle w:val="ListParagraph"/>
        <w:numPr>
          <w:ilvl w:val="0"/>
          <w:numId w:val="11"/>
        </w:numPr>
        <w:spacing w:line="240" w:lineRule="auto"/>
        <w:rPr>
          <w:rFonts w:cs="Arial"/>
          <w:color w:val="002F5D"/>
        </w:rPr>
      </w:pPr>
      <w:r w:rsidRPr="00330B65">
        <w:rPr>
          <w:rFonts w:cs="Arial"/>
          <w:color w:val="002F5D"/>
        </w:rPr>
        <w:t>Ensure that children and young people have the best opportunities in life to enable them to become healthy adults and make the best of their life chances</w:t>
      </w:r>
    </w:p>
    <w:p w14:paraId="05A9EFA8" w14:textId="77777777" w:rsidR="0063498B" w:rsidRPr="00330B65" w:rsidRDefault="0063498B" w:rsidP="0063498B">
      <w:pPr>
        <w:pStyle w:val="ListParagraph"/>
        <w:numPr>
          <w:ilvl w:val="0"/>
          <w:numId w:val="11"/>
        </w:numPr>
        <w:spacing w:line="240" w:lineRule="auto"/>
        <w:rPr>
          <w:rFonts w:cs="Arial"/>
          <w:color w:val="002F5D"/>
        </w:rPr>
      </w:pPr>
      <w:r w:rsidRPr="00330B65">
        <w:rPr>
          <w:rFonts w:cs="Arial"/>
          <w:color w:val="002F5D"/>
        </w:rPr>
        <w:t>Narrow the gap between those neighbourhoods and communities with the best and worst health outcomes</w:t>
      </w:r>
    </w:p>
    <w:p w14:paraId="635BA694" w14:textId="77777777" w:rsidR="0063498B" w:rsidRPr="00330B65" w:rsidRDefault="0063498B" w:rsidP="0063498B">
      <w:pPr>
        <w:pStyle w:val="ListParagraph"/>
        <w:numPr>
          <w:ilvl w:val="0"/>
          <w:numId w:val="11"/>
        </w:numPr>
        <w:spacing w:line="240" w:lineRule="auto"/>
        <w:rPr>
          <w:rFonts w:cs="Arial"/>
          <w:color w:val="002F5D"/>
        </w:rPr>
      </w:pPr>
      <w:r w:rsidRPr="00330B65">
        <w:rPr>
          <w:rFonts w:cs="Arial"/>
          <w:color w:val="002F5D"/>
        </w:rPr>
        <w:t>Enable older people to stay independent and safe and to enjoy the best possible quality of life</w:t>
      </w:r>
    </w:p>
    <w:p w14:paraId="4E127A35" w14:textId="77777777" w:rsidR="0063498B" w:rsidRPr="00330B65" w:rsidRDefault="0063498B" w:rsidP="0063498B">
      <w:pPr>
        <w:pStyle w:val="ListParagraph"/>
        <w:numPr>
          <w:ilvl w:val="0"/>
          <w:numId w:val="11"/>
        </w:numPr>
        <w:spacing w:line="240" w:lineRule="auto"/>
        <w:rPr>
          <w:rFonts w:cs="Arial"/>
          <w:color w:val="002F5D"/>
        </w:rPr>
      </w:pPr>
      <w:r w:rsidRPr="00330B65">
        <w:rPr>
          <w:rFonts w:cs="Arial"/>
          <w:color w:val="002F5D"/>
        </w:rPr>
        <w:t>Enable good child and adult mental health through effective, accessible health promotion and early intervention services</w:t>
      </w:r>
    </w:p>
    <w:p w14:paraId="5626D5BC" w14:textId="3F6F2D2B" w:rsidR="0063498B" w:rsidRPr="00330B65" w:rsidRDefault="0063498B" w:rsidP="00330B65">
      <w:pPr>
        <w:pStyle w:val="ListParagraph"/>
        <w:numPr>
          <w:ilvl w:val="0"/>
          <w:numId w:val="11"/>
        </w:numPr>
        <w:spacing w:line="240" w:lineRule="auto"/>
        <w:rPr>
          <w:color w:val="002F5D"/>
        </w:rPr>
      </w:pPr>
      <w:r w:rsidRPr="00330B65">
        <w:rPr>
          <w:rFonts w:cs="Arial"/>
          <w:color w:val="002F5D"/>
        </w:rPr>
        <w:t>Maximise the health and wellbeing and opportunities for independent living for people with life-long disabilities and complex needs.</w:t>
      </w:r>
    </w:p>
    <w:p w14:paraId="2AE25F0C" w14:textId="77777777" w:rsidR="00BC6FC1" w:rsidRPr="00330B65" w:rsidRDefault="00BC6FC1" w:rsidP="002E2F56">
      <w:pPr>
        <w:pStyle w:val="ListParagraph"/>
        <w:spacing w:line="240" w:lineRule="auto"/>
        <w:ind w:left="567" w:hanging="567"/>
        <w:rPr>
          <w:rFonts w:cs="Arial"/>
          <w:b/>
          <w:color w:val="002F5D"/>
        </w:rPr>
      </w:pPr>
    </w:p>
    <w:p w14:paraId="4965095B" w14:textId="77777777" w:rsidR="002172CB" w:rsidRPr="00330B65" w:rsidRDefault="00BC6FC1" w:rsidP="00FA1277">
      <w:pPr>
        <w:pStyle w:val="JSNA2"/>
        <w:rPr>
          <w:color w:val="002F5D"/>
        </w:rPr>
      </w:pPr>
      <w:bookmarkStart w:id="829" w:name="_Toc4407901"/>
      <w:r w:rsidRPr="00330B65">
        <w:rPr>
          <w:color w:val="002F5D"/>
        </w:rPr>
        <w:t xml:space="preserve">Overview of Cambridgeshire’s </w:t>
      </w:r>
      <w:r w:rsidR="00817E73" w:rsidRPr="00330B65">
        <w:rPr>
          <w:color w:val="002F5D"/>
        </w:rPr>
        <w:t xml:space="preserve">and Peterborough’s </w:t>
      </w:r>
      <w:r w:rsidRPr="00330B65">
        <w:rPr>
          <w:color w:val="002F5D"/>
        </w:rPr>
        <w:t>JSNA programme</w:t>
      </w:r>
      <w:bookmarkEnd w:id="829"/>
    </w:p>
    <w:p w14:paraId="4424B22A" w14:textId="77777777" w:rsidR="002172CB" w:rsidRPr="00330B65" w:rsidRDefault="002172CB" w:rsidP="002E2F56">
      <w:pPr>
        <w:spacing w:line="240" w:lineRule="auto"/>
        <w:rPr>
          <w:rFonts w:cs="Arial"/>
          <w:b/>
          <w:color w:val="002F5D"/>
        </w:rPr>
      </w:pPr>
    </w:p>
    <w:p w14:paraId="4ED3C162" w14:textId="297276FD" w:rsidR="00C6414E" w:rsidRPr="00330B65" w:rsidRDefault="00C6414E" w:rsidP="002E2F56">
      <w:pPr>
        <w:spacing w:line="240" w:lineRule="auto"/>
        <w:rPr>
          <w:rFonts w:cs="Arial"/>
          <w:color w:val="002F5D"/>
        </w:rPr>
      </w:pPr>
      <w:r w:rsidRPr="00330B65">
        <w:rPr>
          <w:rFonts w:cs="Arial"/>
          <w:color w:val="002F5D"/>
        </w:rPr>
        <w:t xml:space="preserve">The Cambridgeshire JSNA programme has produced a series of </w:t>
      </w:r>
      <w:r w:rsidR="00407C27" w:rsidRPr="00330B65">
        <w:rPr>
          <w:rFonts w:cs="Arial"/>
          <w:color w:val="002F5D"/>
        </w:rPr>
        <w:t xml:space="preserve">themed and </w:t>
      </w:r>
      <w:r w:rsidRPr="00330B65">
        <w:rPr>
          <w:rFonts w:cs="Arial"/>
          <w:color w:val="002F5D"/>
        </w:rPr>
        <w:t>topic based reports, commissioned by the Health and Wellbeing Board.</w:t>
      </w:r>
      <w:r w:rsidR="003558F8" w:rsidRPr="00330B65">
        <w:rPr>
          <w:rFonts w:cs="Arial"/>
          <w:color w:val="002F5D"/>
        </w:rPr>
        <w:t xml:space="preserve">  From 2017 the focus moved away from topic based reports to the JSNA Core Dataset.</w:t>
      </w:r>
    </w:p>
    <w:p w14:paraId="2CAEBB6C" w14:textId="77777777" w:rsidR="00C6414E" w:rsidRPr="00330B65" w:rsidRDefault="00C6414E" w:rsidP="002E2F56">
      <w:pPr>
        <w:spacing w:line="240" w:lineRule="auto"/>
        <w:rPr>
          <w:rFonts w:cs="Arial"/>
          <w:color w:val="002F5D"/>
        </w:rPr>
      </w:pPr>
    </w:p>
    <w:p w14:paraId="4658EA83" w14:textId="24FE8CA7" w:rsidR="00C6414E" w:rsidRPr="00330B65" w:rsidRDefault="00C6414E" w:rsidP="002E2F56">
      <w:pPr>
        <w:spacing w:line="240" w:lineRule="auto"/>
        <w:rPr>
          <w:rFonts w:cs="Arial"/>
          <w:color w:val="002F5D"/>
        </w:rPr>
      </w:pPr>
      <w:r w:rsidRPr="00330B65">
        <w:rPr>
          <w:rFonts w:cs="Arial"/>
          <w:color w:val="002F5D"/>
        </w:rPr>
        <w:t xml:space="preserve">The current reports for each </w:t>
      </w:r>
      <w:r w:rsidR="00407C27" w:rsidRPr="00330B65">
        <w:rPr>
          <w:rFonts w:cs="Arial"/>
          <w:color w:val="002F5D"/>
        </w:rPr>
        <w:t>theme</w:t>
      </w:r>
      <w:r w:rsidRPr="00330B65">
        <w:rPr>
          <w:rFonts w:cs="Arial"/>
          <w:color w:val="002F5D"/>
        </w:rPr>
        <w:t xml:space="preserve"> can be found at</w:t>
      </w:r>
      <w:r w:rsidR="003558F8" w:rsidRPr="00330B65">
        <w:rPr>
          <w:rFonts w:cs="Arial"/>
          <w:color w:val="002F5D"/>
        </w:rPr>
        <w:t xml:space="preserve"> </w:t>
      </w:r>
      <w:hyperlink r:id="rId312" w:history="1">
        <w:r w:rsidR="003558F8" w:rsidRPr="00330B65">
          <w:rPr>
            <w:rStyle w:val="Hyperlink"/>
            <w:rFonts w:cs="Arial"/>
            <w:color w:val="002F5D"/>
          </w:rPr>
          <w:t>https://cambridgeshireinsight.org.uk/jsna/published-joint-strategic-needs-assessments/</w:t>
        </w:r>
      </w:hyperlink>
      <w:r w:rsidR="003558F8" w:rsidRPr="00330B65">
        <w:rPr>
          <w:rFonts w:cs="Arial"/>
          <w:color w:val="002F5D"/>
        </w:rPr>
        <w:t xml:space="preserve"> </w:t>
      </w:r>
      <w:r w:rsidRPr="00330B65">
        <w:rPr>
          <w:rFonts w:cs="Arial"/>
          <w:color w:val="002F5D"/>
        </w:rPr>
        <w:t xml:space="preserve"> and the figure below provides a summary.</w:t>
      </w:r>
      <w:r w:rsidR="003558F8" w:rsidRPr="00330B65">
        <w:rPr>
          <w:rFonts w:cs="Arial"/>
          <w:color w:val="002F5D"/>
        </w:rPr>
        <w:t xml:space="preserve">  There is also a summary report based on the topic based reports.</w:t>
      </w:r>
    </w:p>
    <w:p w14:paraId="5C2979FB" w14:textId="77777777" w:rsidR="00C6414E" w:rsidRPr="00330B65" w:rsidRDefault="00C6414E" w:rsidP="002E2F56">
      <w:pPr>
        <w:spacing w:line="240" w:lineRule="auto"/>
        <w:rPr>
          <w:rFonts w:cs="Arial"/>
          <w:color w:val="002F5D"/>
        </w:rPr>
      </w:pPr>
    </w:p>
    <w:p w14:paraId="3E397C95" w14:textId="57B242B0" w:rsidR="00C6414E" w:rsidRPr="00330B65" w:rsidRDefault="006543B9" w:rsidP="002E2F56">
      <w:pPr>
        <w:pStyle w:val="Caption"/>
        <w:rPr>
          <w:color w:val="002F5D"/>
        </w:rPr>
      </w:pPr>
      <w:r w:rsidRPr="00330B65">
        <w:rPr>
          <w:b/>
          <w:color w:val="002F5D"/>
        </w:rPr>
        <w:t xml:space="preserve">Figure </w:t>
      </w:r>
      <w:r w:rsidR="00A2366A">
        <w:rPr>
          <w:b/>
          <w:color w:val="002F5D"/>
        </w:rPr>
        <w:t>73</w:t>
      </w:r>
      <w:r w:rsidR="00C6414E" w:rsidRPr="00330B65">
        <w:rPr>
          <w:b/>
          <w:color w:val="002F5D"/>
        </w:rPr>
        <w:t>.</w:t>
      </w:r>
      <w:r w:rsidR="00C6414E" w:rsidRPr="00330B65">
        <w:rPr>
          <w:color w:val="002F5D"/>
        </w:rPr>
        <w:t xml:space="preserve"> Summary of Cambridgeshire’s JSNA programme</w:t>
      </w:r>
    </w:p>
    <w:p w14:paraId="3E6D3745" w14:textId="77777777" w:rsidR="00641492" w:rsidRPr="00330B65" w:rsidRDefault="00641492" w:rsidP="000459DE">
      <w:pPr>
        <w:spacing w:line="240" w:lineRule="auto"/>
        <w:rPr>
          <w:color w:val="002F5D"/>
        </w:rPr>
      </w:pPr>
    </w:p>
    <w:p w14:paraId="7EEE356B" w14:textId="77777777" w:rsidR="00C6414E" w:rsidRPr="00330B65" w:rsidRDefault="00C6414E" w:rsidP="00C6414E">
      <w:pPr>
        <w:spacing w:line="240" w:lineRule="auto"/>
        <w:rPr>
          <w:color w:val="002F5D"/>
        </w:rPr>
      </w:pPr>
      <w:r w:rsidRPr="00330B65">
        <w:rPr>
          <w:noProof/>
          <w:color w:val="002F5D"/>
          <w:lang w:eastAsia="en-GB"/>
        </w:rPr>
        <w:drawing>
          <wp:inline distT="0" distB="0" distL="0" distR="0" wp14:anchorId="02B30A85" wp14:editId="29A74D29">
            <wp:extent cx="6120130" cy="4228685"/>
            <wp:effectExtent l="19050" t="19050" r="13970" b="196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120130" cy="4228685"/>
                    </a:xfrm>
                    <a:prstGeom prst="rect">
                      <a:avLst/>
                    </a:prstGeom>
                    <a:noFill/>
                    <a:ln w="19050">
                      <a:solidFill>
                        <a:srgbClr val="002F5D"/>
                      </a:solidFill>
                    </a:ln>
                  </pic:spPr>
                </pic:pic>
              </a:graphicData>
            </a:graphic>
          </wp:inline>
        </w:drawing>
      </w:r>
    </w:p>
    <w:p w14:paraId="13844488" w14:textId="77777777" w:rsidR="00C6414E" w:rsidRPr="00330B65" w:rsidRDefault="00C6414E" w:rsidP="00C6414E">
      <w:pPr>
        <w:spacing w:line="240" w:lineRule="auto"/>
        <w:rPr>
          <w:rFonts w:cs="Arial"/>
          <w:color w:val="002F5D"/>
        </w:rPr>
      </w:pPr>
    </w:p>
    <w:p w14:paraId="5445D638" w14:textId="2EAF8F4F" w:rsidR="00C6414E" w:rsidRPr="00330B65" w:rsidRDefault="00C6414E" w:rsidP="000459DE">
      <w:pPr>
        <w:spacing w:line="240" w:lineRule="auto"/>
        <w:rPr>
          <w:rFonts w:cs="Arial"/>
          <w:color w:val="002F5D"/>
        </w:rPr>
      </w:pPr>
      <w:r w:rsidRPr="00330B65">
        <w:rPr>
          <w:b/>
          <w:color w:val="002F5D"/>
        </w:rPr>
        <w:t>Source:</w:t>
      </w:r>
      <w:r w:rsidRPr="00330B65">
        <w:rPr>
          <w:color w:val="002F5D"/>
        </w:rPr>
        <w:t xml:space="preserve"> Cambridgeshire Insight </w:t>
      </w:r>
      <w:r w:rsidR="003558F8" w:rsidRPr="00330B65">
        <w:rPr>
          <w:color w:val="002F5D"/>
        </w:rPr>
        <w:t xml:space="preserve">at </w:t>
      </w:r>
      <w:hyperlink r:id="rId314" w:history="1">
        <w:r w:rsidR="003558F8" w:rsidRPr="00330B65">
          <w:rPr>
            <w:rStyle w:val="Hyperlink"/>
            <w:color w:val="002F5D"/>
          </w:rPr>
          <w:t>https://cambridgeshireinsight.org.uk/jsna/</w:t>
        </w:r>
      </w:hyperlink>
    </w:p>
    <w:p w14:paraId="163800C2" w14:textId="77777777" w:rsidR="00C6414E" w:rsidRPr="00330B65" w:rsidRDefault="00C6414E" w:rsidP="000459DE">
      <w:pPr>
        <w:spacing w:line="240" w:lineRule="auto"/>
        <w:rPr>
          <w:rFonts w:cs="Arial"/>
          <w:color w:val="002F5D"/>
        </w:rPr>
      </w:pPr>
    </w:p>
    <w:p w14:paraId="7D81C0DB" w14:textId="77777777" w:rsidR="005754D4" w:rsidRPr="00330B65" w:rsidRDefault="005754D4">
      <w:pPr>
        <w:rPr>
          <w:b/>
          <w:iCs/>
          <w:color w:val="002F5D"/>
          <w:szCs w:val="18"/>
        </w:rPr>
      </w:pPr>
      <w:r w:rsidRPr="00330B65">
        <w:rPr>
          <w:b/>
          <w:color w:val="002F5D"/>
        </w:rPr>
        <w:br w:type="page"/>
      </w:r>
    </w:p>
    <w:p w14:paraId="75D07C1B" w14:textId="468431AC" w:rsidR="005754D4" w:rsidRPr="00330B65" w:rsidRDefault="005754D4" w:rsidP="005754D4">
      <w:pPr>
        <w:pStyle w:val="Caption"/>
        <w:rPr>
          <w:color w:val="002F5D"/>
        </w:rPr>
      </w:pPr>
      <w:r w:rsidRPr="00330B65">
        <w:rPr>
          <w:b/>
          <w:color w:val="002F5D"/>
        </w:rPr>
        <w:lastRenderedPageBreak/>
        <w:t xml:space="preserve">Figure </w:t>
      </w:r>
      <w:r w:rsidR="00A2366A">
        <w:rPr>
          <w:b/>
          <w:color w:val="002F5D"/>
        </w:rPr>
        <w:t>74</w:t>
      </w:r>
      <w:r w:rsidRPr="00330B65">
        <w:rPr>
          <w:b/>
          <w:color w:val="002F5D"/>
        </w:rPr>
        <w:t>.</w:t>
      </w:r>
      <w:r w:rsidRPr="00330B65">
        <w:rPr>
          <w:color w:val="002F5D"/>
        </w:rPr>
        <w:t xml:space="preserve"> Summary of Peterborough’s JSNA programme</w:t>
      </w:r>
    </w:p>
    <w:p w14:paraId="5A35FD09" w14:textId="77777777" w:rsidR="005754D4" w:rsidRPr="00330B65" w:rsidRDefault="005754D4" w:rsidP="005754D4">
      <w:pPr>
        <w:rPr>
          <w:color w:val="002F5D"/>
        </w:rPr>
      </w:pPr>
    </w:p>
    <w:p w14:paraId="64392B64" w14:textId="77777777" w:rsidR="005754D4" w:rsidRPr="00330B65" w:rsidRDefault="005754D4" w:rsidP="000459DE">
      <w:pPr>
        <w:spacing w:line="240" w:lineRule="auto"/>
        <w:rPr>
          <w:rFonts w:cs="Arial"/>
          <w:color w:val="002F5D"/>
        </w:rPr>
      </w:pPr>
      <w:r w:rsidRPr="00330B65">
        <w:rPr>
          <w:noProof/>
          <w:color w:val="002F5D"/>
          <w:lang w:eastAsia="en-GB"/>
        </w:rPr>
        <w:drawing>
          <wp:inline distT="0" distB="0" distL="0" distR="0" wp14:anchorId="1247E442" wp14:editId="6B0C7198">
            <wp:extent cx="3450566" cy="2234026"/>
            <wp:effectExtent l="19050" t="19050" r="17145" b="1397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471419" cy="2247527"/>
                    </a:xfrm>
                    <a:prstGeom prst="rect">
                      <a:avLst/>
                    </a:prstGeom>
                    <a:ln w="19050">
                      <a:solidFill>
                        <a:srgbClr val="002F5D"/>
                      </a:solidFill>
                    </a:ln>
                  </pic:spPr>
                </pic:pic>
              </a:graphicData>
            </a:graphic>
          </wp:inline>
        </w:drawing>
      </w:r>
    </w:p>
    <w:p w14:paraId="00429577" w14:textId="77777777" w:rsidR="005754D4" w:rsidRPr="00330B65" w:rsidRDefault="005754D4" w:rsidP="00DE3CBB">
      <w:pPr>
        <w:spacing w:line="240" w:lineRule="auto"/>
        <w:rPr>
          <w:rFonts w:cs="Arial"/>
          <w:color w:val="002F5D"/>
        </w:rPr>
      </w:pPr>
    </w:p>
    <w:p w14:paraId="156CAC8E" w14:textId="77777777"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Cardiovascular disease JSNA</w:t>
      </w:r>
    </w:p>
    <w:p w14:paraId="05249184" w14:textId="77777777"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Children and young people's JSNA</w:t>
      </w:r>
    </w:p>
    <w:p w14:paraId="66EF3333" w14:textId="77777777"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Diverse ethnic communities JSNA</w:t>
      </w:r>
    </w:p>
    <w:p w14:paraId="018C0B0C" w14:textId="77777777"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Mental Health &amp; Mental Illness of Adults of Working Age JSNA</w:t>
      </w:r>
    </w:p>
    <w:p w14:paraId="7490770A" w14:textId="77777777"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Older People's Primary Prevention JSNA</w:t>
      </w:r>
    </w:p>
    <w:p w14:paraId="6533B6DD" w14:textId="544DFBEB" w:rsidR="00DE3CBB" w:rsidRPr="00330B65" w:rsidRDefault="00DE3CBB" w:rsidP="00A05571">
      <w:pPr>
        <w:pStyle w:val="ListParagraph"/>
        <w:numPr>
          <w:ilvl w:val="0"/>
          <w:numId w:val="72"/>
        </w:numPr>
        <w:spacing w:line="240" w:lineRule="auto"/>
        <w:rPr>
          <w:rFonts w:cs="Arial"/>
          <w:color w:val="002F5D"/>
        </w:rPr>
      </w:pPr>
      <w:r w:rsidRPr="00330B65">
        <w:rPr>
          <w:rFonts w:cs="Arial"/>
          <w:color w:val="002F5D"/>
        </w:rPr>
        <w:t>Transport &amp; the Environment JSNA</w:t>
      </w:r>
    </w:p>
    <w:p w14:paraId="4EC639D7" w14:textId="5ADDA207" w:rsidR="003558F8" w:rsidRPr="00330B65" w:rsidRDefault="003558F8" w:rsidP="00A05571">
      <w:pPr>
        <w:pStyle w:val="ListParagraph"/>
        <w:numPr>
          <w:ilvl w:val="0"/>
          <w:numId w:val="72"/>
        </w:numPr>
        <w:spacing w:line="240" w:lineRule="auto"/>
        <w:rPr>
          <w:rFonts w:cs="Arial"/>
          <w:color w:val="002F5D"/>
        </w:rPr>
      </w:pPr>
      <w:r w:rsidRPr="00330B65">
        <w:rPr>
          <w:rFonts w:cs="Arial"/>
          <w:color w:val="002F5D"/>
        </w:rPr>
        <w:t>Summary of Themed JSNA reports 2015-2017</w:t>
      </w:r>
    </w:p>
    <w:p w14:paraId="0BFB27D0" w14:textId="77777777" w:rsidR="00DE3CBB" w:rsidRPr="00330B65" w:rsidRDefault="00DE3CBB" w:rsidP="00DE3CBB">
      <w:pPr>
        <w:spacing w:line="240" w:lineRule="auto"/>
        <w:rPr>
          <w:rFonts w:cs="Arial"/>
          <w:color w:val="002F5D"/>
        </w:rPr>
      </w:pPr>
    </w:p>
    <w:p w14:paraId="3D32FCC7" w14:textId="77777777" w:rsidR="005754D4" w:rsidRPr="00330B65" w:rsidRDefault="005754D4" w:rsidP="00DE3CBB">
      <w:pPr>
        <w:spacing w:line="240" w:lineRule="auto"/>
        <w:rPr>
          <w:rFonts w:cs="Arial"/>
          <w:color w:val="002F5D"/>
        </w:rPr>
      </w:pPr>
      <w:r w:rsidRPr="00330B65">
        <w:rPr>
          <w:b/>
          <w:color w:val="002F5D"/>
        </w:rPr>
        <w:t>Source:</w:t>
      </w:r>
      <w:r w:rsidRPr="00330B65">
        <w:rPr>
          <w:color w:val="002F5D"/>
        </w:rPr>
        <w:t xml:space="preserve"> </w:t>
      </w:r>
      <w:hyperlink r:id="rId316" w:history="1">
        <w:r w:rsidRPr="00330B65">
          <w:rPr>
            <w:rStyle w:val="Hyperlink"/>
            <w:rFonts w:cs="Arial"/>
            <w:color w:val="002F5D"/>
          </w:rPr>
          <w:t>https://www.peterborough.gov.uk/healthcare/public-health/JSNA/</w:t>
        </w:r>
      </w:hyperlink>
      <w:r w:rsidRPr="00330B65">
        <w:rPr>
          <w:rFonts w:cs="Arial"/>
          <w:color w:val="002F5D"/>
        </w:rPr>
        <w:t xml:space="preserve"> </w:t>
      </w:r>
    </w:p>
    <w:p w14:paraId="68182A31" w14:textId="77777777" w:rsidR="005754D4" w:rsidRPr="00330B65" w:rsidRDefault="005754D4" w:rsidP="00DE3CBB">
      <w:pPr>
        <w:spacing w:line="240" w:lineRule="auto"/>
        <w:rPr>
          <w:rFonts w:cs="Arial"/>
          <w:color w:val="002F5D"/>
        </w:rPr>
      </w:pPr>
    </w:p>
    <w:p w14:paraId="236C173B" w14:textId="77777777" w:rsidR="003A021F" w:rsidRPr="00330B65" w:rsidRDefault="003A021F">
      <w:pPr>
        <w:rPr>
          <w:rFonts w:eastAsiaTheme="majorEastAsia" w:cs="Arial"/>
          <w:b/>
          <w:color w:val="002F5D"/>
          <w:sz w:val="28"/>
          <w:szCs w:val="32"/>
        </w:rPr>
      </w:pPr>
      <w:r w:rsidRPr="00330B65">
        <w:rPr>
          <w:color w:val="002F5D"/>
        </w:rPr>
        <w:br w:type="page"/>
      </w:r>
    </w:p>
    <w:p w14:paraId="04C3FC64" w14:textId="77777777" w:rsidR="009C3314" w:rsidRPr="00667419" w:rsidRDefault="00B805F9" w:rsidP="00FA1277">
      <w:pPr>
        <w:pStyle w:val="JSNA1"/>
      </w:pPr>
      <w:bookmarkStart w:id="830" w:name="_Toc4407902"/>
      <w:r w:rsidRPr="00667419">
        <w:lastRenderedPageBreak/>
        <w:t>SOURCES OF FURTHER INFORMATION</w:t>
      </w:r>
      <w:bookmarkEnd w:id="830"/>
    </w:p>
    <w:p w14:paraId="6DB64684" w14:textId="77777777" w:rsidR="00296F1F" w:rsidRPr="0037351D" w:rsidRDefault="00296F1F" w:rsidP="0038179C">
      <w:pPr>
        <w:spacing w:line="240" w:lineRule="auto"/>
        <w:rPr>
          <w:rFonts w:cs="Arial"/>
          <w:b/>
          <w:color w:val="FF0000"/>
        </w:rPr>
      </w:pPr>
    </w:p>
    <w:p w14:paraId="04BC2D05" w14:textId="77777777" w:rsidR="00D42B08" w:rsidRPr="00667419" w:rsidRDefault="00D42B08" w:rsidP="000459DE">
      <w:pPr>
        <w:spacing w:line="240" w:lineRule="auto"/>
        <w:rPr>
          <w:rFonts w:cs="Arial"/>
          <w:color w:val="002F5D"/>
        </w:rPr>
      </w:pPr>
      <w:r w:rsidRPr="00667419">
        <w:rPr>
          <w:rFonts w:cs="Arial"/>
          <w:color w:val="002F5D"/>
        </w:rPr>
        <w:t xml:space="preserve">This section provides an overview of, and key links to, the </w:t>
      </w:r>
      <w:r w:rsidRPr="00667419">
        <w:rPr>
          <w:rFonts w:cs="Arial"/>
          <w:b/>
          <w:color w:val="002F5D"/>
        </w:rPr>
        <w:t>primary local and national resources</w:t>
      </w:r>
      <w:r w:rsidRPr="00667419">
        <w:rPr>
          <w:rFonts w:cs="Arial"/>
          <w:color w:val="002F5D"/>
        </w:rPr>
        <w:t xml:space="preserve"> for JSNA and public health intelligence.</w:t>
      </w:r>
    </w:p>
    <w:p w14:paraId="4217BE0E" w14:textId="77777777" w:rsidR="00D42B08" w:rsidRPr="00667419" w:rsidRDefault="00D42B08" w:rsidP="000459DE">
      <w:pPr>
        <w:spacing w:line="240" w:lineRule="auto"/>
        <w:rPr>
          <w:rFonts w:cs="Arial"/>
          <w:b/>
          <w:color w:val="002F5D"/>
        </w:rPr>
      </w:pPr>
    </w:p>
    <w:p w14:paraId="23E3037E" w14:textId="77777777" w:rsidR="00D42B08" w:rsidRPr="00667419" w:rsidRDefault="00D42B08" w:rsidP="000459DE">
      <w:pPr>
        <w:spacing w:line="240" w:lineRule="auto"/>
        <w:rPr>
          <w:rFonts w:cs="Arial"/>
          <w:b/>
          <w:color w:val="002F5D"/>
        </w:rPr>
      </w:pPr>
      <w:r w:rsidRPr="00667419">
        <w:rPr>
          <w:rFonts w:cs="Arial"/>
          <w:b/>
          <w:color w:val="002F5D"/>
        </w:rPr>
        <w:t>Joint Strategic Needs Assessment (JSNA) website</w:t>
      </w:r>
      <w:r w:rsidR="0031089B" w:rsidRPr="00667419">
        <w:rPr>
          <w:rFonts w:cs="Arial"/>
          <w:b/>
          <w:color w:val="002F5D"/>
        </w:rPr>
        <w:t>s</w:t>
      </w:r>
    </w:p>
    <w:p w14:paraId="5709BB89" w14:textId="77777777" w:rsidR="00D42B08" w:rsidRPr="00667419" w:rsidRDefault="00D42B08" w:rsidP="00735AD6">
      <w:pPr>
        <w:pStyle w:val="ListParagraph"/>
        <w:numPr>
          <w:ilvl w:val="0"/>
          <w:numId w:val="43"/>
        </w:numPr>
        <w:spacing w:line="240" w:lineRule="auto"/>
        <w:rPr>
          <w:rFonts w:cs="Arial"/>
          <w:color w:val="002F5D"/>
        </w:rPr>
      </w:pPr>
      <w:r w:rsidRPr="00667419">
        <w:rPr>
          <w:rFonts w:cs="Arial"/>
          <w:color w:val="002F5D"/>
        </w:rPr>
        <w:t xml:space="preserve">This </w:t>
      </w:r>
      <w:r w:rsidR="0003508C" w:rsidRPr="00667419">
        <w:rPr>
          <w:rFonts w:cs="Arial"/>
          <w:color w:val="002F5D"/>
        </w:rPr>
        <w:t xml:space="preserve">Core Dataset </w:t>
      </w:r>
      <w:r w:rsidRPr="00667419">
        <w:rPr>
          <w:rFonts w:cs="Arial"/>
          <w:color w:val="002F5D"/>
        </w:rPr>
        <w:t>docum</w:t>
      </w:r>
      <w:r w:rsidR="00CD4017" w:rsidRPr="00667419">
        <w:rPr>
          <w:rFonts w:cs="Arial"/>
          <w:color w:val="002F5D"/>
        </w:rPr>
        <w:t xml:space="preserve">ent is located </w:t>
      </w:r>
      <w:r w:rsidRPr="00667419">
        <w:rPr>
          <w:rFonts w:cs="Arial"/>
          <w:color w:val="002F5D"/>
        </w:rPr>
        <w:t>on the</w:t>
      </w:r>
      <w:r w:rsidR="0031089B" w:rsidRPr="00667419">
        <w:rPr>
          <w:rFonts w:cs="Arial"/>
          <w:color w:val="002F5D"/>
        </w:rPr>
        <w:t xml:space="preserve"> JSNA Programme</w:t>
      </w:r>
      <w:r w:rsidRPr="00667419">
        <w:rPr>
          <w:rFonts w:cs="Arial"/>
          <w:color w:val="002F5D"/>
        </w:rPr>
        <w:t xml:space="preserve"> website</w:t>
      </w:r>
      <w:r w:rsidR="0031089B" w:rsidRPr="00667419">
        <w:rPr>
          <w:rFonts w:cs="Arial"/>
          <w:color w:val="002F5D"/>
        </w:rPr>
        <w:t>s for Cambridgeshire and Peterborough</w:t>
      </w:r>
      <w:r w:rsidRPr="00667419">
        <w:rPr>
          <w:rFonts w:cs="Arial"/>
          <w:color w:val="002F5D"/>
        </w:rPr>
        <w:t xml:space="preserve"> at </w:t>
      </w:r>
      <w:hyperlink r:id="rId317" w:history="1">
        <w:r w:rsidRPr="00667419">
          <w:rPr>
            <w:rStyle w:val="Hyperlink"/>
            <w:rFonts w:cs="Arial"/>
            <w:color w:val="002F5D"/>
          </w:rPr>
          <w:t>http://cambridgeshireinsight.org.uk/jsna</w:t>
        </w:r>
      </w:hyperlink>
      <w:r w:rsidR="00735AD6" w:rsidRPr="00667419">
        <w:rPr>
          <w:rFonts w:cs="Arial"/>
          <w:color w:val="002F5D"/>
        </w:rPr>
        <w:t xml:space="preserve"> and </w:t>
      </w:r>
      <w:r w:rsidR="00735AD6" w:rsidRPr="00667419">
        <w:rPr>
          <w:rFonts w:cs="Arial"/>
          <w:color w:val="002F5D"/>
          <w:u w:val="single"/>
        </w:rPr>
        <w:t>https://www.peterborough.gov.uk/healthcare/public-health/JSNA/</w:t>
      </w:r>
    </w:p>
    <w:p w14:paraId="2B6C4A8A" w14:textId="77777777" w:rsidR="00D42B08" w:rsidRPr="00667419" w:rsidRDefault="00D42B08" w:rsidP="00A938F7">
      <w:pPr>
        <w:pStyle w:val="ListParagraph"/>
        <w:numPr>
          <w:ilvl w:val="0"/>
          <w:numId w:val="43"/>
        </w:numPr>
        <w:spacing w:line="240" w:lineRule="auto"/>
        <w:rPr>
          <w:rFonts w:cs="Arial"/>
          <w:color w:val="002F5D"/>
        </w:rPr>
      </w:pPr>
      <w:r w:rsidRPr="00667419">
        <w:rPr>
          <w:rFonts w:cs="Arial"/>
          <w:color w:val="002F5D"/>
        </w:rPr>
        <w:t xml:space="preserve">The current </w:t>
      </w:r>
      <w:r w:rsidR="00FF79FE" w:rsidRPr="00667419">
        <w:rPr>
          <w:rFonts w:cs="Arial"/>
          <w:color w:val="002F5D"/>
        </w:rPr>
        <w:t xml:space="preserve">themed </w:t>
      </w:r>
      <w:r w:rsidRPr="00667419">
        <w:rPr>
          <w:rFonts w:cs="Arial"/>
          <w:color w:val="002F5D"/>
        </w:rPr>
        <w:t>reports from the JSNA work programme</w:t>
      </w:r>
      <w:r w:rsidR="00791A1B" w:rsidRPr="00667419">
        <w:rPr>
          <w:rFonts w:cs="Arial"/>
          <w:color w:val="002F5D"/>
        </w:rPr>
        <w:t xml:space="preserve"> for Cambridgeshire and Peterborough</w:t>
      </w:r>
      <w:r w:rsidRPr="00667419">
        <w:rPr>
          <w:rFonts w:cs="Arial"/>
          <w:color w:val="002F5D"/>
        </w:rPr>
        <w:t xml:space="preserve"> can be found at </w:t>
      </w:r>
      <w:hyperlink r:id="rId318" w:history="1">
        <w:r w:rsidRPr="00667419">
          <w:rPr>
            <w:rStyle w:val="Hyperlink"/>
            <w:rFonts w:cs="Arial"/>
            <w:color w:val="002F5D"/>
          </w:rPr>
          <w:t>http://cambridgeshireinsight.org.uk/joint-strategic-needs-assessment/current-jsna-reports</w:t>
        </w:r>
      </w:hyperlink>
      <w:r w:rsidRPr="00667419">
        <w:rPr>
          <w:rFonts w:cs="Arial"/>
          <w:color w:val="002F5D"/>
        </w:rPr>
        <w:t xml:space="preserve"> </w:t>
      </w:r>
      <w:r w:rsidR="00791A1B" w:rsidRPr="00667419">
        <w:rPr>
          <w:rFonts w:cs="Arial"/>
          <w:color w:val="002F5D"/>
        </w:rPr>
        <w:t>and</w:t>
      </w:r>
      <w:r w:rsidR="00791A1B" w:rsidRPr="00667419">
        <w:rPr>
          <w:rFonts w:cs="Arial"/>
          <w:color w:val="002F5D"/>
          <w:u w:val="single"/>
        </w:rPr>
        <w:t xml:space="preserve"> https://www.peterborough.gov.uk/healthcare/public-health/JSNA/</w:t>
      </w:r>
    </w:p>
    <w:p w14:paraId="74746CD1" w14:textId="77777777" w:rsidR="00D42B08" w:rsidRPr="00667419" w:rsidRDefault="00D42B08" w:rsidP="000459DE">
      <w:pPr>
        <w:spacing w:line="240" w:lineRule="auto"/>
        <w:rPr>
          <w:rFonts w:cs="Arial"/>
          <w:b/>
          <w:color w:val="002F5D"/>
        </w:rPr>
      </w:pPr>
    </w:p>
    <w:p w14:paraId="317F8237" w14:textId="77777777" w:rsidR="00D42B08" w:rsidRPr="00667419" w:rsidRDefault="00791A1B" w:rsidP="000459DE">
      <w:pPr>
        <w:spacing w:line="240" w:lineRule="auto"/>
        <w:rPr>
          <w:rFonts w:cs="Arial"/>
          <w:b/>
          <w:color w:val="002F5D"/>
        </w:rPr>
      </w:pPr>
      <w:r w:rsidRPr="00667419">
        <w:rPr>
          <w:rFonts w:cs="Arial"/>
          <w:b/>
          <w:color w:val="002F5D"/>
        </w:rPr>
        <w:t>Cambridgeshire County Council and Peterborough City Council’s</w:t>
      </w:r>
      <w:r w:rsidR="00D42B08" w:rsidRPr="00667419">
        <w:rPr>
          <w:rFonts w:cs="Arial"/>
          <w:b/>
          <w:color w:val="002F5D"/>
        </w:rPr>
        <w:t xml:space="preserve"> Public Health Intelligence Team (PHI)</w:t>
      </w:r>
    </w:p>
    <w:p w14:paraId="03B34E3A" w14:textId="0A7E8B9B" w:rsidR="00D42B08" w:rsidRPr="003558F8" w:rsidRDefault="00D42B08">
      <w:pPr>
        <w:pStyle w:val="ListBullet"/>
        <w:numPr>
          <w:ilvl w:val="0"/>
          <w:numId w:val="45"/>
        </w:numPr>
        <w:spacing w:line="240" w:lineRule="auto"/>
        <w:rPr>
          <w:color w:val="002F5D"/>
        </w:rPr>
      </w:pPr>
      <w:r w:rsidRPr="00667419">
        <w:rPr>
          <w:color w:val="002F5D"/>
        </w:rPr>
        <w:t>The local PHI team</w:t>
      </w:r>
      <w:r w:rsidR="00791A1B" w:rsidRPr="00667419">
        <w:rPr>
          <w:color w:val="002F5D"/>
        </w:rPr>
        <w:t>s</w:t>
      </w:r>
      <w:r w:rsidRPr="00667419">
        <w:rPr>
          <w:color w:val="002F5D"/>
        </w:rPr>
        <w:t xml:space="preserve"> are responsible for supporting Cambridgeshire County Council, Peterborough City Council</w:t>
      </w:r>
      <w:r w:rsidR="003558F8">
        <w:rPr>
          <w:color w:val="002F5D"/>
        </w:rPr>
        <w:t xml:space="preserve">, </w:t>
      </w:r>
      <w:r w:rsidRPr="003558F8">
        <w:rPr>
          <w:color w:val="002F5D"/>
        </w:rPr>
        <w:t>Cambridgeshire and Peterborough Clinical Commissioning Group</w:t>
      </w:r>
      <w:r w:rsidR="003558F8">
        <w:rPr>
          <w:color w:val="002F5D"/>
        </w:rPr>
        <w:t xml:space="preserve"> and partner organisations</w:t>
      </w:r>
      <w:r w:rsidRPr="003558F8">
        <w:rPr>
          <w:color w:val="002F5D"/>
        </w:rPr>
        <w:t xml:space="preserve">. Please contact David Lea at </w:t>
      </w:r>
      <w:hyperlink r:id="rId319" w:history="1">
        <w:r w:rsidR="00797231" w:rsidRPr="003558F8">
          <w:rPr>
            <w:rStyle w:val="Hyperlink"/>
            <w:color w:val="002F5D"/>
          </w:rPr>
          <w:t>david.lea@cambridgeshire.gov.uk</w:t>
        </w:r>
      </w:hyperlink>
      <w:r w:rsidR="00797231" w:rsidRPr="003558F8">
        <w:rPr>
          <w:rStyle w:val="Hyperlink"/>
          <w:color w:val="002F5D"/>
        </w:rPr>
        <w:t xml:space="preserve"> </w:t>
      </w:r>
      <w:r w:rsidR="00791A1B" w:rsidRPr="003558F8">
        <w:rPr>
          <w:color w:val="002F5D"/>
        </w:rPr>
        <w:t>,</w:t>
      </w:r>
      <w:r w:rsidRPr="003558F8">
        <w:rPr>
          <w:color w:val="002F5D"/>
        </w:rPr>
        <w:t xml:space="preserve"> </w:t>
      </w:r>
      <w:hyperlink r:id="rId320" w:history="1">
        <w:r w:rsidR="00797231" w:rsidRPr="003558F8">
          <w:rPr>
            <w:rStyle w:val="Hyperlink"/>
            <w:rFonts w:ascii="Calibri" w:hAnsi="Calibri" w:cs="Calibri"/>
            <w:color w:val="002F5D"/>
          </w:rPr>
          <w:t>PHI-team@cambridgeshire.gov.uk</w:t>
        </w:r>
      </w:hyperlink>
      <w:r w:rsidR="00791A1B" w:rsidRPr="003558F8">
        <w:rPr>
          <w:rStyle w:val="Hyperlink"/>
          <w:rFonts w:ascii="Calibri" w:hAnsi="Calibri" w:cs="Calibri"/>
          <w:color w:val="002F5D"/>
        </w:rPr>
        <w:t xml:space="preserve"> or phi-team@peterborough.gov.uk</w:t>
      </w:r>
      <w:r w:rsidR="00797231" w:rsidRPr="003558F8">
        <w:rPr>
          <w:rFonts w:ascii="Calibri" w:hAnsi="Calibri" w:cs="Calibri"/>
          <w:color w:val="002F5D"/>
        </w:rPr>
        <w:t>.</w:t>
      </w:r>
      <w:r w:rsidR="00797231" w:rsidRPr="003558F8">
        <w:rPr>
          <w:color w:val="002F5D"/>
        </w:rPr>
        <w:t xml:space="preserve"> </w:t>
      </w:r>
    </w:p>
    <w:p w14:paraId="47FDFFCA" w14:textId="77777777" w:rsidR="003558F8" w:rsidRPr="00330B65" w:rsidRDefault="00D42B08" w:rsidP="00330B65">
      <w:pPr>
        <w:pStyle w:val="ListParagraph"/>
        <w:numPr>
          <w:ilvl w:val="0"/>
          <w:numId w:val="45"/>
        </w:numPr>
        <w:spacing w:line="240" w:lineRule="auto"/>
        <w:rPr>
          <w:rFonts w:cs="Arial"/>
          <w:b/>
          <w:color w:val="002F5D"/>
        </w:rPr>
      </w:pPr>
      <w:r w:rsidRPr="003558F8">
        <w:rPr>
          <w:color w:val="002F5D"/>
        </w:rPr>
        <w:t xml:space="preserve">The team has produced a guide to the local service, which includes details of team members, sources of public health data, as well as knowledge and learning resources.  This can be accessed from </w:t>
      </w:r>
      <w:hyperlink r:id="rId321" w:history="1">
        <w:r w:rsidRPr="003558F8">
          <w:rPr>
            <w:rStyle w:val="Hyperlink"/>
            <w:color w:val="002F5D"/>
          </w:rPr>
          <w:t>http://cambridgeshireinsight.org.uk/health</w:t>
        </w:r>
      </w:hyperlink>
      <w:r w:rsidR="003558F8">
        <w:rPr>
          <w:color w:val="002F5D"/>
        </w:rPr>
        <w:t>.</w:t>
      </w:r>
    </w:p>
    <w:p w14:paraId="1981FA02" w14:textId="77777777" w:rsidR="00D42B08" w:rsidRPr="003558F8" w:rsidRDefault="00D42B08" w:rsidP="00330B65">
      <w:pPr>
        <w:pStyle w:val="ListParagraph"/>
        <w:spacing w:line="240" w:lineRule="auto"/>
        <w:rPr>
          <w:rFonts w:cs="Arial"/>
          <w:b/>
          <w:color w:val="002F5D"/>
        </w:rPr>
      </w:pPr>
    </w:p>
    <w:p w14:paraId="2A60DAF8" w14:textId="77777777" w:rsidR="00D42B08" w:rsidRPr="00667419" w:rsidRDefault="00D42B08" w:rsidP="000459DE">
      <w:pPr>
        <w:spacing w:line="240" w:lineRule="auto"/>
        <w:rPr>
          <w:rFonts w:cs="Arial"/>
          <w:b/>
          <w:color w:val="002F5D"/>
        </w:rPr>
      </w:pPr>
      <w:r w:rsidRPr="00667419">
        <w:rPr>
          <w:rFonts w:cs="Arial"/>
          <w:b/>
          <w:color w:val="002F5D"/>
        </w:rPr>
        <w:t>Cambridgeshire Insight</w:t>
      </w:r>
    </w:p>
    <w:p w14:paraId="60BD376E" w14:textId="77777777" w:rsidR="00D42B08" w:rsidRPr="00667419" w:rsidRDefault="00D42B08" w:rsidP="00A938F7">
      <w:pPr>
        <w:pStyle w:val="ListParagraph"/>
        <w:numPr>
          <w:ilvl w:val="0"/>
          <w:numId w:val="44"/>
        </w:numPr>
        <w:spacing w:line="240" w:lineRule="auto"/>
        <w:rPr>
          <w:rFonts w:cs="Arial"/>
          <w:color w:val="002F5D"/>
        </w:rPr>
      </w:pPr>
      <w:r w:rsidRPr="00667419">
        <w:rPr>
          <w:rFonts w:cs="Arial"/>
          <w:color w:val="002F5D"/>
        </w:rPr>
        <w:t xml:space="preserve">Cambridgeshire Insight is the Council’s web based data and information platform. It contains a wealth of information, much related to health and wellbeing and the determinants of health. Cambridgeshire Insight’s home page is at </w:t>
      </w:r>
      <w:hyperlink r:id="rId322" w:history="1">
        <w:r w:rsidRPr="00667419">
          <w:rPr>
            <w:rStyle w:val="Hyperlink"/>
            <w:rFonts w:cs="Arial"/>
            <w:color w:val="002F5D"/>
          </w:rPr>
          <w:t>http://cambridgeshireinsight.org.uk/</w:t>
        </w:r>
      </w:hyperlink>
      <w:r w:rsidRPr="00667419">
        <w:rPr>
          <w:rFonts w:cs="Arial"/>
          <w:color w:val="002F5D"/>
        </w:rPr>
        <w:t>.</w:t>
      </w:r>
    </w:p>
    <w:p w14:paraId="560460E9" w14:textId="77777777" w:rsidR="00D42B08" w:rsidRPr="00667419" w:rsidRDefault="00D42B08" w:rsidP="00A938F7">
      <w:pPr>
        <w:pStyle w:val="ListParagraph"/>
        <w:numPr>
          <w:ilvl w:val="0"/>
          <w:numId w:val="44"/>
        </w:numPr>
        <w:spacing w:line="240" w:lineRule="auto"/>
        <w:rPr>
          <w:rFonts w:cs="Arial"/>
          <w:color w:val="002F5D"/>
        </w:rPr>
      </w:pPr>
      <w:r w:rsidRPr="00667419">
        <w:rPr>
          <w:rFonts w:cs="Arial"/>
          <w:color w:val="002F5D"/>
        </w:rPr>
        <w:t xml:space="preserve">Cambridgeshire Insight’s health and wellbeing pages are at </w:t>
      </w:r>
      <w:hyperlink r:id="rId323" w:history="1">
        <w:r w:rsidRPr="00667419">
          <w:rPr>
            <w:rStyle w:val="Hyperlink"/>
            <w:rFonts w:cs="Arial"/>
            <w:color w:val="002F5D"/>
          </w:rPr>
          <w:t>http://cambridgeshireinsight.org.uk/health</w:t>
        </w:r>
      </w:hyperlink>
      <w:r w:rsidR="006D4471" w:rsidRPr="00667419">
        <w:rPr>
          <w:rFonts w:cs="Arial"/>
          <w:color w:val="002F5D"/>
        </w:rPr>
        <w:t xml:space="preserve"> and also include some Peterborough data.</w:t>
      </w:r>
    </w:p>
    <w:p w14:paraId="01069E58" w14:textId="77777777" w:rsidR="006D4471" w:rsidRPr="00667419" w:rsidRDefault="006D4471" w:rsidP="006D4471">
      <w:pPr>
        <w:spacing w:line="240" w:lineRule="auto"/>
        <w:rPr>
          <w:rFonts w:cs="Arial"/>
          <w:color w:val="002F5D"/>
        </w:rPr>
      </w:pPr>
    </w:p>
    <w:p w14:paraId="75F54552" w14:textId="77777777" w:rsidR="006D4471" w:rsidRPr="00667419" w:rsidRDefault="006D4471" w:rsidP="006D4471">
      <w:pPr>
        <w:spacing w:line="240" w:lineRule="auto"/>
        <w:rPr>
          <w:rFonts w:cs="Arial"/>
          <w:b/>
          <w:color w:val="002F5D"/>
        </w:rPr>
      </w:pPr>
      <w:r w:rsidRPr="00667419">
        <w:rPr>
          <w:rFonts w:cs="Arial"/>
          <w:b/>
          <w:color w:val="002F5D"/>
        </w:rPr>
        <w:t>Peterborough Public Health</w:t>
      </w:r>
    </w:p>
    <w:p w14:paraId="5D715333" w14:textId="77777777" w:rsidR="006D4471" w:rsidRPr="00667419" w:rsidRDefault="006D4471" w:rsidP="00A05571">
      <w:pPr>
        <w:pStyle w:val="ListParagraph"/>
        <w:numPr>
          <w:ilvl w:val="0"/>
          <w:numId w:val="73"/>
        </w:numPr>
        <w:spacing w:line="240" w:lineRule="auto"/>
        <w:rPr>
          <w:rFonts w:cs="Arial"/>
          <w:color w:val="002F5D"/>
        </w:rPr>
      </w:pPr>
      <w:r w:rsidRPr="00667419">
        <w:rPr>
          <w:rFonts w:cs="Arial"/>
          <w:color w:val="002F5D"/>
        </w:rPr>
        <w:t xml:space="preserve">Peterborough Public Health resources are gathered together at </w:t>
      </w:r>
      <w:hyperlink r:id="rId324" w:history="1">
        <w:r w:rsidRPr="00667419">
          <w:rPr>
            <w:rStyle w:val="Hyperlink"/>
            <w:rFonts w:cs="Arial"/>
            <w:color w:val="002F5D"/>
          </w:rPr>
          <w:t>https://www.peterborough.gov.uk/healthcare/public-health/</w:t>
        </w:r>
      </w:hyperlink>
      <w:r w:rsidRPr="00667419">
        <w:rPr>
          <w:rFonts w:cs="Arial"/>
          <w:color w:val="002F5D"/>
        </w:rPr>
        <w:t xml:space="preserve"> </w:t>
      </w:r>
    </w:p>
    <w:p w14:paraId="5F91AD02" w14:textId="77777777" w:rsidR="00D42B08" w:rsidRPr="00667419" w:rsidRDefault="00D42B08" w:rsidP="000459DE">
      <w:pPr>
        <w:spacing w:line="240" w:lineRule="auto"/>
        <w:rPr>
          <w:rFonts w:cs="Arial"/>
          <w:color w:val="002F5D"/>
        </w:rPr>
      </w:pPr>
    </w:p>
    <w:p w14:paraId="72A70BA0" w14:textId="77777777" w:rsidR="00D42B08" w:rsidRPr="00667419" w:rsidRDefault="00D42B08" w:rsidP="000459DE">
      <w:pPr>
        <w:spacing w:line="240" w:lineRule="auto"/>
        <w:rPr>
          <w:rFonts w:cs="Arial"/>
          <w:b/>
          <w:color w:val="002F5D"/>
        </w:rPr>
      </w:pPr>
      <w:r w:rsidRPr="00667419">
        <w:rPr>
          <w:rFonts w:cs="Arial"/>
          <w:b/>
          <w:color w:val="002F5D"/>
        </w:rPr>
        <w:t>Public Health Outcomes Framework</w:t>
      </w:r>
    </w:p>
    <w:p w14:paraId="0D75FA88" w14:textId="77777777" w:rsidR="00D42B08" w:rsidRPr="00667419" w:rsidRDefault="00D42B08" w:rsidP="00A938F7">
      <w:pPr>
        <w:pStyle w:val="ListParagraph"/>
        <w:numPr>
          <w:ilvl w:val="0"/>
          <w:numId w:val="45"/>
        </w:numPr>
        <w:spacing w:line="240" w:lineRule="auto"/>
        <w:rPr>
          <w:rFonts w:cs="Arial"/>
          <w:color w:val="002F5D"/>
        </w:rPr>
      </w:pPr>
      <w:r w:rsidRPr="00667419">
        <w:rPr>
          <w:rFonts w:cs="Arial"/>
          <w:color w:val="002F5D"/>
        </w:rPr>
        <w:t xml:space="preserve">The Public Health Outcomes Framework (PHOF) is the Government’s key set of population measures for measuring and tracking progress in health and wellbeing. The local PHOF page is at </w:t>
      </w:r>
      <w:hyperlink r:id="rId325" w:history="1">
        <w:r w:rsidRPr="00667419">
          <w:rPr>
            <w:rStyle w:val="Hyperlink"/>
            <w:rFonts w:cs="Arial"/>
            <w:color w:val="002F5D"/>
          </w:rPr>
          <w:t>http://cambridgeshireinsight.org.uk/health/phof</w:t>
        </w:r>
      </w:hyperlink>
      <w:r w:rsidRPr="00667419">
        <w:rPr>
          <w:rFonts w:cs="Arial"/>
          <w:color w:val="002F5D"/>
        </w:rPr>
        <w:t xml:space="preserve"> and data for all areas can be found at the national site at </w:t>
      </w:r>
      <w:hyperlink r:id="rId326" w:history="1">
        <w:r w:rsidRPr="00667419">
          <w:rPr>
            <w:rStyle w:val="Hyperlink"/>
            <w:rFonts w:cs="Arial"/>
            <w:color w:val="002F5D"/>
          </w:rPr>
          <w:t>http://www.phoutcomes.info/</w:t>
        </w:r>
      </w:hyperlink>
      <w:r w:rsidRPr="00667419">
        <w:rPr>
          <w:rFonts w:cs="Arial"/>
          <w:color w:val="002F5D"/>
        </w:rPr>
        <w:t>.</w:t>
      </w:r>
    </w:p>
    <w:p w14:paraId="0218DB33" w14:textId="77777777" w:rsidR="00D42B08" w:rsidRPr="00667419" w:rsidRDefault="00D42B08" w:rsidP="000459DE">
      <w:pPr>
        <w:spacing w:line="240" w:lineRule="auto"/>
        <w:rPr>
          <w:rFonts w:cs="Arial"/>
          <w:color w:val="002F5D"/>
        </w:rPr>
      </w:pPr>
    </w:p>
    <w:p w14:paraId="0E9DD1F4" w14:textId="77777777" w:rsidR="00D42B08" w:rsidRPr="00667419" w:rsidRDefault="00D42B08" w:rsidP="000459DE">
      <w:pPr>
        <w:spacing w:line="240" w:lineRule="auto"/>
        <w:rPr>
          <w:rFonts w:cs="Arial"/>
          <w:b/>
          <w:color w:val="002F5D"/>
        </w:rPr>
      </w:pPr>
      <w:r w:rsidRPr="00667419">
        <w:rPr>
          <w:rFonts w:cs="Arial"/>
          <w:b/>
          <w:color w:val="002F5D"/>
        </w:rPr>
        <w:t>Public Health England data and information profiles</w:t>
      </w:r>
    </w:p>
    <w:p w14:paraId="578C2760" w14:textId="77777777" w:rsidR="00DA6624" w:rsidRPr="00667419" w:rsidRDefault="00D42B08" w:rsidP="00A938F7">
      <w:pPr>
        <w:pStyle w:val="ListParagraph"/>
        <w:numPr>
          <w:ilvl w:val="0"/>
          <w:numId w:val="45"/>
        </w:numPr>
        <w:spacing w:line="240" w:lineRule="auto"/>
        <w:rPr>
          <w:rFonts w:cs="Arial"/>
          <w:b/>
          <w:color w:val="002F5D"/>
        </w:rPr>
      </w:pPr>
      <w:r w:rsidRPr="00667419">
        <w:rPr>
          <w:rFonts w:cs="Arial"/>
          <w:color w:val="002F5D"/>
        </w:rPr>
        <w:t>Public Health England (PHE) produce a wide-range of d</w:t>
      </w:r>
      <w:r w:rsidR="00797231" w:rsidRPr="00667419">
        <w:rPr>
          <w:rFonts w:cs="Arial"/>
          <w:color w:val="002F5D"/>
        </w:rPr>
        <w:t xml:space="preserve">ata and information profiles at </w:t>
      </w:r>
      <w:hyperlink r:id="rId327" w:history="1">
        <w:r w:rsidR="00797231" w:rsidRPr="00667419">
          <w:rPr>
            <w:rStyle w:val="Hyperlink"/>
            <w:rFonts w:cs="Arial"/>
            <w:color w:val="002F5D"/>
          </w:rPr>
          <w:t>https://fingertips.phe.org.uk/</w:t>
        </w:r>
      </w:hyperlink>
      <w:r w:rsidRPr="00667419">
        <w:rPr>
          <w:rFonts w:cs="Arial"/>
          <w:color w:val="002F5D"/>
        </w:rPr>
        <w:t xml:space="preserve"> all including local data.</w:t>
      </w:r>
    </w:p>
    <w:p w14:paraId="36CF8563" w14:textId="77777777" w:rsidR="00414387" w:rsidRPr="0037351D" w:rsidRDefault="00414387" w:rsidP="0038179C">
      <w:pPr>
        <w:spacing w:line="240" w:lineRule="auto"/>
        <w:rPr>
          <w:rFonts w:cs="Arial"/>
          <w:b/>
          <w:color w:val="FF0000"/>
        </w:rPr>
      </w:pPr>
    </w:p>
    <w:p w14:paraId="523CF5F0" w14:textId="77777777" w:rsidR="00BC6FC1" w:rsidRPr="0037351D" w:rsidRDefault="00BC6FC1">
      <w:pPr>
        <w:rPr>
          <w:rFonts w:cs="Arial"/>
          <w:b/>
          <w:color w:val="FF0000"/>
        </w:rPr>
      </w:pPr>
      <w:r w:rsidRPr="0037351D">
        <w:rPr>
          <w:rFonts w:cs="Arial"/>
          <w:b/>
          <w:color w:val="FF0000"/>
        </w:rPr>
        <w:br w:type="page"/>
      </w:r>
    </w:p>
    <w:p w14:paraId="07B3E344" w14:textId="77777777" w:rsidR="00414387" w:rsidRPr="00667419" w:rsidRDefault="00641492" w:rsidP="00641492">
      <w:pPr>
        <w:pStyle w:val="JSNA1"/>
      </w:pPr>
      <w:bookmarkStart w:id="831" w:name="_Toc4407903"/>
      <w:r w:rsidRPr="00667419">
        <w:lastRenderedPageBreak/>
        <w:t>AUTHORS &amp; CONTACT DETAILS</w:t>
      </w:r>
      <w:bookmarkEnd w:id="831"/>
    </w:p>
    <w:p w14:paraId="1B224A79" w14:textId="77777777" w:rsidR="00182B2E" w:rsidRPr="00667419" w:rsidRDefault="00182B2E" w:rsidP="00182B2E">
      <w:pPr>
        <w:spacing w:line="240" w:lineRule="auto"/>
        <w:rPr>
          <w:rFonts w:cs="Arial"/>
          <w:color w:val="FF0000"/>
        </w:rPr>
      </w:pPr>
    </w:p>
    <w:p w14:paraId="0D8FC23A" w14:textId="54B9A8A3" w:rsidR="00182B2E" w:rsidRPr="00667419" w:rsidRDefault="00182B2E" w:rsidP="002E2F56">
      <w:pPr>
        <w:spacing w:line="240" w:lineRule="auto"/>
        <w:rPr>
          <w:rFonts w:cs="Arial"/>
          <w:b/>
          <w:color w:val="002F5D"/>
        </w:rPr>
      </w:pPr>
      <w:r w:rsidRPr="00667419">
        <w:rPr>
          <w:rFonts w:cs="Arial"/>
          <w:b/>
          <w:color w:val="002F5D"/>
        </w:rPr>
        <w:t>Principal author</w:t>
      </w:r>
      <w:r w:rsidR="00DA16BF">
        <w:rPr>
          <w:rFonts w:cs="Arial"/>
          <w:b/>
          <w:color w:val="002F5D"/>
        </w:rPr>
        <w:t>:</w:t>
      </w:r>
    </w:p>
    <w:p w14:paraId="5F1ADC5F" w14:textId="195F0B1D" w:rsidR="00182B2E" w:rsidRDefault="00182B2E" w:rsidP="002E2F56">
      <w:pPr>
        <w:spacing w:line="240" w:lineRule="auto"/>
        <w:rPr>
          <w:rFonts w:cs="Arial"/>
          <w:color w:val="002F5D"/>
        </w:rPr>
      </w:pPr>
      <w:r w:rsidRPr="00667419">
        <w:rPr>
          <w:rFonts w:cs="Arial"/>
          <w:color w:val="002F5D"/>
        </w:rPr>
        <w:t>Gen Fitzjohn, Public Health Intelligence Analyst</w:t>
      </w:r>
      <w:r w:rsidR="003558F8">
        <w:rPr>
          <w:rFonts w:cs="Arial"/>
          <w:color w:val="002F5D"/>
        </w:rPr>
        <w:t>, Public Health</w:t>
      </w:r>
    </w:p>
    <w:p w14:paraId="73B2C92A" w14:textId="59154BBE" w:rsidR="00DA16BF" w:rsidRPr="00667419" w:rsidRDefault="00DA16BF" w:rsidP="002E2F56">
      <w:pPr>
        <w:spacing w:line="240" w:lineRule="auto"/>
        <w:rPr>
          <w:rFonts w:cs="Arial"/>
          <w:color w:val="002F5D"/>
        </w:rPr>
      </w:pPr>
    </w:p>
    <w:p w14:paraId="20B4A5F8" w14:textId="3E8DF7B4" w:rsidR="00182B2E" w:rsidRPr="00667419" w:rsidRDefault="00DA16BF" w:rsidP="002E2F56">
      <w:pPr>
        <w:spacing w:line="240" w:lineRule="auto"/>
        <w:rPr>
          <w:rFonts w:cs="Arial"/>
          <w:b/>
          <w:color w:val="002F5D"/>
        </w:rPr>
      </w:pPr>
      <w:r>
        <w:rPr>
          <w:rFonts w:cs="Arial"/>
          <w:b/>
          <w:color w:val="002F5D"/>
        </w:rPr>
        <w:t>Co-a</w:t>
      </w:r>
      <w:r w:rsidR="00182B2E" w:rsidRPr="00667419">
        <w:rPr>
          <w:rFonts w:cs="Arial"/>
          <w:b/>
          <w:color w:val="002F5D"/>
        </w:rPr>
        <w:t>uthors:</w:t>
      </w:r>
    </w:p>
    <w:p w14:paraId="705FCFAB" w14:textId="3A248A51" w:rsidR="00642BCE" w:rsidRDefault="00642BCE" w:rsidP="00642BCE">
      <w:pPr>
        <w:spacing w:line="240" w:lineRule="auto"/>
        <w:rPr>
          <w:rFonts w:cs="Arial"/>
          <w:color w:val="002F5D"/>
        </w:rPr>
      </w:pPr>
      <w:r>
        <w:rPr>
          <w:rFonts w:cs="Arial"/>
          <w:color w:val="002F5D"/>
        </w:rPr>
        <w:t xml:space="preserve">Nicola Gowers, </w:t>
      </w:r>
      <w:r w:rsidRPr="00667419">
        <w:rPr>
          <w:rFonts w:cs="Arial"/>
          <w:color w:val="002F5D"/>
        </w:rPr>
        <w:t>Advanced Public Health Intelligence Analyst</w:t>
      </w:r>
      <w:r>
        <w:rPr>
          <w:rFonts w:cs="Arial"/>
          <w:color w:val="002F5D"/>
        </w:rPr>
        <w:t>, Public Health</w:t>
      </w:r>
    </w:p>
    <w:p w14:paraId="4D4FDE74" w14:textId="0738C3FB" w:rsidR="00414387" w:rsidRDefault="00414387" w:rsidP="002E2F56">
      <w:pPr>
        <w:spacing w:line="240" w:lineRule="auto"/>
        <w:rPr>
          <w:rFonts w:cs="Arial"/>
          <w:color w:val="002F5D"/>
        </w:rPr>
      </w:pPr>
      <w:r w:rsidRPr="00667419">
        <w:rPr>
          <w:rFonts w:cs="Arial"/>
          <w:color w:val="002F5D"/>
        </w:rPr>
        <w:t>David Lea, Assistant Director, Public Health Intelligence</w:t>
      </w:r>
      <w:r w:rsidR="00642BCE">
        <w:rPr>
          <w:rFonts w:cs="Arial"/>
          <w:color w:val="002F5D"/>
        </w:rPr>
        <w:t>, Public Health</w:t>
      </w:r>
    </w:p>
    <w:p w14:paraId="27C33898" w14:textId="674119D7" w:rsidR="00642BCE" w:rsidRPr="00667419" w:rsidRDefault="00642BCE" w:rsidP="002E2F56">
      <w:pPr>
        <w:spacing w:line="240" w:lineRule="auto"/>
        <w:rPr>
          <w:rFonts w:cs="Arial"/>
          <w:color w:val="002F5D"/>
        </w:rPr>
      </w:pPr>
      <w:r>
        <w:rPr>
          <w:rFonts w:cs="Arial"/>
          <w:color w:val="002F5D"/>
        </w:rPr>
        <w:t>Andy Mailer, Business Intelligence Manager, Corporate &amp; Customer Services</w:t>
      </w:r>
    </w:p>
    <w:p w14:paraId="403D3854" w14:textId="45454BC3" w:rsidR="00182B2E" w:rsidRDefault="00182B2E" w:rsidP="002E2F56">
      <w:pPr>
        <w:spacing w:line="240" w:lineRule="auto"/>
        <w:rPr>
          <w:rFonts w:cs="Arial"/>
          <w:color w:val="002F5D"/>
        </w:rPr>
      </w:pPr>
      <w:r w:rsidRPr="00667419">
        <w:rPr>
          <w:rFonts w:cs="Arial"/>
          <w:color w:val="002F5D"/>
        </w:rPr>
        <w:t>Ryan O’Neill, Advanced Public Health Intelligence Analyst</w:t>
      </w:r>
      <w:r w:rsidR="00642BCE">
        <w:rPr>
          <w:rFonts w:cs="Arial"/>
          <w:color w:val="002F5D"/>
        </w:rPr>
        <w:t>, Public Health</w:t>
      </w:r>
    </w:p>
    <w:p w14:paraId="7EB4E08F" w14:textId="2FA09252" w:rsidR="00DA16BF" w:rsidRDefault="00DA16BF" w:rsidP="00DA16BF">
      <w:pPr>
        <w:spacing w:line="240" w:lineRule="auto"/>
        <w:rPr>
          <w:rFonts w:cs="Arial"/>
          <w:color w:val="002F5D"/>
        </w:rPr>
      </w:pPr>
      <w:r>
        <w:rPr>
          <w:rFonts w:cs="Arial"/>
          <w:color w:val="002F5D"/>
        </w:rPr>
        <w:t xml:space="preserve">Elizabeth Wakefield, </w:t>
      </w:r>
      <w:r w:rsidRPr="00667419">
        <w:rPr>
          <w:rFonts w:cs="Arial"/>
          <w:color w:val="002F5D"/>
        </w:rPr>
        <w:t>Pu</w:t>
      </w:r>
      <w:r w:rsidR="00642BCE">
        <w:rPr>
          <w:rFonts w:cs="Arial"/>
          <w:color w:val="002F5D"/>
        </w:rPr>
        <w:t>blic Health Intelligence Analyst, Public Health</w:t>
      </w:r>
    </w:p>
    <w:p w14:paraId="07A6BF71" w14:textId="77777777" w:rsidR="00414387" w:rsidRPr="00667419" w:rsidRDefault="00414387" w:rsidP="002E2F56">
      <w:pPr>
        <w:spacing w:line="240" w:lineRule="auto"/>
        <w:rPr>
          <w:rFonts w:cs="Arial"/>
          <w:color w:val="002F5D"/>
        </w:rPr>
      </w:pPr>
    </w:p>
    <w:p w14:paraId="230B0C1F" w14:textId="44949307" w:rsidR="00414387" w:rsidRPr="00667419" w:rsidRDefault="00414387" w:rsidP="002E2F56">
      <w:pPr>
        <w:spacing w:line="240" w:lineRule="auto"/>
        <w:rPr>
          <w:rFonts w:cs="Arial"/>
          <w:color w:val="002F5D"/>
        </w:rPr>
      </w:pPr>
      <w:r w:rsidRPr="00667419">
        <w:rPr>
          <w:rFonts w:cs="Arial"/>
          <w:color w:val="002F5D"/>
        </w:rPr>
        <w:t>Public Health Directorate</w:t>
      </w:r>
      <w:r w:rsidR="00642BCE">
        <w:rPr>
          <w:rFonts w:cs="Arial"/>
          <w:color w:val="002F5D"/>
        </w:rPr>
        <w:t xml:space="preserve"> and Corporate &amp; Customer Services</w:t>
      </w:r>
    </w:p>
    <w:p w14:paraId="79DCD255" w14:textId="77777777" w:rsidR="00414387" w:rsidRPr="00667419" w:rsidRDefault="00414387" w:rsidP="002E2F56">
      <w:pPr>
        <w:spacing w:line="240" w:lineRule="auto"/>
        <w:rPr>
          <w:rFonts w:cs="Arial"/>
          <w:color w:val="002F5D"/>
        </w:rPr>
      </w:pPr>
      <w:r w:rsidRPr="00667419">
        <w:rPr>
          <w:rFonts w:cs="Arial"/>
          <w:color w:val="002F5D"/>
        </w:rPr>
        <w:t>Cambridgeshire County Council</w:t>
      </w:r>
      <w:r w:rsidR="00182B2E" w:rsidRPr="00667419">
        <w:rPr>
          <w:rFonts w:cs="Arial"/>
          <w:color w:val="002F5D"/>
        </w:rPr>
        <w:t xml:space="preserve"> and Peterborough City Council</w:t>
      </w:r>
    </w:p>
    <w:p w14:paraId="277DF540" w14:textId="2A9C1350" w:rsidR="00414387" w:rsidRPr="00667419" w:rsidRDefault="00DA16BF" w:rsidP="002E2F56">
      <w:pPr>
        <w:spacing w:line="240" w:lineRule="auto"/>
        <w:rPr>
          <w:rFonts w:cs="Arial"/>
          <w:color w:val="002F5D"/>
        </w:rPr>
      </w:pPr>
      <w:r>
        <w:rPr>
          <w:rFonts w:cs="Arial"/>
          <w:color w:val="002F5D"/>
        </w:rPr>
        <w:t>March</w:t>
      </w:r>
      <w:r w:rsidRPr="00667419">
        <w:rPr>
          <w:rFonts w:cs="Arial"/>
          <w:color w:val="002F5D"/>
        </w:rPr>
        <w:t xml:space="preserve"> </w:t>
      </w:r>
      <w:r w:rsidR="00667419" w:rsidRPr="00667419">
        <w:rPr>
          <w:rFonts w:cs="Arial"/>
          <w:color w:val="002F5D"/>
        </w:rPr>
        <w:t>2019</w:t>
      </w:r>
    </w:p>
    <w:p w14:paraId="26366128" w14:textId="77777777" w:rsidR="00641492" w:rsidRPr="00667419" w:rsidRDefault="00641492" w:rsidP="002E2F56">
      <w:pPr>
        <w:spacing w:line="240" w:lineRule="auto"/>
        <w:rPr>
          <w:rFonts w:cs="Arial"/>
          <w:color w:val="002F5D"/>
        </w:rPr>
      </w:pPr>
    </w:p>
    <w:p w14:paraId="0F3A0B42" w14:textId="77777777" w:rsidR="00641492" w:rsidRPr="00667419" w:rsidRDefault="00641492" w:rsidP="002E2F56">
      <w:pPr>
        <w:spacing w:line="240" w:lineRule="auto"/>
        <w:rPr>
          <w:rFonts w:cs="Arial"/>
          <w:color w:val="002F5D"/>
        </w:rPr>
      </w:pPr>
      <w:r w:rsidRPr="00667419">
        <w:rPr>
          <w:rFonts w:cs="Arial"/>
          <w:color w:val="002F5D"/>
        </w:rPr>
        <w:t>For further information, please e-mail the Public Health Intelligence Team at:</w:t>
      </w:r>
    </w:p>
    <w:p w14:paraId="40CEA0A5" w14:textId="77777777" w:rsidR="00641492" w:rsidRPr="00667419" w:rsidRDefault="00E80CFE" w:rsidP="002E2F56">
      <w:pPr>
        <w:spacing w:line="240" w:lineRule="auto"/>
        <w:rPr>
          <w:rStyle w:val="Hyperlink"/>
          <w:rFonts w:cs="Arial"/>
          <w:color w:val="002F5D"/>
        </w:rPr>
      </w:pPr>
      <w:hyperlink r:id="rId328" w:history="1">
        <w:r w:rsidR="00797231" w:rsidRPr="00667419">
          <w:rPr>
            <w:rStyle w:val="Hyperlink"/>
            <w:rFonts w:cs="Arial"/>
            <w:color w:val="002F5D"/>
          </w:rPr>
          <w:t>PHI-team@cambridgeshire.gov.uk</w:t>
        </w:r>
      </w:hyperlink>
    </w:p>
    <w:p w14:paraId="51F5A039" w14:textId="77777777" w:rsidR="00182B2E" w:rsidRPr="00667419" w:rsidRDefault="00182B2E" w:rsidP="002E2F56">
      <w:pPr>
        <w:spacing w:line="240" w:lineRule="auto"/>
        <w:rPr>
          <w:rStyle w:val="Hyperlink"/>
          <w:rFonts w:cs="Arial"/>
          <w:color w:val="002F5D"/>
        </w:rPr>
      </w:pPr>
    </w:p>
    <w:p w14:paraId="57109315" w14:textId="77777777" w:rsidR="00182B2E" w:rsidRPr="00667419" w:rsidRDefault="00182B2E" w:rsidP="002E2F56">
      <w:pPr>
        <w:spacing w:line="240" w:lineRule="auto"/>
        <w:rPr>
          <w:rStyle w:val="Hyperlink"/>
          <w:rFonts w:cs="Arial"/>
          <w:color w:val="002F5D"/>
          <w:u w:val="none"/>
        </w:rPr>
      </w:pPr>
      <w:r w:rsidRPr="00667419">
        <w:rPr>
          <w:rStyle w:val="Hyperlink"/>
          <w:rFonts w:cs="Arial"/>
          <w:color w:val="002F5D"/>
          <w:u w:val="none"/>
        </w:rPr>
        <w:t xml:space="preserve">Public Health Intelligence team guide at </w:t>
      </w:r>
      <w:hyperlink r:id="rId329" w:history="1">
        <w:r w:rsidRPr="00667419">
          <w:rPr>
            <w:rStyle w:val="Hyperlink"/>
            <w:rFonts w:cs="Arial"/>
            <w:color w:val="002F5D"/>
          </w:rPr>
          <w:t>http://cambridgeshireinsight.org.uk/health</w:t>
        </w:r>
      </w:hyperlink>
    </w:p>
    <w:p w14:paraId="31E76771" w14:textId="77777777" w:rsidR="00641492" w:rsidRPr="00667419" w:rsidRDefault="00641492" w:rsidP="0038179C">
      <w:pPr>
        <w:spacing w:line="240" w:lineRule="auto"/>
        <w:rPr>
          <w:rFonts w:cs="Arial"/>
          <w:color w:val="002F5D"/>
        </w:rPr>
      </w:pPr>
    </w:p>
    <w:sectPr w:rsidR="00641492" w:rsidRPr="00667419" w:rsidSect="00330B65">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433349" w14:textId="77777777" w:rsidR="002816C8" w:rsidRDefault="002816C8" w:rsidP="00E55937">
      <w:pPr>
        <w:spacing w:line="240" w:lineRule="auto"/>
      </w:pPr>
      <w:r>
        <w:separator/>
      </w:r>
    </w:p>
  </w:endnote>
  <w:endnote w:type="continuationSeparator" w:id="0">
    <w:p w14:paraId="1AAF58E9" w14:textId="77777777" w:rsidR="002816C8" w:rsidRDefault="002816C8" w:rsidP="00E559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32626" w14:textId="03541F01" w:rsidR="002816C8" w:rsidRDefault="002816C8">
    <w:pPr>
      <w:pStyle w:val="Footer"/>
    </w:pPr>
  </w:p>
  <w:p w14:paraId="59AB6DF3" w14:textId="67672C92" w:rsidR="002816C8" w:rsidRPr="00330B65" w:rsidRDefault="002816C8">
    <w:pPr>
      <w:pStyle w:val="Footer"/>
      <w:rPr>
        <w:color w:val="000000" w:themeColor="text1"/>
      </w:rPr>
    </w:pPr>
  </w:p>
  <w:p w14:paraId="20A5DD91" w14:textId="2B74A8E6" w:rsidR="002816C8" w:rsidRPr="00DD0422" w:rsidRDefault="002816C8" w:rsidP="004261FE">
    <w:pPr>
      <w:pStyle w:val="Footer"/>
      <w:jc w:val="center"/>
      <w:rPr>
        <w:color w:val="002F5D"/>
      </w:rPr>
    </w:pPr>
    <w:r w:rsidRPr="00330B65">
      <w:rPr>
        <w:color w:val="002F5D"/>
        <w:sz w:val="18"/>
      </w:rPr>
      <w:t xml:space="preserve">Page </w:t>
    </w:r>
    <w:r w:rsidRPr="00330B65">
      <w:rPr>
        <w:bCs/>
        <w:color w:val="002F5D"/>
        <w:sz w:val="18"/>
      </w:rPr>
      <w:fldChar w:fldCharType="begin"/>
    </w:r>
    <w:r w:rsidRPr="00330B65">
      <w:rPr>
        <w:bCs/>
        <w:color w:val="002F5D"/>
        <w:sz w:val="18"/>
      </w:rPr>
      <w:instrText xml:space="preserve"> PAGE  \* Arabic  \* MERGEFORMAT </w:instrText>
    </w:r>
    <w:r w:rsidRPr="00330B65">
      <w:rPr>
        <w:bCs/>
        <w:color w:val="002F5D"/>
        <w:sz w:val="18"/>
      </w:rPr>
      <w:fldChar w:fldCharType="separate"/>
    </w:r>
    <w:r w:rsidR="00E80CFE">
      <w:rPr>
        <w:bCs/>
        <w:noProof/>
        <w:color w:val="002F5D"/>
        <w:sz w:val="18"/>
      </w:rPr>
      <w:t>21</w:t>
    </w:r>
    <w:r w:rsidRPr="00330B65">
      <w:rPr>
        <w:bCs/>
        <w:color w:val="002F5D"/>
        <w:sz w:val="18"/>
      </w:rPr>
      <w:fldChar w:fldCharType="end"/>
    </w:r>
    <w:r w:rsidRPr="00330B65">
      <w:rPr>
        <w:color w:val="002F5D"/>
        <w:sz w:val="18"/>
      </w:rPr>
      <w:t xml:space="preserve"> of </w:t>
    </w:r>
    <w:r w:rsidRPr="00330B65">
      <w:rPr>
        <w:bCs/>
        <w:color w:val="002F5D"/>
        <w:sz w:val="18"/>
      </w:rPr>
      <w:fldChar w:fldCharType="begin"/>
    </w:r>
    <w:r w:rsidRPr="00330B65">
      <w:rPr>
        <w:bCs/>
        <w:color w:val="002F5D"/>
        <w:sz w:val="18"/>
      </w:rPr>
      <w:instrText xml:space="preserve"> NUMPAGES  \* Arabic  \* MERGEFORMAT </w:instrText>
    </w:r>
    <w:r w:rsidRPr="00330B65">
      <w:rPr>
        <w:bCs/>
        <w:color w:val="002F5D"/>
        <w:sz w:val="18"/>
      </w:rPr>
      <w:fldChar w:fldCharType="separate"/>
    </w:r>
    <w:r w:rsidR="00E80CFE">
      <w:rPr>
        <w:bCs/>
        <w:noProof/>
        <w:color w:val="002F5D"/>
        <w:sz w:val="18"/>
      </w:rPr>
      <w:t>205</w:t>
    </w:r>
    <w:r w:rsidRPr="00330B65">
      <w:rPr>
        <w:bCs/>
        <w:color w:val="002F5D"/>
        <w:sz w:val="18"/>
      </w:rPr>
      <w:fldChar w:fldCharType="end"/>
    </w:r>
    <w:r w:rsidRPr="00330B65">
      <w:rPr>
        <w:noProof/>
        <w:color w:val="002F5D"/>
        <w:lang w:eastAsia="en-GB"/>
      </w:rPr>
      <w:drawing>
        <wp:anchor distT="0" distB="0" distL="114300" distR="114300" simplePos="0" relativeHeight="251655680" behindDoc="0" locked="0" layoutInCell="1" allowOverlap="1" wp14:anchorId="616F7F23" wp14:editId="0D6D4838">
          <wp:simplePos x="0" y="0"/>
          <wp:positionH relativeFrom="column">
            <wp:posOffset>5604510</wp:posOffset>
          </wp:positionH>
          <wp:positionV relativeFrom="paragraph">
            <wp:posOffset>1191895</wp:posOffset>
          </wp:positionV>
          <wp:extent cx="1256030" cy="989965"/>
          <wp:effectExtent l="0" t="0" r="1270" b="635"/>
          <wp:wrapNone/>
          <wp:docPr id="12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6030" cy="98996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39F268" w14:textId="4EC7398F" w:rsidR="002816C8" w:rsidRDefault="002816C8" w:rsidP="000E43D3">
    <w:pPr>
      <w:pStyle w:val="Footer"/>
    </w:pPr>
  </w:p>
  <w:p w14:paraId="00154339" w14:textId="376F4A9A" w:rsidR="002816C8" w:rsidRDefault="002816C8" w:rsidP="000E43D3">
    <w:pPr>
      <w:pStyle w:val="Footer"/>
    </w:pPr>
  </w:p>
  <w:p w14:paraId="4AC0811A" w14:textId="3DAFB701" w:rsidR="002816C8" w:rsidRPr="00DD0422" w:rsidRDefault="002816C8" w:rsidP="004261FE">
    <w:pPr>
      <w:pStyle w:val="Footer"/>
      <w:jc w:val="both"/>
      <w:rPr>
        <w:color w:val="002F5D"/>
      </w:rPr>
    </w:pPr>
    <w:r w:rsidRPr="00330B65">
      <w:rPr>
        <w:color w:val="FFFFFF" w:themeColor="background1"/>
      </w:rPr>
      <w:t xml:space="preserve">  </w:t>
    </w:r>
    <w:r w:rsidRPr="00330B65">
      <w:rPr>
        <w:color w:val="FFFFFF" w:themeColor="background1"/>
        <w:sz w:val="18"/>
      </w:rPr>
      <w:t xml:space="preserve"> </w:t>
    </w:r>
    <w:r w:rsidRPr="00330B65">
      <w:rPr>
        <w:color w:val="002F5D"/>
        <w:sz w:val="18"/>
      </w:rPr>
      <w:t xml:space="preserve">Page </w:t>
    </w:r>
    <w:r w:rsidRPr="00330B65">
      <w:rPr>
        <w:bCs/>
        <w:color w:val="002F5D"/>
        <w:sz w:val="18"/>
      </w:rPr>
      <w:fldChar w:fldCharType="begin"/>
    </w:r>
    <w:r w:rsidRPr="00330B65">
      <w:rPr>
        <w:bCs/>
        <w:color w:val="002F5D"/>
        <w:sz w:val="18"/>
      </w:rPr>
      <w:instrText xml:space="preserve"> PAGE  \* Arabic  \* MERGEFORMAT </w:instrText>
    </w:r>
    <w:r w:rsidRPr="00330B65">
      <w:rPr>
        <w:bCs/>
        <w:color w:val="002F5D"/>
        <w:sz w:val="18"/>
      </w:rPr>
      <w:fldChar w:fldCharType="separate"/>
    </w:r>
    <w:r w:rsidR="00E80CFE">
      <w:rPr>
        <w:bCs/>
        <w:noProof/>
        <w:color w:val="002F5D"/>
        <w:sz w:val="18"/>
      </w:rPr>
      <w:t>1</w:t>
    </w:r>
    <w:r w:rsidRPr="00330B65">
      <w:rPr>
        <w:bCs/>
        <w:color w:val="002F5D"/>
        <w:sz w:val="18"/>
      </w:rPr>
      <w:fldChar w:fldCharType="end"/>
    </w:r>
    <w:r w:rsidRPr="00330B65">
      <w:rPr>
        <w:color w:val="002F5D"/>
        <w:sz w:val="18"/>
      </w:rPr>
      <w:t xml:space="preserve"> of </w:t>
    </w:r>
    <w:r w:rsidRPr="00330B65">
      <w:rPr>
        <w:bCs/>
        <w:color w:val="002F5D"/>
        <w:sz w:val="18"/>
      </w:rPr>
      <w:fldChar w:fldCharType="begin"/>
    </w:r>
    <w:r w:rsidRPr="00330B65">
      <w:rPr>
        <w:bCs/>
        <w:color w:val="002F5D"/>
        <w:sz w:val="18"/>
      </w:rPr>
      <w:instrText xml:space="preserve"> NUMPAGES  \* Arabic  \* MERGEFORMAT </w:instrText>
    </w:r>
    <w:r w:rsidRPr="00330B65">
      <w:rPr>
        <w:bCs/>
        <w:color w:val="002F5D"/>
        <w:sz w:val="18"/>
      </w:rPr>
      <w:fldChar w:fldCharType="separate"/>
    </w:r>
    <w:r w:rsidR="00E80CFE">
      <w:rPr>
        <w:bCs/>
        <w:noProof/>
        <w:color w:val="002F5D"/>
        <w:sz w:val="18"/>
      </w:rPr>
      <w:t>205</w:t>
    </w:r>
    <w:r w:rsidRPr="00330B65">
      <w:rPr>
        <w:bCs/>
        <w:color w:val="002F5D"/>
        <w:sz w:val="18"/>
      </w:rPr>
      <w:fldChar w:fldCharType="end"/>
    </w:r>
    <w:r w:rsidRPr="00330B65">
      <w:rPr>
        <w:noProof/>
        <w:color w:val="002F5D"/>
        <w:lang w:eastAsia="en-GB"/>
      </w:rPr>
      <w:drawing>
        <wp:anchor distT="0" distB="0" distL="114300" distR="114300" simplePos="0" relativeHeight="251658752" behindDoc="0" locked="0" layoutInCell="1" allowOverlap="1" wp14:anchorId="573E8AA7" wp14:editId="155A134B">
          <wp:simplePos x="0" y="0"/>
          <wp:positionH relativeFrom="column">
            <wp:posOffset>5604510</wp:posOffset>
          </wp:positionH>
          <wp:positionV relativeFrom="paragraph">
            <wp:posOffset>1191895</wp:posOffset>
          </wp:positionV>
          <wp:extent cx="1256030" cy="989965"/>
          <wp:effectExtent l="0" t="0" r="1270" b="635"/>
          <wp:wrapNone/>
          <wp:docPr id="139"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6030" cy="9899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A3F703" w14:textId="77777777" w:rsidR="002816C8" w:rsidRDefault="002816C8" w:rsidP="00E55937">
      <w:pPr>
        <w:spacing w:line="240" w:lineRule="auto"/>
      </w:pPr>
      <w:r>
        <w:separator/>
      </w:r>
    </w:p>
  </w:footnote>
  <w:footnote w:type="continuationSeparator" w:id="0">
    <w:p w14:paraId="4A18442D" w14:textId="77777777" w:rsidR="002816C8" w:rsidRDefault="002816C8" w:rsidP="00E55937">
      <w:pPr>
        <w:spacing w:line="240" w:lineRule="auto"/>
      </w:pPr>
      <w:r>
        <w:continuationSeparator/>
      </w:r>
    </w:p>
  </w:footnote>
  <w:footnote w:id="1">
    <w:p w14:paraId="3BA2E9EE" w14:textId="77777777" w:rsidR="002816C8" w:rsidRPr="009D2E42" w:rsidRDefault="002816C8" w:rsidP="00394081">
      <w:pPr>
        <w:pStyle w:val="FootnoteText"/>
        <w:rPr>
          <w:color w:val="002F5D"/>
        </w:rPr>
      </w:pPr>
      <w:r w:rsidRPr="009D2E42">
        <w:rPr>
          <w:rStyle w:val="FootnoteReference"/>
          <w:color w:val="002F5D"/>
        </w:rPr>
        <w:footnoteRef/>
      </w:r>
      <w:r w:rsidRPr="009D2E42">
        <w:rPr>
          <w:color w:val="002F5D"/>
        </w:rPr>
        <w:t xml:space="preserve"> As a most recent comparator, CCCRG 2015 population estimates for Cambridgeshire and Peterborough residents was 844,950, and ONS mid-2016 based population estimates for the same area were 849,035.</w:t>
      </w:r>
    </w:p>
  </w:footnote>
  <w:footnote w:id="2">
    <w:p w14:paraId="1021A3FF" w14:textId="46C64F0F" w:rsidR="002816C8" w:rsidRPr="00635F41" w:rsidRDefault="002816C8" w:rsidP="00635F41">
      <w:pPr>
        <w:rPr>
          <w:color w:val="002F5D"/>
        </w:rPr>
      </w:pPr>
      <w:r>
        <w:rPr>
          <w:rStyle w:val="FootnoteReference"/>
        </w:rPr>
        <w:footnoteRef/>
      </w:r>
      <w:r w:rsidRPr="00AB31EF">
        <w:rPr>
          <w:color w:val="002F5D"/>
        </w:rPr>
        <w:t>https://media.britishlegion.org.uk/Media/2275/2014householdsurveyreport.pdf?_ga=2.124544904.300322611.1544705834-237151814.1544705834</w:t>
      </w:r>
    </w:p>
  </w:footnote>
  <w:footnote w:id="3">
    <w:p w14:paraId="08981DF2" w14:textId="77777777" w:rsidR="002816C8" w:rsidRPr="008870E0" w:rsidRDefault="002816C8" w:rsidP="00635F41">
      <w:pPr>
        <w:rPr>
          <w:color w:val="002F5D"/>
        </w:rPr>
      </w:pPr>
      <w:r w:rsidRPr="008870E0">
        <w:rPr>
          <w:rStyle w:val="FootnoteReference"/>
          <w:color w:val="002F5D"/>
        </w:rPr>
        <w:footnoteRef/>
      </w:r>
      <w:r w:rsidRPr="008870E0">
        <w:rPr>
          <w:color w:val="002F5D"/>
        </w:rPr>
        <w:t xml:space="preserve"> Population statistics DMS registrations figures available at https:// www.gov.uk/government/collections/defencepersonnel-nhs-commissioning-quarterlystatistics-index </w:t>
      </w:r>
    </w:p>
    <w:p w14:paraId="0FD312A3" w14:textId="2A8F2CA7" w:rsidR="002816C8" w:rsidRDefault="002816C8">
      <w:pPr>
        <w:pStyle w:val="FootnoteText"/>
      </w:pPr>
    </w:p>
  </w:footnote>
  <w:footnote w:id="4">
    <w:p w14:paraId="0636DB2E" w14:textId="58FF49A3" w:rsidR="002816C8" w:rsidRPr="008870E0" w:rsidRDefault="002816C8" w:rsidP="00D65845">
      <w:pPr>
        <w:rPr>
          <w:color w:val="002F5D"/>
        </w:rPr>
      </w:pPr>
      <w:r w:rsidRPr="008870E0">
        <w:rPr>
          <w:rStyle w:val="FootnoteReference"/>
          <w:color w:val="002F5D"/>
        </w:rPr>
        <w:footnoteRef/>
      </w:r>
      <w:r w:rsidRPr="00D65845">
        <w:rPr>
          <w:color w:val="002F5D"/>
        </w:rPr>
        <w:t>https://www.local.gov.uk/sites/default/files/documents/1.17%20LAs%20Mythbuster%20resource_v06.pdf</w:t>
      </w:r>
    </w:p>
    <w:p w14:paraId="01832D2F" w14:textId="77777777" w:rsidR="002816C8" w:rsidRDefault="002816C8" w:rsidP="00D65845">
      <w:pPr>
        <w:pStyle w:val="FootnoteText"/>
      </w:pPr>
    </w:p>
  </w:footnote>
  <w:footnote w:id="5">
    <w:p w14:paraId="2CA26C9B" w14:textId="3FA02BEC" w:rsidR="002816C8" w:rsidRPr="00DF33EB" w:rsidRDefault="002816C8" w:rsidP="00DF33EB">
      <w:pPr>
        <w:rPr>
          <w:color w:val="002F5D"/>
        </w:rPr>
      </w:pPr>
      <w:r w:rsidRPr="00330B65">
        <w:rPr>
          <w:rStyle w:val="FootnoteReference"/>
          <w:color w:val="002F5D"/>
        </w:rPr>
        <w:footnoteRef/>
      </w:r>
      <w:r w:rsidRPr="00330B65">
        <w:rPr>
          <w:color w:val="002F5D"/>
        </w:rPr>
        <w:t xml:space="preserve"> https://www.fim-trust.org/wp-content/uploads/2018/11/20181129-Final-report.pdf</w:t>
      </w:r>
    </w:p>
  </w:footnote>
  <w:footnote w:id="6">
    <w:p w14:paraId="46E3A021" w14:textId="0EA33686" w:rsidR="002816C8" w:rsidRPr="00DF33EB" w:rsidRDefault="002816C8" w:rsidP="002027D2">
      <w:pPr>
        <w:rPr>
          <w:color w:val="002F5D"/>
        </w:rPr>
      </w:pPr>
      <w:r w:rsidRPr="00FA510E">
        <w:rPr>
          <w:rStyle w:val="FootnoteReference"/>
          <w:color w:val="002F5D"/>
        </w:rPr>
        <w:footnoteRef/>
      </w:r>
      <w:r w:rsidRPr="00FA510E">
        <w:rPr>
          <w:color w:val="002F5D"/>
        </w:rPr>
        <w:t xml:space="preserve"> </w:t>
      </w:r>
      <w:r w:rsidRPr="00330B65">
        <w:rPr>
          <w:color w:val="002F5D"/>
        </w:rPr>
        <w:t>https://www.bmj.com/content/356/bmj.j1378</w:t>
      </w:r>
    </w:p>
  </w:footnote>
  <w:footnote w:id="7">
    <w:p w14:paraId="235C338A" w14:textId="657C28B3" w:rsidR="002816C8" w:rsidRPr="00A3568F" w:rsidRDefault="002816C8" w:rsidP="007D1C44">
      <w:pPr>
        <w:rPr>
          <w:color w:val="002F5D"/>
        </w:rPr>
      </w:pPr>
      <w:r w:rsidRPr="00A3568F">
        <w:rPr>
          <w:rStyle w:val="FootnoteReference"/>
          <w:color w:val="002F5D"/>
        </w:rPr>
        <w:footnoteRef/>
      </w:r>
      <w:r w:rsidRPr="00A3568F">
        <w:rPr>
          <w:color w:val="002F5D"/>
        </w:rPr>
        <w:t xml:space="preserve"> </w:t>
      </w:r>
      <w:r w:rsidRPr="00205051">
        <w:rPr>
          <w:color w:val="002F5D"/>
        </w:rPr>
        <w:t>https://www.justiceinspectorates.gov.uk/hmiprisons/wp-content/uploads/sites/4/2017/07/Whitemoor-Web-2017-2.pdf</w:t>
      </w:r>
      <w:r w:rsidRPr="00205051" w:rsidDel="00205051">
        <w:rPr>
          <w:color w:val="002F5D"/>
        </w:rPr>
        <w:t xml:space="preserve"> </w:t>
      </w:r>
    </w:p>
  </w:footnote>
  <w:footnote w:id="8">
    <w:p w14:paraId="6294E36B" w14:textId="6C804160" w:rsidR="002816C8" w:rsidRPr="00084E15" w:rsidRDefault="002816C8" w:rsidP="007D1C44">
      <w:pPr>
        <w:rPr>
          <w:color w:val="002F5D"/>
        </w:rPr>
      </w:pPr>
      <w:r w:rsidRPr="00084E15">
        <w:rPr>
          <w:rStyle w:val="FootnoteReference"/>
          <w:color w:val="002F5D"/>
        </w:rPr>
        <w:footnoteRef/>
      </w:r>
      <w:r w:rsidRPr="00084E15">
        <w:rPr>
          <w:color w:val="002F5D"/>
        </w:rPr>
        <w:t xml:space="preserve"> </w:t>
      </w:r>
      <w:r w:rsidRPr="00084E15">
        <w:rPr>
          <w:rFonts w:ascii="Calibri" w:hAnsi="Calibri"/>
          <w:color w:val="002F5D"/>
        </w:rPr>
        <w:t>https://www.justiceinspectorates.gov.uk/hmiprisons/wp-content/uploads/sites/4/2018/01/HMP-YOI-Peterborough-Women-Web-2017-1.pdf</w:t>
      </w:r>
    </w:p>
  </w:footnote>
  <w:footnote w:id="9">
    <w:p w14:paraId="74EDBA93" w14:textId="4E790A70" w:rsidR="002816C8" w:rsidRDefault="002816C8">
      <w:pPr>
        <w:pStyle w:val="FootnoteText"/>
      </w:pPr>
      <w:r w:rsidRPr="00330B65">
        <w:rPr>
          <w:rStyle w:val="FootnoteReference"/>
          <w:color w:val="002F5D"/>
        </w:rPr>
        <w:footnoteRef/>
      </w:r>
      <w:r w:rsidRPr="00330B65">
        <w:rPr>
          <w:color w:val="002F5D"/>
        </w:rPr>
        <w:t xml:space="preserve"> https://publichealthmatters.blog.gov.uk/2018/07/18/successfully-delivering-smokefree-prisons-across-england-and-wales/</w:t>
      </w:r>
    </w:p>
  </w:footnote>
  <w:footnote w:id="10">
    <w:p w14:paraId="62E949F4" w14:textId="6808D144" w:rsidR="002816C8" w:rsidRPr="00084E15" w:rsidRDefault="002816C8" w:rsidP="00084E15">
      <w:pPr>
        <w:rPr>
          <w:color w:val="002F5D"/>
        </w:rPr>
      </w:pPr>
      <w:r w:rsidRPr="00084E15">
        <w:rPr>
          <w:rStyle w:val="FootnoteReference"/>
          <w:color w:val="002F5D"/>
        </w:rPr>
        <w:footnoteRef/>
      </w:r>
      <w:r w:rsidRPr="00084E15">
        <w:rPr>
          <w:color w:val="002F5D"/>
        </w:rPr>
        <w:t xml:space="preserve">https://fingertips.phe.org.uk/search/homelessness#page/6/gid/1/pat/6/par/E12000004/ati/102/are/E06000015/iid/11502/age/-1/sex/4 </w:t>
      </w:r>
    </w:p>
    <w:p w14:paraId="317E5E13" w14:textId="77777777" w:rsidR="002816C8" w:rsidRPr="00084E15" w:rsidRDefault="002816C8" w:rsidP="00084E15">
      <w:pPr>
        <w:rPr>
          <w:color w:val="002F5D"/>
        </w:rPr>
      </w:pPr>
    </w:p>
  </w:footnote>
  <w:footnote w:id="11">
    <w:p w14:paraId="7B8FF39B" w14:textId="77777777" w:rsidR="002816C8" w:rsidRPr="00084E15" w:rsidRDefault="002816C8" w:rsidP="00BA360F">
      <w:pPr>
        <w:rPr>
          <w:color w:val="002F5D"/>
        </w:rPr>
      </w:pPr>
      <w:r w:rsidRPr="00084E15">
        <w:rPr>
          <w:rStyle w:val="FootnoteReference"/>
          <w:color w:val="002F5D"/>
        </w:rPr>
        <w:footnoteRef/>
      </w:r>
      <w:r w:rsidRPr="00084E15">
        <w:rPr>
          <w:color w:val="002F5D"/>
        </w:rPr>
        <w:t xml:space="preserve"> </w:t>
      </w:r>
      <w:hyperlink r:id="rId1" w:history="1">
        <w:r w:rsidRPr="00084E15">
          <w:rPr>
            <w:rStyle w:val="Hyperlink"/>
            <w:color w:val="002F5D"/>
          </w:rPr>
          <w:t>https://www.homeless.org.uk/sites/default/files/site-attachments/20141009%20JSNA%20Briefing.pdf</w:t>
        </w:r>
      </w:hyperlink>
    </w:p>
    <w:p w14:paraId="3BAEE73E" w14:textId="4DC78D99" w:rsidR="002816C8" w:rsidRPr="007D347D" w:rsidRDefault="002816C8" w:rsidP="00BA360F">
      <w:pPr>
        <w:rPr>
          <w:rFonts w:ascii="Calibri" w:hAnsi="Calibri"/>
        </w:rPr>
      </w:pPr>
    </w:p>
    <w:p w14:paraId="3FEA143C" w14:textId="77777777" w:rsidR="002816C8" w:rsidRDefault="002816C8" w:rsidP="00BA360F"/>
  </w:footnote>
  <w:footnote w:id="12">
    <w:p w14:paraId="301EC4F8" w14:textId="77777777" w:rsidR="002816C8" w:rsidRPr="00DE2910" w:rsidRDefault="002816C8" w:rsidP="00D61039">
      <w:pPr>
        <w:pStyle w:val="FootnoteText"/>
        <w:rPr>
          <w:color w:val="002F5D"/>
          <w:sz w:val="18"/>
        </w:rPr>
      </w:pPr>
      <w:r w:rsidRPr="00DE2910">
        <w:rPr>
          <w:rStyle w:val="FootnoteReference"/>
          <w:color w:val="002F5D"/>
          <w:sz w:val="18"/>
        </w:rPr>
        <w:footnoteRef/>
      </w:r>
      <w:r w:rsidRPr="00DE2910">
        <w:rPr>
          <w:color w:val="002F5D"/>
          <w:sz w:val="18"/>
        </w:rPr>
        <w:t xml:space="preserve"> P</w:t>
      </w:r>
      <w:r w:rsidRPr="00DE2910">
        <w:rPr>
          <w:rFonts w:ascii="Calibri" w:eastAsia="Times New Roman" w:hAnsi="Calibri" w:cs="Times New Roman"/>
          <w:color w:val="002F5D"/>
          <w:sz w:val="18"/>
          <w:lang w:eastAsia="en-GB"/>
        </w:rPr>
        <w:t>eople aged 6 months to 64 years with certain medical conditions, excluding otherwise healthy pregnant women and carers.</w:t>
      </w:r>
    </w:p>
  </w:footnote>
  <w:footnote w:id="13">
    <w:p w14:paraId="277720C8" w14:textId="77777777" w:rsidR="002816C8" w:rsidRPr="00E42856" w:rsidRDefault="002816C8" w:rsidP="00D61039">
      <w:pPr>
        <w:pStyle w:val="FootnoteText"/>
        <w:rPr>
          <w:color w:val="002F5D"/>
          <w:sz w:val="18"/>
        </w:rPr>
      </w:pPr>
      <w:r w:rsidRPr="00DE2910">
        <w:rPr>
          <w:rStyle w:val="FootnoteReference"/>
          <w:color w:val="002F5D"/>
          <w:sz w:val="18"/>
        </w:rPr>
        <w:footnoteRef/>
      </w:r>
      <w:r w:rsidRPr="00DE2910">
        <w:rPr>
          <w:color w:val="002F5D"/>
          <w:sz w:val="18"/>
        </w:rPr>
        <w:t xml:space="preserve"> </w:t>
      </w:r>
      <w:r>
        <w:rPr>
          <w:color w:val="002F5D"/>
          <w:sz w:val="18"/>
        </w:rPr>
        <w:t xml:space="preserve">PHE, </w:t>
      </w:r>
      <w:r w:rsidRPr="00DE2910">
        <w:rPr>
          <w:color w:val="002F5D"/>
          <w:sz w:val="18"/>
        </w:rPr>
        <w:t xml:space="preserve">Public Health </w:t>
      </w:r>
      <w:r>
        <w:rPr>
          <w:color w:val="002F5D"/>
          <w:sz w:val="18"/>
        </w:rPr>
        <w:t>Outcomes Framework, Health Protection, indicator 3.03xiv and 3.03xv</w:t>
      </w:r>
    </w:p>
  </w:footnote>
  <w:footnote w:id="14">
    <w:p w14:paraId="1ED10590" w14:textId="35701405" w:rsidR="002816C8" w:rsidRPr="00F87293" w:rsidRDefault="002816C8">
      <w:pPr>
        <w:pStyle w:val="FootnoteText"/>
        <w:rPr>
          <w:color w:val="002F5D"/>
          <w:sz w:val="16"/>
        </w:rPr>
      </w:pPr>
      <w:r w:rsidRPr="00F87293">
        <w:rPr>
          <w:rStyle w:val="FootnoteReference"/>
          <w:color w:val="002F5D"/>
          <w:sz w:val="16"/>
        </w:rPr>
        <w:footnoteRef/>
      </w:r>
      <w:r>
        <w:rPr>
          <w:color w:val="002F5D"/>
          <w:sz w:val="16"/>
        </w:rPr>
        <w:t xml:space="preserve"> September 2017</w:t>
      </w:r>
      <w:r w:rsidRPr="00F87293">
        <w:rPr>
          <w:color w:val="002F5D"/>
          <w:sz w:val="16"/>
        </w:rPr>
        <w:t>, Public Health England Dementia Profile.</w:t>
      </w:r>
    </w:p>
  </w:footnote>
  <w:footnote w:id="15">
    <w:p w14:paraId="2BE11652" w14:textId="77777777" w:rsidR="002816C8" w:rsidRPr="00E42856" w:rsidRDefault="002816C8" w:rsidP="00D61039">
      <w:pPr>
        <w:pStyle w:val="FootnoteText"/>
        <w:rPr>
          <w:color w:val="002F5D"/>
          <w:sz w:val="18"/>
        </w:rPr>
      </w:pPr>
      <w:r w:rsidRPr="00DE2910">
        <w:rPr>
          <w:rStyle w:val="FootnoteReference"/>
          <w:color w:val="002F5D"/>
          <w:sz w:val="18"/>
        </w:rPr>
        <w:footnoteRef/>
      </w:r>
      <w:r w:rsidRPr="00DE2910">
        <w:rPr>
          <w:color w:val="002F5D"/>
          <w:sz w:val="18"/>
        </w:rPr>
        <w:t xml:space="preserve"> Public Health England Children and Young People's Mental Health and Wellbeing Profiles </w:t>
      </w:r>
    </w:p>
  </w:footnote>
  <w:footnote w:id="16">
    <w:p w14:paraId="40B559B0" w14:textId="120AC6B2" w:rsidR="002816C8" w:rsidRPr="00E42856" w:rsidRDefault="002816C8" w:rsidP="00C30853">
      <w:pPr>
        <w:pStyle w:val="FootnoteText"/>
        <w:rPr>
          <w:color w:val="002F5D"/>
          <w:sz w:val="18"/>
        </w:rPr>
      </w:pPr>
      <w:r w:rsidRPr="00DE2910">
        <w:rPr>
          <w:rStyle w:val="FootnoteReference"/>
          <w:color w:val="002F5D"/>
          <w:sz w:val="18"/>
        </w:rPr>
        <w:footnoteRef/>
      </w:r>
      <w:r w:rsidRPr="00DE2910">
        <w:rPr>
          <w:color w:val="002F5D"/>
          <w:sz w:val="18"/>
        </w:rPr>
        <w:t xml:space="preserve"> </w:t>
      </w:r>
      <w:r w:rsidRPr="00C30853">
        <w:rPr>
          <w:color w:val="002F5D"/>
          <w:sz w:val="18"/>
        </w:rPr>
        <w:t>https://files.digital.nhs.uk/22/793517/MHCYP%202017%20Survey%20Design%20and%20Methods.pdf</w:t>
      </w:r>
    </w:p>
  </w:footnote>
  <w:footnote w:id="17">
    <w:p w14:paraId="1C684EDD" w14:textId="45522BAE" w:rsidR="002816C8" w:rsidRPr="00E42856" w:rsidRDefault="002816C8" w:rsidP="0099729C">
      <w:pPr>
        <w:pStyle w:val="FootnoteText"/>
        <w:rPr>
          <w:color w:val="002F5D"/>
          <w:sz w:val="18"/>
        </w:rPr>
      </w:pPr>
      <w:r w:rsidRPr="00DE2910">
        <w:rPr>
          <w:rStyle w:val="FootnoteReference"/>
          <w:color w:val="002F5D"/>
          <w:sz w:val="18"/>
        </w:rPr>
        <w:footnoteRef/>
      </w:r>
      <w:r w:rsidRPr="00DE2910">
        <w:rPr>
          <w:color w:val="002F5D"/>
          <w:sz w:val="18"/>
        </w:rPr>
        <w:t xml:space="preserve"> </w:t>
      </w:r>
      <w:r w:rsidRPr="0099729C">
        <w:rPr>
          <w:color w:val="002F5D"/>
          <w:sz w:val="18"/>
        </w:rPr>
        <w:t>https://assets.publishing.service.gov.uk/government/uploads/system/uploads/attachment_data/file/695113/CIN17-18_Guide_v1.2-web_version.pdf</w:t>
      </w:r>
    </w:p>
  </w:footnote>
  <w:footnote w:id="18">
    <w:p w14:paraId="1B21D1C4" w14:textId="23E9F9D2" w:rsidR="002816C8" w:rsidRPr="00E42856" w:rsidRDefault="002816C8" w:rsidP="0099729C">
      <w:pPr>
        <w:pStyle w:val="FootnoteText"/>
        <w:rPr>
          <w:color w:val="002F5D"/>
          <w:sz w:val="18"/>
        </w:rPr>
      </w:pPr>
      <w:r w:rsidRPr="00DE2910">
        <w:rPr>
          <w:rStyle w:val="FootnoteReference"/>
          <w:color w:val="002F5D"/>
          <w:sz w:val="18"/>
        </w:rPr>
        <w:footnoteRef/>
      </w:r>
      <w:r w:rsidRPr="0099729C">
        <w:rPr>
          <w:color w:val="002F5D"/>
          <w:sz w:val="18"/>
        </w:rPr>
        <w:t>https://assets.publishing.service.gov.uk/government/uploads/system/uploads/attachment_data/file/779401/Working_Together_to_Safeguard-Children.pdf</w:t>
      </w:r>
    </w:p>
  </w:footnote>
  <w:footnote w:id="19">
    <w:p w14:paraId="3DE0F599" w14:textId="7AA361CA" w:rsidR="002816C8" w:rsidRPr="00E42856" w:rsidRDefault="002816C8" w:rsidP="00483B56">
      <w:pPr>
        <w:pStyle w:val="FootnoteText"/>
        <w:rPr>
          <w:color w:val="002F5D"/>
          <w:sz w:val="18"/>
        </w:rPr>
      </w:pPr>
      <w:r w:rsidRPr="00DE2910">
        <w:rPr>
          <w:rStyle w:val="FootnoteReference"/>
          <w:color w:val="002F5D"/>
          <w:sz w:val="18"/>
        </w:rPr>
        <w:footnoteRef/>
      </w:r>
      <w:r w:rsidRPr="00483B56">
        <w:rPr>
          <w:color w:val="002F5D"/>
          <w:sz w:val="18"/>
        </w:rPr>
        <w:t>file:///C:/Temp/yd530/Downloads/salt-guidance-2018-19.pdf</w:t>
      </w:r>
    </w:p>
  </w:footnote>
  <w:footnote w:id="20">
    <w:p w14:paraId="46BAF3F3" w14:textId="77777777" w:rsidR="002816C8" w:rsidRPr="00FC70F8" w:rsidRDefault="002816C8" w:rsidP="008266DA">
      <w:pPr>
        <w:pStyle w:val="FootnoteText"/>
        <w:rPr>
          <w:color w:val="002F5D"/>
        </w:rPr>
      </w:pPr>
      <w:r w:rsidRPr="00FC70F8">
        <w:rPr>
          <w:rStyle w:val="FootnoteReference"/>
          <w:color w:val="002F5D"/>
        </w:rPr>
        <w:footnoteRef/>
      </w:r>
      <w:r w:rsidRPr="00FC70F8">
        <w:rPr>
          <w:color w:val="002F5D"/>
        </w:rPr>
        <w:t xml:space="preserve"> http://www.poppi.org.uk/</w:t>
      </w:r>
    </w:p>
  </w:footnote>
  <w:footnote w:id="21">
    <w:p w14:paraId="0D2D89EC" w14:textId="77777777" w:rsidR="002816C8" w:rsidRDefault="002816C8" w:rsidP="008266DA">
      <w:pPr>
        <w:pStyle w:val="FootnoteText"/>
      </w:pPr>
      <w:r w:rsidRPr="00FC70F8">
        <w:rPr>
          <w:rStyle w:val="FootnoteReference"/>
          <w:color w:val="002F5D"/>
        </w:rPr>
        <w:footnoteRef/>
      </w:r>
      <w:r w:rsidRPr="00FC70F8">
        <w:rPr>
          <w:color w:val="002F5D"/>
        </w:rPr>
        <w:t xml:space="preserve"> http://www.pansi.org.uk/</w:t>
      </w:r>
    </w:p>
  </w:footnote>
  <w:footnote w:id="22">
    <w:p w14:paraId="561C5828" w14:textId="77777777" w:rsidR="002816C8" w:rsidRDefault="002816C8" w:rsidP="00E61269">
      <w:pPr>
        <w:pStyle w:val="FootnoteText"/>
      </w:pPr>
      <w:r w:rsidRPr="00E1381A">
        <w:rPr>
          <w:rStyle w:val="FootnoteReference"/>
          <w:color w:val="002F5D"/>
        </w:rPr>
        <w:footnoteRef/>
      </w:r>
      <w:r w:rsidRPr="00E1381A">
        <w:rPr>
          <w:color w:val="002F5D"/>
        </w:rPr>
        <w:t xml:space="preserve"> https://fingertips.phe.org.uk/search/suicide#page/6/gid/1/pat/6/par/E12000006/ati/102/are/E06000031/iid/22402/age/228/sex/4</w:t>
      </w:r>
    </w:p>
  </w:footnote>
  <w:footnote w:id="23">
    <w:p w14:paraId="4B5E4A66" w14:textId="0663624B" w:rsidR="002816C8" w:rsidRPr="00757F13" w:rsidRDefault="002816C8">
      <w:pPr>
        <w:pStyle w:val="FootnoteText"/>
        <w:rPr>
          <w:color w:val="002F5D"/>
        </w:rPr>
      </w:pPr>
      <w:r w:rsidRPr="002A2849">
        <w:rPr>
          <w:rStyle w:val="FootnoteReference"/>
          <w:color w:val="002B61"/>
        </w:rPr>
        <w:footnoteRef/>
      </w:r>
      <w:r w:rsidRPr="002A2849">
        <w:rPr>
          <w:color w:val="002B61"/>
        </w:rPr>
        <w:t xml:space="preserve"> </w:t>
      </w:r>
      <w:r w:rsidRPr="00757F13">
        <w:rPr>
          <w:color w:val="002F5D"/>
        </w:rPr>
        <w:t xml:space="preserve">https://www.gov.uk/government/publications/health-profile-for-england-2018/chapter-2-trends-in-mortality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0F80A" w14:textId="77777777" w:rsidR="002816C8" w:rsidRDefault="002816C8">
    <w:pPr>
      <w:pStyle w:val="Header"/>
    </w:pPr>
    <w:r>
      <w:rPr>
        <w:noProof/>
        <w:lang w:eastAsia="en-GB"/>
      </w:rPr>
      <mc:AlternateContent>
        <mc:Choice Requires="wpg">
          <w:drawing>
            <wp:anchor distT="0" distB="0" distL="114300" distR="114300" simplePos="0" relativeHeight="251659776" behindDoc="0" locked="0" layoutInCell="1" allowOverlap="1" wp14:anchorId="78610FA3" wp14:editId="3EA1D46E">
              <wp:simplePos x="0" y="0"/>
              <wp:positionH relativeFrom="column">
                <wp:posOffset>5233035</wp:posOffset>
              </wp:positionH>
              <wp:positionV relativeFrom="paragraph">
                <wp:posOffset>-354965</wp:posOffset>
              </wp:positionV>
              <wp:extent cx="1450340" cy="600710"/>
              <wp:effectExtent l="0" t="0" r="0" b="8890"/>
              <wp:wrapNone/>
              <wp:docPr id="107" name="Group 107"/>
              <wp:cNvGraphicFramePr/>
              <a:graphic xmlns:a="http://schemas.openxmlformats.org/drawingml/2006/main">
                <a:graphicData uri="http://schemas.microsoft.com/office/word/2010/wordprocessingGroup">
                  <wpg:wgp>
                    <wpg:cNvGrpSpPr/>
                    <wpg:grpSpPr>
                      <a:xfrm>
                        <a:off x="0" y="0"/>
                        <a:ext cx="1450340" cy="600710"/>
                        <a:chOff x="0" y="0"/>
                        <a:chExt cx="1450340" cy="600710"/>
                      </a:xfrm>
                    </wpg:grpSpPr>
                    <pic:pic xmlns:pic="http://schemas.openxmlformats.org/drawingml/2006/picture">
                      <pic:nvPicPr>
                        <pic:cNvPr id="55"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619125" y="0"/>
                          <a:ext cx="831215" cy="600710"/>
                        </a:xfrm>
                        <a:prstGeom prst="rect">
                          <a:avLst/>
                        </a:prstGeom>
                      </pic:spPr>
                    </pic:pic>
                    <pic:pic xmlns:pic="http://schemas.openxmlformats.org/drawingml/2006/picture">
                      <pic:nvPicPr>
                        <pic:cNvPr id="30" name="Picture 3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285750"/>
                          <a:ext cx="809625" cy="248285"/>
                        </a:xfrm>
                        <a:prstGeom prst="rect">
                          <a:avLst/>
                        </a:prstGeom>
                        <a:noFill/>
                        <a:ln>
                          <a:no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163A5FE2" id="Group 107" o:spid="_x0000_s1026" style="position:absolute;margin-left:412.05pt;margin-top:-27.95pt;width:114.2pt;height:47.3pt;z-index:251659776" coordsize="14503,6007" o:gfxdata="UEsDBBQABgAIAAAAIQBeeCj1FAEAAEkCAAATAAAAW0NvbnRlbnRfVHlwZXNdLnhtbJSSzU7DMBCE&#10;70i8g+UrShx6QAgl6YGUIyBUHsCyN4lF/COvSdO3x05bCaoGqUd7/M3s2C7Xkx7ICB6VNRW9zwtK&#10;wAgrlekq+rl9yR4pwcCN5IM1UNE9IF3Xtzfldu8ASaQNVrQPwT0xhqIHzTG3DkxUWus1D3HpO+a4&#10;+OIdsFVRPDBhTQATspA8aF020PLvIZDNFLcPk+x0S8nz4VyKqqjSiZ+ypLCLDCw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6191;width:8312;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">
                <v:imagedata r:id="rId3" o:title=""/>
              </v:shape>
              <v:shape id="Picture 30" o:spid="_x0000_s1028" type="#_x0000_t75" style="position:absolute;top:2857;width:8096;height:2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">
                <v:imagedata r:id="rId4" o:title=""/>
                <v:path arrowok="t"/>
              </v:shape>
            </v:group>
          </w:pict>
        </mc:Fallback>
      </mc:AlternateContent>
    </w:r>
  </w:p>
  <w:p w14:paraId="1DA860D7" w14:textId="4F7408C2" w:rsidR="002816C8" w:rsidRDefault="002816C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6CAC7" w14:textId="77777777" w:rsidR="002816C8" w:rsidRDefault="002816C8" w:rsidP="000E43D3">
    <w:pPr>
      <w:pStyle w:val="Header"/>
    </w:pPr>
    <w:r>
      <w:rPr>
        <w:noProof/>
        <w:lang w:eastAsia="en-GB"/>
      </w:rPr>
      <mc:AlternateContent>
        <mc:Choice Requires="wpg">
          <w:drawing>
            <wp:anchor distT="0" distB="0" distL="114300" distR="114300" simplePos="0" relativeHeight="251660800" behindDoc="0" locked="0" layoutInCell="1" allowOverlap="1" wp14:anchorId="34785267" wp14:editId="06FE0CE4">
              <wp:simplePos x="0" y="0"/>
              <wp:positionH relativeFrom="column">
                <wp:posOffset>8347710</wp:posOffset>
              </wp:positionH>
              <wp:positionV relativeFrom="paragraph">
                <wp:posOffset>-354965</wp:posOffset>
              </wp:positionV>
              <wp:extent cx="1440815" cy="600710"/>
              <wp:effectExtent l="0" t="0" r="6985" b="8890"/>
              <wp:wrapNone/>
              <wp:docPr id="97" name="Group 97"/>
              <wp:cNvGraphicFramePr/>
              <a:graphic xmlns:a="http://schemas.openxmlformats.org/drawingml/2006/main">
                <a:graphicData uri="http://schemas.microsoft.com/office/word/2010/wordprocessingGroup">
                  <wpg:wgp>
                    <wpg:cNvGrpSpPr/>
                    <wpg:grpSpPr>
                      <a:xfrm>
                        <a:off x="0" y="0"/>
                        <a:ext cx="1440815" cy="600710"/>
                        <a:chOff x="0" y="0"/>
                        <a:chExt cx="1440815" cy="600710"/>
                      </a:xfrm>
                    </wpg:grpSpPr>
                    <pic:pic xmlns:pic="http://schemas.openxmlformats.org/drawingml/2006/picture">
                      <pic:nvPicPr>
                        <pic:cNvPr id="64"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609600" y="0"/>
                          <a:ext cx="831215" cy="600710"/>
                        </a:xfrm>
                        <a:prstGeom prst="rect">
                          <a:avLst/>
                        </a:prstGeom>
                      </pic:spPr>
                    </pic:pic>
                    <pic:pic xmlns:pic="http://schemas.openxmlformats.org/drawingml/2006/picture">
                      <pic:nvPicPr>
                        <pic:cNvPr id="87" name="Picture 8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304800"/>
                          <a:ext cx="800100" cy="238125"/>
                        </a:xfrm>
                        <a:prstGeom prst="rect">
                          <a:avLst/>
                        </a:prstGeom>
                        <a:noFill/>
                        <a:ln>
                          <a:no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54A468B8" id="Group 97" o:spid="_x0000_s1026" style="position:absolute;margin-left:657.3pt;margin-top:-27.95pt;width:113.45pt;height:47.3pt;z-index:251661824" coordsize="14408,6007" o:gfxdata="UEsDBBQABgAIAAAAIQBeeCj1FAEAAEkCAAATAAAAW0NvbnRlbnRfVHlwZXNdLnhtbJSSzU7DMBCE&#10;70i8g+UrShx6QAgl6YGUIyBUHsCyN4lF/COvSdO3x05bCaoGqUd7/M3s2C7Xkx7ICB6VNRW9zwtK&#10;wAgrlekq+rl9yR4pwcCN5IM1UNE9IF3Xtzfldu8ASaQNVrQPwT0xhqIHzTG3DkxUWus1D3HpO+a4&#10;+OIdsFVRPDBhTQATspA8aF020PLvIZDNFLcPk+x0S8nz4VyKqqjSiZ+ypLCLDCw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6096;width:8312;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">
                <v:imagedata r:id="rId3" o:title=""/>
              </v:shape>
              <v:shape id="Picture 87" o:spid="_x0000_s1028" type="#_x0000_t75" style="position:absolute;top:3048;width:8001;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">
                <v:imagedata r:id="rId4"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BD5BBC3"/>
    <w:multiLevelType w:val="hybridMultilevel"/>
    <w:tmpl w:val="4F13A28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38F44AD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4D313E"/>
    <w:multiLevelType w:val="hybridMultilevel"/>
    <w:tmpl w:val="8318AAEC"/>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3" w15:restartNumberingAfterBreak="0">
    <w:nsid w:val="03771175"/>
    <w:multiLevelType w:val="hybridMultilevel"/>
    <w:tmpl w:val="E5965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2B111A"/>
    <w:multiLevelType w:val="hybridMultilevel"/>
    <w:tmpl w:val="766A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AE4418"/>
    <w:multiLevelType w:val="hybridMultilevel"/>
    <w:tmpl w:val="FB92C0DC"/>
    <w:lvl w:ilvl="0" w:tplc="44B6681C">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CC2DE6"/>
    <w:multiLevelType w:val="hybridMultilevel"/>
    <w:tmpl w:val="2AA2E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81604E"/>
    <w:multiLevelType w:val="hybridMultilevel"/>
    <w:tmpl w:val="DC0E7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132BA1"/>
    <w:multiLevelType w:val="hybridMultilevel"/>
    <w:tmpl w:val="17E62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6564494"/>
    <w:multiLevelType w:val="hybridMultilevel"/>
    <w:tmpl w:val="3CAAD938"/>
    <w:lvl w:ilvl="0" w:tplc="FA80A9FE">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6A05EEA"/>
    <w:multiLevelType w:val="hybridMultilevel"/>
    <w:tmpl w:val="0E260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6D30AD7"/>
    <w:multiLevelType w:val="multilevel"/>
    <w:tmpl w:val="29448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A33039"/>
    <w:multiLevelType w:val="hybridMultilevel"/>
    <w:tmpl w:val="781E8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89C0339"/>
    <w:multiLevelType w:val="hybridMultilevel"/>
    <w:tmpl w:val="902E9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830559"/>
    <w:multiLevelType w:val="hybridMultilevel"/>
    <w:tmpl w:val="BC6852B0"/>
    <w:lvl w:ilvl="0" w:tplc="FA80A9FE">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90682C"/>
    <w:multiLevelType w:val="hybridMultilevel"/>
    <w:tmpl w:val="5F862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DA75FE6"/>
    <w:multiLevelType w:val="hybridMultilevel"/>
    <w:tmpl w:val="9EF6B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F1E1C89"/>
    <w:multiLevelType w:val="hybridMultilevel"/>
    <w:tmpl w:val="C900A7BC"/>
    <w:lvl w:ilvl="0" w:tplc="FA80A9FE">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B11C6E"/>
    <w:multiLevelType w:val="hybridMultilevel"/>
    <w:tmpl w:val="E370D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1953E8B"/>
    <w:multiLevelType w:val="hybridMultilevel"/>
    <w:tmpl w:val="23164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7E2B4C"/>
    <w:multiLevelType w:val="hybridMultilevel"/>
    <w:tmpl w:val="656C7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56B5929"/>
    <w:multiLevelType w:val="hybridMultilevel"/>
    <w:tmpl w:val="B540F6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72233AE"/>
    <w:multiLevelType w:val="hybridMultilevel"/>
    <w:tmpl w:val="3C74A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8116AED"/>
    <w:multiLevelType w:val="hybridMultilevel"/>
    <w:tmpl w:val="EBDAC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CA06071"/>
    <w:multiLevelType w:val="hybridMultilevel"/>
    <w:tmpl w:val="3578B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D6556CC"/>
    <w:multiLevelType w:val="hybridMultilevel"/>
    <w:tmpl w:val="1CD69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E0C6D1C"/>
    <w:multiLevelType w:val="hybridMultilevel"/>
    <w:tmpl w:val="0D26D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00523E7"/>
    <w:multiLevelType w:val="hybridMultilevel"/>
    <w:tmpl w:val="2C88D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11D1BF0"/>
    <w:multiLevelType w:val="hybridMultilevel"/>
    <w:tmpl w:val="D8D60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2CD4E12"/>
    <w:multiLevelType w:val="hybridMultilevel"/>
    <w:tmpl w:val="15D62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3361A26"/>
    <w:multiLevelType w:val="hybridMultilevel"/>
    <w:tmpl w:val="CD0A7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43A7B7B"/>
    <w:multiLevelType w:val="hybridMultilevel"/>
    <w:tmpl w:val="E4E0E4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26624338"/>
    <w:multiLevelType w:val="hybridMultilevel"/>
    <w:tmpl w:val="4C282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7285893"/>
    <w:multiLevelType w:val="hybridMultilevel"/>
    <w:tmpl w:val="785CF3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27383AE8"/>
    <w:multiLevelType w:val="hybridMultilevel"/>
    <w:tmpl w:val="2FB0C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86031DE"/>
    <w:multiLevelType w:val="hybridMultilevel"/>
    <w:tmpl w:val="28BAD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C910513"/>
    <w:multiLevelType w:val="hybridMultilevel"/>
    <w:tmpl w:val="946EE2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2D695000"/>
    <w:multiLevelType w:val="hybridMultilevel"/>
    <w:tmpl w:val="90185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DA07DB8"/>
    <w:multiLevelType w:val="hybridMultilevel"/>
    <w:tmpl w:val="92B6E50E"/>
    <w:lvl w:ilvl="0" w:tplc="FA80A9FE">
      <w:start w:val="1"/>
      <w:numFmt w:val="bullet"/>
      <w:lvlText w:val=""/>
      <w:lvlJc w:val="left"/>
      <w:pPr>
        <w:ind w:left="720" w:hanging="360"/>
      </w:pPr>
      <w:rPr>
        <w:rFonts w:ascii="Symbol" w:hAnsi="Symbol" w:hint="default"/>
        <w:color w:val="002F5D"/>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EF40095"/>
    <w:multiLevelType w:val="hybridMultilevel"/>
    <w:tmpl w:val="01D8F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FF92847"/>
    <w:multiLevelType w:val="hybridMultilevel"/>
    <w:tmpl w:val="917A6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FFE59A6"/>
    <w:multiLevelType w:val="hybridMultilevel"/>
    <w:tmpl w:val="3D38D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14E48A2"/>
    <w:multiLevelType w:val="hybridMultilevel"/>
    <w:tmpl w:val="2BA25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68F487C"/>
    <w:multiLevelType w:val="hybridMultilevel"/>
    <w:tmpl w:val="F2207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7894537"/>
    <w:multiLevelType w:val="hybridMultilevel"/>
    <w:tmpl w:val="393A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7947626"/>
    <w:multiLevelType w:val="hybridMultilevel"/>
    <w:tmpl w:val="FA54F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9152990"/>
    <w:multiLevelType w:val="hybridMultilevel"/>
    <w:tmpl w:val="868E5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A0D3F70"/>
    <w:multiLevelType w:val="hybridMultilevel"/>
    <w:tmpl w:val="24AC3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CB22956"/>
    <w:multiLevelType w:val="hybridMultilevel"/>
    <w:tmpl w:val="7A42B228"/>
    <w:lvl w:ilvl="0" w:tplc="30EC3A34">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E452032"/>
    <w:multiLevelType w:val="hybridMultilevel"/>
    <w:tmpl w:val="8ABE3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F571BBE"/>
    <w:multiLevelType w:val="hybridMultilevel"/>
    <w:tmpl w:val="DAB4B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0D3120C"/>
    <w:multiLevelType w:val="hybridMultilevel"/>
    <w:tmpl w:val="1234D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34B51EB"/>
    <w:multiLevelType w:val="hybridMultilevel"/>
    <w:tmpl w:val="F8E86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63C34F4"/>
    <w:multiLevelType w:val="hybridMultilevel"/>
    <w:tmpl w:val="5EBE2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71E1E0A"/>
    <w:multiLevelType w:val="hybridMultilevel"/>
    <w:tmpl w:val="2F1250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8047457"/>
    <w:multiLevelType w:val="hybridMultilevel"/>
    <w:tmpl w:val="230A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A5D1C78"/>
    <w:multiLevelType w:val="hybridMultilevel"/>
    <w:tmpl w:val="A1D84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AE16C02"/>
    <w:multiLevelType w:val="hybridMultilevel"/>
    <w:tmpl w:val="A09E3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B4607A9"/>
    <w:multiLevelType w:val="hybridMultilevel"/>
    <w:tmpl w:val="2228C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BAB1401"/>
    <w:multiLevelType w:val="hybridMultilevel"/>
    <w:tmpl w:val="938A79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 w15:restartNumberingAfterBreak="0">
    <w:nsid w:val="4D130A1D"/>
    <w:multiLevelType w:val="hybridMultilevel"/>
    <w:tmpl w:val="440253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52F4324D"/>
    <w:multiLevelType w:val="hybridMultilevel"/>
    <w:tmpl w:val="5482739E"/>
    <w:lvl w:ilvl="0" w:tplc="017AE880">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3A82415"/>
    <w:multiLevelType w:val="hybridMultilevel"/>
    <w:tmpl w:val="75862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53CF73EC"/>
    <w:multiLevelType w:val="hybridMultilevel"/>
    <w:tmpl w:val="CB38C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437764B"/>
    <w:multiLevelType w:val="hybridMultilevel"/>
    <w:tmpl w:val="E1680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53E6032"/>
    <w:multiLevelType w:val="hybridMultilevel"/>
    <w:tmpl w:val="35D494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 w15:restartNumberingAfterBreak="0">
    <w:nsid w:val="55765E04"/>
    <w:multiLevelType w:val="hybridMultilevel"/>
    <w:tmpl w:val="3A123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58D4D29"/>
    <w:multiLevelType w:val="hybridMultilevel"/>
    <w:tmpl w:val="D160C6D6"/>
    <w:lvl w:ilvl="0" w:tplc="95A696E0">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C107E8"/>
    <w:multiLevelType w:val="hybridMultilevel"/>
    <w:tmpl w:val="1DBE4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86D2283"/>
    <w:multiLevelType w:val="hybridMultilevel"/>
    <w:tmpl w:val="80ACC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9C232B1"/>
    <w:multiLevelType w:val="hybridMultilevel"/>
    <w:tmpl w:val="F90A9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C770230"/>
    <w:multiLevelType w:val="hybridMultilevel"/>
    <w:tmpl w:val="4F607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C932B82"/>
    <w:multiLevelType w:val="hybridMultilevel"/>
    <w:tmpl w:val="94E81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CC77E4D"/>
    <w:multiLevelType w:val="hybridMultilevel"/>
    <w:tmpl w:val="464673BC"/>
    <w:lvl w:ilvl="0" w:tplc="3022090C">
      <w:numFmt w:val="bullet"/>
      <w:lvlText w:val="•"/>
      <w:lvlJc w:val="left"/>
      <w:pPr>
        <w:ind w:left="1647" w:hanging="927"/>
      </w:pPr>
      <w:rPr>
        <w:rFonts w:asciiTheme="minorHAnsi" w:eastAsiaTheme="minorHAnsi" w:hAnsiTheme="minorHAns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 w15:restartNumberingAfterBreak="0">
    <w:nsid w:val="5CD234D4"/>
    <w:multiLevelType w:val="hybridMultilevel"/>
    <w:tmpl w:val="D2D61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F143E15"/>
    <w:multiLevelType w:val="hybridMultilevel"/>
    <w:tmpl w:val="DC206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FC5430B"/>
    <w:multiLevelType w:val="hybridMultilevel"/>
    <w:tmpl w:val="25546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10C5972"/>
    <w:multiLevelType w:val="hybridMultilevel"/>
    <w:tmpl w:val="760C2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2B4605A"/>
    <w:multiLevelType w:val="hybridMultilevel"/>
    <w:tmpl w:val="39B06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442038B"/>
    <w:multiLevelType w:val="hybridMultilevel"/>
    <w:tmpl w:val="D01EAB9E"/>
    <w:lvl w:ilvl="0" w:tplc="80EE95E6">
      <w:start w:val="1"/>
      <w:numFmt w:val="decimal"/>
      <w:lvlText w:val="%1."/>
      <w:lvlJc w:val="left"/>
      <w:pPr>
        <w:ind w:left="360" w:hanging="360"/>
      </w:pPr>
      <w:rPr>
        <w:rFonts w:ascii="Arial" w:hAnsi="Arial" w:cs="Arial" w:hint="default"/>
        <w:b/>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65F82FE5"/>
    <w:multiLevelType w:val="hybridMultilevel"/>
    <w:tmpl w:val="3078E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7184A88"/>
    <w:multiLevelType w:val="hybridMultilevel"/>
    <w:tmpl w:val="3D043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72F365C"/>
    <w:multiLevelType w:val="hybridMultilevel"/>
    <w:tmpl w:val="6BFA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94C4D89"/>
    <w:multiLevelType w:val="hybridMultilevel"/>
    <w:tmpl w:val="AF26B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A2C7913"/>
    <w:multiLevelType w:val="hybridMultilevel"/>
    <w:tmpl w:val="3B2C9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CF410F8"/>
    <w:multiLevelType w:val="multilevel"/>
    <w:tmpl w:val="CB96D56E"/>
    <w:lvl w:ilvl="0">
      <w:start w:val="1"/>
      <w:numFmt w:val="decimal"/>
      <w:pStyle w:val="JSNA1"/>
      <w:lvlText w:val="%1."/>
      <w:lvlJc w:val="left"/>
      <w:pPr>
        <w:ind w:left="720" w:hanging="360"/>
      </w:pPr>
      <w:rPr>
        <w:rFonts w:hint="default"/>
        <w:color w:val="FFFFFF" w:themeColor="background1"/>
      </w:rPr>
    </w:lvl>
    <w:lvl w:ilvl="1">
      <w:start w:val="1"/>
      <w:numFmt w:val="decimal"/>
      <w:pStyle w:val="JSNA2"/>
      <w:isLgl/>
      <w:lvlText w:val="%1.%2"/>
      <w:lvlJc w:val="left"/>
      <w:pPr>
        <w:ind w:left="1137" w:hanging="570"/>
      </w:pPr>
      <w:rPr>
        <w:rFonts w:hint="default"/>
        <w:color w:val="FFFFFF" w:themeColor="background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6D5E0BE0"/>
    <w:multiLevelType w:val="hybridMultilevel"/>
    <w:tmpl w:val="7D9A2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E3D56EB"/>
    <w:multiLevelType w:val="hybridMultilevel"/>
    <w:tmpl w:val="0D7A73F4"/>
    <w:lvl w:ilvl="0" w:tplc="CCC07C3E">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EC60074"/>
    <w:multiLevelType w:val="hybridMultilevel"/>
    <w:tmpl w:val="2C2A9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F6F4686"/>
    <w:multiLevelType w:val="hybridMultilevel"/>
    <w:tmpl w:val="73AE4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264448B"/>
    <w:multiLevelType w:val="hybridMultilevel"/>
    <w:tmpl w:val="828A4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34F7E10"/>
    <w:multiLevelType w:val="hybridMultilevel"/>
    <w:tmpl w:val="48CAE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420538E"/>
    <w:multiLevelType w:val="hybridMultilevel"/>
    <w:tmpl w:val="912E2CA0"/>
    <w:lvl w:ilvl="0" w:tplc="6BB439F0">
      <w:start w:val="1"/>
      <w:numFmt w:val="bullet"/>
      <w:lvlText w:val=""/>
      <w:lvlJc w:val="left"/>
      <w:pPr>
        <w:ind w:left="720" w:hanging="360"/>
      </w:pPr>
      <w:rPr>
        <w:rFonts w:ascii="Symbol" w:hAnsi="Symbol" w:hint="default"/>
        <w:color w:val="002F5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5410853"/>
    <w:multiLevelType w:val="hybridMultilevel"/>
    <w:tmpl w:val="0184A6F0"/>
    <w:lvl w:ilvl="0" w:tplc="3022090C">
      <w:numFmt w:val="bullet"/>
      <w:lvlText w:val="•"/>
      <w:lvlJc w:val="left"/>
      <w:pPr>
        <w:ind w:left="1287" w:hanging="927"/>
      </w:pPr>
      <w:rPr>
        <w:rFonts w:asciiTheme="minorHAnsi" w:eastAsiaTheme="minorHAnsi" w:hAnsiTheme="minorHAns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5E05388"/>
    <w:multiLevelType w:val="hybridMultilevel"/>
    <w:tmpl w:val="C4C2E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5FB7399"/>
    <w:multiLevelType w:val="hybridMultilevel"/>
    <w:tmpl w:val="04ACB2A6"/>
    <w:lvl w:ilvl="0" w:tplc="30EC3A34">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6585C18"/>
    <w:multiLevelType w:val="hybridMultilevel"/>
    <w:tmpl w:val="8B3C1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77A6229"/>
    <w:multiLevelType w:val="hybridMultilevel"/>
    <w:tmpl w:val="7DE2D0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8E417A8"/>
    <w:multiLevelType w:val="hybridMultilevel"/>
    <w:tmpl w:val="82F8E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999424D"/>
    <w:multiLevelType w:val="hybridMultilevel"/>
    <w:tmpl w:val="82A0C43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9B90F94"/>
    <w:multiLevelType w:val="hybridMultilevel"/>
    <w:tmpl w:val="B9905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B3A2870"/>
    <w:multiLevelType w:val="hybridMultilevel"/>
    <w:tmpl w:val="F5EAD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B9609FC"/>
    <w:multiLevelType w:val="hybridMultilevel"/>
    <w:tmpl w:val="6AE0B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C7E3949"/>
    <w:multiLevelType w:val="hybridMultilevel"/>
    <w:tmpl w:val="B24EF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CE53C22"/>
    <w:multiLevelType w:val="hybridMultilevel"/>
    <w:tmpl w:val="2BA48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E3D452F"/>
    <w:multiLevelType w:val="hybridMultilevel"/>
    <w:tmpl w:val="B23C4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5"/>
  </w:num>
  <w:num w:numId="2">
    <w:abstractNumId w:val="76"/>
  </w:num>
  <w:num w:numId="3">
    <w:abstractNumId w:val="5"/>
  </w:num>
  <w:num w:numId="4">
    <w:abstractNumId w:val="61"/>
  </w:num>
  <w:num w:numId="5">
    <w:abstractNumId w:val="94"/>
  </w:num>
  <w:num w:numId="6">
    <w:abstractNumId w:val="46"/>
  </w:num>
  <w:num w:numId="7">
    <w:abstractNumId w:val="74"/>
  </w:num>
  <w:num w:numId="8">
    <w:abstractNumId w:val="52"/>
  </w:num>
  <w:num w:numId="9">
    <w:abstractNumId w:val="29"/>
  </w:num>
  <w:num w:numId="10">
    <w:abstractNumId w:val="97"/>
  </w:num>
  <w:num w:numId="11">
    <w:abstractNumId w:val="38"/>
  </w:num>
  <w:num w:numId="12">
    <w:abstractNumId w:val="43"/>
  </w:num>
  <w:num w:numId="13">
    <w:abstractNumId w:val="16"/>
  </w:num>
  <w:num w:numId="14">
    <w:abstractNumId w:val="92"/>
  </w:num>
  <w:num w:numId="15">
    <w:abstractNumId w:val="20"/>
  </w:num>
  <w:num w:numId="16">
    <w:abstractNumId w:val="83"/>
  </w:num>
  <w:num w:numId="17">
    <w:abstractNumId w:val="58"/>
  </w:num>
  <w:num w:numId="18">
    <w:abstractNumId w:val="44"/>
  </w:num>
  <w:num w:numId="19">
    <w:abstractNumId w:val="88"/>
  </w:num>
  <w:num w:numId="20">
    <w:abstractNumId w:val="39"/>
  </w:num>
  <w:num w:numId="21">
    <w:abstractNumId w:val="2"/>
  </w:num>
  <w:num w:numId="22">
    <w:abstractNumId w:val="67"/>
  </w:num>
  <w:num w:numId="23">
    <w:abstractNumId w:val="18"/>
  </w:num>
  <w:num w:numId="24">
    <w:abstractNumId w:val="66"/>
  </w:num>
  <w:num w:numId="25">
    <w:abstractNumId w:val="41"/>
  </w:num>
  <w:num w:numId="26">
    <w:abstractNumId w:val="90"/>
  </w:num>
  <w:num w:numId="27">
    <w:abstractNumId w:val="3"/>
  </w:num>
  <w:num w:numId="28">
    <w:abstractNumId w:val="72"/>
  </w:num>
  <w:num w:numId="29">
    <w:abstractNumId w:val="22"/>
  </w:num>
  <w:num w:numId="30">
    <w:abstractNumId w:val="19"/>
  </w:num>
  <w:num w:numId="31">
    <w:abstractNumId w:val="51"/>
  </w:num>
  <w:num w:numId="32">
    <w:abstractNumId w:val="69"/>
  </w:num>
  <w:num w:numId="33">
    <w:abstractNumId w:val="15"/>
  </w:num>
  <w:num w:numId="34">
    <w:abstractNumId w:val="89"/>
  </w:num>
  <w:num w:numId="35">
    <w:abstractNumId w:val="87"/>
  </w:num>
  <w:num w:numId="36">
    <w:abstractNumId w:val="96"/>
  </w:num>
  <w:num w:numId="37">
    <w:abstractNumId w:val="80"/>
  </w:num>
  <w:num w:numId="38">
    <w:abstractNumId w:val="55"/>
  </w:num>
  <w:num w:numId="39">
    <w:abstractNumId w:val="25"/>
  </w:num>
  <w:num w:numId="40">
    <w:abstractNumId w:val="32"/>
  </w:num>
  <w:num w:numId="41">
    <w:abstractNumId w:val="35"/>
  </w:num>
  <w:num w:numId="42">
    <w:abstractNumId w:val="6"/>
  </w:num>
  <w:num w:numId="43">
    <w:abstractNumId w:val="86"/>
  </w:num>
  <w:num w:numId="44">
    <w:abstractNumId w:val="27"/>
  </w:num>
  <w:num w:numId="45">
    <w:abstractNumId w:val="47"/>
  </w:num>
  <w:num w:numId="46">
    <w:abstractNumId w:val="1"/>
  </w:num>
  <w:num w:numId="47">
    <w:abstractNumId w:val="73"/>
  </w:num>
  <w:num w:numId="48">
    <w:abstractNumId w:val="93"/>
  </w:num>
  <w:num w:numId="49">
    <w:abstractNumId w:val="40"/>
  </w:num>
  <w:num w:numId="50">
    <w:abstractNumId w:val="99"/>
  </w:num>
  <w:num w:numId="51">
    <w:abstractNumId w:val="59"/>
  </w:num>
  <w:num w:numId="52">
    <w:abstractNumId w:val="49"/>
  </w:num>
  <w:num w:numId="53">
    <w:abstractNumId w:val="70"/>
  </w:num>
  <w:num w:numId="54">
    <w:abstractNumId w:val="105"/>
  </w:num>
  <w:num w:numId="55">
    <w:abstractNumId w:val="24"/>
  </w:num>
  <w:num w:numId="56">
    <w:abstractNumId w:val="53"/>
  </w:num>
  <w:num w:numId="57">
    <w:abstractNumId w:val="78"/>
  </w:num>
  <w:num w:numId="58">
    <w:abstractNumId w:val="62"/>
  </w:num>
  <w:num w:numId="59">
    <w:abstractNumId w:val="42"/>
  </w:num>
  <w:num w:numId="60">
    <w:abstractNumId w:val="12"/>
  </w:num>
  <w:num w:numId="61">
    <w:abstractNumId w:val="91"/>
  </w:num>
  <w:num w:numId="62">
    <w:abstractNumId w:val="57"/>
  </w:num>
  <w:num w:numId="63">
    <w:abstractNumId w:val="71"/>
  </w:num>
  <w:num w:numId="64">
    <w:abstractNumId w:val="104"/>
  </w:num>
  <w:num w:numId="65">
    <w:abstractNumId w:val="56"/>
  </w:num>
  <w:num w:numId="66">
    <w:abstractNumId w:val="10"/>
  </w:num>
  <w:num w:numId="67">
    <w:abstractNumId w:val="63"/>
  </w:num>
  <w:num w:numId="68">
    <w:abstractNumId w:val="34"/>
  </w:num>
  <w:num w:numId="69">
    <w:abstractNumId w:val="30"/>
  </w:num>
  <w:num w:numId="70">
    <w:abstractNumId w:val="13"/>
  </w:num>
  <w:num w:numId="71">
    <w:abstractNumId w:val="98"/>
  </w:num>
  <w:num w:numId="72">
    <w:abstractNumId w:val="103"/>
  </w:num>
  <w:num w:numId="73">
    <w:abstractNumId w:val="64"/>
  </w:num>
  <w:num w:numId="74">
    <w:abstractNumId w:val="82"/>
  </w:num>
  <w:num w:numId="75">
    <w:abstractNumId w:val="68"/>
  </w:num>
  <w:num w:numId="76">
    <w:abstractNumId w:val="77"/>
  </w:num>
  <w:num w:numId="77">
    <w:abstractNumId w:val="84"/>
  </w:num>
  <w:num w:numId="78">
    <w:abstractNumId w:val="28"/>
  </w:num>
  <w:num w:numId="79">
    <w:abstractNumId w:val="23"/>
  </w:num>
  <w:num w:numId="80">
    <w:abstractNumId w:val="26"/>
  </w:num>
  <w:num w:numId="81">
    <w:abstractNumId w:val="21"/>
  </w:num>
  <w:num w:numId="82">
    <w:abstractNumId w:val="100"/>
  </w:num>
  <w:num w:numId="83">
    <w:abstractNumId w:val="48"/>
  </w:num>
  <w:num w:numId="84">
    <w:abstractNumId w:val="95"/>
  </w:num>
  <w:num w:numId="85">
    <w:abstractNumId w:val="75"/>
  </w:num>
  <w:num w:numId="86">
    <w:abstractNumId w:val="50"/>
  </w:num>
  <w:num w:numId="87">
    <w:abstractNumId w:val="102"/>
  </w:num>
  <w:num w:numId="88">
    <w:abstractNumId w:val="101"/>
  </w:num>
  <w:num w:numId="89">
    <w:abstractNumId w:val="45"/>
  </w:num>
  <w:num w:numId="90">
    <w:abstractNumId w:val="14"/>
  </w:num>
  <w:num w:numId="91">
    <w:abstractNumId w:val="9"/>
  </w:num>
  <w:num w:numId="92">
    <w:abstractNumId w:val="65"/>
  </w:num>
  <w:num w:numId="93">
    <w:abstractNumId w:val="17"/>
  </w:num>
  <w:num w:numId="94">
    <w:abstractNumId w:val="33"/>
  </w:num>
  <w:num w:numId="95">
    <w:abstractNumId w:val="31"/>
  </w:num>
  <w:num w:numId="96">
    <w:abstractNumId w:val="36"/>
  </w:num>
  <w:num w:numId="97">
    <w:abstractNumId w:val="60"/>
  </w:num>
  <w:num w:numId="98">
    <w:abstractNumId w:val="37"/>
  </w:num>
  <w:num w:numId="99">
    <w:abstractNumId w:val="81"/>
  </w:num>
  <w:num w:numId="100">
    <w:abstractNumId w:val="79"/>
  </w:num>
  <w:num w:numId="101">
    <w:abstractNumId w:val="54"/>
  </w:num>
  <w:num w:numId="102">
    <w:abstractNumId w:val="11"/>
  </w:num>
  <w:num w:numId="103">
    <w:abstractNumId w:val="4"/>
  </w:num>
  <w:num w:numId="104">
    <w:abstractNumId w:val="7"/>
  </w:num>
  <w:num w:numId="105">
    <w:abstractNumId w:val="0"/>
  </w:num>
  <w:num w:numId="106">
    <w:abstractNumId w:val="8"/>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20"/>
  <w:characterSpacingControl w:val="doNotCompress"/>
  <w:hdrShapeDefaults>
    <o:shapedefaults v:ext="edit" spidmax="266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D4E"/>
    <w:rsid w:val="0000118A"/>
    <w:rsid w:val="00001B2F"/>
    <w:rsid w:val="00001D9D"/>
    <w:rsid w:val="00003704"/>
    <w:rsid w:val="00006642"/>
    <w:rsid w:val="00007229"/>
    <w:rsid w:val="000075ED"/>
    <w:rsid w:val="00007887"/>
    <w:rsid w:val="000079CF"/>
    <w:rsid w:val="00007C69"/>
    <w:rsid w:val="000105B2"/>
    <w:rsid w:val="000108F4"/>
    <w:rsid w:val="00011A18"/>
    <w:rsid w:val="00011BF0"/>
    <w:rsid w:val="000121F4"/>
    <w:rsid w:val="00012A2B"/>
    <w:rsid w:val="00012AD0"/>
    <w:rsid w:val="000136E8"/>
    <w:rsid w:val="000143D0"/>
    <w:rsid w:val="00014D1E"/>
    <w:rsid w:val="00016470"/>
    <w:rsid w:val="0001708A"/>
    <w:rsid w:val="00022ED1"/>
    <w:rsid w:val="0002368F"/>
    <w:rsid w:val="000253EC"/>
    <w:rsid w:val="0002616E"/>
    <w:rsid w:val="000268D6"/>
    <w:rsid w:val="00027667"/>
    <w:rsid w:val="000308BA"/>
    <w:rsid w:val="00031059"/>
    <w:rsid w:val="0003118A"/>
    <w:rsid w:val="000313A4"/>
    <w:rsid w:val="00032139"/>
    <w:rsid w:val="0003351B"/>
    <w:rsid w:val="0003508C"/>
    <w:rsid w:val="00035A82"/>
    <w:rsid w:val="00036266"/>
    <w:rsid w:val="00036594"/>
    <w:rsid w:val="000367D6"/>
    <w:rsid w:val="00037A57"/>
    <w:rsid w:val="00041203"/>
    <w:rsid w:val="00041822"/>
    <w:rsid w:val="000425C6"/>
    <w:rsid w:val="0004272E"/>
    <w:rsid w:val="0004355A"/>
    <w:rsid w:val="00043D23"/>
    <w:rsid w:val="00044396"/>
    <w:rsid w:val="00044656"/>
    <w:rsid w:val="0004597E"/>
    <w:rsid w:val="000459DE"/>
    <w:rsid w:val="00045A2A"/>
    <w:rsid w:val="000467FA"/>
    <w:rsid w:val="00047677"/>
    <w:rsid w:val="0005132E"/>
    <w:rsid w:val="000516FD"/>
    <w:rsid w:val="00052772"/>
    <w:rsid w:val="00052BA3"/>
    <w:rsid w:val="00052D15"/>
    <w:rsid w:val="00052F49"/>
    <w:rsid w:val="000533BB"/>
    <w:rsid w:val="00053CD6"/>
    <w:rsid w:val="00054D47"/>
    <w:rsid w:val="000557F6"/>
    <w:rsid w:val="00055C75"/>
    <w:rsid w:val="00056843"/>
    <w:rsid w:val="000569A9"/>
    <w:rsid w:val="000573CA"/>
    <w:rsid w:val="00057AAB"/>
    <w:rsid w:val="000602BA"/>
    <w:rsid w:val="000607B9"/>
    <w:rsid w:val="000607BF"/>
    <w:rsid w:val="0006080B"/>
    <w:rsid w:val="00061AC2"/>
    <w:rsid w:val="00061C15"/>
    <w:rsid w:val="00061F6C"/>
    <w:rsid w:val="000624B4"/>
    <w:rsid w:val="00062938"/>
    <w:rsid w:val="000634D5"/>
    <w:rsid w:val="000637D6"/>
    <w:rsid w:val="00063FC8"/>
    <w:rsid w:val="000644DA"/>
    <w:rsid w:val="0006493F"/>
    <w:rsid w:val="000657E3"/>
    <w:rsid w:val="00065CF0"/>
    <w:rsid w:val="00065E1B"/>
    <w:rsid w:val="000662A5"/>
    <w:rsid w:val="000667A9"/>
    <w:rsid w:val="000679B8"/>
    <w:rsid w:val="00070AA3"/>
    <w:rsid w:val="00071259"/>
    <w:rsid w:val="00071DA9"/>
    <w:rsid w:val="0007210F"/>
    <w:rsid w:val="00072556"/>
    <w:rsid w:val="00073930"/>
    <w:rsid w:val="000745E8"/>
    <w:rsid w:val="00074780"/>
    <w:rsid w:val="000748D7"/>
    <w:rsid w:val="000749DA"/>
    <w:rsid w:val="0007562F"/>
    <w:rsid w:val="0007776C"/>
    <w:rsid w:val="000779F9"/>
    <w:rsid w:val="0008069E"/>
    <w:rsid w:val="000816CA"/>
    <w:rsid w:val="00082370"/>
    <w:rsid w:val="00082FE5"/>
    <w:rsid w:val="000831B0"/>
    <w:rsid w:val="00084757"/>
    <w:rsid w:val="00084BF0"/>
    <w:rsid w:val="00084E15"/>
    <w:rsid w:val="00084F7C"/>
    <w:rsid w:val="000854B3"/>
    <w:rsid w:val="00085703"/>
    <w:rsid w:val="0008665A"/>
    <w:rsid w:val="000873C1"/>
    <w:rsid w:val="00087C26"/>
    <w:rsid w:val="0009001C"/>
    <w:rsid w:val="000913A1"/>
    <w:rsid w:val="00091623"/>
    <w:rsid w:val="00091995"/>
    <w:rsid w:val="000921C1"/>
    <w:rsid w:val="000926F4"/>
    <w:rsid w:val="00093F39"/>
    <w:rsid w:val="00097333"/>
    <w:rsid w:val="000977B4"/>
    <w:rsid w:val="00097C2D"/>
    <w:rsid w:val="000A038A"/>
    <w:rsid w:val="000A03FC"/>
    <w:rsid w:val="000A0830"/>
    <w:rsid w:val="000A089C"/>
    <w:rsid w:val="000A0ABA"/>
    <w:rsid w:val="000A11FD"/>
    <w:rsid w:val="000A282D"/>
    <w:rsid w:val="000A2B16"/>
    <w:rsid w:val="000A2BF9"/>
    <w:rsid w:val="000A3105"/>
    <w:rsid w:val="000A345E"/>
    <w:rsid w:val="000A3558"/>
    <w:rsid w:val="000A3AD3"/>
    <w:rsid w:val="000A4675"/>
    <w:rsid w:val="000A4897"/>
    <w:rsid w:val="000A498D"/>
    <w:rsid w:val="000A4B09"/>
    <w:rsid w:val="000A6527"/>
    <w:rsid w:val="000A665B"/>
    <w:rsid w:val="000A7438"/>
    <w:rsid w:val="000A78A4"/>
    <w:rsid w:val="000A7ABA"/>
    <w:rsid w:val="000B0800"/>
    <w:rsid w:val="000B0C8B"/>
    <w:rsid w:val="000B14E8"/>
    <w:rsid w:val="000B3605"/>
    <w:rsid w:val="000B438A"/>
    <w:rsid w:val="000B4D0D"/>
    <w:rsid w:val="000B536F"/>
    <w:rsid w:val="000B5896"/>
    <w:rsid w:val="000B6796"/>
    <w:rsid w:val="000B6F19"/>
    <w:rsid w:val="000B7510"/>
    <w:rsid w:val="000B7CE0"/>
    <w:rsid w:val="000C1484"/>
    <w:rsid w:val="000C1C16"/>
    <w:rsid w:val="000C211C"/>
    <w:rsid w:val="000C2C08"/>
    <w:rsid w:val="000C40EA"/>
    <w:rsid w:val="000C46B4"/>
    <w:rsid w:val="000C54A8"/>
    <w:rsid w:val="000C6516"/>
    <w:rsid w:val="000C6725"/>
    <w:rsid w:val="000C6B1D"/>
    <w:rsid w:val="000D097E"/>
    <w:rsid w:val="000D0A31"/>
    <w:rsid w:val="000D0BFA"/>
    <w:rsid w:val="000D0CC7"/>
    <w:rsid w:val="000D119F"/>
    <w:rsid w:val="000D126D"/>
    <w:rsid w:val="000D1BA7"/>
    <w:rsid w:val="000D21F6"/>
    <w:rsid w:val="000D2EA7"/>
    <w:rsid w:val="000D36B6"/>
    <w:rsid w:val="000D4A3A"/>
    <w:rsid w:val="000D4DB5"/>
    <w:rsid w:val="000D4F70"/>
    <w:rsid w:val="000D5B32"/>
    <w:rsid w:val="000D5F04"/>
    <w:rsid w:val="000D6E87"/>
    <w:rsid w:val="000D7985"/>
    <w:rsid w:val="000D7AAB"/>
    <w:rsid w:val="000D7FB0"/>
    <w:rsid w:val="000E2543"/>
    <w:rsid w:val="000E3CFC"/>
    <w:rsid w:val="000E43C2"/>
    <w:rsid w:val="000E43D3"/>
    <w:rsid w:val="000E47E1"/>
    <w:rsid w:val="000E4D4E"/>
    <w:rsid w:val="000E52E7"/>
    <w:rsid w:val="000E613C"/>
    <w:rsid w:val="000E6B0C"/>
    <w:rsid w:val="000F0388"/>
    <w:rsid w:val="000F152A"/>
    <w:rsid w:val="000F196B"/>
    <w:rsid w:val="000F1F6E"/>
    <w:rsid w:val="000F2FB4"/>
    <w:rsid w:val="000F3639"/>
    <w:rsid w:val="000F404D"/>
    <w:rsid w:val="000F4131"/>
    <w:rsid w:val="000F422A"/>
    <w:rsid w:val="000F461D"/>
    <w:rsid w:val="000F49E0"/>
    <w:rsid w:val="000F4CFA"/>
    <w:rsid w:val="000F6257"/>
    <w:rsid w:val="000F7801"/>
    <w:rsid w:val="00100587"/>
    <w:rsid w:val="001008DD"/>
    <w:rsid w:val="00100B9D"/>
    <w:rsid w:val="00101721"/>
    <w:rsid w:val="0010344E"/>
    <w:rsid w:val="00103B14"/>
    <w:rsid w:val="00103C3F"/>
    <w:rsid w:val="001048C9"/>
    <w:rsid w:val="00105E40"/>
    <w:rsid w:val="001068EC"/>
    <w:rsid w:val="00106CAD"/>
    <w:rsid w:val="0010792A"/>
    <w:rsid w:val="00110156"/>
    <w:rsid w:val="00110898"/>
    <w:rsid w:val="00110982"/>
    <w:rsid w:val="00110CED"/>
    <w:rsid w:val="00111392"/>
    <w:rsid w:val="00111B72"/>
    <w:rsid w:val="00112FF9"/>
    <w:rsid w:val="00114AC6"/>
    <w:rsid w:val="00114E42"/>
    <w:rsid w:val="00115660"/>
    <w:rsid w:val="00115913"/>
    <w:rsid w:val="00116906"/>
    <w:rsid w:val="00120931"/>
    <w:rsid w:val="00120AED"/>
    <w:rsid w:val="00120D22"/>
    <w:rsid w:val="0012114D"/>
    <w:rsid w:val="001216E6"/>
    <w:rsid w:val="00121E65"/>
    <w:rsid w:val="00121F24"/>
    <w:rsid w:val="00125024"/>
    <w:rsid w:val="001252E4"/>
    <w:rsid w:val="00125DE6"/>
    <w:rsid w:val="001269EA"/>
    <w:rsid w:val="00130FD1"/>
    <w:rsid w:val="00131AD5"/>
    <w:rsid w:val="00132DF4"/>
    <w:rsid w:val="00132EFE"/>
    <w:rsid w:val="00132F63"/>
    <w:rsid w:val="0013763C"/>
    <w:rsid w:val="001401CF"/>
    <w:rsid w:val="00140479"/>
    <w:rsid w:val="001423BF"/>
    <w:rsid w:val="001429D4"/>
    <w:rsid w:val="00142CAB"/>
    <w:rsid w:val="00142D9F"/>
    <w:rsid w:val="00142E31"/>
    <w:rsid w:val="00143B51"/>
    <w:rsid w:val="00143E11"/>
    <w:rsid w:val="001449CD"/>
    <w:rsid w:val="001453BC"/>
    <w:rsid w:val="001472CD"/>
    <w:rsid w:val="0014743E"/>
    <w:rsid w:val="00147A96"/>
    <w:rsid w:val="00150723"/>
    <w:rsid w:val="00150DD7"/>
    <w:rsid w:val="00151A31"/>
    <w:rsid w:val="00152291"/>
    <w:rsid w:val="001528A1"/>
    <w:rsid w:val="00152926"/>
    <w:rsid w:val="0015298D"/>
    <w:rsid w:val="00152DA8"/>
    <w:rsid w:val="001530E5"/>
    <w:rsid w:val="001536DF"/>
    <w:rsid w:val="001539EC"/>
    <w:rsid w:val="00153BEA"/>
    <w:rsid w:val="00154666"/>
    <w:rsid w:val="00154D0B"/>
    <w:rsid w:val="00154F40"/>
    <w:rsid w:val="00155677"/>
    <w:rsid w:val="00155AB3"/>
    <w:rsid w:val="00155DD6"/>
    <w:rsid w:val="00156BF1"/>
    <w:rsid w:val="001571F2"/>
    <w:rsid w:val="00157423"/>
    <w:rsid w:val="00157D01"/>
    <w:rsid w:val="00160244"/>
    <w:rsid w:val="001605CB"/>
    <w:rsid w:val="0016132A"/>
    <w:rsid w:val="00161F3A"/>
    <w:rsid w:val="001624D1"/>
    <w:rsid w:val="001633E8"/>
    <w:rsid w:val="0016408E"/>
    <w:rsid w:val="00164214"/>
    <w:rsid w:val="00164655"/>
    <w:rsid w:val="001648CC"/>
    <w:rsid w:val="0016669E"/>
    <w:rsid w:val="001667E9"/>
    <w:rsid w:val="001667F0"/>
    <w:rsid w:val="00166B53"/>
    <w:rsid w:val="001672D5"/>
    <w:rsid w:val="0016799F"/>
    <w:rsid w:val="00167DAD"/>
    <w:rsid w:val="00170108"/>
    <w:rsid w:val="00170DD1"/>
    <w:rsid w:val="001710B2"/>
    <w:rsid w:val="00172365"/>
    <w:rsid w:val="00172E76"/>
    <w:rsid w:val="00172F39"/>
    <w:rsid w:val="001730F7"/>
    <w:rsid w:val="0017364F"/>
    <w:rsid w:val="001755FC"/>
    <w:rsid w:val="0017580C"/>
    <w:rsid w:val="00175D03"/>
    <w:rsid w:val="00176318"/>
    <w:rsid w:val="0017638D"/>
    <w:rsid w:val="00176BCD"/>
    <w:rsid w:val="0017747B"/>
    <w:rsid w:val="00180745"/>
    <w:rsid w:val="0018135A"/>
    <w:rsid w:val="00181401"/>
    <w:rsid w:val="001817DC"/>
    <w:rsid w:val="00182806"/>
    <w:rsid w:val="00182B2E"/>
    <w:rsid w:val="00183BA0"/>
    <w:rsid w:val="00183E30"/>
    <w:rsid w:val="00184630"/>
    <w:rsid w:val="0018562F"/>
    <w:rsid w:val="00185C1D"/>
    <w:rsid w:val="00185C44"/>
    <w:rsid w:val="001863BA"/>
    <w:rsid w:val="00186866"/>
    <w:rsid w:val="001901DB"/>
    <w:rsid w:val="0019022C"/>
    <w:rsid w:val="00190EFF"/>
    <w:rsid w:val="00191784"/>
    <w:rsid w:val="00191AF1"/>
    <w:rsid w:val="00191BD0"/>
    <w:rsid w:val="001926D7"/>
    <w:rsid w:val="001930FF"/>
    <w:rsid w:val="00193FB6"/>
    <w:rsid w:val="00195E0F"/>
    <w:rsid w:val="00196B41"/>
    <w:rsid w:val="00196BC3"/>
    <w:rsid w:val="00196CB4"/>
    <w:rsid w:val="001971F6"/>
    <w:rsid w:val="001979D0"/>
    <w:rsid w:val="00197EC6"/>
    <w:rsid w:val="001A06D1"/>
    <w:rsid w:val="001A14CF"/>
    <w:rsid w:val="001A17BC"/>
    <w:rsid w:val="001A1857"/>
    <w:rsid w:val="001A19D3"/>
    <w:rsid w:val="001A2173"/>
    <w:rsid w:val="001A3D8C"/>
    <w:rsid w:val="001A4055"/>
    <w:rsid w:val="001A4247"/>
    <w:rsid w:val="001A499D"/>
    <w:rsid w:val="001A56E6"/>
    <w:rsid w:val="001A5940"/>
    <w:rsid w:val="001A66F9"/>
    <w:rsid w:val="001A7704"/>
    <w:rsid w:val="001B0067"/>
    <w:rsid w:val="001B05D8"/>
    <w:rsid w:val="001B082C"/>
    <w:rsid w:val="001B0C3C"/>
    <w:rsid w:val="001B0C9F"/>
    <w:rsid w:val="001B123D"/>
    <w:rsid w:val="001B25FB"/>
    <w:rsid w:val="001B3BFC"/>
    <w:rsid w:val="001B4702"/>
    <w:rsid w:val="001B52E8"/>
    <w:rsid w:val="001B5CAB"/>
    <w:rsid w:val="001B62C7"/>
    <w:rsid w:val="001B72D7"/>
    <w:rsid w:val="001C0E77"/>
    <w:rsid w:val="001C23A4"/>
    <w:rsid w:val="001C29D6"/>
    <w:rsid w:val="001C34AE"/>
    <w:rsid w:val="001C3540"/>
    <w:rsid w:val="001C3C90"/>
    <w:rsid w:val="001C4399"/>
    <w:rsid w:val="001C4738"/>
    <w:rsid w:val="001C4C75"/>
    <w:rsid w:val="001C52C3"/>
    <w:rsid w:val="001C6061"/>
    <w:rsid w:val="001C7524"/>
    <w:rsid w:val="001C76D3"/>
    <w:rsid w:val="001C7C1E"/>
    <w:rsid w:val="001D1BC8"/>
    <w:rsid w:val="001D25DC"/>
    <w:rsid w:val="001D2610"/>
    <w:rsid w:val="001D3BF7"/>
    <w:rsid w:val="001D4C23"/>
    <w:rsid w:val="001D69B3"/>
    <w:rsid w:val="001D751A"/>
    <w:rsid w:val="001E0444"/>
    <w:rsid w:val="001E06DF"/>
    <w:rsid w:val="001E0798"/>
    <w:rsid w:val="001E0A33"/>
    <w:rsid w:val="001E0FE2"/>
    <w:rsid w:val="001E1A4C"/>
    <w:rsid w:val="001E1AA7"/>
    <w:rsid w:val="001E2E8B"/>
    <w:rsid w:val="001E4772"/>
    <w:rsid w:val="001E47E1"/>
    <w:rsid w:val="001E49B2"/>
    <w:rsid w:val="001E4EED"/>
    <w:rsid w:val="001E5C91"/>
    <w:rsid w:val="001F0595"/>
    <w:rsid w:val="001F11A5"/>
    <w:rsid w:val="001F1AD4"/>
    <w:rsid w:val="001F1B3D"/>
    <w:rsid w:val="001F1E35"/>
    <w:rsid w:val="001F22D5"/>
    <w:rsid w:val="001F3056"/>
    <w:rsid w:val="001F3227"/>
    <w:rsid w:val="001F3B2F"/>
    <w:rsid w:val="001F3C10"/>
    <w:rsid w:val="001F4089"/>
    <w:rsid w:val="001F5563"/>
    <w:rsid w:val="001F6488"/>
    <w:rsid w:val="001F69E9"/>
    <w:rsid w:val="001F77B4"/>
    <w:rsid w:val="002001FD"/>
    <w:rsid w:val="002002AF"/>
    <w:rsid w:val="00200A95"/>
    <w:rsid w:val="00200B87"/>
    <w:rsid w:val="00200DD9"/>
    <w:rsid w:val="0020124A"/>
    <w:rsid w:val="00201420"/>
    <w:rsid w:val="002019DF"/>
    <w:rsid w:val="002027D2"/>
    <w:rsid w:val="002029FC"/>
    <w:rsid w:val="002035AB"/>
    <w:rsid w:val="002036FB"/>
    <w:rsid w:val="00203827"/>
    <w:rsid w:val="00203946"/>
    <w:rsid w:val="00203AE7"/>
    <w:rsid w:val="00205051"/>
    <w:rsid w:val="00205DB3"/>
    <w:rsid w:val="0020607A"/>
    <w:rsid w:val="002066A1"/>
    <w:rsid w:val="00207B08"/>
    <w:rsid w:val="002104F8"/>
    <w:rsid w:val="00210696"/>
    <w:rsid w:val="00210A70"/>
    <w:rsid w:val="0021170D"/>
    <w:rsid w:val="00211E5B"/>
    <w:rsid w:val="002124E3"/>
    <w:rsid w:val="0021307A"/>
    <w:rsid w:val="00213B71"/>
    <w:rsid w:val="0021453E"/>
    <w:rsid w:val="002145AA"/>
    <w:rsid w:val="002146B9"/>
    <w:rsid w:val="002153F6"/>
    <w:rsid w:val="00216BA6"/>
    <w:rsid w:val="002172B5"/>
    <w:rsid w:val="002172CB"/>
    <w:rsid w:val="0021750C"/>
    <w:rsid w:val="00217BDD"/>
    <w:rsid w:val="00217C47"/>
    <w:rsid w:val="002207EC"/>
    <w:rsid w:val="002208C8"/>
    <w:rsid w:val="00220901"/>
    <w:rsid w:val="002216C2"/>
    <w:rsid w:val="002229AC"/>
    <w:rsid w:val="00223328"/>
    <w:rsid w:val="002233B9"/>
    <w:rsid w:val="00223A80"/>
    <w:rsid w:val="002246EA"/>
    <w:rsid w:val="00225A99"/>
    <w:rsid w:val="00226515"/>
    <w:rsid w:val="00227A19"/>
    <w:rsid w:val="00230BBC"/>
    <w:rsid w:val="00231EEE"/>
    <w:rsid w:val="00232457"/>
    <w:rsid w:val="00232941"/>
    <w:rsid w:val="00233888"/>
    <w:rsid w:val="00233905"/>
    <w:rsid w:val="00233BFE"/>
    <w:rsid w:val="002340C0"/>
    <w:rsid w:val="002341D5"/>
    <w:rsid w:val="00234DB7"/>
    <w:rsid w:val="002353B1"/>
    <w:rsid w:val="00235433"/>
    <w:rsid w:val="00235467"/>
    <w:rsid w:val="002362D6"/>
    <w:rsid w:val="00236A17"/>
    <w:rsid w:val="0024054C"/>
    <w:rsid w:val="0024096A"/>
    <w:rsid w:val="00241B34"/>
    <w:rsid w:val="002438C3"/>
    <w:rsid w:val="0024394E"/>
    <w:rsid w:val="00243FC3"/>
    <w:rsid w:val="0024592D"/>
    <w:rsid w:val="00245C86"/>
    <w:rsid w:val="00247280"/>
    <w:rsid w:val="002475CE"/>
    <w:rsid w:val="002513DD"/>
    <w:rsid w:val="00252143"/>
    <w:rsid w:val="00252388"/>
    <w:rsid w:val="00252735"/>
    <w:rsid w:val="002536F1"/>
    <w:rsid w:val="00253EC3"/>
    <w:rsid w:val="0025512A"/>
    <w:rsid w:val="002552F9"/>
    <w:rsid w:val="00256219"/>
    <w:rsid w:val="002569B1"/>
    <w:rsid w:val="00256F3C"/>
    <w:rsid w:val="00257440"/>
    <w:rsid w:val="00257F2C"/>
    <w:rsid w:val="00261176"/>
    <w:rsid w:val="00261782"/>
    <w:rsid w:val="002632A1"/>
    <w:rsid w:val="002636A5"/>
    <w:rsid w:val="00264873"/>
    <w:rsid w:val="00264C13"/>
    <w:rsid w:val="0026617E"/>
    <w:rsid w:val="002667AE"/>
    <w:rsid w:val="00266BF8"/>
    <w:rsid w:val="00267473"/>
    <w:rsid w:val="0026773D"/>
    <w:rsid w:val="00267DE9"/>
    <w:rsid w:val="00270378"/>
    <w:rsid w:val="00270C6E"/>
    <w:rsid w:val="002714A8"/>
    <w:rsid w:val="00271FFF"/>
    <w:rsid w:val="00272045"/>
    <w:rsid w:val="002723D8"/>
    <w:rsid w:val="002726D0"/>
    <w:rsid w:val="00273EB5"/>
    <w:rsid w:val="00274B5A"/>
    <w:rsid w:val="0027526F"/>
    <w:rsid w:val="002753DE"/>
    <w:rsid w:val="00275574"/>
    <w:rsid w:val="00275EFD"/>
    <w:rsid w:val="00276E5A"/>
    <w:rsid w:val="00277465"/>
    <w:rsid w:val="00277EA1"/>
    <w:rsid w:val="00277ECF"/>
    <w:rsid w:val="002816C8"/>
    <w:rsid w:val="002818E8"/>
    <w:rsid w:val="00281952"/>
    <w:rsid w:val="00282D87"/>
    <w:rsid w:val="002830DD"/>
    <w:rsid w:val="00283131"/>
    <w:rsid w:val="002832B6"/>
    <w:rsid w:val="002851BA"/>
    <w:rsid w:val="002857D4"/>
    <w:rsid w:val="00285C78"/>
    <w:rsid w:val="00285C9D"/>
    <w:rsid w:val="0028602A"/>
    <w:rsid w:val="00286C6E"/>
    <w:rsid w:val="00287981"/>
    <w:rsid w:val="00290731"/>
    <w:rsid w:val="002924F6"/>
    <w:rsid w:val="002928A1"/>
    <w:rsid w:val="00292AC2"/>
    <w:rsid w:val="00292CE8"/>
    <w:rsid w:val="00292F39"/>
    <w:rsid w:val="0029455C"/>
    <w:rsid w:val="0029474C"/>
    <w:rsid w:val="00294AB7"/>
    <w:rsid w:val="0029512D"/>
    <w:rsid w:val="0029646B"/>
    <w:rsid w:val="00296BB9"/>
    <w:rsid w:val="00296F1F"/>
    <w:rsid w:val="00296F24"/>
    <w:rsid w:val="00296F7A"/>
    <w:rsid w:val="00297BF1"/>
    <w:rsid w:val="002A0D6E"/>
    <w:rsid w:val="002A1B3E"/>
    <w:rsid w:val="002A1CFD"/>
    <w:rsid w:val="002A2849"/>
    <w:rsid w:val="002A319D"/>
    <w:rsid w:val="002A4388"/>
    <w:rsid w:val="002A49AA"/>
    <w:rsid w:val="002A4C00"/>
    <w:rsid w:val="002A5B1E"/>
    <w:rsid w:val="002A5EDB"/>
    <w:rsid w:val="002A66F8"/>
    <w:rsid w:val="002A7029"/>
    <w:rsid w:val="002A765C"/>
    <w:rsid w:val="002A7DEB"/>
    <w:rsid w:val="002A7F61"/>
    <w:rsid w:val="002B0356"/>
    <w:rsid w:val="002B06C8"/>
    <w:rsid w:val="002B0841"/>
    <w:rsid w:val="002B19BD"/>
    <w:rsid w:val="002B242E"/>
    <w:rsid w:val="002B2AB3"/>
    <w:rsid w:val="002B2B7C"/>
    <w:rsid w:val="002B320D"/>
    <w:rsid w:val="002B3D20"/>
    <w:rsid w:val="002B53E6"/>
    <w:rsid w:val="002B5BBE"/>
    <w:rsid w:val="002B5E2A"/>
    <w:rsid w:val="002B6307"/>
    <w:rsid w:val="002B65E6"/>
    <w:rsid w:val="002B69C8"/>
    <w:rsid w:val="002B7A43"/>
    <w:rsid w:val="002C0877"/>
    <w:rsid w:val="002C0DCE"/>
    <w:rsid w:val="002C124A"/>
    <w:rsid w:val="002C1285"/>
    <w:rsid w:val="002C1411"/>
    <w:rsid w:val="002C2471"/>
    <w:rsid w:val="002C3008"/>
    <w:rsid w:val="002C3084"/>
    <w:rsid w:val="002C3F0E"/>
    <w:rsid w:val="002C4799"/>
    <w:rsid w:val="002C483E"/>
    <w:rsid w:val="002C56CA"/>
    <w:rsid w:val="002C6071"/>
    <w:rsid w:val="002C60D5"/>
    <w:rsid w:val="002C6C48"/>
    <w:rsid w:val="002C7C5B"/>
    <w:rsid w:val="002D24F3"/>
    <w:rsid w:val="002D2A22"/>
    <w:rsid w:val="002D2C17"/>
    <w:rsid w:val="002D381A"/>
    <w:rsid w:val="002D3CCE"/>
    <w:rsid w:val="002D5219"/>
    <w:rsid w:val="002D6911"/>
    <w:rsid w:val="002D6C63"/>
    <w:rsid w:val="002D6DAF"/>
    <w:rsid w:val="002D7439"/>
    <w:rsid w:val="002D773A"/>
    <w:rsid w:val="002E01DE"/>
    <w:rsid w:val="002E0359"/>
    <w:rsid w:val="002E08CA"/>
    <w:rsid w:val="002E0E5A"/>
    <w:rsid w:val="002E19E6"/>
    <w:rsid w:val="002E271F"/>
    <w:rsid w:val="002E2D22"/>
    <w:rsid w:val="002E2F56"/>
    <w:rsid w:val="002E5116"/>
    <w:rsid w:val="002E5123"/>
    <w:rsid w:val="002E55EC"/>
    <w:rsid w:val="002E5AA1"/>
    <w:rsid w:val="002E5E08"/>
    <w:rsid w:val="002E5E89"/>
    <w:rsid w:val="002E69D0"/>
    <w:rsid w:val="002E78F5"/>
    <w:rsid w:val="002E7D6D"/>
    <w:rsid w:val="002F00CD"/>
    <w:rsid w:val="002F0658"/>
    <w:rsid w:val="002F06FC"/>
    <w:rsid w:val="002F0A9A"/>
    <w:rsid w:val="002F12B8"/>
    <w:rsid w:val="002F16AF"/>
    <w:rsid w:val="002F16BE"/>
    <w:rsid w:val="002F1901"/>
    <w:rsid w:val="002F1D84"/>
    <w:rsid w:val="002F1F90"/>
    <w:rsid w:val="002F2248"/>
    <w:rsid w:val="002F30B4"/>
    <w:rsid w:val="002F34DE"/>
    <w:rsid w:val="002F369D"/>
    <w:rsid w:val="002F59DA"/>
    <w:rsid w:val="002F6418"/>
    <w:rsid w:val="002F6633"/>
    <w:rsid w:val="002F6B4E"/>
    <w:rsid w:val="002F6B86"/>
    <w:rsid w:val="002F6D43"/>
    <w:rsid w:val="002F73D1"/>
    <w:rsid w:val="002F792A"/>
    <w:rsid w:val="00300730"/>
    <w:rsid w:val="00301572"/>
    <w:rsid w:val="003021A1"/>
    <w:rsid w:val="00302A06"/>
    <w:rsid w:val="00303763"/>
    <w:rsid w:val="00303C42"/>
    <w:rsid w:val="00305306"/>
    <w:rsid w:val="00305586"/>
    <w:rsid w:val="00305621"/>
    <w:rsid w:val="003071C3"/>
    <w:rsid w:val="00307770"/>
    <w:rsid w:val="00307F7D"/>
    <w:rsid w:val="00310013"/>
    <w:rsid w:val="0031089B"/>
    <w:rsid w:val="0031090A"/>
    <w:rsid w:val="003115E8"/>
    <w:rsid w:val="00311AA9"/>
    <w:rsid w:val="00312762"/>
    <w:rsid w:val="00312961"/>
    <w:rsid w:val="00313A4E"/>
    <w:rsid w:val="00314A8F"/>
    <w:rsid w:val="00314F87"/>
    <w:rsid w:val="00315A2B"/>
    <w:rsid w:val="00315A9A"/>
    <w:rsid w:val="00315B51"/>
    <w:rsid w:val="00315B7D"/>
    <w:rsid w:val="00316A55"/>
    <w:rsid w:val="00317D30"/>
    <w:rsid w:val="00317F1D"/>
    <w:rsid w:val="003209A4"/>
    <w:rsid w:val="00323AB6"/>
    <w:rsid w:val="00323F48"/>
    <w:rsid w:val="00324276"/>
    <w:rsid w:val="00326D04"/>
    <w:rsid w:val="00327102"/>
    <w:rsid w:val="00327308"/>
    <w:rsid w:val="003302EA"/>
    <w:rsid w:val="003305BB"/>
    <w:rsid w:val="0033067E"/>
    <w:rsid w:val="00330B65"/>
    <w:rsid w:val="003313D8"/>
    <w:rsid w:val="00333628"/>
    <w:rsid w:val="00333D9F"/>
    <w:rsid w:val="00333DE1"/>
    <w:rsid w:val="00334AE8"/>
    <w:rsid w:val="0033507F"/>
    <w:rsid w:val="00335FF9"/>
    <w:rsid w:val="0033671E"/>
    <w:rsid w:val="003368F2"/>
    <w:rsid w:val="00336A81"/>
    <w:rsid w:val="003377AE"/>
    <w:rsid w:val="00337D94"/>
    <w:rsid w:val="00340033"/>
    <w:rsid w:val="00340A9B"/>
    <w:rsid w:val="00341FC4"/>
    <w:rsid w:val="003423BC"/>
    <w:rsid w:val="00342D9C"/>
    <w:rsid w:val="00343990"/>
    <w:rsid w:val="00343AD4"/>
    <w:rsid w:val="003440BB"/>
    <w:rsid w:val="00344208"/>
    <w:rsid w:val="00344B98"/>
    <w:rsid w:val="00345162"/>
    <w:rsid w:val="00345DF1"/>
    <w:rsid w:val="0034667D"/>
    <w:rsid w:val="003467B5"/>
    <w:rsid w:val="00346A1B"/>
    <w:rsid w:val="00350B42"/>
    <w:rsid w:val="00351945"/>
    <w:rsid w:val="00351E69"/>
    <w:rsid w:val="00352561"/>
    <w:rsid w:val="003533A1"/>
    <w:rsid w:val="00354501"/>
    <w:rsid w:val="00354C27"/>
    <w:rsid w:val="0035520F"/>
    <w:rsid w:val="003558F8"/>
    <w:rsid w:val="00355972"/>
    <w:rsid w:val="003567A4"/>
    <w:rsid w:val="003579E4"/>
    <w:rsid w:val="00360D91"/>
    <w:rsid w:val="00361073"/>
    <w:rsid w:val="003611B4"/>
    <w:rsid w:val="0036171F"/>
    <w:rsid w:val="00361C7A"/>
    <w:rsid w:val="00361DEA"/>
    <w:rsid w:val="00362E87"/>
    <w:rsid w:val="00363ED3"/>
    <w:rsid w:val="0036564A"/>
    <w:rsid w:val="003657AD"/>
    <w:rsid w:val="003657DB"/>
    <w:rsid w:val="00366560"/>
    <w:rsid w:val="003666A0"/>
    <w:rsid w:val="00367006"/>
    <w:rsid w:val="00367185"/>
    <w:rsid w:val="003676C8"/>
    <w:rsid w:val="003679E9"/>
    <w:rsid w:val="00367E5F"/>
    <w:rsid w:val="0037086C"/>
    <w:rsid w:val="003714A5"/>
    <w:rsid w:val="00371D6D"/>
    <w:rsid w:val="00373274"/>
    <w:rsid w:val="003732BD"/>
    <w:rsid w:val="003733CD"/>
    <w:rsid w:val="0037351D"/>
    <w:rsid w:val="00374EA3"/>
    <w:rsid w:val="00375196"/>
    <w:rsid w:val="0037577D"/>
    <w:rsid w:val="00375EAE"/>
    <w:rsid w:val="00376984"/>
    <w:rsid w:val="003778DC"/>
    <w:rsid w:val="0038030F"/>
    <w:rsid w:val="00380668"/>
    <w:rsid w:val="00380EC5"/>
    <w:rsid w:val="003813C9"/>
    <w:rsid w:val="0038179C"/>
    <w:rsid w:val="00381BF9"/>
    <w:rsid w:val="00382759"/>
    <w:rsid w:val="00383F66"/>
    <w:rsid w:val="00384482"/>
    <w:rsid w:val="003850BE"/>
    <w:rsid w:val="00385865"/>
    <w:rsid w:val="00385D70"/>
    <w:rsid w:val="00385DD0"/>
    <w:rsid w:val="00385EE4"/>
    <w:rsid w:val="00386533"/>
    <w:rsid w:val="003865CD"/>
    <w:rsid w:val="003869F9"/>
    <w:rsid w:val="00386CC7"/>
    <w:rsid w:val="00386D8E"/>
    <w:rsid w:val="00386DFD"/>
    <w:rsid w:val="00387A55"/>
    <w:rsid w:val="00390113"/>
    <w:rsid w:val="00391301"/>
    <w:rsid w:val="0039185A"/>
    <w:rsid w:val="00391C6A"/>
    <w:rsid w:val="00392031"/>
    <w:rsid w:val="00394081"/>
    <w:rsid w:val="00394131"/>
    <w:rsid w:val="00394441"/>
    <w:rsid w:val="003951F1"/>
    <w:rsid w:val="00395504"/>
    <w:rsid w:val="00395D38"/>
    <w:rsid w:val="00395E4D"/>
    <w:rsid w:val="0039657F"/>
    <w:rsid w:val="00396610"/>
    <w:rsid w:val="00397F0E"/>
    <w:rsid w:val="003A0015"/>
    <w:rsid w:val="003A021F"/>
    <w:rsid w:val="003A06AE"/>
    <w:rsid w:val="003A06FA"/>
    <w:rsid w:val="003A0720"/>
    <w:rsid w:val="003A095D"/>
    <w:rsid w:val="003A09E7"/>
    <w:rsid w:val="003A0E31"/>
    <w:rsid w:val="003A12A0"/>
    <w:rsid w:val="003A1584"/>
    <w:rsid w:val="003A1CD6"/>
    <w:rsid w:val="003A272A"/>
    <w:rsid w:val="003A2AC2"/>
    <w:rsid w:val="003A2EC9"/>
    <w:rsid w:val="003A3DC8"/>
    <w:rsid w:val="003A4713"/>
    <w:rsid w:val="003A56D8"/>
    <w:rsid w:val="003A585A"/>
    <w:rsid w:val="003A5D43"/>
    <w:rsid w:val="003A6873"/>
    <w:rsid w:val="003A6A98"/>
    <w:rsid w:val="003A7D86"/>
    <w:rsid w:val="003B073E"/>
    <w:rsid w:val="003B0C33"/>
    <w:rsid w:val="003B2E2D"/>
    <w:rsid w:val="003B40D6"/>
    <w:rsid w:val="003B576F"/>
    <w:rsid w:val="003B5CC4"/>
    <w:rsid w:val="003B7633"/>
    <w:rsid w:val="003B7C05"/>
    <w:rsid w:val="003B7CE5"/>
    <w:rsid w:val="003C0855"/>
    <w:rsid w:val="003C086C"/>
    <w:rsid w:val="003C0910"/>
    <w:rsid w:val="003C0AA9"/>
    <w:rsid w:val="003C0DA7"/>
    <w:rsid w:val="003C1343"/>
    <w:rsid w:val="003C13B2"/>
    <w:rsid w:val="003C17B6"/>
    <w:rsid w:val="003C1EFE"/>
    <w:rsid w:val="003C201B"/>
    <w:rsid w:val="003C28EC"/>
    <w:rsid w:val="003C3513"/>
    <w:rsid w:val="003C3786"/>
    <w:rsid w:val="003C4A81"/>
    <w:rsid w:val="003C4C00"/>
    <w:rsid w:val="003C558D"/>
    <w:rsid w:val="003C5F78"/>
    <w:rsid w:val="003C608B"/>
    <w:rsid w:val="003C7390"/>
    <w:rsid w:val="003C76BF"/>
    <w:rsid w:val="003C7AA6"/>
    <w:rsid w:val="003C7D89"/>
    <w:rsid w:val="003D0434"/>
    <w:rsid w:val="003D1905"/>
    <w:rsid w:val="003D26DF"/>
    <w:rsid w:val="003D3530"/>
    <w:rsid w:val="003D3F6C"/>
    <w:rsid w:val="003D5EAA"/>
    <w:rsid w:val="003D6CCD"/>
    <w:rsid w:val="003D7D31"/>
    <w:rsid w:val="003D7E25"/>
    <w:rsid w:val="003E02D3"/>
    <w:rsid w:val="003E1382"/>
    <w:rsid w:val="003E18A4"/>
    <w:rsid w:val="003E35FA"/>
    <w:rsid w:val="003E3825"/>
    <w:rsid w:val="003E4380"/>
    <w:rsid w:val="003E4C35"/>
    <w:rsid w:val="003E5B99"/>
    <w:rsid w:val="003E5EDF"/>
    <w:rsid w:val="003E6819"/>
    <w:rsid w:val="003E68A4"/>
    <w:rsid w:val="003E7DB6"/>
    <w:rsid w:val="003F030C"/>
    <w:rsid w:val="003F0A23"/>
    <w:rsid w:val="003F2195"/>
    <w:rsid w:val="003F2C79"/>
    <w:rsid w:val="003F438B"/>
    <w:rsid w:val="003F4405"/>
    <w:rsid w:val="003F4E2E"/>
    <w:rsid w:val="003F55EC"/>
    <w:rsid w:val="003F76F7"/>
    <w:rsid w:val="003F7FD8"/>
    <w:rsid w:val="0040058F"/>
    <w:rsid w:val="00400CCF"/>
    <w:rsid w:val="00401144"/>
    <w:rsid w:val="00402353"/>
    <w:rsid w:val="00402CC9"/>
    <w:rsid w:val="00403842"/>
    <w:rsid w:val="00404A1F"/>
    <w:rsid w:val="00405258"/>
    <w:rsid w:val="004058CF"/>
    <w:rsid w:val="004060ED"/>
    <w:rsid w:val="004061DD"/>
    <w:rsid w:val="004065FE"/>
    <w:rsid w:val="00407016"/>
    <w:rsid w:val="004074E8"/>
    <w:rsid w:val="00407C27"/>
    <w:rsid w:val="004108CD"/>
    <w:rsid w:val="00410C2C"/>
    <w:rsid w:val="00410E52"/>
    <w:rsid w:val="00411880"/>
    <w:rsid w:val="00411D8A"/>
    <w:rsid w:val="00412E2C"/>
    <w:rsid w:val="00412EA9"/>
    <w:rsid w:val="00414387"/>
    <w:rsid w:val="00414DD0"/>
    <w:rsid w:val="004155F1"/>
    <w:rsid w:val="004161EF"/>
    <w:rsid w:val="0041696F"/>
    <w:rsid w:val="00420447"/>
    <w:rsid w:val="00420A33"/>
    <w:rsid w:val="00420E50"/>
    <w:rsid w:val="00421D50"/>
    <w:rsid w:val="00422B75"/>
    <w:rsid w:val="0042439A"/>
    <w:rsid w:val="004244CF"/>
    <w:rsid w:val="00424CB3"/>
    <w:rsid w:val="0042521F"/>
    <w:rsid w:val="004261FE"/>
    <w:rsid w:val="004278B7"/>
    <w:rsid w:val="00427914"/>
    <w:rsid w:val="00431150"/>
    <w:rsid w:val="004312C0"/>
    <w:rsid w:val="0043274F"/>
    <w:rsid w:val="0043283A"/>
    <w:rsid w:val="00432E72"/>
    <w:rsid w:val="004336CF"/>
    <w:rsid w:val="00433A6E"/>
    <w:rsid w:val="00434B00"/>
    <w:rsid w:val="0043524F"/>
    <w:rsid w:val="0043599E"/>
    <w:rsid w:val="004362D2"/>
    <w:rsid w:val="00437736"/>
    <w:rsid w:val="00437C48"/>
    <w:rsid w:val="0044078F"/>
    <w:rsid w:val="0044085B"/>
    <w:rsid w:val="004409AF"/>
    <w:rsid w:val="004409C7"/>
    <w:rsid w:val="00441207"/>
    <w:rsid w:val="0044398D"/>
    <w:rsid w:val="00444BF2"/>
    <w:rsid w:val="00445025"/>
    <w:rsid w:val="004452FB"/>
    <w:rsid w:val="0044561A"/>
    <w:rsid w:val="00445D2C"/>
    <w:rsid w:val="0044719E"/>
    <w:rsid w:val="004472ED"/>
    <w:rsid w:val="00447D3C"/>
    <w:rsid w:val="0045033B"/>
    <w:rsid w:val="00451116"/>
    <w:rsid w:val="004514E4"/>
    <w:rsid w:val="004531D9"/>
    <w:rsid w:val="0045395B"/>
    <w:rsid w:val="00453D34"/>
    <w:rsid w:val="00454871"/>
    <w:rsid w:val="00456026"/>
    <w:rsid w:val="00456455"/>
    <w:rsid w:val="004575D3"/>
    <w:rsid w:val="004576F8"/>
    <w:rsid w:val="00457858"/>
    <w:rsid w:val="004606C0"/>
    <w:rsid w:val="00460A54"/>
    <w:rsid w:val="00461547"/>
    <w:rsid w:val="00461BDB"/>
    <w:rsid w:val="00463A2B"/>
    <w:rsid w:val="00464CCE"/>
    <w:rsid w:val="00465251"/>
    <w:rsid w:val="00466271"/>
    <w:rsid w:val="00466722"/>
    <w:rsid w:val="00467A96"/>
    <w:rsid w:val="00467D3B"/>
    <w:rsid w:val="004707B9"/>
    <w:rsid w:val="0047088D"/>
    <w:rsid w:val="00470EB8"/>
    <w:rsid w:val="00471ACF"/>
    <w:rsid w:val="00473A6D"/>
    <w:rsid w:val="0047468D"/>
    <w:rsid w:val="004750B5"/>
    <w:rsid w:val="00475AC7"/>
    <w:rsid w:val="00475C9C"/>
    <w:rsid w:val="004768E5"/>
    <w:rsid w:val="00476A24"/>
    <w:rsid w:val="00476EA1"/>
    <w:rsid w:val="00480386"/>
    <w:rsid w:val="004807F3"/>
    <w:rsid w:val="00480D9F"/>
    <w:rsid w:val="00482899"/>
    <w:rsid w:val="00483AE1"/>
    <w:rsid w:val="00483B56"/>
    <w:rsid w:val="004841BA"/>
    <w:rsid w:val="00484CA2"/>
    <w:rsid w:val="00486B37"/>
    <w:rsid w:val="00487FB3"/>
    <w:rsid w:val="004907C9"/>
    <w:rsid w:val="004925B3"/>
    <w:rsid w:val="0049389B"/>
    <w:rsid w:val="00494523"/>
    <w:rsid w:val="00495A2F"/>
    <w:rsid w:val="00495F9C"/>
    <w:rsid w:val="00496B7C"/>
    <w:rsid w:val="00497DFC"/>
    <w:rsid w:val="004A0190"/>
    <w:rsid w:val="004A0682"/>
    <w:rsid w:val="004A0EFC"/>
    <w:rsid w:val="004A0F5C"/>
    <w:rsid w:val="004A126D"/>
    <w:rsid w:val="004A12C2"/>
    <w:rsid w:val="004A15CD"/>
    <w:rsid w:val="004A199C"/>
    <w:rsid w:val="004A1B87"/>
    <w:rsid w:val="004A1C5F"/>
    <w:rsid w:val="004A275F"/>
    <w:rsid w:val="004A2CA0"/>
    <w:rsid w:val="004A3571"/>
    <w:rsid w:val="004A53AB"/>
    <w:rsid w:val="004A5755"/>
    <w:rsid w:val="004A6349"/>
    <w:rsid w:val="004A7133"/>
    <w:rsid w:val="004A7B56"/>
    <w:rsid w:val="004B016A"/>
    <w:rsid w:val="004B03D9"/>
    <w:rsid w:val="004B0A22"/>
    <w:rsid w:val="004B0E4B"/>
    <w:rsid w:val="004B17E6"/>
    <w:rsid w:val="004B1C27"/>
    <w:rsid w:val="004B304D"/>
    <w:rsid w:val="004B3222"/>
    <w:rsid w:val="004B3DF4"/>
    <w:rsid w:val="004B46D4"/>
    <w:rsid w:val="004B5F82"/>
    <w:rsid w:val="004B6438"/>
    <w:rsid w:val="004B64BB"/>
    <w:rsid w:val="004B6B18"/>
    <w:rsid w:val="004C0616"/>
    <w:rsid w:val="004C0B46"/>
    <w:rsid w:val="004C1016"/>
    <w:rsid w:val="004C1B75"/>
    <w:rsid w:val="004C1C40"/>
    <w:rsid w:val="004C1E17"/>
    <w:rsid w:val="004C25F9"/>
    <w:rsid w:val="004C2682"/>
    <w:rsid w:val="004C3150"/>
    <w:rsid w:val="004C4720"/>
    <w:rsid w:val="004C6146"/>
    <w:rsid w:val="004C6728"/>
    <w:rsid w:val="004C6894"/>
    <w:rsid w:val="004C69BF"/>
    <w:rsid w:val="004C70BD"/>
    <w:rsid w:val="004C718B"/>
    <w:rsid w:val="004C72E5"/>
    <w:rsid w:val="004C7797"/>
    <w:rsid w:val="004C7983"/>
    <w:rsid w:val="004D1758"/>
    <w:rsid w:val="004D1AB3"/>
    <w:rsid w:val="004D1EC9"/>
    <w:rsid w:val="004D2C66"/>
    <w:rsid w:val="004D336B"/>
    <w:rsid w:val="004D3D00"/>
    <w:rsid w:val="004D4069"/>
    <w:rsid w:val="004D4E57"/>
    <w:rsid w:val="004D4EED"/>
    <w:rsid w:val="004D5497"/>
    <w:rsid w:val="004D6949"/>
    <w:rsid w:val="004D7252"/>
    <w:rsid w:val="004E055F"/>
    <w:rsid w:val="004E0571"/>
    <w:rsid w:val="004E060C"/>
    <w:rsid w:val="004E0901"/>
    <w:rsid w:val="004E1458"/>
    <w:rsid w:val="004E1650"/>
    <w:rsid w:val="004E1883"/>
    <w:rsid w:val="004E1898"/>
    <w:rsid w:val="004E2718"/>
    <w:rsid w:val="004E2ED0"/>
    <w:rsid w:val="004E314C"/>
    <w:rsid w:val="004E33D8"/>
    <w:rsid w:val="004E3819"/>
    <w:rsid w:val="004E4C7A"/>
    <w:rsid w:val="004E4DFB"/>
    <w:rsid w:val="004E5964"/>
    <w:rsid w:val="004E68B5"/>
    <w:rsid w:val="004E6AD3"/>
    <w:rsid w:val="004E71BD"/>
    <w:rsid w:val="004E7231"/>
    <w:rsid w:val="004F0199"/>
    <w:rsid w:val="004F14E2"/>
    <w:rsid w:val="004F3982"/>
    <w:rsid w:val="004F3C69"/>
    <w:rsid w:val="004F3CE0"/>
    <w:rsid w:val="004F4F23"/>
    <w:rsid w:val="004F5058"/>
    <w:rsid w:val="004F609F"/>
    <w:rsid w:val="004F611E"/>
    <w:rsid w:val="004F65F3"/>
    <w:rsid w:val="004F788F"/>
    <w:rsid w:val="004F7A01"/>
    <w:rsid w:val="00500051"/>
    <w:rsid w:val="00500656"/>
    <w:rsid w:val="00500DC3"/>
    <w:rsid w:val="0050160B"/>
    <w:rsid w:val="00501CC2"/>
    <w:rsid w:val="005020E9"/>
    <w:rsid w:val="0050222B"/>
    <w:rsid w:val="00502E69"/>
    <w:rsid w:val="00502F6B"/>
    <w:rsid w:val="005034CB"/>
    <w:rsid w:val="005036CA"/>
    <w:rsid w:val="00504316"/>
    <w:rsid w:val="005047E0"/>
    <w:rsid w:val="0050508A"/>
    <w:rsid w:val="005052D4"/>
    <w:rsid w:val="00505F4E"/>
    <w:rsid w:val="0050723F"/>
    <w:rsid w:val="00507E61"/>
    <w:rsid w:val="005104EC"/>
    <w:rsid w:val="005108FF"/>
    <w:rsid w:val="00510A20"/>
    <w:rsid w:val="00510C1C"/>
    <w:rsid w:val="00510C2E"/>
    <w:rsid w:val="005110A7"/>
    <w:rsid w:val="005111D4"/>
    <w:rsid w:val="0051163A"/>
    <w:rsid w:val="00511CB9"/>
    <w:rsid w:val="00511F08"/>
    <w:rsid w:val="00511F0B"/>
    <w:rsid w:val="00512444"/>
    <w:rsid w:val="005126AA"/>
    <w:rsid w:val="00512917"/>
    <w:rsid w:val="005133A0"/>
    <w:rsid w:val="00513FB2"/>
    <w:rsid w:val="00514554"/>
    <w:rsid w:val="00514B56"/>
    <w:rsid w:val="00514F61"/>
    <w:rsid w:val="00515F04"/>
    <w:rsid w:val="0051625B"/>
    <w:rsid w:val="005167DC"/>
    <w:rsid w:val="00516E56"/>
    <w:rsid w:val="00517594"/>
    <w:rsid w:val="00520C6A"/>
    <w:rsid w:val="00521773"/>
    <w:rsid w:val="00522B48"/>
    <w:rsid w:val="005230D1"/>
    <w:rsid w:val="0052336E"/>
    <w:rsid w:val="00523C50"/>
    <w:rsid w:val="00523F56"/>
    <w:rsid w:val="00524518"/>
    <w:rsid w:val="005247EA"/>
    <w:rsid w:val="0052541C"/>
    <w:rsid w:val="00525873"/>
    <w:rsid w:val="00525E7F"/>
    <w:rsid w:val="0052745E"/>
    <w:rsid w:val="00527605"/>
    <w:rsid w:val="00527A6F"/>
    <w:rsid w:val="00527BE6"/>
    <w:rsid w:val="0053019A"/>
    <w:rsid w:val="0053031B"/>
    <w:rsid w:val="00530F09"/>
    <w:rsid w:val="0053142C"/>
    <w:rsid w:val="00531E7F"/>
    <w:rsid w:val="00531ED2"/>
    <w:rsid w:val="0053261F"/>
    <w:rsid w:val="00532DBB"/>
    <w:rsid w:val="00533FB2"/>
    <w:rsid w:val="00534243"/>
    <w:rsid w:val="005342BA"/>
    <w:rsid w:val="00534AF0"/>
    <w:rsid w:val="00535176"/>
    <w:rsid w:val="005371AB"/>
    <w:rsid w:val="005374D0"/>
    <w:rsid w:val="005377ED"/>
    <w:rsid w:val="00537870"/>
    <w:rsid w:val="00537931"/>
    <w:rsid w:val="00540FCC"/>
    <w:rsid w:val="00541AD3"/>
    <w:rsid w:val="005434EF"/>
    <w:rsid w:val="00543946"/>
    <w:rsid w:val="00543CB8"/>
    <w:rsid w:val="00544643"/>
    <w:rsid w:val="0054498E"/>
    <w:rsid w:val="00545DF1"/>
    <w:rsid w:val="00546704"/>
    <w:rsid w:val="0054680B"/>
    <w:rsid w:val="00546C7C"/>
    <w:rsid w:val="0055077D"/>
    <w:rsid w:val="005509C5"/>
    <w:rsid w:val="00550F35"/>
    <w:rsid w:val="00550FC2"/>
    <w:rsid w:val="005512C3"/>
    <w:rsid w:val="00551AF9"/>
    <w:rsid w:val="00552078"/>
    <w:rsid w:val="00552378"/>
    <w:rsid w:val="005524AC"/>
    <w:rsid w:val="0055252D"/>
    <w:rsid w:val="00553107"/>
    <w:rsid w:val="00553268"/>
    <w:rsid w:val="00553A5D"/>
    <w:rsid w:val="005541D7"/>
    <w:rsid w:val="005542EF"/>
    <w:rsid w:val="00554B43"/>
    <w:rsid w:val="00554C2E"/>
    <w:rsid w:val="00555273"/>
    <w:rsid w:val="0055665E"/>
    <w:rsid w:val="005566B5"/>
    <w:rsid w:val="00556B0A"/>
    <w:rsid w:val="00556B47"/>
    <w:rsid w:val="00556DB4"/>
    <w:rsid w:val="005577C5"/>
    <w:rsid w:val="00560A31"/>
    <w:rsid w:val="00560F8E"/>
    <w:rsid w:val="00561C4E"/>
    <w:rsid w:val="005628E0"/>
    <w:rsid w:val="0056352A"/>
    <w:rsid w:val="005648C4"/>
    <w:rsid w:val="00565BC8"/>
    <w:rsid w:val="0056623D"/>
    <w:rsid w:val="0056650E"/>
    <w:rsid w:val="00566BE1"/>
    <w:rsid w:val="00566EEA"/>
    <w:rsid w:val="00567994"/>
    <w:rsid w:val="00570C71"/>
    <w:rsid w:val="0057122C"/>
    <w:rsid w:val="00571626"/>
    <w:rsid w:val="00571AAB"/>
    <w:rsid w:val="00571C5B"/>
    <w:rsid w:val="00571E90"/>
    <w:rsid w:val="00571FAE"/>
    <w:rsid w:val="005723F5"/>
    <w:rsid w:val="00572489"/>
    <w:rsid w:val="00572691"/>
    <w:rsid w:val="0057269A"/>
    <w:rsid w:val="00572876"/>
    <w:rsid w:val="005731F9"/>
    <w:rsid w:val="00573D9A"/>
    <w:rsid w:val="005749FC"/>
    <w:rsid w:val="0057549A"/>
    <w:rsid w:val="005754D4"/>
    <w:rsid w:val="00575584"/>
    <w:rsid w:val="00575963"/>
    <w:rsid w:val="00576229"/>
    <w:rsid w:val="005801A8"/>
    <w:rsid w:val="00580596"/>
    <w:rsid w:val="00581D26"/>
    <w:rsid w:val="005821AA"/>
    <w:rsid w:val="00582585"/>
    <w:rsid w:val="00582957"/>
    <w:rsid w:val="00583884"/>
    <w:rsid w:val="005842D2"/>
    <w:rsid w:val="00584357"/>
    <w:rsid w:val="00584D5D"/>
    <w:rsid w:val="0058576C"/>
    <w:rsid w:val="00585BE1"/>
    <w:rsid w:val="0058663E"/>
    <w:rsid w:val="00587A09"/>
    <w:rsid w:val="00590529"/>
    <w:rsid w:val="0059096E"/>
    <w:rsid w:val="00590C1B"/>
    <w:rsid w:val="00591EA4"/>
    <w:rsid w:val="00592445"/>
    <w:rsid w:val="00592AEC"/>
    <w:rsid w:val="005936B8"/>
    <w:rsid w:val="00594943"/>
    <w:rsid w:val="00594AC4"/>
    <w:rsid w:val="0059542A"/>
    <w:rsid w:val="005960E9"/>
    <w:rsid w:val="005969BA"/>
    <w:rsid w:val="00597842"/>
    <w:rsid w:val="00597E26"/>
    <w:rsid w:val="005A0544"/>
    <w:rsid w:val="005A10C2"/>
    <w:rsid w:val="005A1168"/>
    <w:rsid w:val="005A1EC1"/>
    <w:rsid w:val="005A225F"/>
    <w:rsid w:val="005A22E8"/>
    <w:rsid w:val="005A285D"/>
    <w:rsid w:val="005A3310"/>
    <w:rsid w:val="005A39FF"/>
    <w:rsid w:val="005A40A8"/>
    <w:rsid w:val="005A4634"/>
    <w:rsid w:val="005A4F11"/>
    <w:rsid w:val="005A5701"/>
    <w:rsid w:val="005A650A"/>
    <w:rsid w:val="005A7AAE"/>
    <w:rsid w:val="005B20BB"/>
    <w:rsid w:val="005B36E3"/>
    <w:rsid w:val="005B39FD"/>
    <w:rsid w:val="005B3A2C"/>
    <w:rsid w:val="005B3A90"/>
    <w:rsid w:val="005B462D"/>
    <w:rsid w:val="005B4975"/>
    <w:rsid w:val="005B4D3D"/>
    <w:rsid w:val="005B71A3"/>
    <w:rsid w:val="005B7797"/>
    <w:rsid w:val="005B7C21"/>
    <w:rsid w:val="005C01AF"/>
    <w:rsid w:val="005C14ED"/>
    <w:rsid w:val="005C19B0"/>
    <w:rsid w:val="005C1A00"/>
    <w:rsid w:val="005C1BAD"/>
    <w:rsid w:val="005C1DD8"/>
    <w:rsid w:val="005C2145"/>
    <w:rsid w:val="005C22FD"/>
    <w:rsid w:val="005C407F"/>
    <w:rsid w:val="005C4C3F"/>
    <w:rsid w:val="005C597C"/>
    <w:rsid w:val="005C5B55"/>
    <w:rsid w:val="005C6C0F"/>
    <w:rsid w:val="005C7E27"/>
    <w:rsid w:val="005D05AD"/>
    <w:rsid w:val="005D05DC"/>
    <w:rsid w:val="005D17A9"/>
    <w:rsid w:val="005D1E2C"/>
    <w:rsid w:val="005D2892"/>
    <w:rsid w:val="005D3C87"/>
    <w:rsid w:val="005D482A"/>
    <w:rsid w:val="005D5759"/>
    <w:rsid w:val="005D64BC"/>
    <w:rsid w:val="005D7198"/>
    <w:rsid w:val="005D77D9"/>
    <w:rsid w:val="005E00CF"/>
    <w:rsid w:val="005E0C2F"/>
    <w:rsid w:val="005E11AB"/>
    <w:rsid w:val="005E1A1A"/>
    <w:rsid w:val="005E1A47"/>
    <w:rsid w:val="005E1B3D"/>
    <w:rsid w:val="005E2D41"/>
    <w:rsid w:val="005E3B96"/>
    <w:rsid w:val="005E3D58"/>
    <w:rsid w:val="005E4BAD"/>
    <w:rsid w:val="005E5154"/>
    <w:rsid w:val="005E5925"/>
    <w:rsid w:val="005E597B"/>
    <w:rsid w:val="005E6459"/>
    <w:rsid w:val="005E6535"/>
    <w:rsid w:val="005E73E5"/>
    <w:rsid w:val="005E755A"/>
    <w:rsid w:val="005E77A8"/>
    <w:rsid w:val="005F04CD"/>
    <w:rsid w:val="005F0CD9"/>
    <w:rsid w:val="005F19A7"/>
    <w:rsid w:val="005F3021"/>
    <w:rsid w:val="005F3D50"/>
    <w:rsid w:val="005F4248"/>
    <w:rsid w:val="005F4A9D"/>
    <w:rsid w:val="005F4AE4"/>
    <w:rsid w:val="005F5652"/>
    <w:rsid w:val="005F6F38"/>
    <w:rsid w:val="005F702F"/>
    <w:rsid w:val="005F726E"/>
    <w:rsid w:val="005F7518"/>
    <w:rsid w:val="006008D2"/>
    <w:rsid w:val="006013B1"/>
    <w:rsid w:val="00601630"/>
    <w:rsid w:val="00601660"/>
    <w:rsid w:val="0060177B"/>
    <w:rsid w:val="00601976"/>
    <w:rsid w:val="00601E6F"/>
    <w:rsid w:val="00601FE9"/>
    <w:rsid w:val="00602246"/>
    <w:rsid w:val="006023FF"/>
    <w:rsid w:val="006028F5"/>
    <w:rsid w:val="006043EC"/>
    <w:rsid w:val="00604A8B"/>
    <w:rsid w:val="006064FA"/>
    <w:rsid w:val="006069E7"/>
    <w:rsid w:val="00607E36"/>
    <w:rsid w:val="0061041C"/>
    <w:rsid w:val="006107FB"/>
    <w:rsid w:val="00610994"/>
    <w:rsid w:val="00611934"/>
    <w:rsid w:val="006129E0"/>
    <w:rsid w:val="0061388D"/>
    <w:rsid w:val="00614155"/>
    <w:rsid w:val="00614478"/>
    <w:rsid w:val="006148D0"/>
    <w:rsid w:val="00614D1F"/>
    <w:rsid w:val="00616D45"/>
    <w:rsid w:val="00617422"/>
    <w:rsid w:val="0062060E"/>
    <w:rsid w:val="00620A79"/>
    <w:rsid w:val="00620C02"/>
    <w:rsid w:val="0062122F"/>
    <w:rsid w:val="0062180A"/>
    <w:rsid w:val="00624567"/>
    <w:rsid w:val="00624F2E"/>
    <w:rsid w:val="00625329"/>
    <w:rsid w:val="0062566C"/>
    <w:rsid w:val="00626F2D"/>
    <w:rsid w:val="00627759"/>
    <w:rsid w:val="0062782F"/>
    <w:rsid w:val="00631A64"/>
    <w:rsid w:val="00631B30"/>
    <w:rsid w:val="00631E60"/>
    <w:rsid w:val="00632141"/>
    <w:rsid w:val="006326BA"/>
    <w:rsid w:val="00633E58"/>
    <w:rsid w:val="006343DD"/>
    <w:rsid w:val="00634465"/>
    <w:rsid w:val="0063498B"/>
    <w:rsid w:val="00635F41"/>
    <w:rsid w:val="00636196"/>
    <w:rsid w:val="0063719F"/>
    <w:rsid w:val="00637462"/>
    <w:rsid w:val="00637A91"/>
    <w:rsid w:val="0064080C"/>
    <w:rsid w:val="006409F4"/>
    <w:rsid w:val="00641492"/>
    <w:rsid w:val="00641670"/>
    <w:rsid w:val="00641B84"/>
    <w:rsid w:val="006426E8"/>
    <w:rsid w:val="006427D9"/>
    <w:rsid w:val="006429CE"/>
    <w:rsid w:val="00642BCE"/>
    <w:rsid w:val="006439D8"/>
    <w:rsid w:val="00643DA9"/>
    <w:rsid w:val="00644A04"/>
    <w:rsid w:val="006451AF"/>
    <w:rsid w:val="006461F1"/>
    <w:rsid w:val="00646B84"/>
    <w:rsid w:val="00647732"/>
    <w:rsid w:val="00647DCD"/>
    <w:rsid w:val="006503BA"/>
    <w:rsid w:val="00650798"/>
    <w:rsid w:val="00653DF1"/>
    <w:rsid w:val="00653FCE"/>
    <w:rsid w:val="0065406C"/>
    <w:rsid w:val="006543B9"/>
    <w:rsid w:val="006556B5"/>
    <w:rsid w:val="00655D8E"/>
    <w:rsid w:val="00656C79"/>
    <w:rsid w:val="00656DEF"/>
    <w:rsid w:val="00656EBE"/>
    <w:rsid w:val="00657461"/>
    <w:rsid w:val="006609CC"/>
    <w:rsid w:val="00660DB6"/>
    <w:rsid w:val="006610FF"/>
    <w:rsid w:val="00661234"/>
    <w:rsid w:val="006617DF"/>
    <w:rsid w:val="006625F1"/>
    <w:rsid w:val="006633C5"/>
    <w:rsid w:val="0066348D"/>
    <w:rsid w:val="0066398D"/>
    <w:rsid w:val="006652D4"/>
    <w:rsid w:val="00665AA4"/>
    <w:rsid w:val="00665E10"/>
    <w:rsid w:val="00665E92"/>
    <w:rsid w:val="00665FCA"/>
    <w:rsid w:val="00666C54"/>
    <w:rsid w:val="00667419"/>
    <w:rsid w:val="00667BBA"/>
    <w:rsid w:val="006703AD"/>
    <w:rsid w:val="0067134D"/>
    <w:rsid w:val="00671DD7"/>
    <w:rsid w:val="006736A0"/>
    <w:rsid w:val="0067440A"/>
    <w:rsid w:val="00674BA3"/>
    <w:rsid w:val="0067547D"/>
    <w:rsid w:val="00675F21"/>
    <w:rsid w:val="006765AC"/>
    <w:rsid w:val="00677C84"/>
    <w:rsid w:val="00677EBC"/>
    <w:rsid w:val="00680A28"/>
    <w:rsid w:val="00680A91"/>
    <w:rsid w:val="00680F92"/>
    <w:rsid w:val="00681166"/>
    <w:rsid w:val="00681285"/>
    <w:rsid w:val="00681526"/>
    <w:rsid w:val="006820B9"/>
    <w:rsid w:val="006820CA"/>
    <w:rsid w:val="00682664"/>
    <w:rsid w:val="00683855"/>
    <w:rsid w:val="00684695"/>
    <w:rsid w:val="00684BD4"/>
    <w:rsid w:val="00685BA6"/>
    <w:rsid w:val="006861FC"/>
    <w:rsid w:val="00686E05"/>
    <w:rsid w:val="006873DE"/>
    <w:rsid w:val="006878F2"/>
    <w:rsid w:val="006901B2"/>
    <w:rsid w:val="00690BCD"/>
    <w:rsid w:val="00690E92"/>
    <w:rsid w:val="006923FC"/>
    <w:rsid w:val="006925B6"/>
    <w:rsid w:val="00692D38"/>
    <w:rsid w:val="00692E3E"/>
    <w:rsid w:val="00693D90"/>
    <w:rsid w:val="00693DC0"/>
    <w:rsid w:val="0069465F"/>
    <w:rsid w:val="006947C6"/>
    <w:rsid w:val="0069562A"/>
    <w:rsid w:val="00695D4C"/>
    <w:rsid w:val="00695E37"/>
    <w:rsid w:val="0069620B"/>
    <w:rsid w:val="0069623F"/>
    <w:rsid w:val="006963B4"/>
    <w:rsid w:val="00696FB7"/>
    <w:rsid w:val="006976B9"/>
    <w:rsid w:val="006A0405"/>
    <w:rsid w:val="006A10FD"/>
    <w:rsid w:val="006A1CE0"/>
    <w:rsid w:val="006A20CC"/>
    <w:rsid w:val="006A356D"/>
    <w:rsid w:val="006A40C6"/>
    <w:rsid w:val="006A482C"/>
    <w:rsid w:val="006A4B01"/>
    <w:rsid w:val="006A4FAC"/>
    <w:rsid w:val="006A503D"/>
    <w:rsid w:val="006A54F5"/>
    <w:rsid w:val="006A577B"/>
    <w:rsid w:val="006A6467"/>
    <w:rsid w:val="006A65C2"/>
    <w:rsid w:val="006A67F1"/>
    <w:rsid w:val="006A68B5"/>
    <w:rsid w:val="006A6A37"/>
    <w:rsid w:val="006A70E8"/>
    <w:rsid w:val="006A7278"/>
    <w:rsid w:val="006A7439"/>
    <w:rsid w:val="006A7446"/>
    <w:rsid w:val="006A7594"/>
    <w:rsid w:val="006A7F0C"/>
    <w:rsid w:val="006B007D"/>
    <w:rsid w:val="006B0354"/>
    <w:rsid w:val="006B077B"/>
    <w:rsid w:val="006B0B24"/>
    <w:rsid w:val="006B19C2"/>
    <w:rsid w:val="006B2886"/>
    <w:rsid w:val="006B2C99"/>
    <w:rsid w:val="006B2F70"/>
    <w:rsid w:val="006B2FF3"/>
    <w:rsid w:val="006B350F"/>
    <w:rsid w:val="006B36B1"/>
    <w:rsid w:val="006B382E"/>
    <w:rsid w:val="006B40D8"/>
    <w:rsid w:val="006B560F"/>
    <w:rsid w:val="006B6284"/>
    <w:rsid w:val="006B6307"/>
    <w:rsid w:val="006B6E8F"/>
    <w:rsid w:val="006B7525"/>
    <w:rsid w:val="006C06F7"/>
    <w:rsid w:val="006C1098"/>
    <w:rsid w:val="006C121B"/>
    <w:rsid w:val="006C2535"/>
    <w:rsid w:val="006C2D48"/>
    <w:rsid w:val="006C2FB0"/>
    <w:rsid w:val="006C314E"/>
    <w:rsid w:val="006C33EC"/>
    <w:rsid w:val="006C35B7"/>
    <w:rsid w:val="006C3D84"/>
    <w:rsid w:val="006C3E5D"/>
    <w:rsid w:val="006C74DD"/>
    <w:rsid w:val="006C760C"/>
    <w:rsid w:val="006C7FE9"/>
    <w:rsid w:val="006D0498"/>
    <w:rsid w:val="006D08EF"/>
    <w:rsid w:val="006D0A01"/>
    <w:rsid w:val="006D107B"/>
    <w:rsid w:val="006D1AB4"/>
    <w:rsid w:val="006D4471"/>
    <w:rsid w:val="006D4813"/>
    <w:rsid w:val="006D531D"/>
    <w:rsid w:val="006D7C8C"/>
    <w:rsid w:val="006E14F5"/>
    <w:rsid w:val="006E189F"/>
    <w:rsid w:val="006E2A36"/>
    <w:rsid w:val="006E313E"/>
    <w:rsid w:val="006E31C3"/>
    <w:rsid w:val="006E40B9"/>
    <w:rsid w:val="006E4CFF"/>
    <w:rsid w:val="006E51F3"/>
    <w:rsid w:val="006E63B5"/>
    <w:rsid w:val="006E68CF"/>
    <w:rsid w:val="006F017A"/>
    <w:rsid w:val="006F0302"/>
    <w:rsid w:val="006F11BF"/>
    <w:rsid w:val="006F1CA7"/>
    <w:rsid w:val="006F3543"/>
    <w:rsid w:val="006F3DF0"/>
    <w:rsid w:val="006F42DD"/>
    <w:rsid w:val="006F52B6"/>
    <w:rsid w:val="006F5C73"/>
    <w:rsid w:val="006F63CF"/>
    <w:rsid w:val="006F67D0"/>
    <w:rsid w:val="006F6C58"/>
    <w:rsid w:val="006F6EE1"/>
    <w:rsid w:val="006F705F"/>
    <w:rsid w:val="006F7FE4"/>
    <w:rsid w:val="007023A3"/>
    <w:rsid w:val="0070349A"/>
    <w:rsid w:val="00703972"/>
    <w:rsid w:val="00703EE5"/>
    <w:rsid w:val="00704C99"/>
    <w:rsid w:val="00704EE8"/>
    <w:rsid w:val="00706488"/>
    <w:rsid w:val="00706579"/>
    <w:rsid w:val="00706D66"/>
    <w:rsid w:val="00707647"/>
    <w:rsid w:val="007117F5"/>
    <w:rsid w:val="00711EC4"/>
    <w:rsid w:val="00713219"/>
    <w:rsid w:val="00713943"/>
    <w:rsid w:val="007143C7"/>
    <w:rsid w:val="00714984"/>
    <w:rsid w:val="00714D83"/>
    <w:rsid w:val="00714F3C"/>
    <w:rsid w:val="0071520E"/>
    <w:rsid w:val="007154C9"/>
    <w:rsid w:val="007155E2"/>
    <w:rsid w:val="007156DA"/>
    <w:rsid w:val="007163FF"/>
    <w:rsid w:val="0071669F"/>
    <w:rsid w:val="00716AA7"/>
    <w:rsid w:val="007171EB"/>
    <w:rsid w:val="00720374"/>
    <w:rsid w:val="00721460"/>
    <w:rsid w:val="007216BC"/>
    <w:rsid w:val="0072214E"/>
    <w:rsid w:val="00722C63"/>
    <w:rsid w:val="007235C4"/>
    <w:rsid w:val="00723A95"/>
    <w:rsid w:val="00723B06"/>
    <w:rsid w:val="00723C01"/>
    <w:rsid w:val="00723DBD"/>
    <w:rsid w:val="007242F3"/>
    <w:rsid w:val="00724528"/>
    <w:rsid w:val="00724819"/>
    <w:rsid w:val="00724AA9"/>
    <w:rsid w:val="00725063"/>
    <w:rsid w:val="00725A18"/>
    <w:rsid w:val="00725E3A"/>
    <w:rsid w:val="007276B5"/>
    <w:rsid w:val="007278E8"/>
    <w:rsid w:val="00730164"/>
    <w:rsid w:val="00730FBE"/>
    <w:rsid w:val="007312B9"/>
    <w:rsid w:val="007340C0"/>
    <w:rsid w:val="0073451E"/>
    <w:rsid w:val="007350D9"/>
    <w:rsid w:val="00735AD6"/>
    <w:rsid w:val="007368D9"/>
    <w:rsid w:val="00740567"/>
    <w:rsid w:val="00740627"/>
    <w:rsid w:val="00740D3F"/>
    <w:rsid w:val="00740EEE"/>
    <w:rsid w:val="00740FBB"/>
    <w:rsid w:val="0074120D"/>
    <w:rsid w:val="00741ECF"/>
    <w:rsid w:val="00742EA0"/>
    <w:rsid w:val="00743317"/>
    <w:rsid w:val="00743B04"/>
    <w:rsid w:val="00743BEB"/>
    <w:rsid w:val="00744099"/>
    <w:rsid w:val="0074409F"/>
    <w:rsid w:val="007441ED"/>
    <w:rsid w:val="00744A9F"/>
    <w:rsid w:val="00744CB0"/>
    <w:rsid w:val="00744D66"/>
    <w:rsid w:val="007454C8"/>
    <w:rsid w:val="00746A25"/>
    <w:rsid w:val="00746C12"/>
    <w:rsid w:val="00746D55"/>
    <w:rsid w:val="00746FCD"/>
    <w:rsid w:val="0074740D"/>
    <w:rsid w:val="00750976"/>
    <w:rsid w:val="00752168"/>
    <w:rsid w:val="007525F7"/>
    <w:rsid w:val="00752895"/>
    <w:rsid w:val="00752AAE"/>
    <w:rsid w:val="00753A55"/>
    <w:rsid w:val="007557DB"/>
    <w:rsid w:val="0075643C"/>
    <w:rsid w:val="0075742C"/>
    <w:rsid w:val="00757CCE"/>
    <w:rsid w:val="00757F13"/>
    <w:rsid w:val="007600E4"/>
    <w:rsid w:val="00761A96"/>
    <w:rsid w:val="00764F70"/>
    <w:rsid w:val="00766606"/>
    <w:rsid w:val="00766B0A"/>
    <w:rsid w:val="00766D72"/>
    <w:rsid w:val="007671DE"/>
    <w:rsid w:val="00770143"/>
    <w:rsid w:val="00770A99"/>
    <w:rsid w:val="00770EB2"/>
    <w:rsid w:val="00771830"/>
    <w:rsid w:val="00771E49"/>
    <w:rsid w:val="00771EB3"/>
    <w:rsid w:val="007726B4"/>
    <w:rsid w:val="00772C0F"/>
    <w:rsid w:val="00772C92"/>
    <w:rsid w:val="00772E62"/>
    <w:rsid w:val="00773CB2"/>
    <w:rsid w:val="00774C5C"/>
    <w:rsid w:val="007750E0"/>
    <w:rsid w:val="00775434"/>
    <w:rsid w:val="007758E1"/>
    <w:rsid w:val="0077723B"/>
    <w:rsid w:val="00777C8F"/>
    <w:rsid w:val="00777C99"/>
    <w:rsid w:val="007811ED"/>
    <w:rsid w:val="00781999"/>
    <w:rsid w:val="00782147"/>
    <w:rsid w:val="007826DF"/>
    <w:rsid w:val="00782D43"/>
    <w:rsid w:val="007835E8"/>
    <w:rsid w:val="0078386E"/>
    <w:rsid w:val="0078455A"/>
    <w:rsid w:val="00784BCC"/>
    <w:rsid w:val="00786292"/>
    <w:rsid w:val="00786323"/>
    <w:rsid w:val="007863AE"/>
    <w:rsid w:val="007865DD"/>
    <w:rsid w:val="00791794"/>
    <w:rsid w:val="00791A1B"/>
    <w:rsid w:val="00791E4C"/>
    <w:rsid w:val="0079251B"/>
    <w:rsid w:val="007928D2"/>
    <w:rsid w:val="00793643"/>
    <w:rsid w:val="00794515"/>
    <w:rsid w:val="00794EE8"/>
    <w:rsid w:val="0079589F"/>
    <w:rsid w:val="00795923"/>
    <w:rsid w:val="007965E4"/>
    <w:rsid w:val="007968EE"/>
    <w:rsid w:val="007970F2"/>
    <w:rsid w:val="00797231"/>
    <w:rsid w:val="007A05B8"/>
    <w:rsid w:val="007A20E0"/>
    <w:rsid w:val="007A2743"/>
    <w:rsid w:val="007A2825"/>
    <w:rsid w:val="007A30C0"/>
    <w:rsid w:val="007A418E"/>
    <w:rsid w:val="007A491D"/>
    <w:rsid w:val="007A529B"/>
    <w:rsid w:val="007A56F8"/>
    <w:rsid w:val="007A5A33"/>
    <w:rsid w:val="007A5E0F"/>
    <w:rsid w:val="007A5EB8"/>
    <w:rsid w:val="007A77B5"/>
    <w:rsid w:val="007A7BA8"/>
    <w:rsid w:val="007B0275"/>
    <w:rsid w:val="007B2063"/>
    <w:rsid w:val="007B21FD"/>
    <w:rsid w:val="007B26D6"/>
    <w:rsid w:val="007B2AC1"/>
    <w:rsid w:val="007B2C41"/>
    <w:rsid w:val="007B3610"/>
    <w:rsid w:val="007B3E86"/>
    <w:rsid w:val="007B42BA"/>
    <w:rsid w:val="007B570E"/>
    <w:rsid w:val="007B599A"/>
    <w:rsid w:val="007B6453"/>
    <w:rsid w:val="007B66D7"/>
    <w:rsid w:val="007B6B91"/>
    <w:rsid w:val="007B6DE9"/>
    <w:rsid w:val="007C0732"/>
    <w:rsid w:val="007C0893"/>
    <w:rsid w:val="007C08C7"/>
    <w:rsid w:val="007C0D7E"/>
    <w:rsid w:val="007C101A"/>
    <w:rsid w:val="007C1761"/>
    <w:rsid w:val="007C21F3"/>
    <w:rsid w:val="007C276E"/>
    <w:rsid w:val="007C2EBB"/>
    <w:rsid w:val="007C35BB"/>
    <w:rsid w:val="007C3ABA"/>
    <w:rsid w:val="007C40C2"/>
    <w:rsid w:val="007C4F61"/>
    <w:rsid w:val="007C5D2E"/>
    <w:rsid w:val="007C5E04"/>
    <w:rsid w:val="007C6660"/>
    <w:rsid w:val="007C6798"/>
    <w:rsid w:val="007C7AD0"/>
    <w:rsid w:val="007D0F46"/>
    <w:rsid w:val="007D17EE"/>
    <w:rsid w:val="007D1C44"/>
    <w:rsid w:val="007D2269"/>
    <w:rsid w:val="007D2409"/>
    <w:rsid w:val="007D24BA"/>
    <w:rsid w:val="007D2730"/>
    <w:rsid w:val="007D3FAB"/>
    <w:rsid w:val="007D466C"/>
    <w:rsid w:val="007D59D2"/>
    <w:rsid w:val="007D5EFF"/>
    <w:rsid w:val="007D7A29"/>
    <w:rsid w:val="007E04AA"/>
    <w:rsid w:val="007E0984"/>
    <w:rsid w:val="007E0F47"/>
    <w:rsid w:val="007E2638"/>
    <w:rsid w:val="007E2690"/>
    <w:rsid w:val="007E309E"/>
    <w:rsid w:val="007E406B"/>
    <w:rsid w:val="007E4BEF"/>
    <w:rsid w:val="007E4C50"/>
    <w:rsid w:val="007E5214"/>
    <w:rsid w:val="007E5304"/>
    <w:rsid w:val="007E5837"/>
    <w:rsid w:val="007E5F14"/>
    <w:rsid w:val="007E774D"/>
    <w:rsid w:val="007E7A28"/>
    <w:rsid w:val="007F043D"/>
    <w:rsid w:val="007F3B94"/>
    <w:rsid w:val="007F3DD1"/>
    <w:rsid w:val="007F635E"/>
    <w:rsid w:val="007F70D8"/>
    <w:rsid w:val="00800BC8"/>
    <w:rsid w:val="00802043"/>
    <w:rsid w:val="00802BA7"/>
    <w:rsid w:val="00802F62"/>
    <w:rsid w:val="00804B7E"/>
    <w:rsid w:val="00804C33"/>
    <w:rsid w:val="0080556D"/>
    <w:rsid w:val="00805819"/>
    <w:rsid w:val="00805E8D"/>
    <w:rsid w:val="008072CF"/>
    <w:rsid w:val="008076C2"/>
    <w:rsid w:val="00807E62"/>
    <w:rsid w:val="00807FFA"/>
    <w:rsid w:val="00810020"/>
    <w:rsid w:val="008100FC"/>
    <w:rsid w:val="00810200"/>
    <w:rsid w:val="008109A4"/>
    <w:rsid w:val="0081169F"/>
    <w:rsid w:val="00811D6D"/>
    <w:rsid w:val="00811DE5"/>
    <w:rsid w:val="008128F2"/>
    <w:rsid w:val="0081310D"/>
    <w:rsid w:val="00813792"/>
    <w:rsid w:val="00814218"/>
    <w:rsid w:val="00814695"/>
    <w:rsid w:val="00814B99"/>
    <w:rsid w:val="00814FEB"/>
    <w:rsid w:val="00815164"/>
    <w:rsid w:val="00815B1A"/>
    <w:rsid w:val="00815F97"/>
    <w:rsid w:val="0081669C"/>
    <w:rsid w:val="0081677C"/>
    <w:rsid w:val="00817A3D"/>
    <w:rsid w:val="00817E73"/>
    <w:rsid w:val="00817F4E"/>
    <w:rsid w:val="00820539"/>
    <w:rsid w:val="00820A7F"/>
    <w:rsid w:val="00820C56"/>
    <w:rsid w:val="00820E61"/>
    <w:rsid w:val="00822697"/>
    <w:rsid w:val="008235CC"/>
    <w:rsid w:val="008240F1"/>
    <w:rsid w:val="00825D9C"/>
    <w:rsid w:val="00826183"/>
    <w:rsid w:val="00826467"/>
    <w:rsid w:val="008266DA"/>
    <w:rsid w:val="008277A0"/>
    <w:rsid w:val="00827C38"/>
    <w:rsid w:val="0083044C"/>
    <w:rsid w:val="00831108"/>
    <w:rsid w:val="00831821"/>
    <w:rsid w:val="008321C7"/>
    <w:rsid w:val="00832609"/>
    <w:rsid w:val="00833567"/>
    <w:rsid w:val="00833E03"/>
    <w:rsid w:val="00833FE7"/>
    <w:rsid w:val="008346A7"/>
    <w:rsid w:val="00835347"/>
    <w:rsid w:val="00835909"/>
    <w:rsid w:val="00837184"/>
    <w:rsid w:val="008374F9"/>
    <w:rsid w:val="008407B4"/>
    <w:rsid w:val="00840B6C"/>
    <w:rsid w:val="00841924"/>
    <w:rsid w:val="00842ABF"/>
    <w:rsid w:val="008439C9"/>
    <w:rsid w:val="0084438B"/>
    <w:rsid w:val="00844407"/>
    <w:rsid w:val="00844CC4"/>
    <w:rsid w:val="00845331"/>
    <w:rsid w:val="008457D5"/>
    <w:rsid w:val="00845916"/>
    <w:rsid w:val="00845D84"/>
    <w:rsid w:val="008464D8"/>
    <w:rsid w:val="008465D6"/>
    <w:rsid w:val="00847787"/>
    <w:rsid w:val="00847B00"/>
    <w:rsid w:val="00850F94"/>
    <w:rsid w:val="008516DC"/>
    <w:rsid w:val="00851FD3"/>
    <w:rsid w:val="008539BB"/>
    <w:rsid w:val="00853E56"/>
    <w:rsid w:val="008545CC"/>
    <w:rsid w:val="00855350"/>
    <w:rsid w:val="00855DBE"/>
    <w:rsid w:val="0085661F"/>
    <w:rsid w:val="00856726"/>
    <w:rsid w:val="00856A36"/>
    <w:rsid w:val="00857026"/>
    <w:rsid w:val="0085743D"/>
    <w:rsid w:val="0085754D"/>
    <w:rsid w:val="0086009A"/>
    <w:rsid w:val="008614B6"/>
    <w:rsid w:val="00861AB1"/>
    <w:rsid w:val="00861ADD"/>
    <w:rsid w:val="008625F7"/>
    <w:rsid w:val="008628E5"/>
    <w:rsid w:val="00862B5A"/>
    <w:rsid w:val="00863783"/>
    <w:rsid w:val="00863ADF"/>
    <w:rsid w:val="00863BEF"/>
    <w:rsid w:val="00863FF8"/>
    <w:rsid w:val="00864083"/>
    <w:rsid w:val="008651B1"/>
    <w:rsid w:val="008651C5"/>
    <w:rsid w:val="00865E98"/>
    <w:rsid w:val="00866107"/>
    <w:rsid w:val="008661D1"/>
    <w:rsid w:val="00866562"/>
    <w:rsid w:val="008676BE"/>
    <w:rsid w:val="0086778C"/>
    <w:rsid w:val="00867EFF"/>
    <w:rsid w:val="008716F4"/>
    <w:rsid w:val="00871B00"/>
    <w:rsid w:val="00871D84"/>
    <w:rsid w:val="008725BB"/>
    <w:rsid w:val="00872DA7"/>
    <w:rsid w:val="00872F58"/>
    <w:rsid w:val="00873496"/>
    <w:rsid w:val="00873C5E"/>
    <w:rsid w:val="00875512"/>
    <w:rsid w:val="00875854"/>
    <w:rsid w:val="00875A35"/>
    <w:rsid w:val="00875D07"/>
    <w:rsid w:val="00876A83"/>
    <w:rsid w:val="00877202"/>
    <w:rsid w:val="00877567"/>
    <w:rsid w:val="0087774E"/>
    <w:rsid w:val="008778CB"/>
    <w:rsid w:val="00877F3B"/>
    <w:rsid w:val="00880135"/>
    <w:rsid w:val="00880AC4"/>
    <w:rsid w:val="0088125C"/>
    <w:rsid w:val="0088257C"/>
    <w:rsid w:val="00882C38"/>
    <w:rsid w:val="00883DBE"/>
    <w:rsid w:val="00885786"/>
    <w:rsid w:val="00885BFA"/>
    <w:rsid w:val="00886210"/>
    <w:rsid w:val="00886882"/>
    <w:rsid w:val="00886A96"/>
    <w:rsid w:val="008870E0"/>
    <w:rsid w:val="00887342"/>
    <w:rsid w:val="008910A7"/>
    <w:rsid w:val="00891633"/>
    <w:rsid w:val="00891815"/>
    <w:rsid w:val="0089251B"/>
    <w:rsid w:val="008933E9"/>
    <w:rsid w:val="00894269"/>
    <w:rsid w:val="00894296"/>
    <w:rsid w:val="0089512A"/>
    <w:rsid w:val="00895370"/>
    <w:rsid w:val="00895618"/>
    <w:rsid w:val="00896240"/>
    <w:rsid w:val="00896491"/>
    <w:rsid w:val="00896690"/>
    <w:rsid w:val="008975BF"/>
    <w:rsid w:val="00897A50"/>
    <w:rsid w:val="008A1DFC"/>
    <w:rsid w:val="008A237E"/>
    <w:rsid w:val="008A2E49"/>
    <w:rsid w:val="008A2EC4"/>
    <w:rsid w:val="008A358B"/>
    <w:rsid w:val="008A3DFB"/>
    <w:rsid w:val="008A4BBD"/>
    <w:rsid w:val="008A4D5D"/>
    <w:rsid w:val="008A54ED"/>
    <w:rsid w:val="008A62E7"/>
    <w:rsid w:val="008A760F"/>
    <w:rsid w:val="008A77A0"/>
    <w:rsid w:val="008B018D"/>
    <w:rsid w:val="008B0B40"/>
    <w:rsid w:val="008B1906"/>
    <w:rsid w:val="008B209C"/>
    <w:rsid w:val="008B2A8D"/>
    <w:rsid w:val="008B2C90"/>
    <w:rsid w:val="008B3147"/>
    <w:rsid w:val="008B3A71"/>
    <w:rsid w:val="008B3E6F"/>
    <w:rsid w:val="008B5747"/>
    <w:rsid w:val="008B58A7"/>
    <w:rsid w:val="008B5BA7"/>
    <w:rsid w:val="008B63B4"/>
    <w:rsid w:val="008B6C1C"/>
    <w:rsid w:val="008C0B56"/>
    <w:rsid w:val="008C0C89"/>
    <w:rsid w:val="008C1530"/>
    <w:rsid w:val="008C1B7B"/>
    <w:rsid w:val="008C1DF2"/>
    <w:rsid w:val="008C3167"/>
    <w:rsid w:val="008C4841"/>
    <w:rsid w:val="008C5512"/>
    <w:rsid w:val="008C5D67"/>
    <w:rsid w:val="008C604D"/>
    <w:rsid w:val="008D0CF7"/>
    <w:rsid w:val="008D18F7"/>
    <w:rsid w:val="008D19BA"/>
    <w:rsid w:val="008D1F84"/>
    <w:rsid w:val="008D238F"/>
    <w:rsid w:val="008D2418"/>
    <w:rsid w:val="008D2634"/>
    <w:rsid w:val="008D2830"/>
    <w:rsid w:val="008D32F8"/>
    <w:rsid w:val="008D342C"/>
    <w:rsid w:val="008D3675"/>
    <w:rsid w:val="008D37C3"/>
    <w:rsid w:val="008D3C2B"/>
    <w:rsid w:val="008D4440"/>
    <w:rsid w:val="008D4FBA"/>
    <w:rsid w:val="008D522F"/>
    <w:rsid w:val="008D65EB"/>
    <w:rsid w:val="008D6A54"/>
    <w:rsid w:val="008D7395"/>
    <w:rsid w:val="008D7E5D"/>
    <w:rsid w:val="008E065E"/>
    <w:rsid w:val="008E0CF8"/>
    <w:rsid w:val="008E11D1"/>
    <w:rsid w:val="008E1433"/>
    <w:rsid w:val="008E3876"/>
    <w:rsid w:val="008E395A"/>
    <w:rsid w:val="008E412A"/>
    <w:rsid w:val="008E4401"/>
    <w:rsid w:val="008E5455"/>
    <w:rsid w:val="008E581F"/>
    <w:rsid w:val="008E59F7"/>
    <w:rsid w:val="008E5AF6"/>
    <w:rsid w:val="008E5C9B"/>
    <w:rsid w:val="008E69F4"/>
    <w:rsid w:val="008E7ADD"/>
    <w:rsid w:val="008F0176"/>
    <w:rsid w:val="008F0A85"/>
    <w:rsid w:val="008F1392"/>
    <w:rsid w:val="008F2082"/>
    <w:rsid w:val="008F22CF"/>
    <w:rsid w:val="008F28A0"/>
    <w:rsid w:val="008F2A14"/>
    <w:rsid w:val="008F2D5A"/>
    <w:rsid w:val="008F2EC5"/>
    <w:rsid w:val="008F2F69"/>
    <w:rsid w:val="008F3006"/>
    <w:rsid w:val="008F39E1"/>
    <w:rsid w:val="008F3B29"/>
    <w:rsid w:val="008F44E1"/>
    <w:rsid w:val="008F4534"/>
    <w:rsid w:val="008F4D7D"/>
    <w:rsid w:val="008F5E69"/>
    <w:rsid w:val="008F61B9"/>
    <w:rsid w:val="008F6CA5"/>
    <w:rsid w:val="008F6FBB"/>
    <w:rsid w:val="008F7C7B"/>
    <w:rsid w:val="008F7D85"/>
    <w:rsid w:val="009000EE"/>
    <w:rsid w:val="009002ED"/>
    <w:rsid w:val="0090056B"/>
    <w:rsid w:val="0090090C"/>
    <w:rsid w:val="009009A4"/>
    <w:rsid w:val="00900C9B"/>
    <w:rsid w:val="00901C66"/>
    <w:rsid w:val="009024E8"/>
    <w:rsid w:val="00903B67"/>
    <w:rsid w:val="00904C2A"/>
    <w:rsid w:val="009051C7"/>
    <w:rsid w:val="009057E6"/>
    <w:rsid w:val="0090610B"/>
    <w:rsid w:val="00906C1A"/>
    <w:rsid w:val="00907108"/>
    <w:rsid w:val="00907F65"/>
    <w:rsid w:val="00910685"/>
    <w:rsid w:val="00912A5F"/>
    <w:rsid w:val="0091328F"/>
    <w:rsid w:val="00913CD2"/>
    <w:rsid w:val="00913FB2"/>
    <w:rsid w:val="00913FC8"/>
    <w:rsid w:val="00914D36"/>
    <w:rsid w:val="00915FEA"/>
    <w:rsid w:val="00916539"/>
    <w:rsid w:val="00917410"/>
    <w:rsid w:val="009178B0"/>
    <w:rsid w:val="00917A41"/>
    <w:rsid w:val="00921316"/>
    <w:rsid w:val="00922359"/>
    <w:rsid w:val="00922442"/>
    <w:rsid w:val="009226D1"/>
    <w:rsid w:val="009228D6"/>
    <w:rsid w:val="00922FDA"/>
    <w:rsid w:val="0092369E"/>
    <w:rsid w:val="009243F3"/>
    <w:rsid w:val="009248B9"/>
    <w:rsid w:val="00924D8D"/>
    <w:rsid w:val="00925DB3"/>
    <w:rsid w:val="0092658A"/>
    <w:rsid w:val="009269CF"/>
    <w:rsid w:val="00926CC8"/>
    <w:rsid w:val="00926CD6"/>
    <w:rsid w:val="0092737E"/>
    <w:rsid w:val="009274AA"/>
    <w:rsid w:val="00930890"/>
    <w:rsid w:val="00930910"/>
    <w:rsid w:val="009311DF"/>
    <w:rsid w:val="00931456"/>
    <w:rsid w:val="0093190A"/>
    <w:rsid w:val="00931DDB"/>
    <w:rsid w:val="00931F60"/>
    <w:rsid w:val="00932A1A"/>
    <w:rsid w:val="00934510"/>
    <w:rsid w:val="00934D6C"/>
    <w:rsid w:val="00934E2C"/>
    <w:rsid w:val="009354BC"/>
    <w:rsid w:val="00936729"/>
    <w:rsid w:val="00936844"/>
    <w:rsid w:val="00936DD8"/>
    <w:rsid w:val="009404E0"/>
    <w:rsid w:val="00940626"/>
    <w:rsid w:val="00941E4E"/>
    <w:rsid w:val="00942920"/>
    <w:rsid w:val="00942FD2"/>
    <w:rsid w:val="00943ADB"/>
    <w:rsid w:val="00943D31"/>
    <w:rsid w:val="009442F1"/>
    <w:rsid w:val="00944F0B"/>
    <w:rsid w:val="00945427"/>
    <w:rsid w:val="00947790"/>
    <w:rsid w:val="00950081"/>
    <w:rsid w:val="00950912"/>
    <w:rsid w:val="00950F4D"/>
    <w:rsid w:val="0095143E"/>
    <w:rsid w:val="00951C5A"/>
    <w:rsid w:val="00952270"/>
    <w:rsid w:val="009523A1"/>
    <w:rsid w:val="00952E6A"/>
    <w:rsid w:val="0095302B"/>
    <w:rsid w:val="00953367"/>
    <w:rsid w:val="0095347F"/>
    <w:rsid w:val="009536A7"/>
    <w:rsid w:val="009538EB"/>
    <w:rsid w:val="009539F0"/>
    <w:rsid w:val="00953D0E"/>
    <w:rsid w:val="00953FC8"/>
    <w:rsid w:val="00954639"/>
    <w:rsid w:val="00954F71"/>
    <w:rsid w:val="00955656"/>
    <w:rsid w:val="00955955"/>
    <w:rsid w:val="00955C35"/>
    <w:rsid w:val="009568EF"/>
    <w:rsid w:val="009578B7"/>
    <w:rsid w:val="00957A0B"/>
    <w:rsid w:val="00957FA4"/>
    <w:rsid w:val="0096088B"/>
    <w:rsid w:val="00961500"/>
    <w:rsid w:val="009617D2"/>
    <w:rsid w:val="00962877"/>
    <w:rsid w:val="009629A0"/>
    <w:rsid w:val="00962E38"/>
    <w:rsid w:val="00962FD9"/>
    <w:rsid w:val="0096310E"/>
    <w:rsid w:val="009634F3"/>
    <w:rsid w:val="009643DC"/>
    <w:rsid w:val="00965017"/>
    <w:rsid w:val="00965666"/>
    <w:rsid w:val="00965E5D"/>
    <w:rsid w:val="009666B2"/>
    <w:rsid w:val="00966AEC"/>
    <w:rsid w:val="00967DD4"/>
    <w:rsid w:val="00971CD4"/>
    <w:rsid w:val="00971D20"/>
    <w:rsid w:val="009723AC"/>
    <w:rsid w:val="00972890"/>
    <w:rsid w:val="00972C74"/>
    <w:rsid w:val="009733AF"/>
    <w:rsid w:val="00976320"/>
    <w:rsid w:val="00977035"/>
    <w:rsid w:val="0097719C"/>
    <w:rsid w:val="009775E7"/>
    <w:rsid w:val="00977C29"/>
    <w:rsid w:val="00977F56"/>
    <w:rsid w:val="00980938"/>
    <w:rsid w:val="00980A6A"/>
    <w:rsid w:val="009810FA"/>
    <w:rsid w:val="00981DED"/>
    <w:rsid w:val="009821C3"/>
    <w:rsid w:val="0098288B"/>
    <w:rsid w:val="0098399D"/>
    <w:rsid w:val="009847CA"/>
    <w:rsid w:val="009852CA"/>
    <w:rsid w:val="00985FFA"/>
    <w:rsid w:val="009862AE"/>
    <w:rsid w:val="0098642F"/>
    <w:rsid w:val="00986FFC"/>
    <w:rsid w:val="00987C7B"/>
    <w:rsid w:val="00991607"/>
    <w:rsid w:val="00991D6B"/>
    <w:rsid w:val="00992528"/>
    <w:rsid w:val="009927C4"/>
    <w:rsid w:val="00993075"/>
    <w:rsid w:val="009939D2"/>
    <w:rsid w:val="00993BC0"/>
    <w:rsid w:val="0099566E"/>
    <w:rsid w:val="00996107"/>
    <w:rsid w:val="00996160"/>
    <w:rsid w:val="00996925"/>
    <w:rsid w:val="00996EE6"/>
    <w:rsid w:val="00997174"/>
    <w:rsid w:val="0099729C"/>
    <w:rsid w:val="00997FF7"/>
    <w:rsid w:val="009A0D7B"/>
    <w:rsid w:val="009A1178"/>
    <w:rsid w:val="009A2AB3"/>
    <w:rsid w:val="009A376C"/>
    <w:rsid w:val="009A4D07"/>
    <w:rsid w:val="009A53D2"/>
    <w:rsid w:val="009A65FA"/>
    <w:rsid w:val="009B04D8"/>
    <w:rsid w:val="009B092A"/>
    <w:rsid w:val="009B0BCE"/>
    <w:rsid w:val="009B3957"/>
    <w:rsid w:val="009B3CE8"/>
    <w:rsid w:val="009B42BA"/>
    <w:rsid w:val="009B6E65"/>
    <w:rsid w:val="009B75BE"/>
    <w:rsid w:val="009B7702"/>
    <w:rsid w:val="009B7D33"/>
    <w:rsid w:val="009C0138"/>
    <w:rsid w:val="009C1145"/>
    <w:rsid w:val="009C2A14"/>
    <w:rsid w:val="009C3222"/>
    <w:rsid w:val="009C3314"/>
    <w:rsid w:val="009C34D2"/>
    <w:rsid w:val="009C4ECB"/>
    <w:rsid w:val="009C6207"/>
    <w:rsid w:val="009C6AF0"/>
    <w:rsid w:val="009C71D8"/>
    <w:rsid w:val="009C745E"/>
    <w:rsid w:val="009C7CEF"/>
    <w:rsid w:val="009D1BD0"/>
    <w:rsid w:val="009D2E42"/>
    <w:rsid w:val="009D308D"/>
    <w:rsid w:val="009D3946"/>
    <w:rsid w:val="009D4892"/>
    <w:rsid w:val="009D4E64"/>
    <w:rsid w:val="009D50E1"/>
    <w:rsid w:val="009D518C"/>
    <w:rsid w:val="009D6757"/>
    <w:rsid w:val="009D7ABF"/>
    <w:rsid w:val="009D7D78"/>
    <w:rsid w:val="009E01AA"/>
    <w:rsid w:val="009E069B"/>
    <w:rsid w:val="009E1042"/>
    <w:rsid w:val="009E1627"/>
    <w:rsid w:val="009E1DDB"/>
    <w:rsid w:val="009E239B"/>
    <w:rsid w:val="009E326F"/>
    <w:rsid w:val="009E4738"/>
    <w:rsid w:val="009E4A2F"/>
    <w:rsid w:val="009E5699"/>
    <w:rsid w:val="009E5BFE"/>
    <w:rsid w:val="009E7509"/>
    <w:rsid w:val="009E78FA"/>
    <w:rsid w:val="009E7D76"/>
    <w:rsid w:val="009F0D47"/>
    <w:rsid w:val="009F16B6"/>
    <w:rsid w:val="009F1738"/>
    <w:rsid w:val="009F1C8E"/>
    <w:rsid w:val="009F2E68"/>
    <w:rsid w:val="009F57A5"/>
    <w:rsid w:val="009F58B5"/>
    <w:rsid w:val="009F6397"/>
    <w:rsid w:val="009F64D9"/>
    <w:rsid w:val="009F6C29"/>
    <w:rsid w:val="009F6FC8"/>
    <w:rsid w:val="009F78B7"/>
    <w:rsid w:val="009F7FE9"/>
    <w:rsid w:val="00A0065D"/>
    <w:rsid w:val="00A01339"/>
    <w:rsid w:val="00A019B5"/>
    <w:rsid w:val="00A02187"/>
    <w:rsid w:val="00A02D5C"/>
    <w:rsid w:val="00A03063"/>
    <w:rsid w:val="00A04AF1"/>
    <w:rsid w:val="00A053C2"/>
    <w:rsid w:val="00A05571"/>
    <w:rsid w:val="00A05654"/>
    <w:rsid w:val="00A06E5E"/>
    <w:rsid w:val="00A072B8"/>
    <w:rsid w:val="00A07671"/>
    <w:rsid w:val="00A10F7B"/>
    <w:rsid w:val="00A114CC"/>
    <w:rsid w:val="00A1190E"/>
    <w:rsid w:val="00A133B5"/>
    <w:rsid w:val="00A1404F"/>
    <w:rsid w:val="00A15108"/>
    <w:rsid w:val="00A153E0"/>
    <w:rsid w:val="00A15448"/>
    <w:rsid w:val="00A15749"/>
    <w:rsid w:val="00A15A26"/>
    <w:rsid w:val="00A15C23"/>
    <w:rsid w:val="00A15CD6"/>
    <w:rsid w:val="00A15E4F"/>
    <w:rsid w:val="00A17208"/>
    <w:rsid w:val="00A17927"/>
    <w:rsid w:val="00A1797D"/>
    <w:rsid w:val="00A204C2"/>
    <w:rsid w:val="00A20917"/>
    <w:rsid w:val="00A21D50"/>
    <w:rsid w:val="00A21F7B"/>
    <w:rsid w:val="00A2211C"/>
    <w:rsid w:val="00A22A69"/>
    <w:rsid w:val="00A23285"/>
    <w:rsid w:val="00A2366A"/>
    <w:rsid w:val="00A238C6"/>
    <w:rsid w:val="00A2455B"/>
    <w:rsid w:val="00A2687A"/>
    <w:rsid w:val="00A27275"/>
    <w:rsid w:val="00A274C8"/>
    <w:rsid w:val="00A2785A"/>
    <w:rsid w:val="00A27914"/>
    <w:rsid w:val="00A3057A"/>
    <w:rsid w:val="00A30BF8"/>
    <w:rsid w:val="00A3110C"/>
    <w:rsid w:val="00A31EB4"/>
    <w:rsid w:val="00A32EDE"/>
    <w:rsid w:val="00A3380C"/>
    <w:rsid w:val="00A33975"/>
    <w:rsid w:val="00A348C3"/>
    <w:rsid w:val="00A34CFF"/>
    <w:rsid w:val="00A34E5B"/>
    <w:rsid w:val="00A3538F"/>
    <w:rsid w:val="00A355DE"/>
    <w:rsid w:val="00A3568F"/>
    <w:rsid w:val="00A36147"/>
    <w:rsid w:val="00A37BFC"/>
    <w:rsid w:val="00A37CD6"/>
    <w:rsid w:val="00A408BB"/>
    <w:rsid w:val="00A413A6"/>
    <w:rsid w:val="00A4172D"/>
    <w:rsid w:val="00A41EEC"/>
    <w:rsid w:val="00A42040"/>
    <w:rsid w:val="00A43369"/>
    <w:rsid w:val="00A436CA"/>
    <w:rsid w:val="00A43F7E"/>
    <w:rsid w:val="00A440A9"/>
    <w:rsid w:val="00A44545"/>
    <w:rsid w:val="00A45A15"/>
    <w:rsid w:val="00A47360"/>
    <w:rsid w:val="00A4775A"/>
    <w:rsid w:val="00A503BC"/>
    <w:rsid w:val="00A5114D"/>
    <w:rsid w:val="00A51948"/>
    <w:rsid w:val="00A52CF6"/>
    <w:rsid w:val="00A5311B"/>
    <w:rsid w:val="00A54F7E"/>
    <w:rsid w:val="00A550BC"/>
    <w:rsid w:val="00A55C20"/>
    <w:rsid w:val="00A56740"/>
    <w:rsid w:val="00A5731E"/>
    <w:rsid w:val="00A60009"/>
    <w:rsid w:val="00A6057C"/>
    <w:rsid w:val="00A610F4"/>
    <w:rsid w:val="00A613E6"/>
    <w:rsid w:val="00A61402"/>
    <w:rsid w:val="00A61CF3"/>
    <w:rsid w:val="00A620CE"/>
    <w:rsid w:val="00A625B5"/>
    <w:rsid w:val="00A6277F"/>
    <w:rsid w:val="00A62BB9"/>
    <w:rsid w:val="00A638FE"/>
    <w:rsid w:val="00A63EF6"/>
    <w:rsid w:val="00A646C9"/>
    <w:rsid w:val="00A658AF"/>
    <w:rsid w:val="00A6622F"/>
    <w:rsid w:val="00A66C3E"/>
    <w:rsid w:val="00A7006E"/>
    <w:rsid w:val="00A701B1"/>
    <w:rsid w:val="00A70683"/>
    <w:rsid w:val="00A70EB7"/>
    <w:rsid w:val="00A714F8"/>
    <w:rsid w:val="00A71D7C"/>
    <w:rsid w:val="00A728B1"/>
    <w:rsid w:val="00A73B10"/>
    <w:rsid w:val="00A73FC0"/>
    <w:rsid w:val="00A7405D"/>
    <w:rsid w:val="00A74868"/>
    <w:rsid w:val="00A75DD3"/>
    <w:rsid w:val="00A7698E"/>
    <w:rsid w:val="00A76C48"/>
    <w:rsid w:val="00A7748E"/>
    <w:rsid w:val="00A8253C"/>
    <w:rsid w:val="00A8256E"/>
    <w:rsid w:val="00A82FC9"/>
    <w:rsid w:val="00A8352F"/>
    <w:rsid w:val="00A83C24"/>
    <w:rsid w:val="00A83D0F"/>
    <w:rsid w:val="00A84382"/>
    <w:rsid w:val="00A844F1"/>
    <w:rsid w:val="00A84E2F"/>
    <w:rsid w:val="00A86532"/>
    <w:rsid w:val="00A871EE"/>
    <w:rsid w:val="00A876C2"/>
    <w:rsid w:val="00A87899"/>
    <w:rsid w:val="00A87B9D"/>
    <w:rsid w:val="00A87FD2"/>
    <w:rsid w:val="00A917DC"/>
    <w:rsid w:val="00A9270A"/>
    <w:rsid w:val="00A928D2"/>
    <w:rsid w:val="00A92F17"/>
    <w:rsid w:val="00A92F6C"/>
    <w:rsid w:val="00A93004"/>
    <w:rsid w:val="00A93131"/>
    <w:rsid w:val="00A931FB"/>
    <w:rsid w:val="00A9355F"/>
    <w:rsid w:val="00A93602"/>
    <w:rsid w:val="00A937C4"/>
    <w:rsid w:val="00A938F7"/>
    <w:rsid w:val="00A93B9B"/>
    <w:rsid w:val="00A93E5F"/>
    <w:rsid w:val="00A96285"/>
    <w:rsid w:val="00A96ABF"/>
    <w:rsid w:val="00A9750D"/>
    <w:rsid w:val="00A97AED"/>
    <w:rsid w:val="00AA0115"/>
    <w:rsid w:val="00AA0334"/>
    <w:rsid w:val="00AA1196"/>
    <w:rsid w:val="00AA1543"/>
    <w:rsid w:val="00AA2531"/>
    <w:rsid w:val="00AA29DC"/>
    <w:rsid w:val="00AA2F90"/>
    <w:rsid w:val="00AA30CB"/>
    <w:rsid w:val="00AA336D"/>
    <w:rsid w:val="00AA3A9A"/>
    <w:rsid w:val="00AA3BC7"/>
    <w:rsid w:val="00AA4184"/>
    <w:rsid w:val="00AA4686"/>
    <w:rsid w:val="00AA507F"/>
    <w:rsid w:val="00AA6C47"/>
    <w:rsid w:val="00AA71FA"/>
    <w:rsid w:val="00AA7426"/>
    <w:rsid w:val="00AA7C44"/>
    <w:rsid w:val="00AB1351"/>
    <w:rsid w:val="00AB197A"/>
    <w:rsid w:val="00AB1A2B"/>
    <w:rsid w:val="00AB24C3"/>
    <w:rsid w:val="00AB25F4"/>
    <w:rsid w:val="00AB27D2"/>
    <w:rsid w:val="00AB2D02"/>
    <w:rsid w:val="00AB2EC3"/>
    <w:rsid w:val="00AB3174"/>
    <w:rsid w:val="00AB42E7"/>
    <w:rsid w:val="00AB49C4"/>
    <w:rsid w:val="00AB56AD"/>
    <w:rsid w:val="00AB5D7B"/>
    <w:rsid w:val="00AB5E20"/>
    <w:rsid w:val="00AB6CA3"/>
    <w:rsid w:val="00AB711B"/>
    <w:rsid w:val="00AB7A66"/>
    <w:rsid w:val="00AC0E12"/>
    <w:rsid w:val="00AC0FBB"/>
    <w:rsid w:val="00AC1C59"/>
    <w:rsid w:val="00AC1D20"/>
    <w:rsid w:val="00AC1FBB"/>
    <w:rsid w:val="00AC3267"/>
    <w:rsid w:val="00AC34D4"/>
    <w:rsid w:val="00AC457A"/>
    <w:rsid w:val="00AC48B4"/>
    <w:rsid w:val="00AC48C9"/>
    <w:rsid w:val="00AC4C5A"/>
    <w:rsid w:val="00AC5E7D"/>
    <w:rsid w:val="00AC6117"/>
    <w:rsid w:val="00AC6622"/>
    <w:rsid w:val="00AC680E"/>
    <w:rsid w:val="00AC794E"/>
    <w:rsid w:val="00AC7A51"/>
    <w:rsid w:val="00AD1270"/>
    <w:rsid w:val="00AD14A1"/>
    <w:rsid w:val="00AD1F51"/>
    <w:rsid w:val="00AD20D9"/>
    <w:rsid w:val="00AD21FA"/>
    <w:rsid w:val="00AD29A4"/>
    <w:rsid w:val="00AD2B3D"/>
    <w:rsid w:val="00AD304E"/>
    <w:rsid w:val="00AD326D"/>
    <w:rsid w:val="00AD42B8"/>
    <w:rsid w:val="00AD4BFD"/>
    <w:rsid w:val="00AD4D48"/>
    <w:rsid w:val="00AD5715"/>
    <w:rsid w:val="00AD6003"/>
    <w:rsid w:val="00AD6063"/>
    <w:rsid w:val="00AD77C9"/>
    <w:rsid w:val="00AE06B6"/>
    <w:rsid w:val="00AE0E73"/>
    <w:rsid w:val="00AE22A6"/>
    <w:rsid w:val="00AE2578"/>
    <w:rsid w:val="00AE2FD5"/>
    <w:rsid w:val="00AE3238"/>
    <w:rsid w:val="00AE389B"/>
    <w:rsid w:val="00AE3D4B"/>
    <w:rsid w:val="00AE54CD"/>
    <w:rsid w:val="00AE6458"/>
    <w:rsid w:val="00AE6E5E"/>
    <w:rsid w:val="00AE727E"/>
    <w:rsid w:val="00AE74CA"/>
    <w:rsid w:val="00AE783B"/>
    <w:rsid w:val="00AE7CFC"/>
    <w:rsid w:val="00AF0622"/>
    <w:rsid w:val="00AF1006"/>
    <w:rsid w:val="00AF18E7"/>
    <w:rsid w:val="00AF2192"/>
    <w:rsid w:val="00AF245A"/>
    <w:rsid w:val="00AF24C8"/>
    <w:rsid w:val="00AF296F"/>
    <w:rsid w:val="00AF3983"/>
    <w:rsid w:val="00AF4235"/>
    <w:rsid w:val="00AF56BE"/>
    <w:rsid w:val="00AF6900"/>
    <w:rsid w:val="00AF75DF"/>
    <w:rsid w:val="00AF7A17"/>
    <w:rsid w:val="00AF7A25"/>
    <w:rsid w:val="00AF7C51"/>
    <w:rsid w:val="00AF7F0F"/>
    <w:rsid w:val="00B00289"/>
    <w:rsid w:val="00B00A90"/>
    <w:rsid w:val="00B01686"/>
    <w:rsid w:val="00B02E0B"/>
    <w:rsid w:val="00B02E8B"/>
    <w:rsid w:val="00B02EF1"/>
    <w:rsid w:val="00B03699"/>
    <w:rsid w:val="00B04937"/>
    <w:rsid w:val="00B04ECF"/>
    <w:rsid w:val="00B05034"/>
    <w:rsid w:val="00B05977"/>
    <w:rsid w:val="00B05D37"/>
    <w:rsid w:val="00B10686"/>
    <w:rsid w:val="00B117A4"/>
    <w:rsid w:val="00B119E3"/>
    <w:rsid w:val="00B12289"/>
    <w:rsid w:val="00B1236C"/>
    <w:rsid w:val="00B1282D"/>
    <w:rsid w:val="00B158B0"/>
    <w:rsid w:val="00B161A8"/>
    <w:rsid w:val="00B16F64"/>
    <w:rsid w:val="00B172F2"/>
    <w:rsid w:val="00B2007C"/>
    <w:rsid w:val="00B217E3"/>
    <w:rsid w:val="00B21928"/>
    <w:rsid w:val="00B21A06"/>
    <w:rsid w:val="00B224ED"/>
    <w:rsid w:val="00B22FAF"/>
    <w:rsid w:val="00B2304A"/>
    <w:rsid w:val="00B248EA"/>
    <w:rsid w:val="00B24BB1"/>
    <w:rsid w:val="00B2534B"/>
    <w:rsid w:val="00B25C5F"/>
    <w:rsid w:val="00B263C7"/>
    <w:rsid w:val="00B26A4F"/>
    <w:rsid w:val="00B26B86"/>
    <w:rsid w:val="00B30AA4"/>
    <w:rsid w:val="00B30DF6"/>
    <w:rsid w:val="00B316D1"/>
    <w:rsid w:val="00B31872"/>
    <w:rsid w:val="00B33044"/>
    <w:rsid w:val="00B3310A"/>
    <w:rsid w:val="00B3310D"/>
    <w:rsid w:val="00B3338F"/>
    <w:rsid w:val="00B33B5B"/>
    <w:rsid w:val="00B340FB"/>
    <w:rsid w:val="00B3558D"/>
    <w:rsid w:val="00B35E34"/>
    <w:rsid w:val="00B35EF8"/>
    <w:rsid w:val="00B36ABA"/>
    <w:rsid w:val="00B37DBF"/>
    <w:rsid w:val="00B40736"/>
    <w:rsid w:val="00B41358"/>
    <w:rsid w:val="00B414A8"/>
    <w:rsid w:val="00B41522"/>
    <w:rsid w:val="00B41877"/>
    <w:rsid w:val="00B41963"/>
    <w:rsid w:val="00B425DA"/>
    <w:rsid w:val="00B42B59"/>
    <w:rsid w:val="00B42CFC"/>
    <w:rsid w:val="00B42FE5"/>
    <w:rsid w:val="00B43353"/>
    <w:rsid w:val="00B43863"/>
    <w:rsid w:val="00B43887"/>
    <w:rsid w:val="00B44F47"/>
    <w:rsid w:val="00B46635"/>
    <w:rsid w:val="00B47066"/>
    <w:rsid w:val="00B473F5"/>
    <w:rsid w:val="00B47729"/>
    <w:rsid w:val="00B5151D"/>
    <w:rsid w:val="00B51A02"/>
    <w:rsid w:val="00B52501"/>
    <w:rsid w:val="00B53DD5"/>
    <w:rsid w:val="00B53F6C"/>
    <w:rsid w:val="00B540ED"/>
    <w:rsid w:val="00B5588F"/>
    <w:rsid w:val="00B55B62"/>
    <w:rsid w:val="00B564D3"/>
    <w:rsid w:val="00B565C9"/>
    <w:rsid w:val="00B57204"/>
    <w:rsid w:val="00B57336"/>
    <w:rsid w:val="00B576C2"/>
    <w:rsid w:val="00B603D7"/>
    <w:rsid w:val="00B6102C"/>
    <w:rsid w:val="00B62AA5"/>
    <w:rsid w:val="00B62E82"/>
    <w:rsid w:val="00B64067"/>
    <w:rsid w:val="00B65123"/>
    <w:rsid w:val="00B654F0"/>
    <w:rsid w:val="00B65821"/>
    <w:rsid w:val="00B66141"/>
    <w:rsid w:val="00B66273"/>
    <w:rsid w:val="00B73583"/>
    <w:rsid w:val="00B73893"/>
    <w:rsid w:val="00B73CA1"/>
    <w:rsid w:val="00B7473C"/>
    <w:rsid w:val="00B74B5B"/>
    <w:rsid w:val="00B74D2B"/>
    <w:rsid w:val="00B754EB"/>
    <w:rsid w:val="00B75927"/>
    <w:rsid w:val="00B7608C"/>
    <w:rsid w:val="00B76505"/>
    <w:rsid w:val="00B767E2"/>
    <w:rsid w:val="00B805F9"/>
    <w:rsid w:val="00B80AF2"/>
    <w:rsid w:val="00B80CC2"/>
    <w:rsid w:val="00B813C6"/>
    <w:rsid w:val="00B81581"/>
    <w:rsid w:val="00B81E4B"/>
    <w:rsid w:val="00B82079"/>
    <w:rsid w:val="00B82936"/>
    <w:rsid w:val="00B82B43"/>
    <w:rsid w:val="00B84571"/>
    <w:rsid w:val="00B8566C"/>
    <w:rsid w:val="00B8652D"/>
    <w:rsid w:val="00B86765"/>
    <w:rsid w:val="00B87031"/>
    <w:rsid w:val="00B8713A"/>
    <w:rsid w:val="00B877F1"/>
    <w:rsid w:val="00B87E79"/>
    <w:rsid w:val="00B909B8"/>
    <w:rsid w:val="00B911A5"/>
    <w:rsid w:val="00B911F0"/>
    <w:rsid w:val="00B921F9"/>
    <w:rsid w:val="00B92535"/>
    <w:rsid w:val="00B92817"/>
    <w:rsid w:val="00B929CA"/>
    <w:rsid w:val="00B92C57"/>
    <w:rsid w:val="00B94256"/>
    <w:rsid w:val="00B94E58"/>
    <w:rsid w:val="00B9527F"/>
    <w:rsid w:val="00B95432"/>
    <w:rsid w:val="00B95F8F"/>
    <w:rsid w:val="00BA12A1"/>
    <w:rsid w:val="00BA15DA"/>
    <w:rsid w:val="00BA1F35"/>
    <w:rsid w:val="00BA281B"/>
    <w:rsid w:val="00BA2AB2"/>
    <w:rsid w:val="00BA360F"/>
    <w:rsid w:val="00BA3895"/>
    <w:rsid w:val="00BA38C5"/>
    <w:rsid w:val="00BA4C7E"/>
    <w:rsid w:val="00BA4FA5"/>
    <w:rsid w:val="00BA50D9"/>
    <w:rsid w:val="00BA5479"/>
    <w:rsid w:val="00BA551B"/>
    <w:rsid w:val="00BA556E"/>
    <w:rsid w:val="00BA56F2"/>
    <w:rsid w:val="00BA66E3"/>
    <w:rsid w:val="00BB1723"/>
    <w:rsid w:val="00BB2320"/>
    <w:rsid w:val="00BB2390"/>
    <w:rsid w:val="00BB250C"/>
    <w:rsid w:val="00BB319B"/>
    <w:rsid w:val="00BB3325"/>
    <w:rsid w:val="00BB5538"/>
    <w:rsid w:val="00BB5C73"/>
    <w:rsid w:val="00BB6296"/>
    <w:rsid w:val="00BB6D46"/>
    <w:rsid w:val="00BB7000"/>
    <w:rsid w:val="00BB759E"/>
    <w:rsid w:val="00BC186A"/>
    <w:rsid w:val="00BC1B3B"/>
    <w:rsid w:val="00BC1DB1"/>
    <w:rsid w:val="00BC20F2"/>
    <w:rsid w:val="00BC216E"/>
    <w:rsid w:val="00BC25A2"/>
    <w:rsid w:val="00BC30DF"/>
    <w:rsid w:val="00BC3230"/>
    <w:rsid w:val="00BC4393"/>
    <w:rsid w:val="00BC527C"/>
    <w:rsid w:val="00BC553A"/>
    <w:rsid w:val="00BC5542"/>
    <w:rsid w:val="00BC5AE3"/>
    <w:rsid w:val="00BC6FC1"/>
    <w:rsid w:val="00BC7887"/>
    <w:rsid w:val="00BD0608"/>
    <w:rsid w:val="00BD0716"/>
    <w:rsid w:val="00BD1C3C"/>
    <w:rsid w:val="00BD23CB"/>
    <w:rsid w:val="00BD37D8"/>
    <w:rsid w:val="00BD3F2E"/>
    <w:rsid w:val="00BD3F7C"/>
    <w:rsid w:val="00BD4286"/>
    <w:rsid w:val="00BD5ECB"/>
    <w:rsid w:val="00BD6646"/>
    <w:rsid w:val="00BD70C5"/>
    <w:rsid w:val="00BD717E"/>
    <w:rsid w:val="00BD7AAB"/>
    <w:rsid w:val="00BD7EFB"/>
    <w:rsid w:val="00BE27DA"/>
    <w:rsid w:val="00BE3885"/>
    <w:rsid w:val="00BE4940"/>
    <w:rsid w:val="00BE4966"/>
    <w:rsid w:val="00BE6688"/>
    <w:rsid w:val="00BF1C4C"/>
    <w:rsid w:val="00BF3939"/>
    <w:rsid w:val="00BF4036"/>
    <w:rsid w:val="00BF45FF"/>
    <w:rsid w:val="00BF4953"/>
    <w:rsid w:val="00BF75F7"/>
    <w:rsid w:val="00BF794C"/>
    <w:rsid w:val="00BF7984"/>
    <w:rsid w:val="00BF799D"/>
    <w:rsid w:val="00BF7E71"/>
    <w:rsid w:val="00C00962"/>
    <w:rsid w:val="00C012AA"/>
    <w:rsid w:val="00C01322"/>
    <w:rsid w:val="00C016C0"/>
    <w:rsid w:val="00C03A20"/>
    <w:rsid w:val="00C03C9A"/>
    <w:rsid w:val="00C041A3"/>
    <w:rsid w:val="00C04616"/>
    <w:rsid w:val="00C04B8D"/>
    <w:rsid w:val="00C04C96"/>
    <w:rsid w:val="00C052C9"/>
    <w:rsid w:val="00C05701"/>
    <w:rsid w:val="00C05935"/>
    <w:rsid w:val="00C05D0F"/>
    <w:rsid w:val="00C06DE7"/>
    <w:rsid w:val="00C07318"/>
    <w:rsid w:val="00C07E9D"/>
    <w:rsid w:val="00C10188"/>
    <w:rsid w:val="00C10CA3"/>
    <w:rsid w:val="00C1152A"/>
    <w:rsid w:val="00C11623"/>
    <w:rsid w:val="00C12B71"/>
    <w:rsid w:val="00C13D2F"/>
    <w:rsid w:val="00C13FA2"/>
    <w:rsid w:val="00C14EE8"/>
    <w:rsid w:val="00C163CD"/>
    <w:rsid w:val="00C17215"/>
    <w:rsid w:val="00C17A5A"/>
    <w:rsid w:val="00C17F2F"/>
    <w:rsid w:val="00C204D5"/>
    <w:rsid w:val="00C20A30"/>
    <w:rsid w:val="00C20D14"/>
    <w:rsid w:val="00C20EC2"/>
    <w:rsid w:val="00C2194D"/>
    <w:rsid w:val="00C2289B"/>
    <w:rsid w:val="00C231A4"/>
    <w:rsid w:val="00C231E8"/>
    <w:rsid w:val="00C23D88"/>
    <w:rsid w:val="00C240AB"/>
    <w:rsid w:val="00C242F2"/>
    <w:rsid w:val="00C2463C"/>
    <w:rsid w:val="00C24996"/>
    <w:rsid w:val="00C24AEC"/>
    <w:rsid w:val="00C30853"/>
    <w:rsid w:val="00C30EFE"/>
    <w:rsid w:val="00C31192"/>
    <w:rsid w:val="00C314DC"/>
    <w:rsid w:val="00C315B0"/>
    <w:rsid w:val="00C3280C"/>
    <w:rsid w:val="00C338F7"/>
    <w:rsid w:val="00C33B3F"/>
    <w:rsid w:val="00C34620"/>
    <w:rsid w:val="00C350D5"/>
    <w:rsid w:val="00C35798"/>
    <w:rsid w:val="00C35B15"/>
    <w:rsid w:val="00C36C87"/>
    <w:rsid w:val="00C37E62"/>
    <w:rsid w:val="00C403CE"/>
    <w:rsid w:val="00C403ED"/>
    <w:rsid w:val="00C40974"/>
    <w:rsid w:val="00C40B1D"/>
    <w:rsid w:val="00C415CB"/>
    <w:rsid w:val="00C41741"/>
    <w:rsid w:val="00C419BA"/>
    <w:rsid w:val="00C420F3"/>
    <w:rsid w:val="00C42DFB"/>
    <w:rsid w:val="00C433B0"/>
    <w:rsid w:val="00C4383F"/>
    <w:rsid w:val="00C43C99"/>
    <w:rsid w:val="00C43E28"/>
    <w:rsid w:val="00C447B8"/>
    <w:rsid w:val="00C44A74"/>
    <w:rsid w:val="00C44A82"/>
    <w:rsid w:val="00C44F8D"/>
    <w:rsid w:val="00C454E6"/>
    <w:rsid w:val="00C45724"/>
    <w:rsid w:val="00C46A6D"/>
    <w:rsid w:val="00C47B37"/>
    <w:rsid w:val="00C502E9"/>
    <w:rsid w:val="00C50CDF"/>
    <w:rsid w:val="00C510BC"/>
    <w:rsid w:val="00C522C1"/>
    <w:rsid w:val="00C52E2D"/>
    <w:rsid w:val="00C53F0E"/>
    <w:rsid w:val="00C5426E"/>
    <w:rsid w:val="00C54F9A"/>
    <w:rsid w:val="00C5588B"/>
    <w:rsid w:val="00C55DEA"/>
    <w:rsid w:val="00C55E0D"/>
    <w:rsid w:val="00C560F9"/>
    <w:rsid w:val="00C5648A"/>
    <w:rsid w:val="00C56BC4"/>
    <w:rsid w:val="00C56FFD"/>
    <w:rsid w:val="00C57475"/>
    <w:rsid w:val="00C576E3"/>
    <w:rsid w:val="00C578AC"/>
    <w:rsid w:val="00C60A25"/>
    <w:rsid w:val="00C60EB8"/>
    <w:rsid w:val="00C61ACE"/>
    <w:rsid w:val="00C628F4"/>
    <w:rsid w:val="00C62A49"/>
    <w:rsid w:val="00C63F7F"/>
    <w:rsid w:val="00C6414E"/>
    <w:rsid w:val="00C641CD"/>
    <w:rsid w:val="00C6473C"/>
    <w:rsid w:val="00C65B87"/>
    <w:rsid w:val="00C6777D"/>
    <w:rsid w:val="00C677DB"/>
    <w:rsid w:val="00C700D7"/>
    <w:rsid w:val="00C7031A"/>
    <w:rsid w:val="00C7157B"/>
    <w:rsid w:val="00C71C7B"/>
    <w:rsid w:val="00C71D7B"/>
    <w:rsid w:val="00C7244B"/>
    <w:rsid w:val="00C726F5"/>
    <w:rsid w:val="00C72972"/>
    <w:rsid w:val="00C73A58"/>
    <w:rsid w:val="00C73BA0"/>
    <w:rsid w:val="00C73EA7"/>
    <w:rsid w:val="00C74985"/>
    <w:rsid w:val="00C74BCC"/>
    <w:rsid w:val="00C75069"/>
    <w:rsid w:val="00C770C4"/>
    <w:rsid w:val="00C776B5"/>
    <w:rsid w:val="00C77DBF"/>
    <w:rsid w:val="00C804EC"/>
    <w:rsid w:val="00C808A2"/>
    <w:rsid w:val="00C81674"/>
    <w:rsid w:val="00C829F2"/>
    <w:rsid w:val="00C8326F"/>
    <w:rsid w:val="00C833A8"/>
    <w:rsid w:val="00C83446"/>
    <w:rsid w:val="00C84509"/>
    <w:rsid w:val="00C853DC"/>
    <w:rsid w:val="00C86BCB"/>
    <w:rsid w:val="00C86F14"/>
    <w:rsid w:val="00C87432"/>
    <w:rsid w:val="00C9012F"/>
    <w:rsid w:val="00C90202"/>
    <w:rsid w:val="00C90CB7"/>
    <w:rsid w:val="00C912DE"/>
    <w:rsid w:val="00C9175B"/>
    <w:rsid w:val="00C942EC"/>
    <w:rsid w:val="00C94E3C"/>
    <w:rsid w:val="00C94F5F"/>
    <w:rsid w:val="00C95427"/>
    <w:rsid w:val="00C957DF"/>
    <w:rsid w:val="00C96E3E"/>
    <w:rsid w:val="00C96EB2"/>
    <w:rsid w:val="00C97037"/>
    <w:rsid w:val="00CA0835"/>
    <w:rsid w:val="00CA1B1B"/>
    <w:rsid w:val="00CA28D8"/>
    <w:rsid w:val="00CA2931"/>
    <w:rsid w:val="00CA2E12"/>
    <w:rsid w:val="00CA336D"/>
    <w:rsid w:val="00CA38DB"/>
    <w:rsid w:val="00CA3EEB"/>
    <w:rsid w:val="00CA4A65"/>
    <w:rsid w:val="00CA766E"/>
    <w:rsid w:val="00CB0A7E"/>
    <w:rsid w:val="00CB0CAF"/>
    <w:rsid w:val="00CB0FEC"/>
    <w:rsid w:val="00CB1A88"/>
    <w:rsid w:val="00CB206E"/>
    <w:rsid w:val="00CB22BF"/>
    <w:rsid w:val="00CB2BB9"/>
    <w:rsid w:val="00CB2F8C"/>
    <w:rsid w:val="00CB349C"/>
    <w:rsid w:val="00CB5864"/>
    <w:rsid w:val="00CB64BB"/>
    <w:rsid w:val="00CB6B36"/>
    <w:rsid w:val="00CB71DF"/>
    <w:rsid w:val="00CB75BB"/>
    <w:rsid w:val="00CB7FB3"/>
    <w:rsid w:val="00CC02EA"/>
    <w:rsid w:val="00CC08F3"/>
    <w:rsid w:val="00CC1360"/>
    <w:rsid w:val="00CC136D"/>
    <w:rsid w:val="00CC1405"/>
    <w:rsid w:val="00CC1D53"/>
    <w:rsid w:val="00CC248B"/>
    <w:rsid w:val="00CC2701"/>
    <w:rsid w:val="00CC380A"/>
    <w:rsid w:val="00CC3B2A"/>
    <w:rsid w:val="00CC3D57"/>
    <w:rsid w:val="00CC3FE1"/>
    <w:rsid w:val="00CC4D2C"/>
    <w:rsid w:val="00CC5C66"/>
    <w:rsid w:val="00CC5C99"/>
    <w:rsid w:val="00CC5FCB"/>
    <w:rsid w:val="00CC6C4D"/>
    <w:rsid w:val="00CC7729"/>
    <w:rsid w:val="00CD159A"/>
    <w:rsid w:val="00CD1C10"/>
    <w:rsid w:val="00CD21FB"/>
    <w:rsid w:val="00CD265A"/>
    <w:rsid w:val="00CD2743"/>
    <w:rsid w:val="00CD2F0E"/>
    <w:rsid w:val="00CD39CD"/>
    <w:rsid w:val="00CD4017"/>
    <w:rsid w:val="00CD501F"/>
    <w:rsid w:val="00CD50CA"/>
    <w:rsid w:val="00CD5204"/>
    <w:rsid w:val="00CD5C91"/>
    <w:rsid w:val="00CD5FA9"/>
    <w:rsid w:val="00CD6625"/>
    <w:rsid w:val="00CD7400"/>
    <w:rsid w:val="00CD7DA0"/>
    <w:rsid w:val="00CE099B"/>
    <w:rsid w:val="00CE1393"/>
    <w:rsid w:val="00CE1AF0"/>
    <w:rsid w:val="00CE23ED"/>
    <w:rsid w:val="00CE2578"/>
    <w:rsid w:val="00CE2970"/>
    <w:rsid w:val="00CE2E07"/>
    <w:rsid w:val="00CE3C49"/>
    <w:rsid w:val="00CE3E34"/>
    <w:rsid w:val="00CE49F7"/>
    <w:rsid w:val="00CE627C"/>
    <w:rsid w:val="00CE66DB"/>
    <w:rsid w:val="00CF103D"/>
    <w:rsid w:val="00CF1049"/>
    <w:rsid w:val="00CF10AB"/>
    <w:rsid w:val="00CF1662"/>
    <w:rsid w:val="00CF17D3"/>
    <w:rsid w:val="00CF235C"/>
    <w:rsid w:val="00CF3550"/>
    <w:rsid w:val="00CF47BA"/>
    <w:rsid w:val="00CF49C0"/>
    <w:rsid w:val="00CF56AC"/>
    <w:rsid w:val="00CF58E4"/>
    <w:rsid w:val="00CF5C58"/>
    <w:rsid w:val="00CF6437"/>
    <w:rsid w:val="00CF658D"/>
    <w:rsid w:val="00CF7819"/>
    <w:rsid w:val="00CF7D9B"/>
    <w:rsid w:val="00D00AC2"/>
    <w:rsid w:val="00D00C8F"/>
    <w:rsid w:val="00D01B03"/>
    <w:rsid w:val="00D028FF"/>
    <w:rsid w:val="00D030C9"/>
    <w:rsid w:val="00D03219"/>
    <w:rsid w:val="00D037C5"/>
    <w:rsid w:val="00D03C92"/>
    <w:rsid w:val="00D0656A"/>
    <w:rsid w:val="00D06D39"/>
    <w:rsid w:val="00D075C4"/>
    <w:rsid w:val="00D07A17"/>
    <w:rsid w:val="00D07E43"/>
    <w:rsid w:val="00D103E7"/>
    <w:rsid w:val="00D1186C"/>
    <w:rsid w:val="00D11E54"/>
    <w:rsid w:val="00D11F22"/>
    <w:rsid w:val="00D12CC4"/>
    <w:rsid w:val="00D13076"/>
    <w:rsid w:val="00D144CA"/>
    <w:rsid w:val="00D14644"/>
    <w:rsid w:val="00D14721"/>
    <w:rsid w:val="00D14ACB"/>
    <w:rsid w:val="00D14ECC"/>
    <w:rsid w:val="00D1537B"/>
    <w:rsid w:val="00D15430"/>
    <w:rsid w:val="00D167C6"/>
    <w:rsid w:val="00D16881"/>
    <w:rsid w:val="00D16D49"/>
    <w:rsid w:val="00D16E1B"/>
    <w:rsid w:val="00D1703D"/>
    <w:rsid w:val="00D17493"/>
    <w:rsid w:val="00D17A7F"/>
    <w:rsid w:val="00D218BD"/>
    <w:rsid w:val="00D2355B"/>
    <w:rsid w:val="00D24D97"/>
    <w:rsid w:val="00D26014"/>
    <w:rsid w:val="00D26228"/>
    <w:rsid w:val="00D264B6"/>
    <w:rsid w:val="00D270F4"/>
    <w:rsid w:val="00D27215"/>
    <w:rsid w:val="00D27FFE"/>
    <w:rsid w:val="00D3042C"/>
    <w:rsid w:val="00D3156E"/>
    <w:rsid w:val="00D32351"/>
    <w:rsid w:val="00D33F31"/>
    <w:rsid w:val="00D343B5"/>
    <w:rsid w:val="00D34D13"/>
    <w:rsid w:val="00D34F66"/>
    <w:rsid w:val="00D3587B"/>
    <w:rsid w:val="00D358C1"/>
    <w:rsid w:val="00D362BA"/>
    <w:rsid w:val="00D362C4"/>
    <w:rsid w:val="00D36470"/>
    <w:rsid w:val="00D36564"/>
    <w:rsid w:val="00D36EBD"/>
    <w:rsid w:val="00D37007"/>
    <w:rsid w:val="00D3706C"/>
    <w:rsid w:val="00D374B8"/>
    <w:rsid w:val="00D37D97"/>
    <w:rsid w:val="00D40269"/>
    <w:rsid w:val="00D406F2"/>
    <w:rsid w:val="00D4252A"/>
    <w:rsid w:val="00D42B08"/>
    <w:rsid w:val="00D43618"/>
    <w:rsid w:val="00D441D5"/>
    <w:rsid w:val="00D442C5"/>
    <w:rsid w:val="00D4473F"/>
    <w:rsid w:val="00D44A42"/>
    <w:rsid w:val="00D453BF"/>
    <w:rsid w:val="00D454B8"/>
    <w:rsid w:val="00D45AE2"/>
    <w:rsid w:val="00D460F0"/>
    <w:rsid w:val="00D46D5C"/>
    <w:rsid w:val="00D479CB"/>
    <w:rsid w:val="00D50272"/>
    <w:rsid w:val="00D50DC6"/>
    <w:rsid w:val="00D51014"/>
    <w:rsid w:val="00D51847"/>
    <w:rsid w:val="00D51E28"/>
    <w:rsid w:val="00D5212F"/>
    <w:rsid w:val="00D52ABB"/>
    <w:rsid w:val="00D52EDD"/>
    <w:rsid w:val="00D53C4C"/>
    <w:rsid w:val="00D54BBC"/>
    <w:rsid w:val="00D558F0"/>
    <w:rsid w:val="00D56336"/>
    <w:rsid w:val="00D5667B"/>
    <w:rsid w:val="00D57AA0"/>
    <w:rsid w:val="00D57BD3"/>
    <w:rsid w:val="00D57D61"/>
    <w:rsid w:val="00D603A2"/>
    <w:rsid w:val="00D606DB"/>
    <w:rsid w:val="00D60CEC"/>
    <w:rsid w:val="00D61039"/>
    <w:rsid w:val="00D63E27"/>
    <w:rsid w:val="00D63E6F"/>
    <w:rsid w:val="00D64954"/>
    <w:rsid w:val="00D65845"/>
    <w:rsid w:val="00D65E8F"/>
    <w:rsid w:val="00D66680"/>
    <w:rsid w:val="00D6728C"/>
    <w:rsid w:val="00D7047D"/>
    <w:rsid w:val="00D719D4"/>
    <w:rsid w:val="00D723CD"/>
    <w:rsid w:val="00D72915"/>
    <w:rsid w:val="00D72ADA"/>
    <w:rsid w:val="00D7346D"/>
    <w:rsid w:val="00D74DDD"/>
    <w:rsid w:val="00D753F9"/>
    <w:rsid w:val="00D7644C"/>
    <w:rsid w:val="00D769C1"/>
    <w:rsid w:val="00D76A44"/>
    <w:rsid w:val="00D76D7E"/>
    <w:rsid w:val="00D77D29"/>
    <w:rsid w:val="00D77FCF"/>
    <w:rsid w:val="00D8272A"/>
    <w:rsid w:val="00D82AFC"/>
    <w:rsid w:val="00D82D48"/>
    <w:rsid w:val="00D83C7E"/>
    <w:rsid w:val="00D8457F"/>
    <w:rsid w:val="00D8574A"/>
    <w:rsid w:val="00D857E2"/>
    <w:rsid w:val="00D8691A"/>
    <w:rsid w:val="00D86D85"/>
    <w:rsid w:val="00D86E91"/>
    <w:rsid w:val="00D86FE3"/>
    <w:rsid w:val="00D9050F"/>
    <w:rsid w:val="00D90C7C"/>
    <w:rsid w:val="00D92892"/>
    <w:rsid w:val="00D9303F"/>
    <w:rsid w:val="00D9368B"/>
    <w:rsid w:val="00D94365"/>
    <w:rsid w:val="00D943C2"/>
    <w:rsid w:val="00D94866"/>
    <w:rsid w:val="00D94D46"/>
    <w:rsid w:val="00D96351"/>
    <w:rsid w:val="00D9636D"/>
    <w:rsid w:val="00D967AD"/>
    <w:rsid w:val="00D96935"/>
    <w:rsid w:val="00D96FFE"/>
    <w:rsid w:val="00D97105"/>
    <w:rsid w:val="00D9761E"/>
    <w:rsid w:val="00DA0698"/>
    <w:rsid w:val="00DA08EC"/>
    <w:rsid w:val="00DA1043"/>
    <w:rsid w:val="00DA16BF"/>
    <w:rsid w:val="00DA17C8"/>
    <w:rsid w:val="00DA2447"/>
    <w:rsid w:val="00DA28C8"/>
    <w:rsid w:val="00DA2E1E"/>
    <w:rsid w:val="00DA307E"/>
    <w:rsid w:val="00DA384F"/>
    <w:rsid w:val="00DA38E1"/>
    <w:rsid w:val="00DA3E55"/>
    <w:rsid w:val="00DA4152"/>
    <w:rsid w:val="00DA52D5"/>
    <w:rsid w:val="00DA57C7"/>
    <w:rsid w:val="00DA58E7"/>
    <w:rsid w:val="00DA5AF8"/>
    <w:rsid w:val="00DA6624"/>
    <w:rsid w:val="00DA70B5"/>
    <w:rsid w:val="00DA7242"/>
    <w:rsid w:val="00DB01A8"/>
    <w:rsid w:val="00DB0231"/>
    <w:rsid w:val="00DB120F"/>
    <w:rsid w:val="00DB248D"/>
    <w:rsid w:val="00DB257F"/>
    <w:rsid w:val="00DB37E1"/>
    <w:rsid w:val="00DB3D02"/>
    <w:rsid w:val="00DB4CF3"/>
    <w:rsid w:val="00DB4DC0"/>
    <w:rsid w:val="00DB5753"/>
    <w:rsid w:val="00DB5BA2"/>
    <w:rsid w:val="00DB6158"/>
    <w:rsid w:val="00DB64FD"/>
    <w:rsid w:val="00DB7A10"/>
    <w:rsid w:val="00DB7A3C"/>
    <w:rsid w:val="00DB7B9F"/>
    <w:rsid w:val="00DC3137"/>
    <w:rsid w:val="00DC41A4"/>
    <w:rsid w:val="00DC44FB"/>
    <w:rsid w:val="00DC46DB"/>
    <w:rsid w:val="00DC72A6"/>
    <w:rsid w:val="00DC793B"/>
    <w:rsid w:val="00DC7BD0"/>
    <w:rsid w:val="00DC7DEE"/>
    <w:rsid w:val="00DD00A8"/>
    <w:rsid w:val="00DD0422"/>
    <w:rsid w:val="00DD0527"/>
    <w:rsid w:val="00DD0E5B"/>
    <w:rsid w:val="00DD0F34"/>
    <w:rsid w:val="00DD1119"/>
    <w:rsid w:val="00DD2134"/>
    <w:rsid w:val="00DD3211"/>
    <w:rsid w:val="00DD4333"/>
    <w:rsid w:val="00DD43D1"/>
    <w:rsid w:val="00DD4AD1"/>
    <w:rsid w:val="00DD4D45"/>
    <w:rsid w:val="00DD563D"/>
    <w:rsid w:val="00DD7A20"/>
    <w:rsid w:val="00DD7AFC"/>
    <w:rsid w:val="00DE094E"/>
    <w:rsid w:val="00DE1117"/>
    <w:rsid w:val="00DE1DD2"/>
    <w:rsid w:val="00DE1EC9"/>
    <w:rsid w:val="00DE1FAD"/>
    <w:rsid w:val="00DE2910"/>
    <w:rsid w:val="00DE344F"/>
    <w:rsid w:val="00DE352F"/>
    <w:rsid w:val="00DE3CBB"/>
    <w:rsid w:val="00DE4112"/>
    <w:rsid w:val="00DE4206"/>
    <w:rsid w:val="00DE4681"/>
    <w:rsid w:val="00DE4893"/>
    <w:rsid w:val="00DE5052"/>
    <w:rsid w:val="00DE5981"/>
    <w:rsid w:val="00DE5C21"/>
    <w:rsid w:val="00DE5C7C"/>
    <w:rsid w:val="00DE69D0"/>
    <w:rsid w:val="00DE6A88"/>
    <w:rsid w:val="00DE6CE0"/>
    <w:rsid w:val="00DE6E49"/>
    <w:rsid w:val="00DE71DB"/>
    <w:rsid w:val="00DF0E47"/>
    <w:rsid w:val="00DF1F48"/>
    <w:rsid w:val="00DF2347"/>
    <w:rsid w:val="00DF33EB"/>
    <w:rsid w:val="00DF364C"/>
    <w:rsid w:val="00DF3A3F"/>
    <w:rsid w:val="00DF4BCF"/>
    <w:rsid w:val="00DF55A6"/>
    <w:rsid w:val="00DF6032"/>
    <w:rsid w:val="00DF6193"/>
    <w:rsid w:val="00DF66B0"/>
    <w:rsid w:val="00DF675A"/>
    <w:rsid w:val="00DF6B3A"/>
    <w:rsid w:val="00DF6F5B"/>
    <w:rsid w:val="00DF7B19"/>
    <w:rsid w:val="00E0141E"/>
    <w:rsid w:val="00E01A80"/>
    <w:rsid w:val="00E036A8"/>
    <w:rsid w:val="00E04DEC"/>
    <w:rsid w:val="00E04E64"/>
    <w:rsid w:val="00E055DC"/>
    <w:rsid w:val="00E05E4E"/>
    <w:rsid w:val="00E06860"/>
    <w:rsid w:val="00E06C79"/>
    <w:rsid w:val="00E07424"/>
    <w:rsid w:val="00E07539"/>
    <w:rsid w:val="00E07D71"/>
    <w:rsid w:val="00E11418"/>
    <w:rsid w:val="00E116E7"/>
    <w:rsid w:val="00E1176D"/>
    <w:rsid w:val="00E1188C"/>
    <w:rsid w:val="00E11C5B"/>
    <w:rsid w:val="00E12105"/>
    <w:rsid w:val="00E1381A"/>
    <w:rsid w:val="00E14358"/>
    <w:rsid w:val="00E14603"/>
    <w:rsid w:val="00E1491A"/>
    <w:rsid w:val="00E14B28"/>
    <w:rsid w:val="00E14C85"/>
    <w:rsid w:val="00E15B71"/>
    <w:rsid w:val="00E15C80"/>
    <w:rsid w:val="00E15DF3"/>
    <w:rsid w:val="00E16416"/>
    <w:rsid w:val="00E1726B"/>
    <w:rsid w:val="00E172A0"/>
    <w:rsid w:val="00E2009B"/>
    <w:rsid w:val="00E2073D"/>
    <w:rsid w:val="00E2075F"/>
    <w:rsid w:val="00E20943"/>
    <w:rsid w:val="00E20E7E"/>
    <w:rsid w:val="00E22933"/>
    <w:rsid w:val="00E22A06"/>
    <w:rsid w:val="00E23715"/>
    <w:rsid w:val="00E23966"/>
    <w:rsid w:val="00E265BA"/>
    <w:rsid w:val="00E2705C"/>
    <w:rsid w:val="00E270A6"/>
    <w:rsid w:val="00E27744"/>
    <w:rsid w:val="00E3030D"/>
    <w:rsid w:val="00E30335"/>
    <w:rsid w:val="00E3082C"/>
    <w:rsid w:val="00E30B35"/>
    <w:rsid w:val="00E31ACD"/>
    <w:rsid w:val="00E3273F"/>
    <w:rsid w:val="00E32F19"/>
    <w:rsid w:val="00E32FF1"/>
    <w:rsid w:val="00E367AD"/>
    <w:rsid w:val="00E367D0"/>
    <w:rsid w:val="00E36D01"/>
    <w:rsid w:val="00E40472"/>
    <w:rsid w:val="00E4198A"/>
    <w:rsid w:val="00E42856"/>
    <w:rsid w:val="00E42A1D"/>
    <w:rsid w:val="00E440FE"/>
    <w:rsid w:val="00E443B8"/>
    <w:rsid w:val="00E44862"/>
    <w:rsid w:val="00E45CEF"/>
    <w:rsid w:val="00E45E8B"/>
    <w:rsid w:val="00E46FBE"/>
    <w:rsid w:val="00E5135D"/>
    <w:rsid w:val="00E52128"/>
    <w:rsid w:val="00E52FC6"/>
    <w:rsid w:val="00E53E71"/>
    <w:rsid w:val="00E55937"/>
    <w:rsid w:val="00E55CD9"/>
    <w:rsid w:val="00E568A8"/>
    <w:rsid w:val="00E56DA2"/>
    <w:rsid w:val="00E571DA"/>
    <w:rsid w:val="00E5723B"/>
    <w:rsid w:val="00E574E0"/>
    <w:rsid w:val="00E577FA"/>
    <w:rsid w:val="00E57C48"/>
    <w:rsid w:val="00E610FB"/>
    <w:rsid w:val="00E61269"/>
    <w:rsid w:val="00E61D24"/>
    <w:rsid w:val="00E62123"/>
    <w:rsid w:val="00E624AD"/>
    <w:rsid w:val="00E62AA5"/>
    <w:rsid w:val="00E65B6E"/>
    <w:rsid w:val="00E65CC0"/>
    <w:rsid w:val="00E667E4"/>
    <w:rsid w:val="00E667F9"/>
    <w:rsid w:val="00E66812"/>
    <w:rsid w:val="00E66C69"/>
    <w:rsid w:val="00E66D1A"/>
    <w:rsid w:val="00E6738C"/>
    <w:rsid w:val="00E677D4"/>
    <w:rsid w:val="00E6791A"/>
    <w:rsid w:val="00E700E6"/>
    <w:rsid w:val="00E701F5"/>
    <w:rsid w:val="00E713C5"/>
    <w:rsid w:val="00E7157D"/>
    <w:rsid w:val="00E723C1"/>
    <w:rsid w:val="00E7279C"/>
    <w:rsid w:val="00E727B4"/>
    <w:rsid w:val="00E72B8A"/>
    <w:rsid w:val="00E72E44"/>
    <w:rsid w:val="00E73657"/>
    <w:rsid w:val="00E73E3A"/>
    <w:rsid w:val="00E74CEA"/>
    <w:rsid w:val="00E754E2"/>
    <w:rsid w:val="00E75CEB"/>
    <w:rsid w:val="00E76442"/>
    <w:rsid w:val="00E76EB1"/>
    <w:rsid w:val="00E7716D"/>
    <w:rsid w:val="00E80450"/>
    <w:rsid w:val="00E80B9F"/>
    <w:rsid w:val="00E80CFE"/>
    <w:rsid w:val="00E815B3"/>
    <w:rsid w:val="00E81A90"/>
    <w:rsid w:val="00E82583"/>
    <w:rsid w:val="00E82B7D"/>
    <w:rsid w:val="00E82B8B"/>
    <w:rsid w:val="00E82DD9"/>
    <w:rsid w:val="00E839BB"/>
    <w:rsid w:val="00E84715"/>
    <w:rsid w:val="00E847D1"/>
    <w:rsid w:val="00E859CC"/>
    <w:rsid w:val="00E85A8C"/>
    <w:rsid w:val="00E86147"/>
    <w:rsid w:val="00E86B3F"/>
    <w:rsid w:val="00E87143"/>
    <w:rsid w:val="00E87F40"/>
    <w:rsid w:val="00E909E2"/>
    <w:rsid w:val="00E9147B"/>
    <w:rsid w:val="00E914B0"/>
    <w:rsid w:val="00E92704"/>
    <w:rsid w:val="00E93D50"/>
    <w:rsid w:val="00E93E17"/>
    <w:rsid w:val="00E93FE0"/>
    <w:rsid w:val="00E940B8"/>
    <w:rsid w:val="00E9468A"/>
    <w:rsid w:val="00E95066"/>
    <w:rsid w:val="00E95DD5"/>
    <w:rsid w:val="00E9693C"/>
    <w:rsid w:val="00E969F7"/>
    <w:rsid w:val="00E9766D"/>
    <w:rsid w:val="00EA0611"/>
    <w:rsid w:val="00EA11A1"/>
    <w:rsid w:val="00EA1346"/>
    <w:rsid w:val="00EA16A6"/>
    <w:rsid w:val="00EA1751"/>
    <w:rsid w:val="00EA2A4D"/>
    <w:rsid w:val="00EA2A4F"/>
    <w:rsid w:val="00EA2B75"/>
    <w:rsid w:val="00EA2F7E"/>
    <w:rsid w:val="00EA3A45"/>
    <w:rsid w:val="00EA3F72"/>
    <w:rsid w:val="00EA5240"/>
    <w:rsid w:val="00EA5AB0"/>
    <w:rsid w:val="00EA7582"/>
    <w:rsid w:val="00EA7B1A"/>
    <w:rsid w:val="00EB03C8"/>
    <w:rsid w:val="00EB068E"/>
    <w:rsid w:val="00EB09E2"/>
    <w:rsid w:val="00EB1342"/>
    <w:rsid w:val="00EB1EB5"/>
    <w:rsid w:val="00EB2447"/>
    <w:rsid w:val="00EB2499"/>
    <w:rsid w:val="00EB2E56"/>
    <w:rsid w:val="00EB40BD"/>
    <w:rsid w:val="00EB4D3F"/>
    <w:rsid w:val="00EB6174"/>
    <w:rsid w:val="00EB6960"/>
    <w:rsid w:val="00EB6F5C"/>
    <w:rsid w:val="00EB6FD7"/>
    <w:rsid w:val="00EB7163"/>
    <w:rsid w:val="00EB7FB6"/>
    <w:rsid w:val="00EC037E"/>
    <w:rsid w:val="00EC085E"/>
    <w:rsid w:val="00EC15E4"/>
    <w:rsid w:val="00EC1FFF"/>
    <w:rsid w:val="00EC24B2"/>
    <w:rsid w:val="00EC29C2"/>
    <w:rsid w:val="00EC32B2"/>
    <w:rsid w:val="00EC38CB"/>
    <w:rsid w:val="00EC4F7A"/>
    <w:rsid w:val="00EC5366"/>
    <w:rsid w:val="00EC563C"/>
    <w:rsid w:val="00EC60D3"/>
    <w:rsid w:val="00EC6150"/>
    <w:rsid w:val="00EC6288"/>
    <w:rsid w:val="00EC6D7F"/>
    <w:rsid w:val="00EC6F1B"/>
    <w:rsid w:val="00EC70E2"/>
    <w:rsid w:val="00EC7E66"/>
    <w:rsid w:val="00ED0584"/>
    <w:rsid w:val="00ED0904"/>
    <w:rsid w:val="00ED0E86"/>
    <w:rsid w:val="00ED1945"/>
    <w:rsid w:val="00ED36A9"/>
    <w:rsid w:val="00ED4AF1"/>
    <w:rsid w:val="00ED50A1"/>
    <w:rsid w:val="00ED52E6"/>
    <w:rsid w:val="00ED58A6"/>
    <w:rsid w:val="00ED6FF2"/>
    <w:rsid w:val="00ED764F"/>
    <w:rsid w:val="00ED7852"/>
    <w:rsid w:val="00ED7FE4"/>
    <w:rsid w:val="00EE21C4"/>
    <w:rsid w:val="00EE220A"/>
    <w:rsid w:val="00EE2FDA"/>
    <w:rsid w:val="00EE3281"/>
    <w:rsid w:val="00EE39AA"/>
    <w:rsid w:val="00EE4AB3"/>
    <w:rsid w:val="00EE4FC5"/>
    <w:rsid w:val="00EE6F7A"/>
    <w:rsid w:val="00EE7299"/>
    <w:rsid w:val="00EF15F5"/>
    <w:rsid w:val="00EF21F4"/>
    <w:rsid w:val="00EF225A"/>
    <w:rsid w:val="00EF26AC"/>
    <w:rsid w:val="00EF26B9"/>
    <w:rsid w:val="00EF292E"/>
    <w:rsid w:val="00EF2CC1"/>
    <w:rsid w:val="00EF37C7"/>
    <w:rsid w:val="00EF58EA"/>
    <w:rsid w:val="00EF6541"/>
    <w:rsid w:val="00EF663C"/>
    <w:rsid w:val="00EF72E5"/>
    <w:rsid w:val="00EF788A"/>
    <w:rsid w:val="00F00DA0"/>
    <w:rsid w:val="00F00DC2"/>
    <w:rsid w:val="00F012BE"/>
    <w:rsid w:val="00F01A2C"/>
    <w:rsid w:val="00F030C8"/>
    <w:rsid w:val="00F03B76"/>
    <w:rsid w:val="00F055BC"/>
    <w:rsid w:val="00F05F10"/>
    <w:rsid w:val="00F069C4"/>
    <w:rsid w:val="00F07265"/>
    <w:rsid w:val="00F07CF0"/>
    <w:rsid w:val="00F07E9F"/>
    <w:rsid w:val="00F10E66"/>
    <w:rsid w:val="00F11B45"/>
    <w:rsid w:val="00F11F02"/>
    <w:rsid w:val="00F121F6"/>
    <w:rsid w:val="00F12255"/>
    <w:rsid w:val="00F13339"/>
    <w:rsid w:val="00F155A1"/>
    <w:rsid w:val="00F15DCA"/>
    <w:rsid w:val="00F167BE"/>
    <w:rsid w:val="00F16C40"/>
    <w:rsid w:val="00F17AE5"/>
    <w:rsid w:val="00F2104E"/>
    <w:rsid w:val="00F21612"/>
    <w:rsid w:val="00F21D23"/>
    <w:rsid w:val="00F2274F"/>
    <w:rsid w:val="00F23269"/>
    <w:rsid w:val="00F23429"/>
    <w:rsid w:val="00F234A7"/>
    <w:rsid w:val="00F25940"/>
    <w:rsid w:val="00F2595C"/>
    <w:rsid w:val="00F26164"/>
    <w:rsid w:val="00F26543"/>
    <w:rsid w:val="00F27030"/>
    <w:rsid w:val="00F27523"/>
    <w:rsid w:val="00F275D2"/>
    <w:rsid w:val="00F308A9"/>
    <w:rsid w:val="00F30B43"/>
    <w:rsid w:val="00F32D29"/>
    <w:rsid w:val="00F3469E"/>
    <w:rsid w:val="00F35C45"/>
    <w:rsid w:val="00F36424"/>
    <w:rsid w:val="00F37114"/>
    <w:rsid w:val="00F37482"/>
    <w:rsid w:val="00F37B95"/>
    <w:rsid w:val="00F37CA2"/>
    <w:rsid w:val="00F40198"/>
    <w:rsid w:val="00F416A1"/>
    <w:rsid w:val="00F43331"/>
    <w:rsid w:val="00F44A41"/>
    <w:rsid w:val="00F44B6A"/>
    <w:rsid w:val="00F44C60"/>
    <w:rsid w:val="00F464EB"/>
    <w:rsid w:val="00F46513"/>
    <w:rsid w:val="00F47A47"/>
    <w:rsid w:val="00F504D4"/>
    <w:rsid w:val="00F5111A"/>
    <w:rsid w:val="00F5149E"/>
    <w:rsid w:val="00F51E30"/>
    <w:rsid w:val="00F542A7"/>
    <w:rsid w:val="00F54468"/>
    <w:rsid w:val="00F5496B"/>
    <w:rsid w:val="00F550F4"/>
    <w:rsid w:val="00F558CE"/>
    <w:rsid w:val="00F55A0A"/>
    <w:rsid w:val="00F55B25"/>
    <w:rsid w:val="00F561EF"/>
    <w:rsid w:val="00F564E6"/>
    <w:rsid w:val="00F57258"/>
    <w:rsid w:val="00F60906"/>
    <w:rsid w:val="00F60A38"/>
    <w:rsid w:val="00F61764"/>
    <w:rsid w:val="00F61BFC"/>
    <w:rsid w:val="00F61EFE"/>
    <w:rsid w:val="00F61F10"/>
    <w:rsid w:val="00F631B3"/>
    <w:rsid w:val="00F63292"/>
    <w:rsid w:val="00F64CB7"/>
    <w:rsid w:val="00F64F17"/>
    <w:rsid w:val="00F651F7"/>
    <w:rsid w:val="00F65592"/>
    <w:rsid w:val="00F6737D"/>
    <w:rsid w:val="00F67F54"/>
    <w:rsid w:val="00F70427"/>
    <w:rsid w:val="00F7050E"/>
    <w:rsid w:val="00F706F4"/>
    <w:rsid w:val="00F70DA0"/>
    <w:rsid w:val="00F71247"/>
    <w:rsid w:val="00F71408"/>
    <w:rsid w:val="00F71D5E"/>
    <w:rsid w:val="00F72D8D"/>
    <w:rsid w:val="00F72F3C"/>
    <w:rsid w:val="00F74363"/>
    <w:rsid w:val="00F74382"/>
    <w:rsid w:val="00F74844"/>
    <w:rsid w:val="00F749F7"/>
    <w:rsid w:val="00F754BC"/>
    <w:rsid w:val="00F754C5"/>
    <w:rsid w:val="00F7550D"/>
    <w:rsid w:val="00F80DEA"/>
    <w:rsid w:val="00F8109B"/>
    <w:rsid w:val="00F81157"/>
    <w:rsid w:val="00F82756"/>
    <w:rsid w:val="00F83645"/>
    <w:rsid w:val="00F843C6"/>
    <w:rsid w:val="00F84474"/>
    <w:rsid w:val="00F84E7E"/>
    <w:rsid w:val="00F85364"/>
    <w:rsid w:val="00F87281"/>
    <w:rsid w:val="00F87293"/>
    <w:rsid w:val="00F87FDE"/>
    <w:rsid w:val="00F91A59"/>
    <w:rsid w:val="00F91DCF"/>
    <w:rsid w:val="00F92160"/>
    <w:rsid w:val="00F939AA"/>
    <w:rsid w:val="00F950F6"/>
    <w:rsid w:val="00F95C17"/>
    <w:rsid w:val="00F96F4F"/>
    <w:rsid w:val="00F97CB3"/>
    <w:rsid w:val="00FA1260"/>
    <w:rsid w:val="00FA1277"/>
    <w:rsid w:val="00FA197A"/>
    <w:rsid w:val="00FA226D"/>
    <w:rsid w:val="00FA3395"/>
    <w:rsid w:val="00FA4AFC"/>
    <w:rsid w:val="00FA5AB7"/>
    <w:rsid w:val="00FA6825"/>
    <w:rsid w:val="00FB10EB"/>
    <w:rsid w:val="00FB10F5"/>
    <w:rsid w:val="00FB11F1"/>
    <w:rsid w:val="00FB139D"/>
    <w:rsid w:val="00FB1C23"/>
    <w:rsid w:val="00FB2693"/>
    <w:rsid w:val="00FB2F28"/>
    <w:rsid w:val="00FB2FA0"/>
    <w:rsid w:val="00FB395B"/>
    <w:rsid w:val="00FB497B"/>
    <w:rsid w:val="00FB4E09"/>
    <w:rsid w:val="00FB4E89"/>
    <w:rsid w:val="00FB5706"/>
    <w:rsid w:val="00FB5846"/>
    <w:rsid w:val="00FC0FF8"/>
    <w:rsid w:val="00FC3166"/>
    <w:rsid w:val="00FC4A83"/>
    <w:rsid w:val="00FC5481"/>
    <w:rsid w:val="00FC70F8"/>
    <w:rsid w:val="00FC71C2"/>
    <w:rsid w:val="00FC73F1"/>
    <w:rsid w:val="00FC77DA"/>
    <w:rsid w:val="00FC7B90"/>
    <w:rsid w:val="00FC7E71"/>
    <w:rsid w:val="00FD1760"/>
    <w:rsid w:val="00FD1983"/>
    <w:rsid w:val="00FD1BCE"/>
    <w:rsid w:val="00FD26FA"/>
    <w:rsid w:val="00FD2BE5"/>
    <w:rsid w:val="00FD3223"/>
    <w:rsid w:val="00FD323F"/>
    <w:rsid w:val="00FD4050"/>
    <w:rsid w:val="00FD47AD"/>
    <w:rsid w:val="00FD480B"/>
    <w:rsid w:val="00FD4B1B"/>
    <w:rsid w:val="00FD5DB8"/>
    <w:rsid w:val="00FD71E3"/>
    <w:rsid w:val="00FD7223"/>
    <w:rsid w:val="00FD7950"/>
    <w:rsid w:val="00FE006D"/>
    <w:rsid w:val="00FE0556"/>
    <w:rsid w:val="00FE0B5F"/>
    <w:rsid w:val="00FE0CA1"/>
    <w:rsid w:val="00FE0EB4"/>
    <w:rsid w:val="00FE110E"/>
    <w:rsid w:val="00FE1AAC"/>
    <w:rsid w:val="00FE365F"/>
    <w:rsid w:val="00FE3708"/>
    <w:rsid w:val="00FE41B6"/>
    <w:rsid w:val="00FE4F60"/>
    <w:rsid w:val="00FE55D4"/>
    <w:rsid w:val="00FE5DDD"/>
    <w:rsid w:val="00FE70E8"/>
    <w:rsid w:val="00FE7567"/>
    <w:rsid w:val="00FF0128"/>
    <w:rsid w:val="00FF08D3"/>
    <w:rsid w:val="00FF1848"/>
    <w:rsid w:val="00FF380A"/>
    <w:rsid w:val="00FF3F5F"/>
    <w:rsid w:val="00FF3FE6"/>
    <w:rsid w:val="00FF4443"/>
    <w:rsid w:val="00FF44A4"/>
    <w:rsid w:val="00FF5BC8"/>
    <w:rsid w:val="00FF7367"/>
    <w:rsid w:val="00FF79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41"/>
    <o:shapelayout v:ext="edit">
      <o:idmap v:ext="edit" data="1"/>
    </o:shapelayout>
  </w:shapeDefaults>
  <w:decimalSymbol w:val="."/>
  <w:listSeparator w:val=","/>
  <w14:docId w14:val="3E0C2080"/>
  <w15:chartTrackingRefBased/>
  <w15:docId w15:val="{7B66F1AF-1243-46F0-8676-71A26D381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line="24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27D2"/>
  </w:style>
  <w:style w:type="paragraph" w:styleId="Heading1">
    <w:name w:val="heading 1"/>
    <w:basedOn w:val="Normal"/>
    <w:next w:val="Normal"/>
    <w:link w:val="Heading1Char"/>
    <w:uiPriority w:val="9"/>
    <w:qFormat/>
    <w:rsid w:val="000657E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657E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0657E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4214"/>
    <w:pPr>
      <w:ind w:left="720"/>
      <w:contextualSpacing/>
    </w:pPr>
  </w:style>
  <w:style w:type="character" w:styleId="Hyperlink">
    <w:name w:val="Hyperlink"/>
    <w:basedOn w:val="DefaultParagraphFont"/>
    <w:uiPriority w:val="99"/>
    <w:unhideWhenUsed/>
    <w:rsid w:val="00C30EFE"/>
    <w:rPr>
      <w:color w:val="0000FF" w:themeColor="hyperlink"/>
      <w:u w:val="single"/>
    </w:rPr>
  </w:style>
  <w:style w:type="paragraph" w:styleId="Header">
    <w:name w:val="header"/>
    <w:basedOn w:val="Normal"/>
    <w:link w:val="HeaderChar"/>
    <w:uiPriority w:val="99"/>
    <w:unhideWhenUsed/>
    <w:rsid w:val="00E55937"/>
    <w:pPr>
      <w:tabs>
        <w:tab w:val="center" w:pos="4513"/>
        <w:tab w:val="right" w:pos="9026"/>
      </w:tabs>
      <w:spacing w:line="240" w:lineRule="auto"/>
    </w:pPr>
  </w:style>
  <w:style w:type="character" w:customStyle="1" w:styleId="HeaderChar">
    <w:name w:val="Header Char"/>
    <w:basedOn w:val="DefaultParagraphFont"/>
    <w:link w:val="Header"/>
    <w:uiPriority w:val="99"/>
    <w:rsid w:val="00E55937"/>
  </w:style>
  <w:style w:type="paragraph" w:styleId="Footer">
    <w:name w:val="footer"/>
    <w:basedOn w:val="Normal"/>
    <w:link w:val="FooterChar"/>
    <w:uiPriority w:val="99"/>
    <w:unhideWhenUsed/>
    <w:rsid w:val="00E55937"/>
    <w:pPr>
      <w:tabs>
        <w:tab w:val="center" w:pos="4513"/>
        <w:tab w:val="right" w:pos="9026"/>
      </w:tabs>
      <w:spacing w:line="240" w:lineRule="auto"/>
    </w:pPr>
  </w:style>
  <w:style w:type="character" w:customStyle="1" w:styleId="FooterChar">
    <w:name w:val="Footer Char"/>
    <w:basedOn w:val="DefaultParagraphFont"/>
    <w:link w:val="Footer"/>
    <w:uiPriority w:val="99"/>
    <w:rsid w:val="00E55937"/>
  </w:style>
  <w:style w:type="character" w:styleId="FollowedHyperlink">
    <w:name w:val="FollowedHyperlink"/>
    <w:basedOn w:val="DefaultParagraphFont"/>
    <w:uiPriority w:val="99"/>
    <w:semiHidden/>
    <w:unhideWhenUsed/>
    <w:rsid w:val="00B47066"/>
    <w:rPr>
      <w:color w:val="800080" w:themeColor="followedHyperlink"/>
      <w:u w:val="single"/>
    </w:rPr>
  </w:style>
  <w:style w:type="paragraph" w:customStyle="1" w:styleId="JSNAHeading">
    <w:name w:val="JSNA Heading"/>
    <w:basedOn w:val="Normal"/>
    <w:link w:val="JSNAHeadingChar"/>
    <w:rsid w:val="008B0B40"/>
    <w:pPr>
      <w:shd w:val="clear" w:color="auto" w:fill="002F5D"/>
      <w:spacing w:before="120" w:line="240" w:lineRule="auto"/>
      <w:ind w:firstLine="720"/>
    </w:pPr>
    <w:rPr>
      <w:rFonts w:cs="Arial"/>
      <w:b/>
      <w:color w:val="FFFFFF" w:themeColor="background1"/>
      <w:sz w:val="24"/>
      <w:szCs w:val="24"/>
    </w:rPr>
  </w:style>
  <w:style w:type="paragraph" w:customStyle="1" w:styleId="Style1">
    <w:name w:val="Style1"/>
    <w:basedOn w:val="JSNAHeading"/>
    <w:link w:val="Style1Char"/>
    <w:rsid w:val="008B0B40"/>
  </w:style>
  <w:style w:type="character" w:customStyle="1" w:styleId="JSNAHeadingChar">
    <w:name w:val="JSNA Heading Char"/>
    <w:basedOn w:val="DefaultParagraphFont"/>
    <w:link w:val="JSNAHeading"/>
    <w:rsid w:val="008B0B40"/>
    <w:rPr>
      <w:rFonts w:cs="Arial"/>
      <w:b/>
      <w:color w:val="FFFFFF" w:themeColor="background1"/>
      <w:sz w:val="24"/>
      <w:szCs w:val="24"/>
      <w:shd w:val="clear" w:color="auto" w:fill="002F5D"/>
    </w:rPr>
  </w:style>
  <w:style w:type="character" w:customStyle="1" w:styleId="Style1Char">
    <w:name w:val="Style1 Char"/>
    <w:basedOn w:val="JSNAHeadingChar"/>
    <w:link w:val="Style1"/>
    <w:rsid w:val="008B0B40"/>
    <w:rPr>
      <w:rFonts w:cs="Arial"/>
      <w:b/>
      <w:color w:val="FFFFFF" w:themeColor="background1"/>
      <w:sz w:val="24"/>
      <w:szCs w:val="24"/>
      <w:shd w:val="clear" w:color="auto" w:fill="002F5D"/>
    </w:rPr>
  </w:style>
  <w:style w:type="paragraph" w:styleId="BalloonText">
    <w:name w:val="Balloon Text"/>
    <w:basedOn w:val="Normal"/>
    <w:link w:val="BalloonTextChar"/>
    <w:uiPriority w:val="99"/>
    <w:semiHidden/>
    <w:unhideWhenUsed/>
    <w:rsid w:val="00F44A4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4A41"/>
    <w:rPr>
      <w:rFonts w:ascii="Segoe UI" w:hAnsi="Segoe UI" w:cs="Segoe UI"/>
      <w:sz w:val="18"/>
      <w:szCs w:val="18"/>
    </w:rPr>
  </w:style>
  <w:style w:type="paragraph" w:customStyle="1" w:styleId="JSNA3">
    <w:name w:val="JSNA 3"/>
    <w:basedOn w:val="Heading3"/>
    <w:link w:val="JSNA3Char"/>
    <w:autoRedefine/>
    <w:qFormat/>
    <w:rsid w:val="00A3568F"/>
    <w:pPr>
      <w:shd w:val="clear" w:color="auto" w:fill="002F5D"/>
      <w:spacing w:before="0" w:line="240" w:lineRule="auto"/>
      <w:ind w:firstLine="284"/>
    </w:pPr>
    <w:rPr>
      <w:rFonts w:asciiTheme="minorHAnsi" w:hAnsiTheme="minorHAnsi"/>
      <w:b/>
      <w:color w:val="FFFFFF" w:themeColor="background1"/>
      <w:sz w:val="22"/>
      <w:szCs w:val="22"/>
    </w:rPr>
  </w:style>
  <w:style w:type="paragraph" w:customStyle="1" w:styleId="JSNA2">
    <w:name w:val="JSNA 2"/>
    <w:basedOn w:val="Heading2"/>
    <w:link w:val="JSNA2Char"/>
    <w:qFormat/>
    <w:rsid w:val="0038179C"/>
    <w:pPr>
      <w:numPr>
        <w:ilvl w:val="1"/>
        <w:numId w:val="1"/>
      </w:numPr>
      <w:shd w:val="clear" w:color="auto" w:fill="002F5D"/>
      <w:spacing w:line="240" w:lineRule="auto"/>
      <w:ind w:left="567" w:hanging="567"/>
    </w:pPr>
    <w:rPr>
      <w:rFonts w:asciiTheme="minorHAnsi" w:hAnsiTheme="minorHAnsi" w:cs="Arial"/>
      <w:b/>
      <w:color w:val="FFFFFF" w:themeColor="background1"/>
      <w:sz w:val="24"/>
    </w:rPr>
  </w:style>
  <w:style w:type="character" w:customStyle="1" w:styleId="JSNA3Char">
    <w:name w:val="JSNA 3 Char"/>
    <w:basedOn w:val="Style1Char"/>
    <w:link w:val="JSNA3"/>
    <w:rsid w:val="00A3568F"/>
    <w:rPr>
      <w:rFonts w:eastAsiaTheme="majorEastAsia" w:cstheme="majorBidi"/>
      <w:b/>
      <w:color w:val="FFFFFF" w:themeColor="background1"/>
      <w:sz w:val="24"/>
      <w:szCs w:val="24"/>
      <w:shd w:val="clear" w:color="auto" w:fill="002F5D"/>
    </w:rPr>
  </w:style>
  <w:style w:type="character" w:customStyle="1" w:styleId="Heading1Char">
    <w:name w:val="Heading 1 Char"/>
    <w:basedOn w:val="DefaultParagraphFont"/>
    <w:link w:val="Heading1"/>
    <w:uiPriority w:val="9"/>
    <w:rsid w:val="000657E3"/>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0657E3"/>
    <w:rPr>
      <w:rFonts w:asciiTheme="majorHAnsi" w:eastAsiaTheme="majorEastAsia" w:hAnsiTheme="majorHAnsi" w:cstheme="majorBidi"/>
      <w:color w:val="243F60" w:themeColor="accent1" w:themeShade="7F"/>
      <w:sz w:val="24"/>
      <w:szCs w:val="24"/>
    </w:rPr>
  </w:style>
  <w:style w:type="paragraph" w:customStyle="1" w:styleId="JSNA1">
    <w:name w:val="JSNA 1"/>
    <w:basedOn w:val="Heading1"/>
    <w:link w:val="JSNA1Char"/>
    <w:qFormat/>
    <w:rsid w:val="0038179C"/>
    <w:pPr>
      <w:numPr>
        <w:numId w:val="1"/>
      </w:numPr>
      <w:shd w:val="clear" w:color="auto" w:fill="002F5D"/>
      <w:spacing w:line="240" w:lineRule="auto"/>
      <w:ind w:left="567" w:hanging="567"/>
    </w:pPr>
    <w:rPr>
      <w:rFonts w:asciiTheme="minorHAnsi" w:hAnsiTheme="minorHAnsi" w:cs="Arial"/>
      <w:b/>
      <w:color w:val="FFFFFF" w:themeColor="background1"/>
      <w:sz w:val="28"/>
    </w:rPr>
  </w:style>
  <w:style w:type="character" w:customStyle="1" w:styleId="Heading2Char">
    <w:name w:val="Heading 2 Char"/>
    <w:basedOn w:val="DefaultParagraphFont"/>
    <w:link w:val="Heading2"/>
    <w:uiPriority w:val="9"/>
    <w:rsid w:val="000657E3"/>
    <w:rPr>
      <w:rFonts w:asciiTheme="majorHAnsi" w:eastAsiaTheme="majorEastAsia" w:hAnsiTheme="majorHAnsi" w:cstheme="majorBidi"/>
      <w:color w:val="365F91" w:themeColor="accent1" w:themeShade="BF"/>
      <w:sz w:val="26"/>
      <w:szCs w:val="26"/>
    </w:rPr>
  </w:style>
  <w:style w:type="character" w:customStyle="1" w:styleId="JSNA2Char">
    <w:name w:val="JSNA 2 Char"/>
    <w:basedOn w:val="Heading2Char"/>
    <w:link w:val="JSNA2"/>
    <w:rsid w:val="0038179C"/>
    <w:rPr>
      <w:rFonts w:asciiTheme="majorHAnsi" w:eastAsiaTheme="majorEastAsia" w:hAnsiTheme="majorHAnsi" w:cs="Arial"/>
      <w:b/>
      <w:color w:val="FFFFFF" w:themeColor="background1"/>
      <w:sz w:val="24"/>
      <w:szCs w:val="26"/>
      <w:shd w:val="clear" w:color="auto" w:fill="002F5D"/>
    </w:rPr>
  </w:style>
  <w:style w:type="character" w:customStyle="1" w:styleId="JSNA1Char">
    <w:name w:val="JSNA 1 Char"/>
    <w:basedOn w:val="Heading1Char"/>
    <w:link w:val="JSNA1"/>
    <w:rsid w:val="0038179C"/>
    <w:rPr>
      <w:rFonts w:asciiTheme="majorHAnsi" w:eastAsiaTheme="majorEastAsia" w:hAnsiTheme="majorHAnsi" w:cs="Arial"/>
      <w:b/>
      <w:color w:val="FFFFFF" w:themeColor="background1"/>
      <w:sz w:val="28"/>
      <w:szCs w:val="32"/>
      <w:shd w:val="clear" w:color="auto" w:fill="002F5D"/>
    </w:rPr>
  </w:style>
  <w:style w:type="paragraph" w:styleId="FootnoteText">
    <w:name w:val="footnote text"/>
    <w:basedOn w:val="Normal"/>
    <w:link w:val="FootnoteTextChar"/>
    <w:uiPriority w:val="99"/>
    <w:semiHidden/>
    <w:unhideWhenUsed/>
    <w:rsid w:val="009523A1"/>
    <w:pPr>
      <w:spacing w:line="240" w:lineRule="auto"/>
    </w:pPr>
    <w:rPr>
      <w:sz w:val="20"/>
      <w:szCs w:val="20"/>
    </w:rPr>
  </w:style>
  <w:style w:type="character" w:customStyle="1" w:styleId="FootnoteTextChar">
    <w:name w:val="Footnote Text Char"/>
    <w:basedOn w:val="DefaultParagraphFont"/>
    <w:link w:val="FootnoteText"/>
    <w:uiPriority w:val="99"/>
    <w:semiHidden/>
    <w:rsid w:val="009523A1"/>
    <w:rPr>
      <w:sz w:val="20"/>
      <w:szCs w:val="20"/>
    </w:rPr>
  </w:style>
  <w:style w:type="character" w:styleId="FootnoteReference">
    <w:name w:val="footnote reference"/>
    <w:basedOn w:val="DefaultParagraphFont"/>
    <w:uiPriority w:val="99"/>
    <w:semiHidden/>
    <w:unhideWhenUsed/>
    <w:rsid w:val="009523A1"/>
    <w:rPr>
      <w:vertAlign w:val="superscript"/>
    </w:rPr>
  </w:style>
  <w:style w:type="paragraph" w:styleId="TOCHeading">
    <w:name w:val="TOC Heading"/>
    <w:basedOn w:val="Heading1"/>
    <w:next w:val="Normal"/>
    <w:uiPriority w:val="39"/>
    <w:unhideWhenUsed/>
    <w:qFormat/>
    <w:rsid w:val="00D03219"/>
    <w:pPr>
      <w:spacing w:line="259" w:lineRule="auto"/>
      <w:outlineLvl w:val="9"/>
    </w:pPr>
    <w:rPr>
      <w:lang w:val="en-US"/>
    </w:rPr>
  </w:style>
  <w:style w:type="paragraph" w:styleId="TOC1">
    <w:name w:val="toc 1"/>
    <w:basedOn w:val="Normal"/>
    <w:next w:val="Normal"/>
    <w:autoRedefine/>
    <w:uiPriority w:val="39"/>
    <w:unhideWhenUsed/>
    <w:rsid w:val="00681526"/>
    <w:pPr>
      <w:tabs>
        <w:tab w:val="left" w:pos="440"/>
        <w:tab w:val="right" w:leader="dot" w:pos="9628"/>
      </w:tabs>
      <w:spacing w:after="100" w:line="240" w:lineRule="auto"/>
    </w:pPr>
  </w:style>
  <w:style w:type="paragraph" w:styleId="TOC2">
    <w:name w:val="toc 2"/>
    <w:basedOn w:val="Normal"/>
    <w:next w:val="Normal"/>
    <w:autoRedefine/>
    <w:uiPriority w:val="39"/>
    <w:unhideWhenUsed/>
    <w:rsid w:val="00C454E6"/>
    <w:pPr>
      <w:tabs>
        <w:tab w:val="left" w:pos="880"/>
        <w:tab w:val="right" w:leader="dot" w:pos="9628"/>
      </w:tabs>
      <w:spacing w:after="100" w:line="240" w:lineRule="auto"/>
      <w:ind w:left="220"/>
    </w:pPr>
  </w:style>
  <w:style w:type="paragraph" w:styleId="TOC3">
    <w:name w:val="toc 3"/>
    <w:basedOn w:val="Normal"/>
    <w:next w:val="Normal"/>
    <w:autoRedefine/>
    <w:uiPriority w:val="39"/>
    <w:unhideWhenUsed/>
    <w:rsid w:val="00D03219"/>
    <w:pPr>
      <w:spacing w:after="100"/>
      <w:ind w:left="440"/>
    </w:pPr>
  </w:style>
  <w:style w:type="paragraph" w:styleId="ListBullet">
    <w:name w:val="List Bullet"/>
    <w:basedOn w:val="Normal"/>
    <w:uiPriority w:val="99"/>
    <w:unhideWhenUsed/>
    <w:rsid w:val="00D42B08"/>
    <w:pPr>
      <w:numPr>
        <w:numId w:val="46"/>
      </w:numPr>
      <w:contextualSpacing/>
    </w:pPr>
  </w:style>
  <w:style w:type="paragraph" w:styleId="Caption">
    <w:name w:val="caption"/>
    <w:basedOn w:val="Normal"/>
    <w:next w:val="Normal"/>
    <w:uiPriority w:val="35"/>
    <w:unhideWhenUsed/>
    <w:qFormat/>
    <w:rsid w:val="003A06FA"/>
    <w:pPr>
      <w:spacing w:line="240" w:lineRule="auto"/>
    </w:pPr>
    <w:rPr>
      <w:iCs/>
      <w:color w:val="002F49"/>
      <w:szCs w:val="18"/>
    </w:rPr>
  </w:style>
  <w:style w:type="character" w:styleId="CommentReference">
    <w:name w:val="annotation reference"/>
    <w:basedOn w:val="DefaultParagraphFont"/>
    <w:uiPriority w:val="99"/>
    <w:semiHidden/>
    <w:unhideWhenUsed/>
    <w:rsid w:val="00CF658D"/>
    <w:rPr>
      <w:sz w:val="16"/>
      <w:szCs w:val="16"/>
    </w:rPr>
  </w:style>
  <w:style w:type="paragraph" w:styleId="CommentText">
    <w:name w:val="annotation text"/>
    <w:basedOn w:val="Normal"/>
    <w:link w:val="CommentTextChar"/>
    <w:uiPriority w:val="99"/>
    <w:unhideWhenUsed/>
    <w:rsid w:val="00CF658D"/>
    <w:pPr>
      <w:spacing w:line="240" w:lineRule="auto"/>
    </w:pPr>
    <w:rPr>
      <w:sz w:val="20"/>
      <w:szCs w:val="20"/>
    </w:rPr>
  </w:style>
  <w:style w:type="character" w:customStyle="1" w:styleId="CommentTextChar">
    <w:name w:val="Comment Text Char"/>
    <w:basedOn w:val="DefaultParagraphFont"/>
    <w:link w:val="CommentText"/>
    <w:uiPriority w:val="99"/>
    <w:rsid w:val="00CF658D"/>
    <w:rPr>
      <w:sz w:val="20"/>
      <w:szCs w:val="20"/>
    </w:rPr>
  </w:style>
  <w:style w:type="paragraph" w:styleId="CommentSubject">
    <w:name w:val="annotation subject"/>
    <w:basedOn w:val="CommentText"/>
    <w:next w:val="CommentText"/>
    <w:link w:val="CommentSubjectChar"/>
    <w:uiPriority w:val="99"/>
    <w:semiHidden/>
    <w:unhideWhenUsed/>
    <w:rsid w:val="00CF658D"/>
    <w:rPr>
      <w:b/>
      <w:bCs/>
    </w:rPr>
  </w:style>
  <w:style w:type="character" w:customStyle="1" w:styleId="CommentSubjectChar">
    <w:name w:val="Comment Subject Char"/>
    <w:basedOn w:val="CommentTextChar"/>
    <w:link w:val="CommentSubject"/>
    <w:uiPriority w:val="99"/>
    <w:semiHidden/>
    <w:rsid w:val="00CF658D"/>
    <w:rPr>
      <w:b/>
      <w:bCs/>
      <w:sz w:val="20"/>
      <w:szCs w:val="20"/>
    </w:rPr>
  </w:style>
  <w:style w:type="table" w:styleId="TableGrid">
    <w:name w:val="Table Grid"/>
    <w:basedOn w:val="TableNormal"/>
    <w:uiPriority w:val="59"/>
    <w:rsid w:val="00BA12A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65821"/>
    <w:pPr>
      <w:spacing w:line="240" w:lineRule="auto"/>
    </w:pPr>
  </w:style>
  <w:style w:type="character" w:styleId="SubtleEmphasis">
    <w:name w:val="Subtle Emphasis"/>
    <w:basedOn w:val="DefaultParagraphFont"/>
    <w:uiPriority w:val="19"/>
    <w:qFormat/>
    <w:rsid w:val="00706D66"/>
    <w:rPr>
      <w:i/>
      <w:iCs/>
      <w:color w:val="404040" w:themeColor="text1" w:themeTint="BF"/>
    </w:rPr>
  </w:style>
  <w:style w:type="paragraph" w:styleId="NormalWeb">
    <w:name w:val="Normal (Web)"/>
    <w:basedOn w:val="Normal"/>
    <w:uiPriority w:val="99"/>
    <w:semiHidden/>
    <w:unhideWhenUsed/>
    <w:rsid w:val="005326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EndnoteText">
    <w:name w:val="endnote text"/>
    <w:basedOn w:val="Normal"/>
    <w:link w:val="EndnoteTextChar"/>
    <w:uiPriority w:val="99"/>
    <w:semiHidden/>
    <w:unhideWhenUsed/>
    <w:rsid w:val="007F3B94"/>
    <w:pPr>
      <w:spacing w:line="240" w:lineRule="auto"/>
    </w:pPr>
    <w:rPr>
      <w:sz w:val="20"/>
      <w:szCs w:val="20"/>
    </w:rPr>
  </w:style>
  <w:style w:type="character" w:customStyle="1" w:styleId="EndnoteTextChar">
    <w:name w:val="Endnote Text Char"/>
    <w:basedOn w:val="DefaultParagraphFont"/>
    <w:link w:val="EndnoteText"/>
    <w:uiPriority w:val="99"/>
    <w:semiHidden/>
    <w:rsid w:val="007F3B94"/>
    <w:rPr>
      <w:sz w:val="20"/>
      <w:szCs w:val="20"/>
    </w:rPr>
  </w:style>
  <w:style w:type="character" w:styleId="EndnoteReference">
    <w:name w:val="endnote reference"/>
    <w:basedOn w:val="DefaultParagraphFont"/>
    <w:uiPriority w:val="99"/>
    <w:semiHidden/>
    <w:unhideWhenUsed/>
    <w:rsid w:val="007F3B94"/>
    <w:rPr>
      <w:vertAlign w:val="superscript"/>
    </w:rPr>
  </w:style>
  <w:style w:type="paragraph" w:customStyle="1" w:styleId="Heading11">
    <w:name w:val="Heading 11"/>
    <w:basedOn w:val="Normal"/>
    <w:next w:val="Normal"/>
    <w:uiPriority w:val="9"/>
    <w:qFormat/>
    <w:rsid w:val="00A73FC0"/>
    <w:pPr>
      <w:keepNext/>
      <w:keepLines/>
      <w:spacing w:before="240"/>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semiHidden/>
    <w:unhideWhenUsed/>
    <w:qFormat/>
    <w:rsid w:val="00A73FC0"/>
    <w:pPr>
      <w:keepNext/>
      <w:keepLines/>
      <w:spacing w:before="40"/>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semiHidden/>
    <w:unhideWhenUsed/>
    <w:qFormat/>
    <w:rsid w:val="00A73FC0"/>
    <w:pPr>
      <w:keepNext/>
      <w:keepLines/>
      <w:spacing w:before="40"/>
      <w:outlineLvl w:val="2"/>
    </w:pPr>
    <w:rPr>
      <w:rFonts w:ascii="Cambria" w:eastAsia="Times New Roman" w:hAnsi="Cambria" w:cs="Times New Roman"/>
      <w:color w:val="243F60"/>
      <w:sz w:val="24"/>
      <w:szCs w:val="24"/>
    </w:rPr>
  </w:style>
  <w:style w:type="numbering" w:customStyle="1" w:styleId="NoList1">
    <w:name w:val="No List1"/>
    <w:next w:val="NoList"/>
    <w:uiPriority w:val="99"/>
    <w:semiHidden/>
    <w:unhideWhenUsed/>
    <w:rsid w:val="00A73FC0"/>
  </w:style>
  <w:style w:type="character" w:customStyle="1" w:styleId="Hyperlink1">
    <w:name w:val="Hyperlink1"/>
    <w:basedOn w:val="DefaultParagraphFont"/>
    <w:uiPriority w:val="99"/>
    <w:unhideWhenUsed/>
    <w:rsid w:val="00A73FC0"/>
    <w:rPr>
      <w:color w:val="0000FF"/>
      <w:u w:val="single"/>
    </w:rPr>
  </w:style>
  <w:style w:type="character" w:customStyle="1" w:styleId="FollowedHyperlink1">
    <w:name w:val="FollowedHyperlink1"/>
    <w:basedOn w:val="DefaultParagraphFont"/>
    <w:uiPriority w:val="99"/>
    <w:semiHidden/>
    <w:unhideWhenUsed/>
    <w:rsid w:val="00A73FC0"/>
    <w:rPr>
      <w:color w:val="800080"/>
      <w:u w:val="single"/>
    </w:rPr>
  </w:style>
  <w:style w:type="character" w:customStyle="1" w:styleId="Heading1Char1">
    <w:name w:val="Heading 1 Char1"/>
    <w:basedOn w:val="DefaultParagraphFont"/>
    <w:uiPriority w:val="9"/>
    <w:rsid w:val="00A73FC0"/>
    <w:rPr>
      <w:rFonts w:asciiTheme="majorHAnsi" w:eastAsiaTheme="majorEastAsia" w:hAnsiTheme="majorHAnsi" w:cstheme="majorBidi"/>
      <w:color w:val="365F91" w:themeColor="accent1" w:themeShade="BF"/>
      <w:sz w:val="32"/>
      <w:szCs w:val="32"/>
    </w:rPr>
  </w:style>
  <w:style w:type="character" w:customStyle="1" w:styleId="SubtleEmphasis1">
    <w:name w:val="Subtle Emphasis1"/>
    <w:basedOn w:val="DefaultParagraphFont"/>
    <w:uiPriority w:val="19"/>
    <w:qFormat/>
    <w:rsid w:val="00A73FC0"/>
    <w:rPr>
      <w:i/>
      <w:iCs/>
      <w:color w:val="404040"/>
    </w:rPr>
  </w:style>
  <w:style w:type="character" w:customStyle="1" w:styleId="Heading3Char1">
    <w:name w:val="Heading 3 Char1"/>
    <w:basedOn w:val="DefaultParagraphFont"/>
    <w:uiPriority w:val="9"/>
    <w:semiHidden/>
    <w:rsid w:val="00A73FC0"/>
    <w:rPr>
      <w:rFonts w:asciiTheme="majorHAnsi" w:eastAsiaTheme="majorEastAsia" w:hAnsiTheme="majorHAnsi" w:cstheme="majorBidi"/>
      <w:color w:val="243F60" w:themeColor="accent1" w:themeShade="7F"/>
      <w:sz w:val="24"/>
      <w:szCs w:val="24"/>
    </w:rPr>
  </w:style>
  <w:style w:type="character" w:customStyle="1" w:styleId="Heading2Char1">
    <w:name w:val="Heading 2 Char1"/>
    <w:basedOn w:val="DefaultParagraphFont"/>
    <w:uiPriority w:val="9"/>
    <w:semiHidden/>
    <w:rsid w:val="00A73FC0"/>
    <w:rPr>
      <w:rFonts w:asciiTheme="majorHAnsi" w:eastAsiaTheme="majorEastAsia" w:hAnsiTheme="majorHAnsi" w:cstheme="majorBidi"/>
      <w:color w:val="365F91" w:themeColor="accent1" w:themeShade="BF"/>
      <w:sz w:val="26"/>
      <w:szCs w:val="26"/>
    </w:rPr>
  </w:style>
  <w:style w:type="paragraph" w:styleId="NoSpacing">
    <w:name w:val="No Spacing"/>
    <w:uiPriority w:val="1"/>
    <w:qFormat/>
    <w:rsid w:val="00A73FC0"/>
    <w:pPr>
      <w:spacing w:line="240" w:lineRule="auto"/>
    </w:pPr>
  </w:style>
  <w:style w:type="numbering" w:customStyle="1" w:styleId="NoList2">
    <w:name w:val="No List2"/>
    <w:next w:val="NoList"/>
    <w:uiPriority w:val="99"/>
    <w:semiHidden/>
    <w:unhideWhenUsed/>
    <w:rsid w:val="00D558F0"/>
  </w:style>
  <w:style w:type="table" w:customStyle="1" w:styleId="TableGrid1">
    <w:name w:val="Table Grid1"/>
    <w:basedOn w:val="TableNormal"/>
    <w:next w:val="TableGrid"/>
    <w:uiPriority w:val="59"/>
    <w:rsid w:val="00D558F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558F0"/>
  </w:style>
  <w:style w:type="character" w:customStyle="1" w:styleId="ilfuvd">
    <w:name w:val="ilfuvd"/>
    <w:basedOn w:val="DefaultParagraphFont"/>
    <w:rsid w:val="008D4440"/>
  </w:style>
  <w:style w:type="paragraph" w:customStyle="1" w:styleId="Default">
    <w:name w:val="Default"/>
    <w:rsid w:val="008D4440"/>
    <w:pPr>
      <w:autoSpaceDE w:val="0"/>
      <w:autoSpaceDN w:val="0"/>
      <w:adjustRightInd w:val="0"/>
      <w:spacing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3335">
      <w:bodyDiv w:val="1"/>
      <w:marLeft w:val="0"/>
      <w:marRight w:val="0"/>
      <w:marTop w:val="0"/>
      <w:marBottom w:val="0"/>
      <w:divBdr>
        <w:top w:val="none" w:sz="0" w:space="0" w:color="auto"/>
        <w:left w:val="none" w:sz="0" w:space="0" w:color="auto"/>
        <w:bottom w:val="none" w:sz="0" w:space="0" w:color="auto"/>
        <w:right w:val="none" w:sz="0" w:space="0" w:color="auto"/>
      </w:divBdr>
    </w:div>
    <w:div w:id="8869515">
      <w:bodyDiv w:val="1"/>
      <w:marLeft w:val="0"/>
      <w:marRight w:val="0"/>
      <w:marTop w:val="0"/>
      <w:marBottom w:val="0"/>
      <w:divBdr>
        <w:top w:val="none" w:sz="0" w:space="0" w:color="auto"/>
        <w:left w:val="none" w:sz="0" w:space="0" w:color="auto"/>
        <w:bottom w:val="none" w:sz="0" w:space="0" w:color="auto"/>
        <w:right w:val="none" w:sz="0" w:space="0" w:color="auto"/>
      </w:divBdr>
    </w:div>
    <w:div w:id="18624753">
      <w:bodyDiv w:val="1"/>
      <w:marLeft w:val="0"/>
      <w:marRight w:val="0"/>
      <w:marTop w:val="0"/>
      <w:marBottom w:val="0"/>
      <w:divBdr>
        <w:top w:val="none" w:sz="0" w:space="0" w:color="auto"/>
        <w:left w:val="none" w:sz="0" w:space="0" w:color="auto"/>
        <w:bottom w:val="none" w:sz="0" w:space="0" w:color="auto"/>
        <w:right w:val="none" w:sz="0" w:space="0" w:color="auto"/>
      </w:divBdr>
    </w:div>
    <w:div w:id="22481215">
      <w:bodyDiv w:val="1"/>
      <w:marLeft w:val="0"/>
      <w:marRight w:val="0"/>
      <w:marTop w:val="0"/>
      <w:marBottom w:val="0"/>
      <w:divBdr>
        <w:top w:val="none" w:sz="0" w:space="0" w:color="auto"/>
        <w:left w:val="none" w:sz="0" w:space="0" w:color="auto"/>
        <w:bottom w:val="none" w:sz="0" w:space="0" w:color="auto"/>
        <w:right w:val="none" w:sz="0" w:space="0" w:color="auto"/>
      </w:divBdr>
    </w:div>
    <w:div w:id="28916531">
      <w:bodyDiv w:val="1"/>
      <w:marLeft w:val="0"/>
      <w:marRight w:val="0"/>
      <w:marTop w:val="0"/>
      <w:marBottom w:val="0"/>
      <w:divBdr>
        <w:top w:val="none" w:sz="0" w:space="0" w:color="auto"/>
        <w:left w:val="none" w:sz="0" w:space="0" w:color="auto"/>
        <w:bottom w:val="none" w:sz="0" w:space="0" w:color="auto"/>
        <w:right w:val="none" w:sz="0" w:space="0" w:color="auto"/>
      </w:divBdr>
    </w:div>
    <w:div w:id="30348632">
      <w:bodyDiv w:val="1"/>
      <w:marLeft w:val="0"/>
      <w:marRight w:val="0"/>
      <w:marTop w:val="0"/>
      <w:marBottom w:val="0"/>
      <w:divBdr>
        <w:top w:val="none" w:sz="0" w:space="0" w:color="auto"/>
        <w:left w:val="none" w:sz="0" w:space="0" w:color="auto"/>
        <w:bottom w:val="none" w:sz="0" w:space="0" w:color="auto"/>
        <w:right w:val="none" w:sz="0" w:space="0" w:color="auto"/>
      </w:divBdr>
    </w:div>
    <w:div w:id="46533518">
      <w:bodyDiv w:val="1"/>
      <w:marLeft w:val="0"/>
      <w:marRight w:val="0"/>
      <w:marTop w:val="0"/>
      <w:marBottom w:val="0"/>
      <w:divBdr>
        <w:top w:val="none" w:sz="0" w:space="0" w:color="auto"/>
        <w:left w:val="none" w:sz="0" w:space="0" w:color="auto"/>
        <w:bottom w:val="none" w:sz="0" w:space="0" w:color="auto"/>
        <w:right w:val="none" w:sz="0" w:space="0" w:color="auto"/>
      </w:divBdr>
    </w:div>
    <w:div w:id="48921469">
      <w:bodyDiv w:val="1"/>
      <w:marLeft w:val="0"/>
      <w:marRight w:val="0"/>
      <w:marTop w:val="0"/>
      <w:marBottom w:val="0"/>
      <w:divBdr>
        <w:top w:val="none" w:sz="0" w:space="0" w:color="auto"/>
        <w:left w:val="none" w:sz="0" w:space="0" w:color="auto"/>
        <w:bottom w:val="none" w:sz="0" w:space="0" w:color="auto"/>
        <w:right w:val="none" w:sz="0" w:space="0" w:color="auto"/>
      </w:divBdr>
    </w:div>
    <w:div w:id="50471890">
      <w:bodyDiv w:val="1"/>
      <w:marLeft w:val="0"/>
      <w:marRight w:val="0"/>
      <w:marTop w:val="0"/>
      <w:marBottom w:val="0"/>
      <w:divBdr>
        <w:top w:val="none" w:sz="0" w:space="0" w:color="auto"/>
        <w:left w:val="none" w:sz="0" w:space="0" w:color="auto"/>
        <w:bottom w:val="none" w:sz="0" w:space="0" w:color="auto"/>
        <w:right w:val="none" w:sz="0" w:space="0" w:color="auto"/>
      </w:divBdr>
    </w:div>
    <w:div w:id="54396272">
      <w:bodyDiv w:val="1"/>
      <w:marLeft w:val="0"/>
      <w:marRight w:val="0"/>
      <w:marTop w:val="0"/>
      <w:marBottom w:val="0"/>
      <w:divBdr>
        <w:top w:val="none" w:sz="0" w:space="0" w:color="auto"/>
        <w:left w:val="none" w:sz="0" w:space="0" w:color="auto"/>
        <w:bottom w:val="none" w:sz="0" w:space="0" w:color="auto"/>
        <w:right w:val="none" w:sz="0" w:space="0" w:color="auto"/>
      </w:divBdr>
    </w:div>
    <w:div w:id="58093024">
      <w:bodyDiv w:val="1"/>
      <w:marLeft w:val="0"/>
      <w:marRight w:val="0"/>
      <w:marTop w:val="0"/>
      <w:marBottom w:val="0"/>
      <w:divBdr>
        <w:top w:val="none" w:sz="0" w:space="0" w:color="auto"/>
        <w:left w:val="none" w:sz="0" w:space="0" w:color="auto"/>
        <w:bottom w:val="none" w:sz="0" w:space="0" w:color="auto"/>
        <w:right w:val="none" w:sz="0" w:space="0" w:color="auto"/>
      </w:divBdr>
    </w:div>
    <w:div w:id="59211490">
      <w:bodyDiv w:val="1"/>
      <w:marLeft w:val="0"/>
      <w:marRight w:val="0"/>
      <w:marTop w:val="0"/>
      <w:marBottom w:val="0"/>
      <w:divBdr>
        <w:top w:val="none" w:sz="0" w:space="0" w:color="auto"/>
        <w:left w:val="none" w:sz="0" w:space="0" w:color="auto"/>
        <w:bottom w:val="none" w:sz="0" w:space="0" w:color="auto"/>
        <w:right w:val="none" w:sz="0" w:space="0" w:color="auto"/>
      </w:divBdr>
    </w:div>
    <w:div w:id="61341721">
      <w:bodyDiv w:val="1"/>
      <w:marLeft w:val="0"/>
      <w:marRight w:val="0"/>
      <w:marTop w:val="0"/>
      <w:marBottom w:val="0"/>
      <w:divBdr>
        <w:top w:val="none" w:sz="0" w:space="0" w:color="auto"/>
        <w:left w:val="none" w:sz="0" w:space="0" w:color="auto"/>
        <w:bottom w:val="none" w:sz="0" w:space="0" w:color="auto"/>
        <w:right w:val="none" w:sz="0" w:space="0" w:color="auto"/>
      </w:divBdr>
    </w:div>
    <w:div w:id="65609251">
      <w:bodyDiv w:val="1"/>
      <w:marLeft w:val="0"/>
      <w:marRight w:val="0"/>
      <w:marTop w:val="0"/>
      <w:marBottom w:val="0"/>
      <w:divBdr>
        <w:top w:val="none" w:sz="0" w:space="0" w:color="auto"/>
        <w:left w:val="none" w:sz="0" w:space="0" w:color="auto"/>
        <w:bottom w:val="none" w:sz="0" w:space="0" w:color="auto"/>
        <w:right w:val="none" w:sz="0" w:space="0" w:color="auto"/>
      </w:divBdr>
    </w:div>
    <w:div w:id="68112952">
      <w:bodyDiv w:val="1"/>
      <w:marLeft w:val="0"/>
      <w:marRight w:val="0"/>
      <w:marTop w:val="0"/>
      <w:marBottom w:val="0"/>
      <w:divBdr>
        <w:top w:val="none" w:sz="0" w:space="0" w:color="auto"/>
        <w:left w:val="none" w:sz="0" w:space="0" w:color="auto"/>
        <w:bottom w:val="none" w:sz="0" w:space="0" w:color="auto"/>
        <w:right w:val="none" w:sz="0" w:space="0" w:color="auto"/>
      </w:divBdr>
    </w:div>
    <w:div w:id="81461412">
      <w:bodyDiv w:val="1"/>
      <w:marLeft w:val="0"/>
      <w:marRight w:val="0"/>
      <w:marTop w:val="0"/>
      <w:marBottom w:val="0"/>
      <w:divBdr>
        <w:top w:val="none" w:sz="0" w:space="0" w:color="auto"/>
        <w:left w:val="none" w:sz="0" w:space="0" w:color="auto"/>
        <w:bottom w:val="none" w:sz="0" w:space="0" w:color="auto"/>
        <w:right w:val="none" w:sz="0" w:space="0" w:color="auto"/>
      </w:divBdr>
    </w:div>
    <w:div w:id="89282971">
      <w:bodyDiv w:val="1"/>
      <w:marLeft w:val="0"/>
      <w:marRight w:val="0"/>
      <w:marTop w:val="0"/>
      <w:marBottom w:val="0"/>
      <w:divBdr>
        <w:top w:val="none" w:sz="0" w:space="0" w:color="auto"/>
        <w:left w:val="none" w:sz="0" w:space="0" w:color="auto"/>
        <w:bottom w:val="none" w:sz="0" w:space="0" w:color="auto"/>
        <w:right w:val="none" w:sz="0" w:space="0" w:color="auto"/>
      </w:divBdr>
    </w:div>
    <w:div w:id="89352237">
      <w:bodyDiv w:val="1"/>
      <w:marLeft w:val="0"/>
      <w:marRight w:val="0"/>
      <w:marTop w:val="0"/>
      <w:marBottom w:val="0"/>
      <w:divBdr>
        <w:top w:val="none" w:sz="0" w:space="0" w:color="auto"/>
        <w:left w:val="none" w:sz="0" w:space="0" w:color="auto"/>
        <w:bottom w:val="none" w:sz="0" w:space="0" w:color="auto"/>
        <w:right w:val="none" w:sz="0" w:space="0" w:color="auto"/>
      </w:divBdr>
    </w:div>
    <w:div w:id="100271847">
      <w:bodyDiv w:val="1"/>
      <w:marLeft w:val="0"/>
      <w:marRight w:val="0"/>
      <w:marTop w:val="0"/>
      <w:marBottom w:val="0"/>
      <w:divBdr>
        <w:top w:val="none" w:sz="0" w:space="0" w:color="auto"/>
        <w:left w:val="none" w:sz="0" w:space="0" w:color="auto"/>
        <w:bottom w:val="none" w:sz="0" w:space="0" w:color="auto"/>
        <w:right w:val="none" w:sz="0" w:space="0" w:color="auto"/>
      </w:divBdr>
    </w:div>
    <w:div w:id="102917697">
      <w:bodyDiv w:val="1"/>
      <w:marLeft w:val="0"/>
      <w:marRight w:val="0"/>
      <w:marTop w:val="0"/>
      <w:marBottom w:val="0"/>
      <w:divBdr>
        <w:top w:val="none" w:sz="0" w:space="0" w:color="auto"/>
        <w:left w:val="none" w:sz="0" w:space="0" w:color="auto"/>
        <w:bottom w:val="none" w:sz="0" w:space="0" w:color="auto"/>
        <w:right w:val="none" w:sz="0" w:space="0" w:color="auto"/>
      </w:divBdr>
    </w:div>
    <w:div w:id="106312124">
      <w:bodyDiv w:val="1"/>
      <w:marLeft w:val="0"/>
      <w:marRight w:val="0"/>
      <w:marTop w:val="0"/>
      <w:marBottom w:val="0"/>
      <w:divBdr>
        <w:top w:val="none" w:sz="0" w:space="0" w:color="auto"/>
        <w:left w:val="none" w:sz="0" w:space="0" w:color="auto"/>
        <w:bottom w:val="none" w:sz="0" w:space="0" w:color="auto"/>
        <w:right w:val="none" w:sz="0" w:space="0" w:color="auto"/>
      </w:divBdr>
    </w:div>
    <w:div w:id="107969762">
      <w:bodyDiv w:val="1"/>
      <w:marLeft w:val="0"/>
      <w:marRight w:val="0"/>
      <w:marTop w:val="0"/>
      <w:marBottom w:val="0"/>
      <w:divBdr>
        <w:top w:val="none" w:sz="0" w:space="0" w:color="auto"/>
        <w:left w:val="none" w:sz="0" w:space="0" w:color="auto"/>
        <w:bottom w:val="none" w:sz="0" w:space="0" w:color="auto"/>
        <w:right w:val="none" w:sz="0" w:space="0" w:color="auto"/>
      </w:divBdr>
    </w:div>
    <w:div w:id="110782127">
      <w:bodyDiv w:val="1"/>
      <w:marLeft w:val="0"/>
      <w:marRight w:val="0"/>
      <w:marTop w:val="0"/>
      <w:marBottom w:val="0"/>
      <w:divBdr>
        <w:top w:val="none" w:sz="0" w:space="0" w:color="auto"/>
        <w:left w:val="none" w:sz="0" w:space="0" w:color="auto"/>
        <w:bottom w:val="none" w:sz="0" w:space="0" w:color="auto"/>
        <w:right w:val="none" w:sz="0" w:space="0" w:color="auto"/>
      </w:divBdr>
    </w:div>
    <w:div w:id="112216160">
      <w:bodyDiv w:val="1"/>
      <w:marLeft w:val="0"/>
      <w:marRight w:val="0"/>
      <w:marTop w:val="0"/>
      <w:marBottom w:val="0"/>
      <w:divBdr>
        <w:top w:val="none" w:sz="0" w:space="0" w:color="auto"/>
        <w:left w:val="none" w:sz="0" w:space="0" w:color="auto"/>
        <w:bottom w:val="none" w:sz="0" w:space="0" w:color="auto"/>
        <w:right w:val="none" w:sz="0" w:space="0" w:color="auto"/>
      </w:divBdr>
    </w:div>
    <w:div w:id="115411520">
      <w:bodyDiv w:val="1"/>
      <w:marLeft w:val="0"/>
      <w:marRight w:val="0"/>
      <w:marTop w:val="0"/>
      <w:marBottom w:val="0"/>
      <w:divBdr>
        <w:top w:val="none" w:sz="0" w:space="0" w:color="auto"/>
        <w:left w:val="none" w:sz="0" w:space="0" w:color="auto"/>
        <w:bottom w:val="none" w:sz="0" w:space="0" w:color="auto"/>
        <w:right w:val="none" w:sz="0" w:space="0" w:color="auto"/>
      </w:divBdr>
    </w:div>
    <w:div w:id="117725331">
      <w:bodyDiv w:val="1"/>
      <w:marLeft w:val="0"/>
      <w:marRight w:val="0"/>
      <w:marTop w:val="0"/>
      <w:marBottom w:val="0"/>
      <w:divBdr>
        <w:top w:val="none" w:sz="0" w:space="0" w:color="auto"/>
        <w:left w:val="none" w:sz="0" w:space="0" w:color="auto"/>
        <w:bottom w:val="none" w:sz="0" w:space="0" w:color="auto"/>
        <w:right w:val="none" w:sz="0" w:space="0" w:color="auto"/>
      </w:divBdr>
    </w:div>
    <w:div w:id="140582895">
      <w:bodyDiv w:val="1"/>
      <w:marLeft w:val="0"/>
      <w:marRight w:val="0"/>
      <w:marTop w:val="0"/>
      <w:marBottom w:val="0"/>
      <w:divBdr>
        <w:top w:val="none" w:sz="0" w:space="0" w:color="auto"/>
        <w:left w:val="none" w:sz="0" w:space="0" w:color="auto"/>
        <w:bottom w:val="none" w:sz="0" w:space="0" w:color="auto"/>
        <w:right w:val="none" w:sz="0" w:space="0" w:color="auto"/>
      </w:divBdr>
    </w:div>
    <w:div w:id="140771844">
      <w:bodyDiv w:val="1"/>
      <w:marLeft w:val="0"/>
      <w:marRight w:val="0"/>
      <w:marTop w:val="0"/>
      <w:marBottom w:val="0"/>
      <w:divBdr>
        <w:top w:val="none" w:sz="0" w:space="0" w:color="auto"/>
        <w:left w:val="none" w:sz="0" w:space="0" w:color="auto"/>
        <w:bottom w:val="none" w:sz="0" w:space="0" w:color="auto"/>
        <w:right w:val="none" w:sz="0" w:space="0" w:color="auto"/>
      </w:divBdr>
    </w:div>
    <w:div w:id="140928571">
      <w:bodyDiv w:val="1"/>
      <w:marLeft w:val="0"/>
      <w:marRight w:val="0"/>
      <w:marTop w:val="0"/>
      <w:marBottom w:val="0"/>
      <w:divBdr>
        <w:top w:val="none" w:sz="0" w:space="0" w:color="auto"/>
        <w:left w:val="none" w:sz="0" w:space="0" w:color="auto"/>
        <w:bottom w:val="none" w:sz="0" w:space="0" w:color="auto"/>
        <w:right w:val="none" w:sz="0" w:space="0" w:color="auto"/>
      </w:divBdr>
      <w:divsChild>
        <w:div w:id="727000257">
          <w:marLeft w:val="0"/>
          <w:marRight w:val="0"/>
          <w:marTop w:val="0"/>
          <w:marBottom w:val="0"/>
          <w:divBdr>
            <w:top w:val="none" w:sz="0" w:space="0" w:color="auto"/>
            <w:left w:val="none" w:sz="0" w:space="0" w:color="auto"/>
            <w:bottom w:val="none" w:sz="0" w:space="0" w:color="auto"/>
            <w:right w:val="none" w:sz="0" w:space="0" w:color="auto"/>
          </w:divBdr>
          <w:divsChild>
            <w:div w:id="1295135241">
              <w:marLeft w:val="0"/>
              <w:marRight w:val="0"/>
              <w:marTop w:val="0"/>
              <w:marBottom w:val="0"/>
              <w:divBdr>
                <w:top w:val="none" w:sz="0" w:space="0" w:color="auto"/>
                <w:left w:val="none" w:sz="0" w:space="0" w:color="auto"/>
                <w:bottom w:val="none" w:sz="0" w:space="0" w:color="auto"/>
                <w:right w:val="none" w:sz="0" w:space="0" w:color="auto"/>
              </w:divBdr>
              <w:divsChild>
                <w:div w:id="1539582867">
                  <w:marLeft w:val="0"/>
                  <w:marRight w:val="0"/>
                  <w:marTop w:val="0"/>
                  <w:marBottom w:val="0"/>
                  <w:divBdr>
                    <w:top w:val="none" w:sz="0" w:space="0" w:color="auto"/>
                    <w:left w:val="none" w:sz="0" w:space="0" w:color="auto"/>
                    <w:bottom w:val="none" w:sz="0" w:space="0" w:color="auto"/>
                    <w:right w:val="none" w:sz="0" w:space="0" w:color="auto"/>
                  </w:divBdr>
                  <w:divsChild>
                    <w:div w:id="1451819544">
                      <w:marLeft w:val="0"/>
                      <w:marRight w:val="0"/>
                      <w:marTop w:val="0"/>
                      <w:marBottom w:val="0"/>
                      <w:divBdr>
                        <w:top w:val="none" w:sz="0" w:space="0" w:color="auto"/>
                        <w:left w:val="none" w:sz="0" w:space="0" w:color="auto"/>
                        <w:bottom w:val="none" w:sz="0" w:space="0" w:color="auto"/>
                        <w:right w:val="none" w:sz="0" w:space="0" w:color="auto"/>
                      </w:divBdr>
                      <w:divsChild>
                        <w:div w:id="409621625">
                          <w:marLeft w:val="0"/>
                          <w:marRight w:val="0"/>
                          <w:marTop w:val="0"/>
                          <w:marBottom w:val="0"/>
                          <w:divBdr>
                            <w:top w:val="none" w:sz="0" w:space="0" w:color="auto"/>
                            <w:left w:val="none" w:sz="0" w:space="0" w:color="auto"/>
                            <w:bottom w:val="none" w:sz="0" w:space="0" w:color="auto"/>
                            <w:right w:val="none" w:sz="0" w:space="0" w:color="auto"/>
                          </w:divBdr>
                          <w:divsChild>
                            <w:div w:id="1330911047">
                              <w:marLeft w:val="0"/>
                              <w:marRight w:val="0"/>
                              <w:marTop w:val="0"/>
                              <w:marBottom w:val="0"/>
                              <w:divBdr>
                                <w:top w:val="none" w:sz="0" w:space="0" w:color="auto"/>
                                <w:left w:val="none" w:sz="0" w:space="0" w:color="auto"/>
                                <w:bottom w:val="none" w:sz="0" w:space="0" w:color="auto"/>
                                <w:right w:val="none" w:sz="0" w:space="0" w:color="auto"/>
                              </w:divBdr>
                              <w:divsChild>
                                <w:div w:id="676493809">
                                  <w:marLeft w:val="0"/>
                                  <w:marRight w:val="0"/>
                                  <w:marTop w:val="0"/>
                                  <w:marBottom w:val="0"/>
                                  <w:divBdr>
                                    <w:top w:val="none" w:sz="0" w:space="0" w:color="auto"/>
                                    <w:left w:val="none" w:sz="0" w:space="0" w:color="auto"/>
                                    <w:bottom w:val="none" w:sz="0" w:space="0" w:color="auto"/>
                                    <w:right w:val="none" w:sz="0" w:space="0" w:color="auto"/>
                                  </w:divBdr>
                                  <w:divsChild>
                                    <w:div w:id="1840120553">
                                      <w:marLeft w:val="0"/>
                                      <w:marRight w:val="0"/>
                                      <w:marTop w:val="0"/>
                                      <w:marBottom w:val="0"/>
                                      <w:divBdr>
                                        <w:top w:val="none" w:sz="0" w:space="0" w:color="auto"/>
                                        <w:left w:val="none" w:sz="0" w:space="0" w:color="auto"/>
                                        <w:bottom w:val="none" w:sz="0" w:space="0" w:color="auto"/>
                                        <w:right w:val="none" w:sz="0" w:space="0" w:color="auto"/>
                                      </w:divBdr>
                                      <w:divsChild>
                                        <w:div w:id="175192833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238691">
      <w:bodyDiv w:val="1"/>
      <w:marLeft w:val="0"/>
      <w:marRight w:val="0"/>
      <w:marTop w:val="0"/>
      <w:marBottom w:val="0"/>
      <w:divBdr>
        <w:top w:val="none" w:sz="0" w:space="0" w:color="auto"/>
        <w:left w:val="none" w:sz="0" w:space="0" w:color="auto"/>
        <w:bottom w:val="none" w:sz="0" w:space="0" w:color="auto"/>
        <w:right w:val="none" w:sz="0" w:space="0" w:color="auto"/>
      </w:divBdr>
    </w:div>
    <w:div w:id="146941206">
      <w:bodyDiv w:val="1"/>
      <w:marLeft w:val="0"/>
      <w:marRight w:val="0"/>
      <w:marTop w:val="0"/>
      <w:marBottom w:val="0"/>
      <w:divBdr>
        <w:top w:val="none" w:sz="0" w:space="0" w:color="auto"/>
        <w:left w:val="none" w:sz="0" w:space="0" w:color="auto"/>
        <w:bottom w:val="none" w:sz="0" w:space="0" w:color="auto"/>
        <w:right w:val="none" w:sz="0" w:space="0" w:color="auto"/>
      </w:divBdr>
    </w:div>
    <w:div w:id="151603685">
      <w:bodyDiv w:val="1"/>
      <w:marLeft w:val="0"/>
      <w:marRight w:val="0"/>
      <w:marTop w:val="0"/>
      <w:marBottom w:val="0"/>
      <w:divBdr>
        <w:top w:val="none" w:sz="0" w:space="0" w:color="auto"/>
        <w:left w:val="none" w:sz="0" w:space="0" w:color="auto"/>
        <w:bottom w:val="none" w:sz="0" w:space="0" w:color="auto"/>
        <w:right w:val="none" w:sz="0" w:space="0" w:color="auto"/>
      </w:divBdr>
    </w:div>
    <w:div w:id="155078806">
      <w:bodyDiv w:val="1"/>
      <w:marLeft w:val="0"/>
      <w:marRight w:val="0"/>
      <w:marTop w:val="0"/>
      <w:marBottom w:val="0"/>
      <w:divBdr>
        <w:top w:val="none" w:sz="0" w:space="0" w:color="auto"/>
        <w:left w:val="none" w:sz="0" w:space="0" w:color="auto"/>
        <w:bottom w:val="none" w:sz="0" w:space="0" w:color="auto"/>
        <w:right w:val="none" w:sz="0" w:space="0" w:color="auto"/>
      </w:divBdr>
    </w:div>
    <w:div w:id="157960386">
      <w:bodyDiv w:val="1"/>
      <w:marLeft w:val="0"/>
      <w:marRight w:val="0"/>
      <w:marTop w:val="0"/>
      <w:marBottom w:val="0"/>
      <w:divBdr>
        <w:top w:val="none" w:sz="0" w:space="0" w:color="auto"/>
        <w:left w:val="none" w:sz="0" w:space="0" w:color="auto"/>
        <w:bottom w:val="none" w:sz="0" w:space="0" w:color="auto"/>
        <w:right w:val="none" w:sz="0" w:space="0" w:color="auto"/>
      </w:divBdr>
    </w:div>
    <w:div w:id="159203007">
      <w:bodyDiv w:val="1"/>
      <w:marLeft w:val="0"/>
      <w:marRight w:val="0"/>
      <w:marTop w:val="0"/>
      <w:marBottom w:val="0"/>
      <w:divBdr>
        <w:top w:val="none" w:sz="0" w:space="0" w:color="auto"/>
        <w:left w:val="none" w:sz="0" w:space="0" w:color="auto"/>
        <w:bottom w:val="none" w:sz="0" w:space="0" w:color="auto"/>
        <w:right w:val="none" w:sz="0" w:space="0" w:color="auto"/>
      </w:divBdr>
    </w:div>
    <w:div w:id="160435506">
      <w:bodyDiv w:val="1"/>
      <w:marLeft w:val="0"/>
      <w:marRight w:val="0"/>
      <w:marTop w:val="0"/>
      <w:marBottom w:val="0"/>
      <w:divBdr>
        <w:top w:val="none" w:sz="0" w:space="0" w:color="auto"/>
        <w:left w:val="none" w:sz="0" w:space="0" w:color="auto"/>
        <w:bottom w:val="none" w:sz="0" w:space="0" w:color="auto"/>
        <w:right w:val="none" w:sz="0" w:space="0" w:color="auto"/>
      </w:divBdr>
    </w:div>
    <w:div w:id="163401526">
      <w:bodyDiv w:val="1"/>
      <w:marLeft w:val="0"/>
      <w:marRight w:val="0"/>
      <w:marTop w:val="0"/>
      <w:marBottom w:val="0"/>
      <w:divBdr>
        <w:top w:val="none" w:sz="0" w:space="0" w:color="auto"/>
        <w:left w:val="none" w:sz="0" w:space="0" w:color="auto"/>
        <w:bottom w:val="none" w:sz="0" w:space="0" w:color="auto"/>
        <w:right w:val="none" w:sz="0" w:space="0" w:color="auto"/>
      </w:divBdr>
    </w:div>
    <w:div w:id="163708965">
      <w:bodyDiv w:val="1"/>
      <w:marLeft w:val="0"/>
      <w:marRight w:val="0"/>
      <w:marTop w:val="0"/>
      <w:marBottom w:val="0"/>
      <w:divBdr>
        <w:top w:val="none" w:sz="0" w:space="0" w:color="auto"/>
        <w:left w:val="none" w:sz="0" w:space="0" w:color="auto"/>
        <w:bottom w:val="none" w:sz="0" w:space="0" w:color="auto"/>
        <w:right w:val="none" w:sz="0" w:space="0" w:color="auto"/>
      </w:divBdr>
    </w:div>
    <w:div w:id="165025843">
      <w:bodyDiv w:val="1"/>
      <w:marLeft w:val="0"/>
      <w:marRight w:val="0"/>
      <w:marTop w:val="0"/>
      <w:marBottom w:val="0"/>
      <w:divBdr>
        <w:top w:val="none" w:sz="0" w:space="0" w:color="auto"/>
        <w:left w:val="none" w:sz="0" w:space="0" w:color="auto"/>
        <w:bottom w:val="none" w:sz="0" w:space="0" w:color="auto"/>
        <w:right w:val="none" w:sz="0" w:space="0" w:color="auto"/>
      </w:divBdr>
    </w:div>
    <w:div w:id="170490862">
      <w:bodyDiv w:val="1"/>
      <w:marLeft w:val="0"/>
      <w:marRight w:val="0"/>
      <w:marTop w:val="0"/>
      <w:marBottom w:val="0"/>
      <w:divBdr>
        <w:top w:val="none" w:sz="0" w:space="0" w:color="auto"/>
        <w:left w:val="none" w:sz="0" w:space="0" w:color="auto"/>
        <w:bottom w:val="none" w:sz="0" w:space="0" w:color="auto"/>
        <w:right w:val="none" w:sz="0" w:space="0" w:color="auto"/>
      </w:divBdr>
    </w:div>
    <w:div w:id="187960342">
      <w:bodyDiv w:val="1"/>
      <w:marLeft w:val="0"/>
      <w:marRight w:val="0"/>
      <w:marTop w:val="0"/>
      <w:marBottom w:val="0"/>
      <w:divBdr>
        <w:top w:val="none" w:sz="0" w:space="0" w:color="auto"/>
        <w:left w:val="none" w:sz="0" w:space="0" w:color="auto"/>
        <w:bottom w:val="none" w:sz="0" w:space="0" w:color="auto"/>
        <w:right w:val="none" w:sz="0" w:space="0" w:color="auto"/>
      </w:divBdr>
    </w:div>
    <w:div w:id="192500872">
      <w:bodyDiv w:val="1"/>
      <w:marLeft w:val="0"/>
      <w:marRight w:val="0"/>
      <w:marTop w:val="0"/>
      <w:marBottom w:val="0"/>
      <w:divBdr>
        <w:top w:val="none" w:sz="0" w:space="0" w:color="auto"/>
        <w:left w:val="none" w:sz="0" w:space="0" w:color="auto"/>
        <w:bottom w:val="none" w:sz="0" w:space="0" w:color="auto"/>
        <w:right w:val="none" w:sz="0" w:space="0" w:color="auto"/>
      </w:divBdr>
    </w:div>
    <w:div w:id="200483459">
      <w:bodyDiv w:val="1"/>
      <w:marLeft w:val="0"/>
      <w:marRight w:val="0"/>
      <w:marTop w:val="0"/>
      <w:marBottom w:val="0"/>
      <w:divBdr>
        <w:top w:val="none" w:sz="0" w:space="0" w:color="auto"/>
        <w:left w:val="none" w:sz="0" w:space="0" w:color="auto"/>
        <w:bottom w:val="none" w:sz="0" w:space="0" w:color="auto"/>
        <w:right w:val="none" w:sz="0" w:space="0" w:color="auto"/>
      </w:divBdr>
    </w:div>
    <w:div w:id="215092924">
      <w:bodyDiv w:val="1"/>
      <w:marLeft w:val="0"/>
      <w:marRight w:val="0"/>
      <w:marTop w:val="0"/>
      <w:marBottom w:val="0"/>
      <w:divBdr>
        <w:top w:val="none" w:sz="0" w:space="0" w:color="auto"/>
        <w:left w:val="none" w:sz="0" w:space="0" w:color="auto"/>
        <w:bottom w:val="none" w:sz="0" w:space="0" w:color="auto"/>
        <w:right w:val="none" w:sz="0" w:space="0" w:color="auto"/>
      </w:divBdr>
    </w:div>
    <w:div w:id="220409862">
      <w:bodyDiv w:val="1"/>
      <w:marLeft w:val="0"/>
      <w:marRight w:val="0"/>
      <w:marTop w:val="0"/>
      <w:marBottom w:val="0"/>
      <w:divBdr>
        <w:top w:val="none" w:sz="0" w:space="0" w:color="auto"/>
        <w:left w:val="none" w:sz="0" w:space="0" w:color="auto"/>
        <w:bottom w:val="none" w:sz="0" w:space="0" w:color="auto"/>
        <w:right w:val="none" w:sz="0" w:space="0" w:color="auto"/>
      </w:divBdr>
    </w:div>
    <w:div w:id="221990752">
      <w:bodyDiv w:val="1"/>
      <w:marLeft w:val="0"/>
      <w:marRight w:val="0"/>
      <w:marTop w:val="0"/>
      <w:marBottom w:val="0"/>
      <w:divBdr>
        <w:top w:val="none" w:sz="0" w:space="0" w:color="auto"/>
        <w:left w:val="none" w:sz="0" w:space="0" w:color="auto"/>
        <w:bottom w:val="none" w:sz="0" w:space="0" w:color="auto"/>
        <w:right w:val="none" w:sz="0" w:space="0" w:color="auto"/>
      </w:divBdr>
    </w:div>
    <w:div w:id="224799792">
      <w:bodyDiv w:val="1"/>
      <w:marLeft w:val="0"/>
      <w:marRight w:val="0"/>
      <w:marTop w:val="0"/>
      <w:marBottom w:val="0"/>
      <w:divBdr>
        <w:top w:val="none" w:sz="0" w:space="0" w:color="auto"/>
        <w:left w:val="none" w:sz="0" w:space="0" w:color="auto"/>
        <w:bottom w:val="none" w:sz="0" w:space="0" w:color="auto"/>
        <w:right w:val="none" w:sz="0" w:space="0" w:color="auto"/>
      </w:divBdr>
    </w:div>
    <w:div w:id="226846998">
      <w:bodyDiv w:val="1"/>
      <w:marLeft w:val="0"/>
      <w:marRight w:val="0"/>
      <w:marTop w:val="0"/>
      <w:marBottom w:val="0"/>
      <w:divBdr>
        <w:top w:val="none" w:sz="0" w:space="0" w:color="auto"/>
        <w:left w:val="none" w:sz="0" w:space="0" w:color="auto"/>
        <w:bottom w:val="none" w:sz="0" w:space="0" w:color="auto"/>
        <w:right w:val="none" w:sz="0" w:space="0" w:color="auto"/>
      </w:divBdr>
    </w:div>
    <w:div w:id="228001369">
      <w:bodyDiv w:val="1"/>
      <w:marLeft w:val="0"/>
      <w:marRight w:val="0"/>
      <w:marTop w:val="0"/>
      <w:marBottom w:val="0"/>
      <w:divBdr>
        <w:top w:val="none" w:sz="0" w:space="0" w:color="auto"/>
        <w:left w:val="none" w:sz="0" w:space="0" w:color="auto"/>
        <w:bottom w:val="none" w:sz="0" w:space="0" w:color="auto"/>
        <w:right w:val="none" w:sz="0" w:space="0" w:color="auto"/>
      </w:divBdr>
    </w:div>
    <w:div w:id="229924530">
      <w:bodyDiv w:val="1"/>
      <w:marLeft w:val="0"/>
      <w:marRight w:val="0"/>
      <w:marTop w:val="0"/>
      <w:marBottom w:val="0"/>
      <w:divBdr>
        <w:top w:val="none" w:sz="0" w:space="0" w:color="auto"/>
        <w:left w:val="none" w:sz="0" w:space="0" w:color="auto"/>
        <w:bottom w:val="none" w:sz="0" w:space="0" w:color="auto"/>
        <w:right w:val="none" w:sz="0" w:space="0" w:color="auto"/>
      </w:divBdr>
    </w:div>
    <w:div w:id="242493104">
      <w:bodyDiv w:val="1"/>
      <w:marLeft w:val="0"/>
      <w:marRight w:val="0"/>
      <w:marTop w:val="0"/>
      <w:marBottom w:val="0"/>
      <w:divBdr>
        <w:top w:val="none" w:sz="0" w:space="0" w:color="auto"/>
        <w:left w:val="none" w:sz="0" w:space="0" w:color="auto"/>
        <w:bottom w:val="none" w:sz="0" w:space="0" w:color="auto"/>
        <w:right w:val="none" w:sz="0" w:space="0" w:color="auto"/>
      </w:divBdr>
    </w:div>
    <w:div w:id="244002078">
      <w:bodyDiv w:val="1"/>
      <w:marLeft w:val="0"/>
      <w:marRight w:val="0"/>
      <w:marTop w:val="0"/>
      <w:marBottom w:val="0"/>
      <w:divBdr>
        <w:top w:val="none" w:sz="0" w:space="0" w:color="auto"/>
        <w:left w:val="none" w:sz="0" w:space="0" w:color="auto"/>
        <w:bottom w:val="none" w:sz="0" w:space="0" w:color="auto"/>
        <w:right w:val="none" w:sz="0" w:space="0" w:color="auto"/>
      </w:divBdr>
    </w:div>
    <w:div w:id="244191603">
      <w:bodyDiv w:val="1"/>
      <w:marLeft w:val="0"/>
      <w:marRight w:val="0"/>
      <w:marTop w:val="0"/>
      <w:marBottom w:val="0"/>
      <w:divBdr>
        <w:top w:val="none" w:sz="0" w:space="0" w:color="auto"/>
        <w:left w:val="none" w:sz="0" w:space="0" w:color="auto"/>
        <w:bottom w:val="none" w:sz="0" w:space="0" w:color="auto"/>
        <w:right w:val="none" w:sz="0" w:space="0" w:color="auto"/>
      </w:divBdr>
    </w:div>
    <w:div w:id="245115784">
      <w:bodyDiv w:val="1"/>
      <w:marLeft w:val="0"/>
      <w:marRight w:val="0"/>
      <w:marTop w:val="0"/>
      <w:marBottom w:val="0"/>
      <w:divBdr>
        <w:top w:val="none" w:sz="0" w:space="0" w:color="auto"/>
        <w:left w:val="none" w:sz="0" w:space="0" w:color="auto"/>
        <w:bottom w:val="none" w:sz="0" w:space="0" w:color="auto"/>
        <w:right w:val="none" w:sz="0" w:space="0" w:color="auto"/>
      </w:divBdr>
    </w:div>
    <w:div w:id="245769960">
      <w:bodyDiv w:val="1"/>
      <w:marLeft w:val="0"/>
      <w:marRight w:val="0"/>
      <w:marTop w:val="0"/>
      <w:marBottom w:val="0"/>
      <w:divBdr>
        <w:top w:val="none" w:sz="0" w:space="0" w:color="auto"/>
        <w:left w:val="none" w:sz="0" w:space="0" w:color="auto"/>
        <w:bottom w:val="none" w:sz="0" w:space="0" w:color="auto"/>
        <w:right w:val="none" w:sz="0" w:space="0" w:color="auto"/>
      </w:divBdr>
    </w:div>
    <w:div w:id="249897247">
      <w:bodyDiv w:val="1"/>
      <w:marLeft w:val="0"/>
      <w:marRight w:val="0"/>
      <w:marTop w:val="0"/>
      <w:marBottom w:val="0"/>
      <w:divBdr>
        <w:top w:val="none" w:sz="0" w:space="0" w:color="auto"/>
        <w:left w:val="none" w:sz="0" w:space="0" w:color="auto"/>
        <w:bottom w:val="none" w:sz="0" w:space="0" w:color="auto"/>
        <w:right w:val="none" w:sz="0" w:space="0" w:color="auto"/>
      </w:divBdr>
    </w:div>
    <w:div w:id="259147094">
      <w:bodyDiv w:val="1"/>
      <w:marLeft w:val="0"/>
      <w:marRight w:val="0"/>
      <w:marTop w:val="0"/>
      <w:marBottom w:val="0"/>
      <w:divBdr>
        <w:top w:val="none" w:sz="0" w:space="0" w:color="auto"/>
        <w:left w:val="none" w:sz="0" w:space="0" w:color="auto"/>
        <w:bottom w:val="none" w:sz="0" w:space="0" w:color="auto"/>
        <w:right w:val="none" w:sz="0" w:space="0" w:color="auto"/>
      </w:divBdr>
    </w:div>
    <w:div w:id="260459303">
      <w:bodyDiv w:val="1"/>
      <w:marLeft w:val="0"/>
      <w:marRight w:val="0"/>
      <w:marTop w:val="0"/>
      <w:marBottom w:val="0"/>
      <w:divBdr>
        <w:top w:val="none" w:sz="0" w:space="0" w:color="auto"/>
        <w:left w:val="none" w:sz="0" w:space="0" w:color="auto"/>
        <w:bottom w:val="none" w:sz="0" w:space="0" w:color="auto"/>
        <w:right w:val="none" w:sz="0" w:space="0" w:color="auto"/>
      </w:divBdr>
    </w:div>
    <w:div w:id="267809408">
      <w:bodyDiv w:val="1"/>
      <w:marLeft w:val="0"/>
      <w:marRight w:val="0"/>
      <w:marTop w:val="0"/>
      <w:marBottom w:val="0"/>
      <w:divBdr>
        <w:top w:val="none" w:sz="0" w:space="0" w:color="auto"/>
        <w:left w:val="none" w:sz="0" w:space="0" w:color="auto"/>
        <w:bottom w:val="none" w:sz="0" w:space="0" w:color="auto"/>
        <w:right w:val="none" w:sz="0" w:space="0" w:color="auto"/>
      </w:divBdr>
    </w:div>
    <w:div w:id="274872955">
      <w:bodyDiv w:val="1"/>
      <w:marLeft w:val="0"/>
      <w:marRight w:val="0"/>
      <w:marTop w:val="0"/>
      <w:marBottom w:val="0"/>
      <w:divBdr>
        <w:top w:val="none" w:sz="0" w:space="0" w:color="auto"/>
        <w:left w:val="none" w:sz="0" w:space="0" w:color="auto"/>
        <w:bottom w:val="none" w:sz="0" w:space="0" w:color="auto"/>
        <w:right w:val="none" w:sz="0" w:space="0" w:color="auto"/>
      </w:divBdr>
    </w:div>
    <w:div w:id="276956403">
      <w:bodyDiv w:val="1"/>
      <w:marLeft w:val="0"/>
      <w:marRight w:val="0"/>
      <w:marTop w:val="0"/>
      <w:marBottom w:val="0"/>
      <w:divBdr>
        <w:top w:val="none" w:sz="0" w:space="0" w:color="auto"/>
        <w:left w:val="none" w:sz="0" w:space="0" w:color="auto"/>
        <w:bottom w:val="none" w:sz="0" w:space="0" w:color="auto"/>
        <w:right w:val="none" w:sz="0" w:space="0" w:color="auto"/>
      </w:divBdr>
    </w:div>
    <w:div w:id="277571737">
      <w:bodyDiv w:val="1"/>
      <w:marLeft w:val="0"/>
      <w:marRight w:val="0"/>
      <w:marTop w:val="0"/>
      <w:marBottom w:val="0"/>
      <w:divBdr>
        <w:top w:val="none" w:sz="0" w:space="0" w:color="auto"/>
        <w:left w:val="none" w:sz="0" w:space="0" w:color="auto"/>
        <w:bottom w:val="none" w:sz="0" w:space="0" w:color="auto"/>
        <w:right w:val="none" w:sz="0" w:space="0" w:color="auto"/>
      </w:divBdr>
    </w:div>
    <w:div w:id="281232134">
      <w:bodyDiv w:val="1"/>
      <w:marLeft w:val="0"/>
      <w:marRight w:val="0"/>
      <w:marTop w:val="0"/>
      <w:marBottom w:val="0"/>
      <w:divBdr>
        <w:top w:val="none" w:sz="0" w:space="0" w:color="auto"/>
        <w:left w:val="none" w:sz="0" w:space="0" w:color="auto"/>
        <w:bottom w:val="none" w:sz="0" w:space="0" w:color="auto"/>
        <w:right w:val="none" w:sz="0" w:space="0" w:color="auto"/>
      </w:divBdr>
    </w:div>
    <w:div w:id="300352364">
      <w:bodyDiv w:val="1"/>
      <w:marLeft w:val="0"/>
      <w:marRight w:val="0"/>
      <w:marTop w:val="0"/>
      <w:marBottom w:val="0"/>
      <w:divBdr>
        <w:top w:val="none" w:sz="0" w:space="0" w:color="auto"/>
        <w:left w:val="none" w:sz="0" w:space="0" w:color="auto"/>
        <w:bottom w:val="none" w:sz="0" w:space="0" w:color="auto"/>
        <w:right w:val="none" w:sz="0" w:space="0" w:color="auto"/>
      </w:divBdr>
    </w:div>
    <w:div w:id="302084036">
      <w:bodyDiv w:val="1"/>
      <w:marLeft w:val="0"/>
      <w:marRight w:val="0"/>
      <w:marTop w:val="0"/>
      <w:marBottom w:val="0"/>
      <w:divBdr>
        <w:top w:val="none" w:sz="0" w:space="0" w:color="auto"/>
        <w:left w:val="none" w:sz="0" w:space="0" w:color="auto"/>
        <w:bottom w:val="none" w:sz="0" w:space="0" w:color="auto"/>
        <w:right w:val="none" w:sz="0" w:space="0" w:color="auto"/>
      </w:divBdr>
    </w:div>
    <w:div w:id="303435943">
      <w:bodyDiv w:val="1"/>
      <w:marLeft w:val="0"/>
      <w:marRight w:val="0"/>
      <w:marTop w:val="0"/>
      <w:marBottom w:val="0"/>
      <w:divBdr>
        <w:top w:val="none" w:sz="0" w:space="0" w:color="auto"/>
        <w:left w:val="none" w:sz="0" w:space="0" w:color="auto"/>
        <w:bottom w:val="none" w:sz="0" w:space="0" w:color="auto"/>
        <w:right w:val="none" w:sz="0" w:space="0" w:color="auto"/>
      </w:divBdr>
    </w:div>
    <w:div w:id="304117806">
      <w:bodyDiv w:val="1"/>
      <w:marLeft w:val="0"/>
      <w:marRight w:val="0"/>
      <w:marTop w:val="0"/>
      <w:marBottom w:val="0"/>
      <w:divBdr>
        <w:top w:val="none" w:sz="0" w:space="0" w:color="auto"/>
        <w:left w:val="none" w:sz="0" w:space="0" w:color="auto"/>
        <w:bottom w:val="none" w:sz="0" w:space="0" w:color="auto"/>
        <w:right w:val="none" w:sz="0" w:space="0" w:color="auto"/>
      </w:divBdr>
    </w:div>
    <w:div w:id="304480428">
      <w:bodyDiv w:val="1"/>
      <w:marLeft w:val="0"/>
      <w:marRight w:val="0"/>
      <w:marTop w:val="0"/>
      <w:marBottom w:val="0"/>
      <w:divBdr>
        <w:top w:val="none" w:sz="0" w:space="0" w:color="auto"/>
        <w:left w:val="none" w:sz="0" w:space="0" w:color="auto"/>
        <w:bottom w:val="none" w:sz="0" w:space="0" w:color="auto"/>
        <w:right w:val="none" w:sz="0" w:space="0" w:color="auto"/>
      </w:divBdr>
    </w:div>
    <w:div w:id="312610688">
      <w:bodyDiv w:val="1"/>
      <w:marLeft w:val="0"/>
      <w:marRight w:val="0"/>
      <w:marTop w:val="0"/>
      <w:marBottom w:val="0"/>
      <w:divBdr>
        <w:top w:val="none" w:sz="0" w:space="0" w:color="auto"/>
        <w:left w:val="none" w:sz="0" w:space="0" w:color="auto"/>
        <w:bottom w:val="none" w:sz="0" w:space="0" w:color="auto"/>
        <w:right w:val="none" w:sz="0" w:space="0" w:color="auto"/>
      </w:divBdr>
    </w:div>
    <w:div w:id="319622078">
      <w:bodyDiv w:val="1"/>
      <w:marLeft w:val="0"/>
      <w:marRight w:val="0"/>
      <w:marTop w:val="0"/>
      <w:marBottom w:val="0"/>
      <w:divBdr>
        <w:top w:val="none" w:sz="0" w:space="0" w:color="auto"/>
        <w:left w:val="none" w:sz="0" w:space="0" w:color="auto"/>
        <w:bottom w:val="none" w:sz="0" w:space="0" w:color="auto"/>
        <w:right w:val="none" w:sz="0" w:space="0" w:color="auto"/>
      </w:divBdr>
    </w:div>
    <w:div w:id="326901245">
      <w:bodyDiv w:val="1"/>
      <w:marLeft w:val="0"/>
      <w:marRight w:val="0"/>
      <w:marTop w:val="0"/>
      <w:marBottom w:val="0"/>
      <w:divBdr>
        <w:top w:val="none" w:sz="0" w:space="0" w:color="auto"/>
        <w:left w:val="none" w:sz="0" w:space="0" w:color="auto"/>
        <w:bottom w:val="none" w:sz="0" w:space="0" w:color="auto"/>
        <w:right w:val="none" w:sz="0" w:space="0" w:color="auto"/>
      </w:divBdr>
    </w:div>
    <w:div w:id="326910533">
      <w:bodyDiv w:val="1"/>
      <w:marLeft w:val="0"/>
      <w:marRight w:val="0"/>
      <w:marTop w:val="0"/>
      <w:marBottom w:val="0"/>
      <w:divBdr>
        <w:top w:val="none" w:sz="0" w:space="0" w:color="auto"/>
        <w:left w:val="none" w:sz="0" w:space="0" w:color="auto"/>
        <w:bottom w:val="none" w:sz="0" w:space="0" w:color="auto"/>
        <w:right w:val="none" w:sz="0" w:space="0" w:color="auto"/>
      </w:divBdr>
    </w:div>
    <w:div w:id="328094558">
      <w:bodyDiv w:val="1"/>
      <w:marLeft w:val="0"/>
      <w:marRight w:val="0"/>
      <w:marTop w:val="0"/>
      <w:marBottom w:val="0"/>
      <w:divBdr>
        <w:top w:val="none" w:sz="0" w:space="0" w:color="auto"/>
        <w:left w:val="none" w:sz="0" w:space="0" w:color="auto"/>
        <w:bottom w:val="none" w:sz="0" w:space="0" w:color="auto"/>
        <w:right w:val="none" w:sz="0" w:space="0" w:color="auto"/>
      </w:divBdr>
    </w:div>
    <w:div w:id="332728396">
      <w:bodyDiv w:val="1"/>
      <w:marLeft w:val="0"/>
      <w:marRight w:val="0"/>
      <w:marTop w:val="0"/>
      <w:marBottom w:val="0"/>
      <w:divBdr>
        <w:top w:val="none" w:sz="0" w:space="0" w:color="auto"/>
        <w:left w:val="none" w:sz="0" w:space="0" w:color="auto"/>
        <w:bottom w:val="none" w:sz="0" w:space="0" w:color="auto"/>
        <w:right w:val="none" w:sz="0" w:space="0" w:color="auto"/>
      </w:divBdr>
    </w:div>
    <w:div w:id="338431089">
      <w:bodyDiv w:val="1"/>
      <w:marLeft w:val="0"/>
      <w:marRight w:val="0"/>
      <w:marTop w:val="0"/>
      <w:marBottom w:val="0"/>
      <w:divBdr>
        <w:top w:val="none" w:sz="0" w:space="0" w:color="auto"/>
        <w:left w:val="none" w:sz="0" w:space="0" w:color="auto"/>
        <w:bottom w:val="none" w:sz="0" w:space="0" w:color="auto"/>
        <w:right w:val="none" w:sz="0" w:space="0" w:color="auto"/>
      </w:divBdr>
    </w:div>
    <w:div w:id="344132837">
      <w:bodyDiv w:val="1"/>
      <w:marLeft w:val="0"/>
      <w:marRight w:val="0"/>
      <w:marTop w:val="0"/>
      <w:marBottom w:val="0"/>
      <w:divBdr>
        <w:top w:val="none" w:sz="0" w:space="0" w:color="auto"/>
        <w:left w:val="none" w:sz="0" w:space="0" w:color="auto"/>
        <w:bottom w:val="none" w:sz="0" w:space="0" w:color="auto"/>
        <w:right w:val="none" w:sz="0" w:space="0" w:color="auto"/>
      </w:divBdr>
    </w:div>
    <w:div w:id="352926534">
      <w:bodyDiv w:val="1"/>
      <w:marLeft w:val="0"/>
      <w:marRight w:val="0"/>
      <w:marTop w:val="0"/>
      <w:marBottom w:val="0"/>
      <w:divBdr>
        <w:top w:val="none" w:sz="0" w:space="0" w:color="auto"/>
        <w:left w:val="none" w:sz="0" w:space="0" w:color="auto"/>
        <w:bottom w:val="none" w:sz="0" w:space="0" w:color="auto"/>
        <w:right w:val="none" w:sz="0" w:space="0" w:color="auto"/>
      </w:divBdr>
    </w:div>
    <w:div w:id="354115786">
      <w:bodyDiv w:val="1"/>
      <w:marLeft w:val="0"/>
      <w:marRight w:val="0"/>
      <w:marTop w:val="0"/>
      <w:marBottom w:val="0"/>
      <w:divBdr>
        <w:top w:val="none" w:sz="0" w:space="0" w:color="auto"/>
        <w:left w:val="none" w:sz="0" w:space="0" w:color="auto"/>
        <w:bottom w:val="none" w:sz="0" w:space="0" w:color="auto"/>
        <w:right w:val="none" w:sz="0" w:space="0" w:color="auto"/>
      </w:divBdr>
    </w:div>
    <w:div w:id="356977012">
      <w:bodyDiv w:val="1"/>
      <w:marLeft w:val="0"/>
      <w:marRight w:val="0"/>
      <w:marTop w:val="0"/>
      <w:marBottom w:val="0"/>
      <w:divBdr>
        <w:top w:val="none" w:sz="0" w:space="0" w:color="auto"/>
        <w:left w:val="none" w:sz="0" w:space="0" w:color="auto"/>
        <w:bottom w:val="none" w:sz="0" w:space="0" w:color="auto"/>
        <w:right w:val="none" w:sz="0" w:space="0" w:color="auto"/>
      </w:divBdr>
    </w:div>
    <w:div w:id="377977165">
      <w:bodyDiv w:val="1"/>
      <w:marLeft w:val="0"/>
      <w:marRight w:val="0"/>
      <w:marTop w:val="0"/>
      <w:marBottom w:val="0"/>
      <w:divBdr>
        <w:top w:val="none" w:sz="0" w:space="0" w:color="auto"/>
        <w:left w:val="none" w:sz="0" w:space="0" w:color="auto"/>
        <w:bottom w:val="none" w:sz="0" w:space="0" w:color="auto"/>
        <w:right w:val="none" w:sz="0" w:space="0" w:color="auto"/>
      </w:divBdr>
    </w:div>
    <w:div w:id="387611075">
      <w:bodyDiv w:val="1"/>
      <w:marLeft w:val="0"/>
      <w:marRight w:val="0"/>
      <w:marTop w:val="0"/>
      <w:marBottom w:val="0"/>
      <w:divBdr>
        <w:top w:val="none" w:sz="0" w:space="0" w:color="auto"/>
        <w:left w:val="none" w:sz="0" w:space="0" w:color="auto"/>
        <w:bottom w:val="none" w:sz="0" w:space="0" w:color="auto"/>
        <w:right w:val="none" w:sz="0" w:space="0" w:color="auto"/>
      </w:divBdr>
    </w:div>
    <w:div w:id="390345360">
      <w:bodyDiv w:val="1"/>
      <w:marLeft w:val="0"/>
      <w:marRight w:val="0"/>
      <w:marTop w:val="0"/>
      <w:marBottom w:val="0"/>
      <w:divBdr>
        <w:top w:val="none" w:sz="0" w:space="0" w:color="auto"/>
        <w:left w:val="none" w:sz="0" w:space="0" w:color="auto"/>
        <w:bottom w:val="none" w:sz="0" w:space="0" w:color="auto"/>
        <w:right w:val="none" w:sz="0" w:space="0" w:color="auto"/>
      </w:divBdr>
    </w:div>
    <w:div w:id="394397278">
      <w:bodyDiv w:val="1"/>
      <w:marLeft w:val="0"/>
      <w:marRight w:val="0"/>
      <w:marTop w:val="0"/>
      <w:marBottom w:val="0"/>
      <w:divBdr>
        <w:top w:val="none" w:sz="0" w:space="0" w:color="auto"/>
        <w:left w:val="none" w:sz="0" w:space="0" w:color="auto"/>
        <w:bottom w:val="none" w:sz="0" w:space="0" w:color="auto"/>
        <w:right w:val="none" w:sz="0" w:space="0" w:color="auto"/>
      </w:divBdr>
    </w:div>
    <w:div w:id="394625003">
      <w:bodyDiv w:val="1"/>
      <w:marLeft w:val="0"/>
      <w:marRight w:val="0"/>
      <w:marTop w:val="0"/>
      <w:marBottom w:val="0"/>
      <w:divBdr>
        <w:top w:val="none" w:sz="0" w:space="0" w:color="auto"/>
        <w:left w:val="none" w:sz="0" w:space="0" w:color="auto"/>
        <w:bottom w:val="none" w:sz="0" w:space="0" w:color="auto"/>
        <w:right w:val="none" w:sz="0" w:space="0" w:color="auto"/>
      </w:divBdr>
    </w:div>
    <w:div w:id="394789127">
      <w:bodyDiv w:val="1"/>
      <w:marLeft w:val="0"/>
      <w:marRight w:val="0"/>
      <w:marTop w:val="0"/>
      <w:marBottom w:val="0"/>
      <w:divBdr>
        <w:top w:val="none" w:sz="0" w:space="0" w:color="auto"/>
        <w:left w:val="none" w:sz="0" w:space="0" w:color="auto"/>
        <w:bottom w:val="none" w:sz="0" w:space="0" w:color="auto"/>
        <w:right w:val="none" w:sz="0" w:space="0" w:color="auto"/>
      </w:divBdr>
    </w:div>
    <w:div w:id="399180189">
      <w:bodyDiv w:val="1"/>
      <w:marLeft w:val="0"/>
      <w:marRight w:val="0"/>
      <w:marTop w:val="0"/>
      <w:marBottom w:val="0"/>
      <w:divBdr>
        <w:top w:val="none" w:sz="0" w:space="0" w:color="auto"/>
        <w:left w:val="none" w:sz="0" w:space="0" w:color="auto"/>
        <w:bottom w:val="none" w:sz="0" w:space="0" w:color="auto"/>
        <w:right w:val="none" w:sz="0" w:space="0" w:color="auto"/>
      </w:divBdr>
    </w:div>
    <w:div w:id="402602947">
      <w:bodyDiv w:val="1"/>
      <w:marLeft w:val="0"/>
      <w:marRight w:val="0"/>
      <w:marTop w:val="0"/>
      <w:marBottom w:val="0"/>
      <w:divBdr>
        <w:top w:val="none" w:sz="0" w:space="0" w:color="auto"/>
        <w:left w:val="none" w:sz="0" w:space="0" w:color="auto"/>
        <w:bottom w:val="none" w:sz="0" w:space="0" w:color="auto"/>
        <w:right w:val="none" w:sz="0" w:space="0" w:color="auto"/>
      </w:divBdr>
    </w:div>
    <w:div w:id="402721898">
      <w:bodyDiv w:val="1"/>
      <w:marLeft w:val="0"/>
      <w:marRight w:val="0"/>
      <w:marTop w:val="0"/>
      <w:marBottom w:val="0"/>
      <w:divBdr>
        <w:top w:val="none" w:sz="0" w:space="0" w:color="auto"/>
        <w:left w:val="none" w:sz="0" w:space="0" w:color="auto"/>
        <w:bottom w:val="none" w:sz="0" w:space="0" w:color="auto"/>
        <w:right w:val="none" w:sz="0" w:space="0" w:color="auto"/>
      </w:divBdr>
    </w:div>
    <w:div w:id="421880882">
      <w:bodyDiv w:val="1"/>
      <w:marLeft w:val="0"/>
      <w:marRight w:val="0"/>
      <w:marTop w:val="0"/>
      <w:marBottom w:val="0"/>
      <w:divBdr>
        <w:top w:val="none" w:sz="0" w:space="0" w:color="auto"/>
        <w:left w:val="none" w:sz="0" w:space="0" w:color="auto"/>
        <w:bottom w:val="none" w:sz="0" w:space="0" w:color="auto"/>
        <w:right w:val="none" w:sz="0" w:space="0" w:color="auto"/>
      </w:divBdr>
    </w:div>
    <w:div w:id="444035363">
      <w:bodyDiv w:val="1"/>
      <w:marLeft w:val="0"/>
      <w:marRight w:val="0"/>
      <w:marTop w:val="0"/>
      <w:marBottom w:val="0"/>
      <w:divBdr>
        <w:top w:val="none" w:sz="0" w:space="0" w:color="auto"/>
        <w:left w:val="none" w:sz="0" w:space="0" w:color="auto"/>
        <w:bottom w:val="none" w:sz="0" w:space="0" w:color="auto"/>
        <w:right w:val="none" w:sz="0" w:space="0" w:color="auto"/>
      </w:divBdr>
    </w:div>
    <w:div w:id="445852216">
      <w:bodyDiv w:val="1"/>
      <w:marLeft w:val="0"/>
      <w:marRight w:val="0"/>
      <w:marTop w:val="0"/>
      <w:marBottom w:val="0"/>
      <w:divBdr>
        <w:top w:val="none" w:sz="0" w:space="0" w:color="auto"/>
        <w:left w:val="none" w:sz="0" w:space="0" w:color="auto"/>
        <w:bottom w:val="none" w:sz="0" w:space="0" w:color="auto"/>
        <w:right w:val="none" w:sz="0" w:space="0" w:color="auto"/>
      </w:divBdr>
    </w:div>
    <w:div w:id="449594502">
      <w:bodyDiv w:val="1"/>
      <w:marLeft w:val="0"/>
      <w:marRight w:val="0"/>
      <w:marTop w:val="0"/>
      <w:marBottom w:val="0"/>
      <w:divBdr>
        <w:top w:val="none" w:sz="0" w:space="0" w:color="auto"/>
        <w:left w:val="none" w:sz="0" w:space="0" w:color="auto"/>
        <w:bottom w:val="none" w:sz="0" w:space="0" w:color="auto"/>
        <w:right w:val="none" w:sz="0" w:space="0" w:color="auto"/>
      </w:divBdr>
    </w:div>
    <w:div w:id="455636522">
      <w:bodyDiv w:val="1"/>
      <w:marLeft w:val="0"/>
      <w:marRight w:val="0"/>
      <w:marTop w:val="0"/>
      <w:marBottom w:val="0"/>
      <w:divBdr>
        <w:top w:val="none" w:sz="0" w:space="0" w:color="auto"/>
        <w:left w:val="none" w:sz="0" w:space="0" w:color="auto"/>
        <w:bottom w:val="none" w:sz="0" w:space="0" w:color="auto"/>
        <w:right w:val="none" w:sz="0" w:space="0" w:color="auto"/>
      </w:divBdr>
    </w:div>
    <w:div w:id="459223906">
      <w:bodyDiv w:val="1"/>
      <w:marLeft w:val="0"/>
      <w:marRight w:val="0"/>
      <w:marTop w:val="0"/>
      <w:marBottom w:val="0"/>
      <w:divBdr>
        <w:top w:val="none" w:sz="0" w:space="0" w:color="auto"/>
        <w:left w:val="none" w:sz="0" w:space="0" w:color="auto"/>
        <w:bottom w:val="none" w:sz="0" w:space="0" w:color="auto"/>
        <w:right w:val="none" w:sz="0" w:space="0" w:color="auto"/>
      </w:divBdr>
    </w:div>
    <w:div w:id="470171791">
      <w:bodyDiv w:val="1"/>
      <w:marLeft w:val="0"/>
      <w:marRight w:val="0"/>
      <w:marTop w:val="0"/>
      <w:marBottom w:val="0"/>
      <w:divBdr>
        <w:top w:val="none" w:sz="0" w:space="0" w:color="auto"/>
        <w:left w:val="none" w:sz="0" w:space="0" w:color="auto"/>
        <w:bottom w:val="none" w:sz="0" w:space="0" w:color="auto"/>
        <w:right w:val="none" w:sz="0" w:space="0" w:color="auto"/>
      </w:divBdr>
    </w:div>
    <w:div w:id="477259569">
      <w:bodyDiv w:val="1"/>
      <w:marLeft w:val="0"/>
      <w:marRight w:val="0"/>
      <w:marTop w:val="0"/>
      <w:marBottom w:val="0"/>
      <w:divBdr>
        <w:top w:val="none" w:sz="0" w:space="0" w:color="auto"/>
        <w:left w:val="none" w:sz="0" w:space="0" w:color="auto"/>
        <w:bottom w:val="none" w:sz="0" w:space="0" w:color="auto"/>
        <w:right w:val="none" w:sz="0" w:space="0" w:color="auto"/>
      </w:divBdr>
    </w:div>
    <w:div w:id="479350311">
      <w:bodyDiv w:val="1"/>
      <w:marLeft w:val="0"/>
      <w:marRight w:val="0"/>
      <w:marTop w:val="0"/>
      <w:marBottom w:val="0"/>
      <w:divBdr>
        <w:top w:val="none" w:sz="0" w:space="0" w:color="auto"/>
        <w:left w:val="none" w:sz="0" w:space="0" w:color="auto"/>
        <w:bottom w:val="none" w:sz="0" w:space="0" w:color="auto"/>
        <w:right w:val="none" w:sz="0" w:space="0" w:color="auto"/>
      </w:divBdr>
    </w:div>
    <w:div w:id="489366406">
      <w:bodyDiv w:val="1"/>
      <w:marLeft w:val="0"/>
      <w:marRight w:val="0"/>
      <w:marTop w:val="0"/>
      <w:marBottom w:val="0"/>
      <w:divBdr>
        <w:top w:val="none" w:sz="0" w:space="0" w:color="auto"/>
        <w:left w:val="none" w:sz="0" w:space="0" w:color="auto"/>
        <w:bottom w:val="none" w:sz="0" w:space="0" w:color="auto"/>
        <w:right w:val="none" w:sz="0" w:space="0" w:color="auto"/>
      </w:divBdr>
    </w:div>
    <w:div w:id="491915229">
      <w:bodyDiv w:val="1"/>
      <w:marLeft w:val="0"/>
      <w:marRight w:val="0"/>
      <w:marTop w:val="0"/>
      <w:marBottom w:val="0"/>
      <w:divBdr>
        <w:top w:val="none" w:sz="0" w:space="0" w:color="auto"/>
        <w:left w:val="none" w:sz="0" w:space="0" w:color="auto"/>
        <w:bottom w:val="none" w:sz="0" w:space="0" w:color="auto"/>
        <w:right w:val="none" w:sz="0" w:space="0" w:color="auto"/>
      </w:divBdr>
    </w:div>
    <w:div w:id="496119163">
      <w:bodyDiv w:val="1"/>
      <w:marLeft w:val="0"/>
      <w:marRight w:val="0"/>
      <w:marTop w:val="0"/>
      <w:marBottom w:val="0"/>
      <w:divBdr>
        <w:top w:val="none" w:sz="0" w:space="0" w:color="auto"/>
        <w:left w:val="none" w:sz="0" w:space="0" w:color="auto"/>
        <w:bottom w:val="none" w:sz="0" w:space="0" w:color="auto"/>
        <w:right w:val="none" w:sz="0" w:space="0" w:color="auto"/>
      </w:divBdr>
    </w:div>
    <w:div w:id="502622039">
      <w:bodyDiv w:val="1"/>
      <w:marLeft w:val="0"/>
      <w:marRight w:val="0"/>
      <w:marTop w:val="0"/>
      <w:marBottom w:val="0"/>
      <w:divBdr>
        <w:top w:val="none" w:sz="0" w:space="0" w:color="auto"/>
        <w:left w:val="none" w:sz="0" w:space="0" w:color="auto"/>
        <w:bottom w:val="none" w:sz="0" w:space="0" w:color="auto"/>
        <w:right w:val="none" w:sz="0" w:space="0" w:color="auto"/>
      </w:divBdr>
    </w:div>
    <w:div w:id="507334695">
      <w:bodyDiv w:val="1"/>
      <w:marLeft w:val="0"/>
      <w:marRight w:val="0"/>
      <w:marTop w:val="0"/>
      <w:marBottom w:val="0"/>
      <w:divBdr>
        <w:top w:val="none" w:sz="0" w:space="0" w:color="auto"/>
        <w:left w:val="none" w:sz="0" w:space="0" w:color="auto"/>
        <w:bottom w:val="none" w:sz="0" w:space="0" w:color="auto"/>
        <w:right w:val="none" w:sz="0" w:space="0" w:color="auto"/>
      </w:divBdr>
    </w:div>
    <w:div w:id="510877254">
      <w:bodyDiv w:val="1"/>
      <w:marLeft w:val="0"/>
      <w:marRight w:val="0"/>
      <w:marTop w:val="0"/>
      <w:marBottom w:val="0"/>
      <w:divBdr>
        <w:top w:val="none" w:sz="0" w:space="0" w:color="auto"/>
        <w:left w:val="none" w:sz="0" w:space="0" w:color="auto"/>
        <w:bottom w:val="none" w:sz="0" w:space="0" w:color="auto"/>
        <w:right w:val="none" w:sz="0" w:space="0" w:color="auto"/>
      </w:divBdr>
    </w:div>
    <w:div w:id="511071593">
      <w:bodyDiv w:val="1"/>
      <w:marLeft w:val="0"/>
      <w:marRight w:val="0"/>
      <w:marTop w:val="0"/>
      <w:marBottom w:val="0"/>
      <w:divBdr>
        <w:top w:val="none" w:sz="0" w:space="0" w:color="auto"/>
        <w:left w:val="none" w:sz="0" w:space="0" w:color="auto"/>
        <w:bottom w:val="none" w:sz="0" w:space="0" w:color="auto"/>
        <w:right w:val="none" w:sz="0" w:space="0" w:color="auto"/>
      </w:divBdr>
    </w:div>
    <w:div w:id="524101883">
      <w:bodyDiv w:val="1"/>
      <w:marLeft w:val="0"/>
      <w:marRight w:val="0"/>
      <w:marTop w:val="0"/>
      <w:marBottom w:val="0"/>
      <w:divBdr>
        <w:top w:val="none" w:sz="0" w:space="0" w:color="auto"/>
        <w:left w:val="none" w:sz="0" w:space="0" w:color="auto"/>
        <w:bottom w:val="none" w:sz="0" w:space="0" w:color="auto"/>
        <w:right w:val="none" w:sz="0" w:space="0" w:color="auto"/>
      </w:divBdr>
    </w:div>
    <w:div w:id="525294624">
      <w:bodyDiv w:val="1"/>
      <w:marLeft w:val="0"/>
      <w:marRight w:val="0"/>
      <w:marTop w:val="0"/>
      <w:marBottom w:val="0"/>
      <w:divBdr>
        <w:top w:val="none" w:sz="0" w:space="0" w:color="auto"/>
        <w:left w:val="none" w:sz="0" w:space="0" w:color="auto"/>
        <w:bottom w:val="none" w:sz="0" w:space="0" w:color="auto"/>
        <w:right w:val="none" w:sz="0" w:space="0" w:color="auto"/>
      </w:divBdr>
    </w:div>
    <w:div w:id="526912374">
      <w:bodyDiv w:val="1"/>
      <w:marLeft w:val="0"/>
      <w:marRight w:val="0"/>
      <w:marTop w:val="0"/>
      <w:marBottom w:val="0"/>
      <w:divBdr>
        <w:top w:val="none" w:sz="0" w:space="0" w:color="auto"/>
        <w:left w:val="none" w:sz="0" w:space="0" w:color="auto"/>
        <w:bottom w:val="none" w:sz="0" w:space="0" w:color="auto"/>
        <w:right w:val="none" w:sz="0" w:space="0" w:color="auto"/>
      </w:divBdr>
    </w:div>
    <w:div w:id="530073761">
      <w:bodyDiv w:val="1"/>
      <w:marLeft w:val="0"/>
      <w:marRight w:val="0"/>
      <w:marTop w:val="0"/>
      <w:marBottom w:val="0"/>
      <w:divBdr>
        <w:top w:val="none" w:sz="0" w:space="0" w:color="auto"/>
        <w:left w:val="none" w:sz="0" w:space="0" w:color="auto"/>
        <w:bottom w:val="none" w:sz="0" w:space="0" w:color="auto"/>
        <w:right w:val="none" w:sz="0" w:space="0" w:color="auto"/>
      </w:divBdr>
    </w:div>
    <w:div w:id="532885350">
      <w:bodyDiv w:val="1"/>
      <w:marLeft w:val="0"/>
      <w:marRight w:val="0"/>
      <w:marTop w:val="0"/>
      <w:marBottom w:val="0"/>
      <w:divBdr>
        <w:top w:val="none" w:sz="0" w:space="0" w:color="auto"/>
        <w:left w:val="none" w:sz="0" w:space="0" w:color="auto"/>
        <w:bottom w:val="none" w:sz="0" w:space="0" w:color="auto"/>
        <w:right w:val="none" w:sz="0" w:space="0" w:color="auto"/>
      </w:divBdr>
    </w:div>
    <w:div w:id="559823067">
      <w:bodyDiv w:val="1"/>
      <w:marLeft w:val="0"/>
      <w:marRight w:val="0"/>
      <w:marTop w:val="0"/>
      <w:marBottom w:val="0"/>
      <w:divBdr>
        <w:top w:val="none" w:sz="0" w:space="0" w:color="auto"/>
        <w:left w:val="none" w:sz="0" w:space="0" w:color="auto"/>
        <w:bottom w:val="none" w:sz="0" w:space="0" w:color="auto"/>
        <w:right w:val="none" w:sz="0" w:space="0" w:color="auto"/>
      </w:divBdr>
    </w:div>
    <w:div w:id="582953050">
      <w:bodyDiv w:val="1"/>
      <w:marLeft w:val="0"/>
      <w:marRight w:val="0"/>
      <w:marTop w:val="0"/>
      <w:marBottom w:val="0"/>
      <w:divBdr>
        <w:top w:val="none" w:sz="0" w:space="0" w:color="auto"/>
        <w:left w:val="none" w:sz="0" w:space="0" w:color="auto"/>
        <w:bottom w:val="none" w:sz="0" w:space="0" w:color="auto"/>
        <w:right w:val="none" w:sz="0" w:space="0" w:color="auto"/>
      </w:divBdr>
    </w:div>
    <w:div w:id="593124697">
      <w:bodyDiv w:val="1"/>
      <w:marLeft w:val="0"/>
      <w:marRight w:val="0"/>
      <w:marTop w:val="0"/>
      <w:marBottom w:val="0"/>
      <w:divBdr>
        <w:top w:val="none" w:sz="0" w:space="0" w:color="auto"/>
        <w:left w:val="none" w:sz="0" w:space="0" w:color="auto"/>
        <w:bottom w:val="none" w:sz="0" w:space="0" w:color="auto"/>
        <w:right w:val="none" w:sz="0" w:space="0" w:color="auto"/>
      </w:divBdr>
    </w:div>
    <w:div w:id="593897088">
      <w:bodyDiv w:val="1"/>
      <w:marLeft w:val="0"/>
      <w:marRight w:val="0"/>
      <w:marTop w:val="0"/>
      <w:marBottom w:val="0"/>
      <w:divBdr>
        <w:top w:val="none" w:sz="0" w:space="0" w:color="auto"/>
        <w:left w:val="none" w:sz="0" w:space="0" w:color="auto"/>
        <w:bottom w:val="none" w:sz="0" w:space="0" w:color="auto"/>
        <w:right w:val="none" w:sz="0" w:space="0" w:color="auto"/>
      </w:divBdr>
    </w:div>
    <w:div w:id="612633353">
      <w:bodyDiv w:val="1"/>
      <w:marLeft w:val="0"/>
      <w:marRight w:val="0"/>
      <w:marTop w:val="0"/>
      <w:marBottom w:val="0"/>
      <w:divBdr>
        <w:top w:val="none" w:sz="0" w:space="0" w:color="auto"/>
        <w:left w:val="none" w:sz="0" w:space="0" w:color="auto"/>
        <w:bottom w:val="none" w:sz="0" w:space="0" w:color="auto"/>
        <w:right w:val="none" w:sz="0" w:space="0" w:color="auto"/>
      </w:divBdr>
    </w:div>
    <w:div w:id="622620421">
      <w:bodyDiv w:val="1"/>
      <w:marLeft w:val="0"/>
      <w:marRight w:val="0"/>
      <w:marTop w:val="0"/>
      <w:marBottom w:val="0"/>
      <w:divBdr>
        <w:top w:val="none" w:sz="0" w:space="0" w:color="auto"/>
        <w:left w:val="none" w:sz="0" w:space="0" w:color="auto"/>
        <w:bottom w:val="none" w:sz="0" w:space="0" w:color="auto"/>
        <w:right w:val="none" w:sz="0" w:space="0" w:color="auto"/>
      </w:divBdr>
    </w:div>
    <w:div w:id="624044066">
      <w:bodyDiv w:val="1"/>
      <w:marLeft w:val="0"/>
      <w:marRight w:val="0"/>
      <w:marTop w:val="0"/>
      <w:marBottom w:val="0"/>
      <w:divBdr>
        <w:top w:val="none" w:sz="0" w:space="0" w:color="auto"/>
        <w:left w:val="none" w:sz="0" w:space="0" w:color="auto"/>
        <w:bottom w:val="none" w:sz="0" w:space="0" w:color="auto"/>
        <w:right w:val="none" w:sz="0" w:space="0" w:color="auto"/>
      </w:divBdr>
    </w:div>
    <w:div w:id="626353257">
      <w:bodyDiv w:val="1"/>
      <w:marLeft w:val="0"/>
      <w:marRight w:val="0"/>
      <w:marTop w:val="0"/>
      <w:marBottom w:val="0"/>
      <w:divBdr>
        <w:top w:val="none" w:sz="0" w:space="0" w:color="auto"/>
        <w:left w:val="none" w:sz="0" w:space="0" w:color="auto"/>
        <w:bottom w:val="none" w:sz="0" w:space="0" w:color="auto"/>
        <w:right w:val="none" w:sz="0" w:space="0" w:color="auto"/>
      </w:divBdr>
    </w:div>
    <w:div w:id="627512309">
      <w:bodyDiv w:val="1"/>
      <w:marLeft w:val="0"/>
      <w:marRight w:val="0"/>
      <w:marTop w:val="0"/>
      <w:marBottom w:val="0"/>
      <w:divBdr>
        <w:top w:val="none" w:sz="0" w:space="0" w:color="auto"/>
        <w:left w:val="none" w:sz="0" w:space="0" w:color="auto"/>
        <w:bottom w:val="none" w:sz="0" w:space="0" w:color="auto"/>
        <w:right w:val="none" w:sz="0" w:space="0" w:color="auto"/>
      </w:divBdr>
    </w:div>
    <w:div w:id="631861691">
      <w:bodyDiv w:val="1"/>
      <w:marLeft w:val="0"/>
      <w:marRight w:val="0"/>
      <w:marTop w:val="0"/>
      <w:marBottom w:val="0"/>
      <w:divBdr>
        <w:top w:val="none" w:sz="0" w:space="0" w:color="auto"/>
        <w:left w:val="none" w:sz="0" w:space="0" w:color="auto"/>
        <w:bottom w:val="none" w:sz="0" w:space="0" w:color="auto"/>
        <w:right w:val="none" w:sz="0" w:space="0" w:color="auto"/>
      </w:divBdr>
    </w:div>
    <w:div w:id="631983697">
      <w:bodyDiv w:val="1"/>
      <w:marLeft w:val="0"/>
      <w:marRight w:val="0"/>
      <w:marTop w:val="0"/>
      <w:marBottom w:val="0"/>
      <w:divBdr>
        <w:top w:val="none" w:sz="0" w:space="0" w:color="auto"/>
        <w:left w:val="none" w:sz="0" w:space="0" w:color="auto"/>
        <w:bottom w:val="none" w:sz="0" w:space="0" w:color="auto"/>
        <w:right w:val="none" w:sz="0" w:space="0" w:color="auto"/>
      </w:divBdr>
    </w:div>
    <w:div w:id="634065524">
      <w:bodyDiv w:val="1"/>
      <w:marLeft w:val="0"/>
      <w:marRight w:val="0"/>
      <w:marTop w:val="0"/>
      <w:marBottom w:val="0"/>
      <w:divBdr>
        <w:top w:val="none" w:sz="0" w:space="0" w:color="auto"/>
        <w:left w:val="none" w:sz="0" w:space="0" w:color="auto"/>
        <w:bottom w:val="none" w:sz="0" w:space="0" w:color="auto"/>
        <w:right w:val="none" w:sz="0" w:space="0" w:color="auto"/>
      </w:divBdr>
    </w:div>
    <w:div w:id="637107011">
      <w:bodyDiv w:val="1"/>
      <w:marLeft w:val="0"/>
      <w:marRight w:val="0"/>
      <w:marTop w:val="0"/>
      <w:marBottom w:val="0"/>
      <w:divBdr>
        <w:top w:val="none" w:sz="0" w:space="0" w:color="auto"/>
        <w:left w:val="none" w:sz="0" w:space="0" w:color="auto"/>
        <w:bottom w:val="none" w:sz="0" w:space="0" w:color="auto"/>
        <w:right w:val="none" w:sz="0" w:space="0" w:color="auto"/>
      </w:divBdr>
    </w:div>
    <w:div w:id="647441941">
      <w:bodyDiv w:val="1"/>
      <w:marLeft w:val="0"/>
      <w:marRight w:val="0"/>
      <w:marTop w:val="0"/>
      <w:marBottom w:val="0"/>
      <w:divBdr>
        <w:top w:val="none" w:sz="0" w:space="0" w:color="auto"/>
        <w:left w:val="none" w:sz="0" w:space="0" w:color="auto"/>
        <w:bottom w:val="none" w:sz="0" w:space="0" w:color="auto"/>
        <w:right w:val="none" w:sz="0" w:space="0" w:color="auto"/>
      </w:divBdr>
    </w:div>
    <w:div w:id="655765664">
      <w:bodyDiv w:val="1"/>
      <w:marLeft w:val="0"/>
      <w:marRight w:val="0"/>
      <w:marTop w:val="0"/>
      <w:marBottom w:val="0"/>
      <w:divBdr>
        <w:top w:val="none" w:sz="0" w:space="0" w:color="auto"/>
        <w:left w:val="none" w:sz="0" w:space="0" w:color="auto"/>
        <w:bottom w:val="none" w:sz="0" w:space="0" w:color="auto"/>
        <w:right w:val="none" w:sz="0" w:space="0" w:color="auto"/>
      </w:divBdr>
    </w:div>
    <w:div w:id="659887250">
      <w:bodyDiv w:val="1"/>
      <w:marLeft w:val="0"/>
      <w:marRight w:val="0"/>
      <w:marTop w:val="0"/>
      <w:marBottom w:val="0"/>
      <w:divBdr>
        <w:top w:val="none" w:sz="0" w:space="0" w:color="auto"/>
        <w:left w:val="none" w:sz="0" w:space="0" w:color="auto"/>
        <w:bottom w:val="none" w:sz="0" w:space="0" w:color="auto"/>
        <w:right w:val="none" w:sz="0" w:space="0" w:color="auto"/>
      </w:divBdr>
    </w:div>
    <w:div w:id="672951707">
      <w:bodyDiv w:val="1"/>
      <w:marLeft w:val="0"/>
      <w:marRight w:val="0"/>
      <w:marTop w:val="0"/>
      <w:marBottom w:val="0"/>
      <w:divBdr>
        <w:top w:val="none" w:sz="0" w:space="0" w:color="auto"/>
        <w:left w:val="none" w:sz="0" w:space="0" w:color="auto"/>
        <w:bottom w:val="none" w:sz="0" w:space="0" w:color="auto"/>
        <w:right w:val="none" w:sz="0" w:space="0" w:color="auto"/>
      </w:divBdr>
    </w:div>
    <w:div w:id="675353125">
      <w:bodyDiv w:val="1"/>
      <w:marLeft w:val="0"/>
      <w:marRight w:val="0"/>
      <w:marTop w:val="0"/>
      <w:marBottom w:val="0"/>
      <w:divBdr>
        <w:top w:val="none" w:sz="0" w:space="0" w:color="auto"/>
        <w:left w:val="none" w:sz="0" w:space="0" w:color="auto"/>
        <w:bottom w:val="none" w:sz="0" w:space="0" w:color="auto"/>
        <w:right w:val="none" w:sz="0" w:space="0" w:color="auto"/>
      </w:divBdr>
    </w:div>
    <w:div w:id="679241949">
      <w:bodyDiv w:val="1"/>
      <w:marLeft w:val="0"/>
      <w:marRight w:val="0"/>
      <w:marTop w:val="0"/>
      <w:marBottom w:val="0"/>
      <w:divBdr>
        <w:top w:val="none" w:sz="0" w:space="0" w:color="auto"/>
        <w:left w:val="none" w:sz="0" w:space="0" w:color="auto"/>
        <w:bottom w:val="none" w:sz="0" w:space="0" w:color="auto"/>
        <w:right w:val="none" w:sz="0" w:space="0" w:color="auto"/>
      </w:divBdr>
    </w:div>
    <w:div w:id="683753065">
      <w:bodyDiv w:val="1"/>
      <w:marLeft w:val="0"/>
      <w:marRight w:val="0"/>
      <w:marTop w:val="0"/>
      <w:marBottom w:val="0"/>
      <w:divBdr>
        <w:top w:val="none" w:sz="0" w:space="0" w:color="auto"/>
        <w:left w:val="none" w:sz="0" w:space="0" w:color="auto"/>
        <w:bottom w:val="none" w:sz="0" w:space="0" w:color="auto"/>
        <w:right w:val="none" w:sz="0" w:space="0" w:color="auto"/>
      </w:divBdr>
    </w:div>
    <w:div w:id="688797576">
      <w:bodyDiv w:val="1"/>
      <w:marLeft w:val="0"/>
      <w:marRight w:val="0"/>
      <w:marTop w:val="0"/>
      <w:marBottom w:val="0"/>
      <w:divBdr>
        <w:top w:val="none" w:sz="0" w:space="0" w:color="auto"/>
        <w:left w:val="none" w:sz="0" w:space="0" w:color="auto"/>
        <w:bottom w:val="none" w:sz="0" w:space="0" w:color="auto"/>
        <w:right w:val="none" w:sz="0" w:space="0" w:color="auto"/>
      </w:divBdr>
    </w:div>
    <w:div w:id="693771722">
      <w:bodyDiv w:val="1"/>
      <w:marLeft w:val="0"/>
      <w:marRight w:val="0"/>
      <w:marTop w:val="0"/>
      <w:marBottom w:val="0"/>
      <w:divBdr>
        <w:top w:val="none" w:sz="0" w:space="0" w:color="auto"/>
        <w:left w:val="none" w:sz="0" w:space="0" w:color="auto"/>
        <w:bottom w:val="none" w:sz="0" w:space="0" w:color="auto"/>
        <w:right w:val="none" w:sz="0" w:space="0" w:color="auto"/>
      </w:divBdr>
    </w:div>
    <w:div w:id="697004595">
      <w:bodyDiv w:val="1"/>
      <w:marLeft w:val="0"/>
      <w:marRight w:val="0"/>
      <w:marTop w:val="0"/>
      <w:marBottom w:val="0"/>
      <w:divBdr>
        <w:top w:val="none" w:sz="0" w:space="0" w:color="auto"/>
        <w:left w:val="none" w:sz="0" w:space="0" w:color="auto"/>
        <w:bottom w:val="none" w:sz="0" w:space="0" w:color="auto"/>
        <w:right w:val="none" w:sz="0" w:space="0" w:color="auto"/>
      </w:divBdr>
    </w:div>
    <w:div w:id="700086464">
      <w:bodyDiv w:val="1"/>
      <w:marLeft w:val="0"/>
      <w:marRight w:val="0"/>
      <w:marTop w:val="0"/>
      <w:marBottom w:val="0"/>
      <w:divBdr>
        <w:top w:val="none" w:sz="0" w:space="0" w:color="auto"/>
        <w:left w:val="none" w:sz="0" w:space="0" w:color="auto"/>
        <w:bottom w:val="none" w:sz="0" w:space="0" w:color="auto"/>
        <w:right w:val="none" w:sz="0" w:space="0" w:color="auto"/>
      </w:divBdr>
    </w:div>
    <w:div w:id="700790092">
      <w:bodyDiv w:val="1"/>
      <w:marLeft w:val="0"/>
      <w:marRight w:val="0"/>
      <w:marTop w:val="0"/>
      <w:marBottom w:val="0"/>
      <w:divBdr>
        <w:top w:val="none" w:sz="0" w:space="0" w:color="auto"/>
        <w:left w:val="none" w:sz="0" w:space="0" w:color="auto"/>
        <w:bottom w:val="none" w:sz="0" w:space="0" w:color="auto"/>
        <w:right w:val="none" w:sz="0" w:space="0" w:color="auto"/>
      </w:divBdr>
    </w:div>
    <w:div w:id="703947262">
      <w:bodyDiv w:val="1"/>
      <w:marLeft w:val="0"/>
      <w:marRight w:val="0"/>
      <w:marTop w:val="0"/>
      <w:marBottom w:val="0"/>
      <w:divBdr>
        <w:top w:val="none" w:sz="0" w:space="0" w:color="auto"/>
        <w:left w:val="none" w:sz="0" w:space="0" w:color="auto"/>
        <w:bottom w:val="none" w:sz="0" w:space="0" w:color="auto"/>
        <w:right w:val="none" w:sz="0" w:space="0" w:color="auto"/>
      </w:divBdr>
    </w:div>
    <w:div w:id="704255589">
      <w:bodyDiv w:val="1"/>
      <w:marLeft w:val="0"/>
      <w:marRight w:val="0"/>
      <w:marTop w:val="0"/>
      <w:marBottom w:val="0"/>
      <w:divBdr>
        <w:top w:val="none" w:sz="0" w:space="0" w:color="auto"/>
        <w:left w:val="none" w:sz="0" w:space="0" w:color="auto"/>
        <w:bottom w:val="none" w:sz="0" w:space="0" w:color="auto"/>
        <w:right w:val="none" w:sz="0" w:space="0" w:color="auto"/>
      </w:divBdr>
    </w:div>
    <w:div w:id="716467099">
      <w:bodyDiv w:val="1"/>
      <w:marLeft w:val="0"/>
      <w:marRight w:val="0"/>
      <w:marTop w:val="0"/>
      <w:marBottom w:val="0"/>
      <w:divBdr>
        <w:top w:val="none" w:sz="0" w:space="0" w:color="auto"/>
        <w:left w:val="none" w:sz="0" w:space="0" w:color="auto"/>
        <w:bottom w:val="none" w:sz="0" w:space="0" w:color="auto"/>
        <w:right w:val="none" w:sz="0" w:space="0" w:color="auto"/>
      </w:divBdr>
    </w:div>
    <w:div w:id="718359653">
      <w:bodyDiv w:val="1"/>
      <w:marLeft w:val="0"/>
      <w:marRight w:val="0"/>
      <w:marTop w:val="0"/>
      <w:marBottom w:val="0"/>
      <w:divBdr>
        <w:top w:val="none" w:sz="0" w:space="0" w:color="auto"/>
        <w:left w:val="none" w:sz="0" w:space="0" w:color="auto"/>
        <w:bottom w:val="none" w:sz="0" w:space="0" w:color="auto"/>
        <w:right w:val="none" w:sz="0" w:space="0" w:color="auto"/>
      </w:divBdr>
    </w:div>
    <w:div w:id="721104196">
      <w:bodyDiv w:val="1"/>
      <w:marLeft w:val="0"/>
      <w:marRight w:val="0"/>
      <w:marTop w:val="0"/>
      <w:marBottom w:val="0"/>
      <w:divBdr>
        <w:top w:val="none" w:sz="0" w:space="0" w:color="auto"/>
        <w:left w:val="none" w:sz="0" w:space="0" w:color="auto"/>
        <w:bottom w:val="none" w:sz="0" w:space="0" w:color="auto"/>
        <w:right w:val="none" w:sz="0" w:space="0" w:color="auto"/>
      </w:divBdr>
    </w:div>
    <w:div w:id="722412542">
      <w:bodyDiv w:val="1"/>
      <w:marLeft w:val="0"/>
      <w:marRight w:val="0"/>
      <w:marTop w:val="0"/>
      <w:marBottom w:val="0"/>
      <w:divBdr>
        <w:top w:val="none" w:sz="0" w:space="0" w:color="auto"/>
        <w:left w:val="none" w:sz="0" w:space="0" w:color="auto"/>
        <w:bottom w:val="none" w:sz="0" w:space="0" w:color="auto"/>
        <w:right w:val="none" w:sz="0" w:space="0" w:color="auto"/>
      </w:divBdr>
    </w:div>
    <w:div w:id="723018046">
      <w:bodyDiv w:val="1"/>
      <w:marLeft w:val="0"/>
      <w:marRight w:val="0"/>
      <w:marTop w:val="0"/>
      <w:marBottom w:val="0"/>
      <w:divBdr>
        <w:top w:val="none" w:sz="0" w:space="0" w:color="auto"/>
        <w:left w:val="none" w:sz="0" w:space="0" w:color="auto"/>
        <w:bottom w:val="none" w:sz="0" w:space="0" w:color="auto"/>
        <w:right w:val="none" w:sz="0" w:space="0" w:color="auto"/>
      </w:divBdr>
    </w:div>
    <w:div w:id="729310567">
      <w:bodyDiv w:val="1"/>
      <w:marLeft w:val="0"/>
      <w:marRight w:val="0"/>
      <w:marTop w:val="0"/>
      <w:marBottom w:val="0"/>
      <w:divBdr>
        <w:top w:val="none" w:sz="0" w:space="0" w:color="auto"/>
        <w:left w:val="none" w:sz="0" w:space="0" w:color="auto"/>
        <w:bottom w:val="none" w:sz="0" w:space="0" w:color="auto"/>
        <w:right w:val="none" w:sz="0" w:space="0" w:color="auto"/>
      </w:divBdr>
    </w:div>
    <w:div w:id="731658321">
      <w:bodyDiv w:val="1"/>
      <w:marLeft w:val="0"/>
      <w:marRight w:val="0"/>
      <w:marTop w:val="0"/>
      <w:marBottom w:val="0"/>
      <w:divBdr>
        <w:top w:val="none" w:sz="0" w:space="0" w:color="auto"/>
        <w:left w:val="none" w:sz="0" w:space="0" w:color="auto"/>
        <w:bottom w:val="none" w:sz="0" w:space="0" w:color="auto"/>
        <w:right w:val="none" w:sz="0" w:space="0" w:color="auto"/>
      </w:divBdr>
    </w:div>
    <w:div w:id="734276015">
      <w:bodyDiv w:val="1"/>
      <w:marLeft w:val="0"/>
      <w:marRight w:val="0"/>
      <w:marTop w:val="0"/>
      <w:marBottom w:val="0"/>
      <w:divBdr>
        <w:top w:val="none" w:sz="0" w:space="0" w:color="auto"/>
        <w:left w:val="none" w:sz="0" w:space="0" w:color="auto"/>
        <w:bottom w:val="none" w:sz="0" w:space="0" w:color="auto"/>
        <w:right w:val="none" w:sz="0" w:space="0" w:color="auto"/>
      </w:divBdr>
    </w:div>
    <w:div w:id="740181646">
      <w:bodyDiv w:val="1"/>
      <w:marLeft w:val="0"/>
      <w:marRight w:val="0"/>
      <w:marTop w:val="0"/>
      <w:marBottom w:val="0"/>
      <w:divBdr>
        <w:top w:val="none" w:sz="0" w:space="0" w:color="auto"/>
        <w:left w:val="none" w:sz="0" w:space="0" w:color="auto"/>
        <w:bottom w:val="none" w:sz="0" w:space="0" w:color="auto"/>
        <w:right w:val="none" w:sz="0" w:space="0" w:color="auto"/>
      </w:divBdr>
    </w:div>
    <w:div w:id="743725929">
      <w:bodyDiv w:val="1"/>
      <w:marLeft w:val="0"/>
      <w:marRight w:val="0"/>
      <w:marTop w:val="0"/>
      <w:marBottom w:val="0"/>
      <w:divBdr>
        <w:top w:val="none" w:sz="0" w:space="0" w:color="auto"/>
        <w:left w:val="none" w:sz="0" w:space="0" w:color="auto"/>
        <w:bottom w:val="none" w:sz="0" w:space="0" w:color="auto"/>
        <w:right w:val="none" w:sz="0" w:space="0" w:color="auto"/>
      </w:divBdr>
    </w:div>
    <w:div w:id="743991855">
      <w:bodyDiv w:val="1"/>
      <w:marLeft w:val="0"/>
      <w:marRight w:val="0"/>
      <w:marTop w:val="0"/>
      <w:marBottom w:val="0"/>
      <w:divBdr>
        <w:top w:val="none" w:sz="0" w:space="0" w:color="auto"/>
        <w:left w:val="none" w:sz="0" w:space="0" w:color="auto"/>
        <w:bottom w:val="none" w:sz="0" w:space="0" w:color="auto"/>
        <w:right w:val="none" w:sz="0" w:space="0" w:color="auto"/>
      </w:divBdr>
    </w:div>
    <w:div w:id="745881536">
      <w:bodyDiv w:val="1"/>
      <w:marLeft w:val="0"/>
      <w:marRight w:val="0"/>
      <w:marTop w:val="0"/>
      <w:marBottom w:val="0"/>
      <w:divBdr>
        <w:top w:val="none" w:sz="0" w:space="0" w:color="auto"/>
        <w:left w:val="none" w:sz="0" w:space="0" w:color="auto"/>
        <w:bottom w:val="none" w:sz="0" w:space="0" w:color="auto"/>
        <w:right w:val="none" w:sz="0" w:space="0" w:color="auto"/>
      </w:divBdr>
    </w:div>
    <w:div w:id="749930488">
      <w:bodyDiv w:val="1"/>
      <w:marLeft w:val="0"/>
      <w:marRight w:val="0"/>
      <w:marTop w:val="0"/>
      <w:marBottom w:val="0"/>
      <w:divBdr>
        <w:top w:val="none" w:sz="0" w:space="0" w:color="auto"/>
        <w:left w:val="none" w:sz="0" w:space="0" w:color="auto"/>
        <w:bottom w:val="none" w:sz="0" w:space="0" w:color="auto"/>
        <w:right w:val="none" w:sz="0" w:space="0" w:color="auto"/>
      </w:divBdr>
    </w:div>
    <w:div w:id="750086455">
      <w:bodyDiv w:val="1"/>
      <w:marLeft w:val="0"/>
      <w:marRight w:val="0"/>
      <w:marTop w:val="0"/>
      <w:marBottom w:val="0"/>
      <w:divBdr>
        <w:top w:val="none" w:sz="0" w:space="0" w:color="auto"/>
        <w:left w:val="none" w:sz="0" w:space="0" w:color="auto"/>
        <w:bottom w:val="none" w:sz="0" w:space="0" w:color="auto"/>
        <w:right w:val="none" w:sz="0" w:space="0" w:color="auto"/>
      </w:divBdr>
    </w:div>
    <w:div w:id="752168908">
      <w:bodyDiv w:val="1"/>
      <w:marLeft w:val="0"/>
      <w:marRight w:val="0"/>
      <w:marTop w:val="0"/>
      <w:marBottom w:val="0"/>
      <w:divBdr>
        <w:top w:val="none" w:sz="0" w:space="0" w:color="auto"/>
        <w:left w:val="none" w:sz="0" w:space="0" w:color="auto"/>
        <w:bottom w:val="none" w:sz="0" w:space="0" w:color="auto"/>
        <w:right w:val="none" w:sz="0" w:space="0" w:color="auto"/>
      </w:divBdr>
    </w:div>
    <w:div w:id="759302730">
      <w:bodyDiv w:val="1"/>
      <w:marLeft w:val="0"/>
      <w:marRight w:val="0"/>
      <w:marTop w:val="0"/>
      <w:marBottom w:val="0"/>
      <w:divBdr>
        <w:top w:val="none" w:sz="0" w:space="0" w:color="auto"/>
        <w:left w:val="none" w:sz="0" w:space="0" w:color="auto"/>
        <w:bottom w:val="none" w:sz="0" w:space="0" w:color="auto"/>
        <w:right w:val="none" w:sz="0" w:space="0" w:color="auto"/>
      </w:divBdr>
    </w:div>
    <w:div w:id="763382396">
      <w:bodyDiv w:val="1"/>
      <w:marLeft w:val="0"/>
      <w:marRight w:val="0"/>
      <w:marTop w:val="0"/>
      <w:marBottom w:val="0"/>
      <w:divBdr>
        <w:top w:val="none" w:sz="0" w:space="0" w:color="auto"/>
        <w:left w:val="none" w:sz="0" w:space="0" w:color="auto"/>
        <w:bottom w:val="none" w:sz="0" w:space="0" w:color="auto"/>
        <w:right w:val="none" w:sz="0" w:space="0" w:color="auto"/>
      </w:divBdr>
    </w:div>
    <w:div w:id="764961927">
      <w:bodyDiv w:val="1"/>
      <w:marLeft w:val="0"/>
      <w:marRight w:val="0"/>
      <w:marTop w:val="0"/>
      <w:marBottom w:val="0"/>
      <w:divBdr>
        <w:top w:val="none" w:sz="0" w:space="0" w:color="auto"/>
        <w:left w:val="none" w:sz="0" w:space="0" w:color="auto"/>
        <w:bottom w:val="none" w:sz="0" w:space="0" w:color="auto"/>
        <w:right w:val="none" w:sz="0" w:space="0" w:color="auto"/>
      </w:divBdr>
    </w:div>
    <w:div w:id="766854564">
      <w:bodyDiv w:val="1"/>
      <w:marLeft w:val="0"/>
      <w:marRight w:val="0"/>
      <w:marTop w:val="0"/>
      <w:marBottom w:val="0"/>
      <w:divBdr>
        <w:top w:val="none" w:sz="0" w:space="0" w:color="auto"/>
        <w:left w:val="none" w:sz="0" w:space="0" w:color="auto"/>
        <w:bottom w:val="none" w:sz="0" w:space="0" w:color="auto"/>
        <w:right w:val="none" w:sz="0" w:space="0" w:color="auto"/>
      </w:divBdr>
    </w:div>
    <w:div w:id="768238445">
      <w:bodyDiv w:val="1"/>
      <w:marLeft w:val="0"/>
      <w:marRight w:val="0"/>
      <w:marTop w:val="0"/>
      <w:marBottom w:val="0"/>
      <w:divBdr>
        <w:top w:val="none" w:sz="0" w:space="0" w:color="auto"/>
        <w:left w:val="none" w:sz="0" w:space="0" w:color="auto"/>
        <w:bottom w:val="none" w:sz="0" w:space="0" w:color="auto"/>
        <w:right w:val="none" w:sz="0" w:space="0" w:color="auto"/>
      </w:divBdr>
    </w:div>
    <w:div w:id="781874039">
      <w:bodyDiv w:val="1"/>
      <w:marLeft w:val="0"/>
      <w:marRight w:val="0"/>
      <w:marTop w:val="0"/>
      <w:marBottom w:val="0"/>
      <w:divBdr>
        <w:top w:val="none" w:sz="0" w:space="0" w:color="auto"/>
        <w:left w:val="none" w:sz="0" w:space="0" w:color="auto"/>
        <w:bottom w:val="none" w:sz="0" w:space="0" w:color="auto"/>
        <w:right w:val="none" w:sz="0" w:space="0" w:color="auto"/>
      </w:divBdr>
    </w:div>
    <w:div w:id="782117408">
      <w:bodyDiv w:val="1"/>
      <w:marLeft w:val="0"/>
      <w:marRight w:val="0"/>
      <w:marTop w:val="0"/>
      <w:marBottom w:val="0"/>
      <w:divBdr>
        <w:top w:val="none" w:sz="0" w:space="0" w:color="auto"/>
        <w:left w:val="none" w:sz="0" w:space="0" w:color="auto"/>
        <w:bottom w:val="none" w:sz="0" w:space="0" w:color="auto"/>
        <w:right w:val="none" w:sz="0" w:space="0" w:color="auto"/>
      </w:divBdr>
    </w:div>
    <w:div w:id="787547028">
      <w:bodyDiv w:val="1"/>
      <w:marLeft w:val="0"/>
      <w:marRight w:val="0"/>
      <w:marTop w:val="0"/>
      <w:marBottom w:val="0"/>
      <w:divBdr>
        <w:top w:val="none" w:sz="0" w:space="0" w:color="auto"/>
        <w:left w:val="none" w:sz="0" w:space="0" w:color="auto"/>
        <w:bottom w:val="none" w:sz="0" w:space="0" w:color="auto"/>
        <w:right w:val="none" w:sz="0" w:space="0" w:color="auto"/>
      </w:divBdr>
    </w:div>
    <w:div w:id="789670726">
      <w:bodyDiv w:val="1"/>
      <w:marLeft w:val="0"/>
      <w:marRight w:val="0"/>
      <w:marTop w:val="0"/>
      <w:marBottom w:val="0"/>
      <w:divBdr>
        <w:top w:val="none" w:sz="0" w:space="0" w:color="auto"/>
        <w:left w:val="none" w:sz="0" w:space="0" w:color="auto"/>
        <w:bottom w:val="none" w:sz="0" w:space="0" w:color="auto"/>
        <w:right w:val="none" w:sz="0" w:space="0" w:color="auto"/>
      </w:divBdr>
    </w:div>
    <w:div w:id="802508105">
      <w:bodyDiv w:val="1"/>
      <w:marLeft w:val="0"/>
      <w:marRight w:val="0"/>
      <w:marTop w:val="0"/>
      <w:marBottom w:val="0"/>
      <w:divBdr>
        <w:top w:val="none" w:sz="0" w:space="0" w:color="auto"/>
        <w:left w:val="none" w:sz="0" w:space="0" w:color="auto"/>
        <w:bottom w:val="none" w:sz="0" w:space="0" w:color="auto"/>
        <w:right w:val="none" w:sz="0" w:space="0" w:color="auto"/>
      </w:divBdr>
    </w:div>
    <w:div w:id="805732350">
      <w:bodyDiv w:val="1"/>
      <w:marLeft w:val="0"/>
      <w:marRight w:val="0"/>
      <w:marTop w:val="0"/>
      <w:marBottom w:val="0"/>
      <w:divBdr>
        <w:top w:val="none" w:sz="0" w:space="0" w:color="auto"/>
        <w:left w:val="none" w:sz="0" w:space="0" w:color="auto"/>
        <w:bottom w:val="none" w:sz="0" w:space="0" w:color="auto"/>
        <w:right w:val="none" w:sz="0" w:space="0" w:color="auto"/>
      </w:divBdr>
    </w:div>
    <w:div w:id="815952747">
      <w:bodyDiv w:val="1"/>
      <w:marLeft w:val="0"/>
      <w:marRight w:val="0"/>
      <w:marTop w:val="0"/>
      <w:marBottom w:val="0"/>
      <w:divBdr>
        <w:top w:val="none" w:sz="0" w:space="0" w:color="auto"/>
        <w:left w:val="none" w:sz="0" w:space="0" w:color="auto"/>
        <w:bottom w:val="none" w:sz="0" w:space="0" w:color="auto"/>
        <w:right w:val="none" w:sz="0" w:space="0" w:color="auto"/>
      </w:divBdr>
    </w:div>
    <w:div w:id="817496663">
      <w:bodyDiv w:val="1"/>
      <w:marLeft w:val="0"/>
      <w:marRight w:val="0"/>
      <w:marTop w:val="0"/>
      <w:marBottom w:val="0"/>
      <w:divBdr>
        <w:top w:val="none" w:sz="0" w:space="0" w:color="auto"/>
        <w:left w:val="none" w:sz="0" w:space="0" w:color="auto"/>
        <w:bottom w:val="none" w:sz="0" w:space="0" w:color="auto"/>
        <w:right w:val="none" w:sz="0" w:space="0" w:color="auto"/>
      </w:divBdr>
    </w:div>
    <w:div w:id="820121360">
      <w:bodyDiv w:val="1"/>
      <w:marLeft w:val="0"/>
      <w:marRight w:val="0"/>
      <w:marTop w:val="0"/>
      <w:marBottom w:val="0"/>
      <w:divBdr>
        <w:top w:val="none" w:sz="0" w:space="0" w:color="auto"/>
        <w:left w:val="none" w:sz="0" w:space="0" w:color="auto"/>
        <w:bottom w:val="none" w:sz="0" w:space="0" w:color="auto"/>
        <w:right w:val="none" w:sz="0" w:space="0" w:color="auto"/>
      </w:divBdr>
    </w:div>
    <w:div w:id="834102790">
      <w:bodyDiv w:val="1"/>
      <w:marLeft w:val="0"/>
      <w:marRight w:val="0"/>
      <w:marTop w:val="0"/>
      <w:marBottom w:val="0"/>
      <w:divBdr>
        <w:top w:val="none" w:sz="0" w:space="0" w:color="auto"/>
        <w:left w:val="none" w:sz="0" w:space="0" w:color="auto"/>
        <w:bottom w:val="none" w:sz="0" w:space="0" w:color="auto"/>
        <w:right w:val="none" w:sz="0" w:space="0" w:color="auto"/>
      </w:divBdr>
    </w:div>
    <w:div w:id="846099971">
      <w:bodyDiv w:val="1"/>
      <w:marLeft w:val="0"/>
      <w:marRight w:val="0"/>
      <w:marTop w:val="0"/>
      <w:marBottom w:val="0"/>
      <w:divBdr>
        <w:top w:val="none" w:sz="0" w:space="0" w:color="auto"/>
        <w:left w:val="none" w:sz="0" w:space="0" w:color="auto"/>
        <w:bottom w:val="none" w:sz="0" w:space="0" w:color="auto"/>
        <w:right w:val="none" w:sz="0" w:space="0" w:color="auto"/>
      </w:divBdr>
    </w:div>
    <w:div w:id="849295631">
      <w:bodyDiv w:val="1"/>
      <w:marLeft w:val="0"/>
      <w:marRight w:val="0"/>
      <w:marTop w:val="0"/>
      <w:marBottom w:val="0"/>
      <w:divBdr>
        <w:top w:val="none" w:sz="0" w:space="0" w:color="auto"/>
        <w:left w:val="none" w:sz="0" w:space="0" w:color="auto"/>
        <w:bottom w:val="none" w:sz="0" w:space="0" w:color="auto"/>
        <w:right w:val="none" w:sz="0" w:space="0" w:color="auto"/>
      </w:divBdr>
    </w:div>
    <w:div w:id="850071242">
      <w:bodyDiv w:val="1"/>
      <w:marLeft w:val="0"/>
      <w:marRight w:val="0"/>
      <w:marTop w:val="0"/>
      <w:marBottom w:val="0"/>
      <w:divBdr>
        <w:top w:val="none" w:sz="0" w:space="0" w:color="auto"/>
        <w:left w:val="none" w:sz="0" w:space="0" w:color="auto"/>
        <w:bottom w:val="none" w:sz="0" w:space="0" w:color="auto"/>
        <w:right w:val="none" w:sz="0" w:space="0" w:color="auto"/>
      </w:divBdr>
    </w:div>
    <w:div w:id="850946731">
      <w:bodyDiv w:val="1"/>
      <w:marLeft w:val="0"/>
      <w:marRight w:val="0"/>
      <w:marTop w:val="0"/>
      <w:marBottom w:val="0"/>
      <w:divBdr>
        <w:top w:val="none" w:sz="0" w:space="0" w:color="auto"/>
        <w:left w:val="none" w:sz="0" w:space="0" w:color="auto"/>
        <w:bottom w:val="none" w:sz="0" w:space="0" w:color="auto"/>
        <w:right w:val="none" w:sz="0" w:space="0" w:color="auto"/>
      </w:divBdr>
    </w:div>
    <w:div w:id="856118158">
      <w:bodyDiv w:val="1"/>
      <w:marLeft w:val="0"/>
      <w:marRight w:val="0"/>
      <w:marTop w:val="0"/>
      <w:marBottom w:val="0"/>
      <w:divBdr>
        <w:top w:val="none" w:sz="0" w:space="0" w:color="auto"/>
        <w:left w:val="none" w:sz="0" w:space="0" w:color="auto"/>
        <w:bottom w:val="none" w:sz="0" w:space="0" w:color="auto"/>
        <w:right w:val="none" w:sz="0" w:space="0" w:color="auto"/>
      </w:divBdr>
    </w:div>
    <w:div w:id="867959487">
      <w:bodyDiv w:val="1"/>
      <w:marLeft w:val="0"/>
      <w:marRight w:val="0"/>
      <w:marTop w:val="0"/>
      <w:marBottom w:val="0"/>
      <w:divBdr>
        <w:top w:val="none" w:sz="0" w:space="0" w:color="auto"/>
        <w:left w:val="none" w:sz="0" w:space="0" w:color="auto"/>
        <w:bottom w:val="none" w:sz="0" w:space="0" w:color="auto"/>
        <w:right w:val="none" w:sz="0" w:space="0" w:color="auto"/>
      </w:divBdr>
    </w:div>
    <w:div w:id="888884201">
      <w:bodyDiv w:val="1"/>
      <w:marLeft w:val="0"/>
      <w:marRight w:val="0"/>
      <w:marTop w:val="0"/>
      <w:marBottom w:val="0"/>
      <w:divBdr>
        <w:top w:val="none" w:sz="0" w:space="0" w:color="auto"/>
        <w:left w:val="none" w:sz="0" w:space="0" w:color="auto"/>
        <w:bottom w:val="none" w:sz="0" w:space="0" w:color="auto"/>
        <w:right w:val="none" w:sz="0" w:space="0" w:color="auto"/>
      </w:divBdr>
    </w:div>
    <w:div w:id="890072742">
      <w:bodyDiv w:val="1"/>
      <w:marLeft w:val="0"/>
      <w:marRight w:val="0"/>
      <w:marTop w:val="0"/>
      <w:marBottom w:val="0"/>
      <w:divBdr>
        <w:top w:val="none" w:sz="0" w:space="0" w:color="auto"/>
        <w:left w:val="none" w:sz="0" w:space="0" w:color="auto"/>
        <w:bottom w:val="none" w:sz="0" w:space="0" w:color="auto"/>
        <w:right w:val="none" w:sz="0" w:space="0" w:color="auto"/>
      </w:divBdr>
    </w:div>
    <w:div w:id="892471012">
      <w:bodyDiv w:val="1"/>
      <w:marLeft w:val="0"/>
      <w:marRight w:val="0"/>
      <w:marTop w:val="0"/>
      <w:marBottom w:val="0"/>
      <w:divBdr>
        <w:top w:val="none" w:sz="0" w:space="0" w:color="auto"/>
        <w:left w:val="none" w:sz="0" w:space="0" w:color="auto"/>
        <w:bottom w:val="none" w:sz="0" w:space="0" w:color="auto"/>
        <w:right w:val="none" w:sz="0" w:space="0" w:color="auto"/>
      </w:divBdr>
    </w:div>
    <w:div w:id="895630232">
      <w:bodyDiv w:val="1"/>
      <w:marLeft w:val="0"/>
      <w:marRight w:val="0"/>
      <w:marTop w:val="0"/>
      <w:marBottom w:val="0"/>
      <w:divBdr>
        <w:top w:val="none" w:sz="0" w:space="0" w:color="auto"/>
        <w:left w:val="none" w:sz="0" w:space="0" w:color="auto"/>
        <w:bottom w:val="none" w:sz="0" w:space="0" w:color="auto"/>
        <w:right w:val="none" w:sz="0" w:space="0" w:color="auto"/>
      </w:divBdr>
    </w:div>
    <w:div w:id="897739291">
      <w:bodyDiv w:val="1"/>
      <w:marLeft w:val="0"/>
      <w:marRight w:val="0"/>
      <w:marTop w:val="0"/>
      <w:marBottom w:val="0"/>
      <w:divBdr>
        <w:top w:val="none" w:sz="0" w:space="0" w:color="auto"/>
        <w:left w:val="none" w:sz="0" w:space="0" w:color="auto"/>
        <w:bottom w:val="none" w:sz="0" w:space="0" w:color="auto"/>
        <w:right w:val="none" w:sz="0" w:space="0" w:color="auto"/>
      </w:divBdr>
    </w:div>
    <w:div w:id="905072164">
      <w:bodyDiv w:val="1"/>
      <w:marLeft w:val="0"/>
      <w:marRight w:val="0"/>
      <w:marTop w:val="0"/>
      <w:marBottom w:val="0"/>
      <w:divBdr>
        <w:top w:val="none" w:sz="0" w:space="0" w:color="auto"/>
        <w:left w:val="none" w:sz="0" w:space="0" w:color="auto"/>
        <w:bottom w:val="none" w:sz="0" w:space="0" w:color="auto"/>
        <w:right w:val="none" w:sz="0" w:space="0" w:color="auto"/>
      </w:divBdr>
    </w:div>
    <w:div w:id="905191377">
      <w:bodyDiv w:val="1"/>
      <w:marLeft w:val="0"/>
      <w:marRight w:val="0"/>
      <w:marTop w:val="0"/>
      <w:marBottom w:val="0"/>
      <w:divBdr>
        <w:top w:val="none" w:sz="0" w:space="0" w:color="auto"/>
        <w:left w:val="none" w:sz="0" w:space="0" w:color="auto"/>
        <w:bottom w:val="none" w:sz="0" w:space="0" w:color="auto"/>
        <w:right w:val="none" w:sz="0" w:space="0" w:color="auto"/>
      </w:divBdr>
    </w:div>
    <w:div w:id="912930851">
      <w:bodyDiv w:val="1"/>
      <w:marLeft w:val="0"/>
      <w:marRight w:val="0"/>
      <w:marTop w:val="0"/>
      <w:marBottom w:val="0"/>
      <w:divBdr>
        <w:top w:val="none" w:sz="0" w:space="0" w:color="auto"/>
        <w:left w:val="none" w:sz="0" w:space="0" w:color="auto"/>
        <w:bottom w:val="none" w:sz="0" w:space="0" w:color="auto"/>
        <w:right w:val="none" w:sz="0" w:space="0" w:color="auto"/>
      </w:divBdr>
    </w:div>
    <w:div w:id="918367263">
      <w:bodyDiv w:val="1"/>
      <w:marLeft w:val="0"/>
      <w:marRight w:val="0"/>
      <w:marTop w:val="0"/>
      <w:marBottom w:val="0"/>
      <w:divBdr>
        <w:top w:val="none" w:sz="0" w:space="0" w:color="auto"/>
        <w:left w:val="none" w:sz="0" w:space="0" w:color="auto"/>
        <w:bottom w:val="none" w:sz="0" w:space="0" w:color="auto"/>
        <w:right w:val="none" w:sz="0" w:space="0" w:color="auto"/>
      </w:divBdr>
    </w:div>
    <w:div w:id="924723727">
      <w:bodyDiv w:val="1"/>
      <w:marLeft w:val="0"/>
      <w:marRight w:val="0"/>
      <w:marTop w:val="0"/>
      <w:marBottom w:val="0"/>
      <w:divBdr>
        <w:top w:val="none" w:sz="0" w:space="0" w:color="auto"/>
        <w:left w:val="none" w:sz="0" w:space="0" w:color="auto"/>
        <w:bottom w:val="none" w:sz="0" w:space="0" w:color="auto"/>
        <w:right w:val="none" w:sz="0" w:space="0" w:color="auto"/>
      </w:divBdr>
    </w:div>
    <w:div w:id="928152600">
      <w:bodyDiv w:val="1"/>
      <w:marLeft w:val="0"/>
      <w:marRight w:val="0"/>
      <w:marTop w:val="0"/>
      <w:marBottom w:val="0"/>
      <w:divBdr>
        <w:top w:val="none" w:sz="0" w:space="0" w:color="auto"/>
        <w:left w:val="none" w:sz="0" w:space="0" w:color="auto"/>
        <w:bottom w:val="none" w:sz="0" w:space="0" w:color="auto"/>
        <w:right w:val="none" w:sz="0" w:space="0" w:color="auto"/>
      </w:divBdr>
    </w:div>
    <w:div w:id="933823485">
      <w:bodyDiv w:val="1"/>
      <w:marLeft w:val="0"/>
      <w:marRight w:val="0"/>
      <w:marTop w:val="0"/>
      <w:marBottom w:val="0"/>
      <w:divBdr>
        <w:top w:val="none" w:sz="0" w:space="0" w:color="auto"/>
        <w:left w:val="none" w:sz="0" w:space="0" w:color="auto"/>
        <w:bottom w:val="none" w:sz="0" w:space="0" w:color="auto"/>
        <w:right w:val="none" w:sz="0" w:space="0" w:color="auto"/>
      </w:divBdr>
    </w:div>
    <w:div w:id="939987178">
      <w:bodyDiv w:val="1"/>
      <w:marLeft w:val="0"/>
      <w:marRight w:val="0"/>
      <w:marTop w:val="0"/>
      <w:marBottom w:val="0"/>
      <w:divBdr>
        <w:top w:val="none" w:sz="0" w:space="0" w:color="auto"/>
        <w:left w:val="none" w:sz="0" w:space="0" w:color="auto"/>
        <w:bottom w:val="none" w:sz="0" w:space="0" w:color="auto"/>
        <w:right w:val="none" w:sz="0" w:space="0" w:color="auto"/>
      </w:divBdr>
    </w:div>
    <w:div w:id="944507133">
      <w:bodyDiv w:val="1"/>
      <w:marLeft w:val="0"/>
      <w:marRight w:val="0"/>
      <w:marTop w:val="0"/>
      <w:marBottom w:val="0"/>
      <w:divBdr>
        <w:top w:val="none" w:sz="0" w:space="0" w:color="auto"/>
        <w:left w:val="none" w:sz="0" w:space="0" w:color="auto"/>
        <w:bottom w:val="none" w:sz="0" w:space="0" w:color="auto"/>
        <w:right w:val="none" w:sz="0" w:space="0" w:color="auto"/>
      </w:divBdr>
    </w:div>
    <w:div w:id="953172235">
      <w:bodyDiv w:val="1"/>
      <w:marLeft w:val="0"/>
      <w:marRight w:val="0"/>
      <w:marTop w:val="0"/>
      <w:marBottom w:val="0"/>
      <w:divBdr>
        <w:top w:val="none" w:sz="0" w:space="0" w:color="auto"/>
        <w:left w:val="none" w:sz="0" w:space="0" w:color="auto"/>
        <w:bottom w:val="none" w:sz="0" w:space="0" w:color="auto"/>
        <w:right w:val="none" w:sz="0" w:space="0" w:color="auto"/>
      </w:divBdr>
    </w:div>
    <w:div w:id="957033660">
      <w:bodyDiv w:val="1"/>
      <w:marLeft w:val="0"/>
      <w:marRight w:val="0"/>
      <w:marTop w:val="0"/>
      <w:marBottom w:val="0"/>
      <w:divBdr>
        <w:top w:val="none" w:sz="0" w:space="0" w:color="auto"/>
        <w:left w:val="none" w:sz="0" w:space="0" w:color="auto"/>
        <w:bottom w:val="none" w:sz="0" w:space="0" w:color="auto"/>
        <w:right w:val="none" w:sz="0" w:space="0" w:color="auto"/>
      </w:divBdr>
    </w:div>
    <w:div w:id="962034823">
      <w:bodyDiv w:val="1"/>
      <w:marLeft w:val="0"/>
      <w:marRight w:val="0"/>
      <w:marTop w:val="0"/>
      <w:marBottom w:val="0"/>
      <w:divBdr>
        <w:top w:val="none" w:sz="0" w:space="0" w:color="auto"/>
        <w:left w:val="none" w:sz="0" w:space="0" w:color="auto"/>
        <w:bottom w:val="none" w:sz="0" w:space="0" w:color="auto"/>
        <w:right w:val="none" w:sz="0" w:space="0" w:color="auto"/>
      </w:divBdr>
    </w:div>
    <w:div w:id="967853599">
      <w:bodyDiv w:val="1"/>
      <w:marLeft w:val="0"/>
      <w:marRight w:val="0"/>
      <w:marTop w:val="0"/>
      <w:marBottom w:val="0"/>
      <w:divBdr>
        <w:top w:val="none" w:sz="0" w:space="0" w:color="auto"/>
        <w:left w:val="none" w:sz="0" w:space="0" w:color="auto"/>
        <w:bottom w:val="none" w:sz="0" w:space="0" w:color="auto"/>
        <w:right w:val="none" w:sz="0" w:space="0" w:color="auto"/>
      </w:divBdr>
    </w:div>
    <w:div w:id="967901253">
      <w:bodyDiv w:val="1"/>
      <w:marLeft w:val="0"/>
      <w:marRight w:val="0"/>
      <w:marTop w:val="0"/>
      <w:marBottom w:val="0"/>
      <w:divBdr>
        <w:top w:val="none" w:sz="0" w:space="0" w:color="auto"/>
        <w:left w:val="none" w:sz="0" w:space="0" w:color="auto"/>
        <w:bottom w:val="none" w:sz="0" w:space="0" w:color="auto"/>
        <w:right w:val="none" w:sz="0" w:space="0" w:color="auto"/>
      </w:divBdr>
    </w:div>
    <w:div w:id="971326277">
      <w:bodyDiv w:val="1"/>
      <w:marLeft w:val="0"/>
      <w:marRight w:val="0"/>
      <w:marTop w:val="0"/>
      <w:marBottom w:val="0"/>
      <w:divBdr>
        <w:top w:val="none" w:sz="0" w:space="0" w:color="auto"/>
        <w:left w:val="none" w:sz="0" w:space="0" w:color="auto"/>
        <w:bottom w:val="none" w:sz="0" w:space="0" w:color="auto"/>
        <w:right w:val="none" w:sz="0" w:space="0" w:color="auto"/>
      </w:divBdr>
    </w:div>
    <w:div w:id="981226403">
      <w:bodyDiv w:val="1"/>
      <w:marLeft w:val="0"/>
      <w:marRight w:val="0"/>
      <w:marTop w:val="0"/>
      <w:marBottom w:val="0"/>
      <w:divBdr>
        <w:top w:val="none" w:sz="0" w:space="0" w:color="auto"/>
        <w:left w:val="none" w:sz="0" w:space="0" w:color="auto"/>
        <w:bottom w:val="none" w:sz="0" w:space="0" w:color="auto"/>
        <w:right w:val="none" w:sz="0" w:space="0" w:color="auto"/>
      </w:divBdr>
    </w:div>
    <w:div w:id="982198992">
      <w:bodyDiv w:val="1"/>
      <w:marLeft w:val="0"/>
      <w:marRight w:val="0"/>
      <w:marTop w:val="0"/>
      <w:marBottom w:val="0"/>
      <w:divBdr>
        <w:top w:val="none" w:sz="0" w:space="0" w:color="auto"/>
        <w:left w:val="none" w:sz="0" w:space="0" w:color="auto"/>
        <w:bottom w:val="none" w:sz="0" w:space="0" w:color="auto"/>
        <w:right w:val="none" w:sz="0" w:space="0" w:color="auto"/>
      </w:divBdr>
    </w:div>
    <w:div w:id="1012991975">
      <w:bodyDiv w:val="1"/>
      <w:marLeft w:val="0"/>
      <w:marRight w:val="0"/>
      <w:marTop w:val="0"/>
      <w:marBottom w:val="0"/>
      <w:divBdr>
        <w:top w:val="none" w:sz="0" w:space="0" w:color="auto"/>
        <w:left w:val="none" w:sz="0" w:space="0" w:color="auto"/>
        <w:bottom w:val="none" w:sz="0" w:space="0" w:color="auto"/>
        <w:right w:val="none" w:sz="0" w:space="0" w:color="auto"/>
      </w:divBdr>
    </w:div>
    <w:div w:id="1013918818">
      <w:bodyDiv w:val="1"/>
      <w:marLeft w:val="0"/>
      <w:marRight w:val="0"/>
      <w:marTop w:val="0"/>
      <w:marBottom w:val="0"/>
      <w:divBdr>
        <w:top w:val="none" w:sz="0" w:space="0" w:color="auto"/>
        <w:left w:val="none" w:sz="0" w:space="0" w:color="auto"/>
        <w:bottom w:val="none" w:sz="0" w:space="0" w:color="auto"/>
        <w:right w:val="none" w:sz="0" w:space="0" w:color="auto"/>
      </w:divBdr>
    </w:div>
    <w:div w:id="1014919502">
      <w:bodyDiv w:val="1"/>
      <w:marLeft w:val="0"/>
      <w:marRight w:val="0"/>
      <w:marTop w:val="0"/>
      <w:marBottom w:val="0"/>
      <w:divBdr>
        <w:top w:val="none" w:sz="0" w:space="0" w:color="auto"/>
        <w:left w:val="none" w:sz="0" w:space="0" w:color="auto"/>
        <w:bottom w:val="none" w:sz="0" w:space="0" w:color="auto"/>
        <w:right w:val="none" w:sz="0" w:space="0" w:color="auto"/>
      </w:divBdr>
    </w:div>
    <w:div w:id="1015305269">
      <w:bodyDiv w:val="1"/>
      <w:marLeft w:val="0"/>
      <w:marRight w:val="0"/>
      <w:marTop w:val="0"/>
      <w:marBottom w:val="0"/>
      <w:divBdr>
        <w:top w:val="none" w:sz="0" w:space="0" w:color="auto"/>
        <w:left w:val="none" w:sz="0" w:space="0" w:color="auto"/>
        <w:bottom w:val="none" w:sz="0" w:space="0" w:color="auto"/>
        <w:right w:val="none" w:sz="0" w:space="0" w:color="auto"/>
      </w:divBdr>
    </w:div>
    <w:div w:id="1015961524">
      <w:bodyDiv w:val="1"/>
      <w:marLeft w:val="0"/>
      <w:marRight w:val="0"/>
      <w:marTop w:val="0"/>
      <w:marBottom w:val="0"/>
      <w:divBdr>
        <w:top w:val="none" w:sz="0" w:space="0" w:color="auto"/>
        <w:left w:val="none" w:sz="0" w:space="0" w:color="auto"/>
        <w:bottom w:val="none" w:sz="0" w:space="0" w:color="auto"/>
        <w:right w:val="none" w:sz="0" w:space="0" w:color="auto"/>
      </w:divBdr>
    </w:div>
    <w:div w:id="1019501968">
      <w:bodyDiv w:val="1"/>
      <w:marLeft w:val="0"/>
      <w:marRight w:val="0"/>
      <w:marTop w:val="0"/>
      <w:marBottom w:val="0"/>
      <w:divBdr>
        <w:top w:val="none" w:sz="0" w:space="0" w:color="auto"/>
        <w:left w:val="none" w:sz="0" w:space="0" w:color="auto"/>
        <w:bottom w:val="none" w:sz="0" w:space="0" w:color="auto"/>
        <w:right w:val="none" w:sz="0" w:space="0" w:color="auto"/>
      </w:divBdr>
    </w:div>
    <w:div w:id="1029914331">
      <w:bodyDiv w:val="1"/>
      <w:marLeft w:val="0"/>
      <w:marRight w:val="0"/>
      <w:marTop w:val="0"/>
      <w:marBottom w:val="0"/>
      <w:divBdr>
        <w:top w:val="none" w:sz="0" w:space="0" w:color="auto"/>
        <w:left w:val="none" w:sz="0" w:space="0" w:color="auto"/>
        <w:bottom w:val="none" w:sz="0" w:space="0" w:color="auto"/>
        <w:right w:val="none" w:sz="0" w:space="0" w:color="auto"/>
      </w:divBdr>
    </w:div>
    <w:div w:id="1031611207">
      <w:bodyDiv w:val="1"/>
      <w:marLeft w:val="0"/>
      <w:marRight w:val="0"/>
      <w:marTop w:val="0"/>
      <w:marBottom w:val="0"/>
      <w:divBdr>
        <w:top w:val="none" w:sz="0" w:space="0" w:color="auto"/>
        <w:left w:val="none" w:sz="0" w:space="0" w:color="auto"/>
        <w:bottom w:val="none" w:sz="0" w:space="0" w:color="auto"/>
        <w:right w:val="none" w:sz="0" w:space="0" w:color="auto"/>
      </w:divBdr>
    </w:div>
    <w:div w:id="1040545012">
      <w:bodyDiv w:val="1"/>
      <w:marLeft w:val="0"/>
      <w:marRight w:val="0"/>
      <w:marTop w:val="0"/>
      <w:marBottom w:val="0"/>
      <w:divBdr>
        <w:top w:val="none" w:sz="0" w:space="0" w:color="auto"/>
        <w:left w:val="none" w:sz="0" w:space="0" w:color="auto"/>
        <w:bottom w:val="none" w:sz="0" w:space="0" w:color="auto"/>
        <w:right w:val="none" w:sz="0" w:space="0" w:color="auto"/>
      </w:divBdr>
    </w:div>
    <w:div w:id="1041436461">
      <w:bodyDiv w:val="1"/>
      <w:marLeft w:val="0"/>
      <w:marRight w:val="0"/>
      <w:marTop w:val="0"/>
      <w:marBottom w:val="0"/>
      <w:divBdr>
        <w:top w:val="none" w:sz="0" w:space="0" w:color="auto"/>
        <w:left w:val="none" w:sz="0" w:space="0" w:color="auto"/>
        <w:bottom w:val="none" w:sz="0" w:space="0" w:color="auto"/>
        <w:right w:val="none" w:sz="0" w:space="0" w:color="auto"/>
      </w:divBdr>
    </w:div>
    <w:div w:id="1047872040">
      <w:bodyDiv w:val="1"/>
      <w:marLeft w:val="0"/>
      <w:marRight w:val="0"/>
      <w:marTop w:val="0"/>
      <w:marBottom w:val="0"/>
      <w:divBdr>
        <w:top w:val="none" w:sz="0" w:space="0" w:color="auto"/>
        <w:left w:val="none" w:sz="0" w:space="0" w:color="auto"/>
        <w:bottom w:val="none" w:sz="0" w:space="0" w:color="auto"/>
        <w:right w:val="none" w:sz="0" w:space="0" w:color="auto"/>
      </w:divBdr>
    </w:div>
    <w:div w:id="1051730407">
      <w:bodyDiv w:val="1"/>
      <w:marLeft w:val="0"/>
      <w:marRight w:val="0"/>
      <w:marTop w:val="0"/>
      <w:marBottom w:val="0"/>
      <w:divBdr>
        <w:top w:val="none" w:sz="0" w:space="0" w:color="auto"/>
        <w:left w:val="none" w:sz="0" w:space="0" w:color="auto"/>
        <w:bottom w:val="none" w:sz="0" w:space="0" w:color="auto"/>
        <w:right w:val="none" w:sz="0" w:space="0" w:color="auto"/>
      </w:divBdr>
    </w:div>
    <w:div w:id="1062948388">
      <w:bodyDiv w:val="1"/>
      <w:marLeft w:val="0"/>
      <w:marRight w:val="0"/>
      <w:marTop w:val="0"/>
      <w:marBottom w:val="0"/>
      <w:divBdr>
        <w:top w:val="none" w:sz="0" w:space="0" w:color="auto"/>
        <w:left w:val="none" w:sz="0" w:space="0" w:color="auto"/>
        <w:bottom w:val="none" w:sz="0" w:space="0" w:color="auto"/>
        <w:right w:val="none" w:sz="0" w:space="0" w:color="auto"/>
      </w:divBdr>
    </w:div>
    <w:div w:id="1065687597">
      <w:bodyDiv w:val="1"/>
      <w:marLeft w:val="0"/>
      <w:marRight w:val="0"/>
      <w:marTop w:val="0"/>
      <w:marBottom w:val="0"/>
      <w:divBdr>
        <w:top w:val="none" w:sz="0" w:space="0" w:color="auto"/>
        <w:left w:val="none" w:sz="0" w:space="0" w:color="auto"/>
        <w:bottom w:val="none" w:sz="0" w:space="0" w:color="auto"/>
        <w:right w:val="none" w:sz="0" w:space="0" w:color="auto"/>
      </w:divBdr>
    </w:div>
    <w:div w:id="1066220363">
      <w:bodyDiv w:val="1"/>
      <w:marLeft w:val="0"/>
      <w:marRight w:val="0"/>
      <w:marTop w:val="0"/>
      <w:marBottom w:val="0"/>
      <w:divBdr>
        <w:top w:val="none" w:sz="0" w:space="0" w:color="auto"/>
        <w:left w:val="none" w:sz="0" w:space="0" w:color="auto"/>
        <w:bottom w:val="none" w:sz="0" w:space="0" w:color="auto"/>
        <w:right w:val="none" w:sz="0" w:space="0" w:color="auto"/>
      </w:divBdr>
    </w:div>
    <w:div w:id="1081489505">
      <w:bodyDiv w:val="1"/>
      <w:marLeft w:val="0"/>
      <w:marRight w:val="0"/>
      <w:marTop w:val="0"/>
      <w:marBottom w:val="0"/>
      <w:divBdr>
        <w:top w:val="none" w:sz="0" w:space="0" w:color="auto"/>
        <w:left w:val="none" w:sz="0" w:space="0" w:color="auto"/>
        <w:bottom w:val="none" w:sz="0" w:space="0" w:color="auto"/>
        <w:right w:val="none" w:sz="0" w:space="0" w:color="auto"/>
      </w:divBdr>
    </w:div>
    <w:div w:id="1082678487">
      <w:bodyDiv w:val="1"/>
      <w:marLeft w:val="0"/>
      <w:marRight w:val="0"/>
      <w:marTop w:val="0"/>
      <w:marBottom w:val="0"/>
      <w:divBdr>
        <w:top w:val="none" w:sz="0" w:space="0" w:color="auto"/>
        <w:left w:val="none" w:sz="0" w:space="0" w:color="auto"/>
        <w:bottom w:val="none" w:sz="0" w:space="0" w:color="auto"/>
        <w:right w:val="none" w:sz="0" w:space="0" w:color="auto"/>
      </w:divBdr>
    </w:div>
    <w:div w:id="1090927378">
      <w:bodyDiv w:val="1"/>
      <w:marLeft w:val="0"/>
      <w:marRight w:val="0"/>
      <w:marTop w:val="0"/>
      <w:marBottom w:val="0"/>
      <w:divBdr>
        <w:top w:val="none" w:sz="0" w:space="0" w:color="auto"/>
        <w:left w:val="none" w:sz="0" w:space="0" w:color="auto"/>
        <w:bottom w:val="none" w:sz="0" w:space="0" w:color="auto"/>
        <w:right w:val="none" w:sz="0" w:space="0" w:color="auto"/>
      </w:divBdr>
    </w:div>
    <w:div w:id="1095976365">
      <w:bodyDiv w:val="1"/>
      <w:marLeft w:val="0"/>
      <w:marRight w:val="0"/>
      <w:marTop w:val="0"/>
      <w:marBottom w:val="0"/>
      <w:divBdr>
        <w:top w:val="none" w:sz="0" w:space="0" w:color="auto"/>
        <w:left w:val="none" w:sz="0" w:space="0" w:color="auto"/>
        <w:bottom w:val="none" w:sz="0" w:space="0" w:color="auto"/>
        <w:right w:val="none" w:sz="0" w:space="0" w:color="auto"/>
      </w:divBdr>
    </w:div>
    <w:div w:id="1100024681">
      <w:bodyDiv w:val="1"/>
      <w:marLeft w:val="0"/>
      <w:marRight w:val="0"/>
      <w:marTop w:val="0"/>
      <w:marBottom w:val="0"/>
      <w:divBdr>
        <w:top w:val="none" w:sz="0" w:space="0" w:color="auto"/>
        <w:left w:val="none" w:sz="0" w:space="0" w:color="auto"/>
        <w:bottom w:val="none" w:sz="0" w:space="0" w:color="auto"/>
        <w:right w:val="none" w:sz="0" w:space="0" w:color="auto"/>
      </w:divBdr>
    </w:div>
    <w:div w:id="1103837262">
      <w:bodyDiv w:val="1"/>
      <w:marLeft w:val="0"/>
      <w:marRight w:val="0"/>
      <w:marTop w:val="0"/>
      <w:marBottom w:val="0"/>
      <w:divBdr>
        <w:top w:val="none" w:sz="0" w:space="0" w:color="auto"/>
        <w:left w:val="none" w:sz="0" w:space="0" w:color="auto"/>
        <w:bottom w:val="none" w:sz="0" w:space="0" w:color="auto"/>
        <w:right w:val="none" w:sz="0" w:space="0" w:color="auto"/>
      </w:divBdr>
    </w:div>
    <w:div w:id="1128426865">
      <w:bodyDiv w:val="1"/>
      <w:marLeft w:val="0"/>
      <w:marRight w:val="0"/>
      <w:marTop w:val="0"/>
      <w:marBottom w:val="0"/>
      <w:divBdr>
        <w:top w:val="none" w:sz="0" w:space="0" w:color="auto"/>
        <w:left w:val="none" w:sz="0" w:space="0" w:color="auto"/>
        <w:bottom w:val="none" w:sz="0" w:space="0" w:color="auto"/>
        <w:right w:val="none" w:sz="0" w:space="0" w:color="auto"/>
      </w:divBdr>
    </w:div>
    <w:div w:id="1137377699">
      <w:bodyDiv w:val="1"/>
      <w:marLeft w:val="0"/>
      <w:marRight w:val="0"/>
      <w:marTop w:val="0"/>
      <w:marBottom w:val="0"/>
      <w:divBdr>
        <w:top w:val="none" w:sz="0" w:space="0" w:color="auto"/>
        <w:left w:val="none" w:sz="0" w:space="0" w:color="auto"/>
        <w:bottom w:val="none" w:sz="0" w:space="0" w:color="auto"/>
        <w:right w:val="none" w:sz="0" w:space="0" w:color="auto"/>
      </w:divBdr>
    </w:div>
    <w:div w:id="1149396281">
      <w:bodyDiv w:val="1"/>
      <w:marLeft w:val="0"/>
      <w:marRight w:val="0"/>
      <w:marTop w:val="0"/>
      <w:marBottom w:val="0"/>
      <w:divBdr>
        <w:top w:val="none" w:sz="0" w:space="0" w:color="auto"/>
        <w:left w:val="none" w:sz="0" w:space="0" w:color="auto"/>
        <w:bottom w:val="none" w:sz="0" w:space="0" w:color="auto"/>
        <w:right w:val="none" w:sz="0" w:space="0" w:color="auto"/>
      </w:divBdr>
    </w:div>
    <w:div w:id="1154878105">
      <w:bodyDiv w:val="1"/>
      <w:marLeft w:val="0"/>
      <w:marRight w:val="0"/>
      <w:marTop w:val="0"/>
      <w:marBottom w:val="0"/>
      <w:divBdr>
        <w:top w:val="none" w:sz="0" w:space="0" w:color="auto"/>
        <w:left w:val="none" w:sz="0" w:space="0" w:color="auto"/>
        <w:bottom w:val="none" w:sz="0" w:space="0" w:color="auto"/>
        <w:right w:val="none" w:sz="0" w:space="0" w:color="auto"/>
      </w:divBdr>
    </w:div>
    <w:div w:id="1155029941">
      <w:bodyDiv w:val="1"/>
      <w:marLeft w:val="0"/>
      <w:marRight w:val="0"/>
      <w:marTop w:val="0"/>
      <w:marBottom w:val="0"/>
      <w:divBdr>
        <w:top w:val="none" w:sz="0" w:space="0" w:color="auto"/>
        <w:left w:val="none" w:sz="0" w:space="0" w:color="auto"/>
        <w:bottom w:val="none" w:sz="0" w:space="0" w:color="auto"/>
        <w:right w:val="none" w:sz="0" w:space="0" w:color="auto"/>
      </w:divBdr>
    </w:div>
    <w:div w:id="1157184139">
      <w:bodyDiv w:val="1"/>
      <w:marLeft w:val="0"/>
      <w:marRight w:val="0"/>
      <w:marTop w:val="0"/>
      <w:marBottom w:val="0"/>
      <w:divBdr>
        <w:top w:val="none" w:sz="0" w:space="0" w:color="auto"/>
        <w:left w:val="none" w:sz="0" w:space="0" w:color="auto"/>
        <w:bottom w:val="none" w:sz="0" w:space="0" w:color="auto"/>
        <w:right w:val="none" w:sz="0" w:space="0" w:color="auto"/>
      </w:divBdr>
    </w:div>
    <w:div w:id="1157918785">
      <w:bodyDiv w:val="1"/>
      <w:marLeft w:val="0"/>
      <w:marRight w:val="0"/>
      <w:marTop w:val="0"/>
      <w:marBottom w:val="0"/>
      <w:divBdr>
        <w:top w:val="none" w:sz="0" w:space="0" w:color="auto"/>
        <w:left w:val="none" w:sz="0" w:space="0" w:color="auto"/>
        <w:bottom w:val="none" w:sz="0" w:space="0" w:color="auto"/>
        <w:right w:val="none" w:sz="0" w:space="0" w:color="auto"/>
      </w:divBdr>
    </w:div>
    <w:div w:id="1158961974">
      <w:bodyDiv w:val="1"/>
      <w:marLeft w:val="0"/>
      <w:marRight w:val="0"/>
      <w:marTop w:val="0"/>
      <w:marBottom w:val="0"/>
      <w:divBdr>
        <w:top w:val="none" w:sz="0" w:space="0" w:color="auto"/>
        <w:left w:val="none" w:sz="0" w:space="0" w:color="auto"/>
        <w:bottom w:val="none" w:sz="0" w:space="0" w:color="auto"/>
        <w:right w:val="none" w:sz="0" w:space="0" w:color="auto"/>
      </w:divBdr>
    </w:div>
    <w:div w:id="1160928315">
      <w:bodyDiv w:val="1"/>
      <w:marLeft w:val="0"/>
      <w:marRight w:val="0"/>
      <w:marTop w:val="0"/>
      <w:marBottom w:val="0"/>
      <w:divBdr>
        <w:top w:val="none" w:sz="0" w:space="0" w:color="auto"/>
        <w:left w:val="none" w:sz="0" w:space="0" w:color="auto"/>
        <w:bottom w:val="none" w:sz="0" w:space="0" w:color="auto"/>
        <w:right w:val="none" w:sz="0" w:space="0" w:color="auto"/>
      </w:divBdr>
    </w:div>
    <w:div w:id="1168861876">
      <w:bodyDiv w:val="1"/>
      <w:marLeft w:val="0"/>
      <w:marRight w:val="0"/>
      <w:marTop w:val="0"/>
      <w:marBottom w:val="0"/>
      <w:divBdr>
        <w:top w:val="none" w:sz="0" w:space="0" w:color="auto"/>
        <w:left w:val="none" w:sz="0" w:space="0" w:color="auto"/>
        <w:bottom w:val="none" w:sz="0" w:space="0" w:color="auto"/>
        <w:right w:val="none" w:sz="0" w:space="0" w:color="auto"/>
      </w:divBdr>
    </w:div>
    <w:div w:id="1172404960">
      <w:bodyDiv w:val="1"/>
      <w:marLeft w:val="0"/>
      <w:marRight w:val="0"/>
      <w:marTop w:val="0"/>
      <w:marBottom w:val="0"/>
      <w:divBdr>
        <w:top w:val="none" w:sz="0" w:space="0" w:color="auto"/>
        <w:left w:val="none" w:sz="0" w:space="0" w:color="auto"/>
        <w:bottom w:val="none" w:sz="0" w:space="0" w:color="auto"/>
        <w:right w:val="none" w:sz="0" w:space="0" w:color="auto"/>
      </w:divBdr>
    </w:div>
    <w:div w:id="1176650613">
      <w:bodyDiv w:val="1"/>
      <w:marLeft w:val="0"/>
      <w:marRight w:val="0"/>
      <w:marTop w:val="0"/>
      <w:marBottom w:val="0"/>
      <w:divBdr>
        <w:top w:val="none" w:sz="0" w:space="0" w:color="auto"/>
        <w:left w:val="none" w:sz="0" w:space="0" w:color="auto"/>
        <w:bottom w:val="none" w:sz="0" w:space="0" w:color="auto"/>
        <w:right w:val="none" w:sz="0" w:space="0" w:color="auto"/>
      </w:divBdr>
    </w:div>
    <w:div w:id="1177773925">
      <w:bodyDiv w:val="1"/>
      <w:marLeft w:val="0"/>
      <w:marRight w:val="0"/>
      <w:marTop w:val="0"/>
      <w:marBottom w:val="0"/>
      <w:divBdr>
        <w:top w:val="none" w:sz="0" w:space="0" w:color="auto"/>
        <w:left w:val="none" w:sz="0" w:space="0" w:color="auto"/>
        <w:bottom w:val="none" w:sz="0" w:space="0" w:color="auto"/>
        <w:right w:val="none" w:sz="0" w:space="0" w:color="auto"/>
      </w:divBdr>
    </w:div>
    <w:div w:id="1196040539">
      <w:bodyDiv w:val="1"/>
      <w:marLeft w:val="0"/>
      <w:marRight w:val="0"/>
      <w:marTop w:val="0"/>
      <w:marBottom w:val="0"/>
      <w:divBdr>
        <w:top w:val="none" w:sz="0" w:space="0" w:color="auto"/>
        <w:left w:val="none" w:sz="0" w:space="0" w:color="auto"/>
        <w:bottom w:val="none" w:sz="0" w:space="0" w:color="auto"/>
        <w:right w:val="none" w:sz="0" w:space="0" w:color="auto"/>
      </w:divBdr>
    </w:div>
    <w:div w:id="1196967327">
      <w:bodyDiv w:val="1"/>
      <w:marLeft w:val="0"/>
      <w:marRight w:val="0"/>
      <w:marTop w:val="0"/>
      <w:marBottom w:val="0"/>
      <w:divBdr>
        <w:top w:val="none" w:sz="0" w:space="0" w:color="auto"/>
        <w:left w:val="none" w:sz="0" w:space="0" w:color="auto"/>
        <w:bottom w:val="none" w:sz="0" w:space="0" w:color="auto"/>
        <w:right w:val="none" w:sz="0" w:space="0" w:color="auto"/>
      </w:divBdr>
    </w:div>
    <w:div w:id="1205368590">
      <w:bodyDiv w:val="1"/>
      <w:marLeft w:val="0"/>
      <w:marRight w:val="0"/>
      <w:marTop w:val="0"/>
      <w:marBottom w:val="0"/>
      <w:divBdr>
        <w:top w:val="none" w:sz="0" w:space="0" w:color="auto"/>
        <w:left w:val="none" w:sz="0" w:space="0" w:color="auto"/>
        <w:bottom w:val="none" w:sz="0" w:space="0" w:color="auto"/>
        <w:right w:val="none" w:sz="0" w:space="0" w:color="auto"/>
      </w:divBdr>
    </w:div>
    <w:div w:id="1205411246">
      <w:bodyDiv w:val="1"/>
      <w:marLeft w:val="0"/>
      <w:marRight w:val="0"/>
      <w:marTop w:val="0"/>
      <w:marBottom w:val="0"/>
      <w:divBdr>
        <w:top w:val="none" w:sz="0" w:space="0" w:color="auto"/>
        <w:left w:val="none" w:sz="0" w:space="0" w:color="auto"/>
        <w:bottom w:val="none" w:sz="0" w:space="0" w:color="auto"/>
        <w:right w:val="none" w:sz="0" w:space="0" w:color="auto"/>
      </w:divBdr>
    </w:div>
    <w:div w:id="1205606705">
      <w:bodyDiv w:val="1"/>
      <w:marLeft w:val="0"/>
      <w:marRight w:val="0"/>
      <w:marTop w:val="0"/>
      <w:marBottom w:val="0"/>
      <w:divBdr>
        <w:top w:val="none" w:sz="0" w:space="0" w:color="auto"/>
        <w:left w:val="none" w:sz="0" w:space="0" w:color="auto"/>
        <w:bottom w:val="none" w:sz="0" w:space="0" w:color="auto"/>
        <w:right w:val="none" w:sz="0" w:space="0" w:color="auto"/>
      </w:divBdr>
    </w:div>
    <w:div w:id="1214124935">
      <w:bodyDiv w:val="1"/>
      <w:marLeft w:val="0"/>
      <w:marRight w:val="0"/>
      <w:marTop w:val="0"/>
      <w:marBottom w:val="0"/>
      <w:divBdr>
        <w:top w:val="none" w:sz="0" w:space="0" w:color="auto"/>
        <w:left w:val="none" w:sz="0" w:space="0" w:color="auto"/>
        <w:bottom w:val="none" w:sz="0" w:space="0" w:color="auto"/>
        <w:right w:val="none" w:sz="0" w:space="0" w:color="auto"/>
      </w:divBdr>
    </w:div>
    <w:div w:id="1220242797">
      <w:bodyDiv w:val="1"/>
      <w:marLeft w:val="0"/>
      <w:marRight w:val="0"/>
      <w:marTop w:val="0"/>
      <w:marBottom w:val="0"/>
      <w:divBdr>
        <w:top w:val="none" w:sz="0" w:space="0" w:color="auto"/>
        <w:left w:val="none" w:sz="0" w:space="0" w:color="auto"/>
        <w:bottom w:val="none" w:sz="0" w:space="0" w:color="auto"/>
        <w:right w:val="none" w:sz="0" w:space="0" w:color="auto"/>
      </w:divBdr>
    </w:div>
    <w:div w:id="1220897483">
      <w:bodyDiv w:val="1"/>
      <w:marLeft w:val="0"/>
      <w:marRight w:val="0"/>
      <w:marTop w:val="0"/>
      <w:marBottom w:val="0"/>
      <w:divBdr>
        <w:top w:val="none" w:sz="0" w:space="0" w:color="auto"/>
        <w:left w:val="none" w:sz="0" w:space="0" w:color="auto"/>
        <w:bottom w:val="none" w:sz="0" w:space="0" w:color="auto"/>
        <w:right w:val="none" w:sz="0" w:space="0" w:color="auto"/>
      </w:divBdr>
    </w:div>
    <w:div w:id="1222600855">
      <w:bodyDiv w:val="1"/>
      <w:marLeft w:val="0"/>
      <w:marRight w:val="0"/>
      <w:marTop w:val="0"/>
      <w:marBottom w:val="0"/>
      <w:divBdr>
        <w:top w:val="none" w:sz="0" w:space="0" w:color="auto"/>
        <w:left w:val="none" w:sz="0" w:space="0" w:color="auto"/>
        <w:bottom w:val="none" w:sz="0" w:space="0" w:color="auto"/>
        <w:right w:val="none" w:sz="0" w:space="0" w:color="auto"/>
      </w:divBdr>
    </w:div>
    <w:div w:id="1225720271">
      <w:bodyDiv w:val="1"/>
      <w:marLeft w:val="0"/>
      <w:marRight w:val="0"/>
      <w:marTop w:val="0"/>
      <w:marBottom w:val="0"/>
      <w:divBdr>
        <w:top w:val="none" w:sz="0" w:space="0" w:color="auto"/>
        <w:left w:val="none" w:sz="0" w:space="0" w:color="auto"/>
        <w:bottom w:val="none" w:sz="0" w:space="0" w:color="auto"/>
        <w:right w:val="none" w:sz="0" w:space="0" w:color="auto"/>
      </w:divBdr>
    </w:div>
    <w:div w:id="1229070276">
      <w:bodyDiv w:val="1"/>
      <w:marLeft w:val="0"/>
      <w:marRight w:val="0"/>
      <w:marTop w:val="0"/>
      <w:marBottom w:val="0"/>
      <w:divBdr>
        <w:top w:val="none" w:sz="0" w:space="0" w:color="auto"/>
        <w:left w:val="none" w:sz="0" w:space="0" w:color="auto"/>
        <w:bottom w:val="none" w:sz="0" w:space="0" w:color="auto"/>
        <w:right w:val="none" w:sz="0" w:space="0" w:color="auto"/>
      </w:divBdr>
    </w:div>
    <w:div w:id="1238979641">
      <w:bodyDiv w:val="1"/>
      <w:marLeft w:val="0"/>
      <w:marRight w:val="0"/>
      <w:marTop w:val="0"/>
      <w:marBottom w:val="0"/>
      <w:divBdr>
        <w:top w:val="none" w:sz="0" w:space="0" w:color="auto"/>
        <w:left w:val="none" w:sz="0" w:space="0" w:color="auto"/>
        <w:bottom w:val="none" w:sz="0" w:space="0" w:color="auto"/>
        <w:right w:val="none" w:sz="0" w:space="0" w:color="auto"/>
      </w:divBdr>
    </w:div>
    <w:div w:id="1240166709">
      <w:bodyDiv w:val="1"/>
      <w:marLeft w:val="0"/>
      <w:marRight w:val="0"/>
      <w:marTop w:val="0"/>
      <w:marBottom w:val="0"/>
      <w:divBdr>
        <w:top w:val="none" w:sz="0" w:space="0" w:color="auto"/>
        <w:left w:val="none" w:sz="0" w:space="0" w:color="auto"/>
        <w:bottom w:val="none" w:sz="0" w:space="0" w:color="auto"/>
        <w:right w:val="none" w:sz="0" w:space="0" w:color="auto"/>
      </w:divBdr>
    </w:div>
    <w:div w:id="1240746382">
      <w:bodyDiv w:val="1"/>
      <w:marLeft w:val="0"/>
      <w:marRight w:val="0"/>
      <w:marTop w:val="0"/>
      <w:marBottom w:val="0"/>
      <w:divBdr>
        <w:top w:val="none" w:sz="0" w:space="0" w:color="auto"/>
        <w:left w:val="none" w:sz="0" w:space="0" w:color="auto"/>
        <w:bottom w:val="none" w:sz="0" w:space="0" w:color="auto"/>
        <w:right w:val="none" w:sz="0" w:space="0" w:color="auto"/>
      </w:divBdr>
    </w:div>
    <w:div w:id="1241527292">
      <w:bodyDiv w:val="1"/>
      <w:marLeft w:val="0"/>
      <w:marRight w:val="0"/>
      <w:marTop w:val="0"/>
      <w:marBottom w:val="0"/>
      <w:divBdr>
        <w:top w:val="none" w:sz="0" w:space="0" w:color="auto"/>
        <w:left w:val="none" w:sz="0" w:space="0" w:color="auto"/>
        <w:bottom w:val="none" w:sz="0" w:space="0" w:color="auto"/>
        <w:right w:val="none" w:sz="0" w:space="0" w:color="auto"/>
      </w:divBdr>
    </w:div>
    <w:div w:id="1255285555">
      <w:bodyDiv w:val="1"/>
      <w:marLeft w:val="0"/>
      <w:marRight w:val="0"/>
      <w:marTop w:val="0"/>
      <w:marBottom w:val="0"/>
      <w:divBdr>
        <w:top w:val="none" w:sz="0" w:space="0" w:color="auto"/>
        <w:left w:val="none" w:sz="0" w:space="0" w:color="auto"/>
        <w:bottom w:val="none" w:sz="0" w:space="0" w:color="auto"/>
        <w:right w:val="none" w:sz="0" w:space="0" w:color="auto"/>
      </w:divBdr>
    </w:div>
    <w:div w:id="1256936345">
      <w:bodyDiv w:val="1"/>
      <w:marLeft w:val="0"/>
      <w:marRight w:val="0"/>
      <w:marTop w:val="0"/>
      <w:marBottom w:val="0"/>
      <w:divBdr>
        <w:top w:val="none" w:sz="0" w:space="0" w:color="auto"/>
        <w:left w:val="none" w:sz="0" w:space="0" w:color="auto"/>
        <w:bottom w:val="none" w:sz="0" w:space="0" w:color="auto"/>
        <w:right w:val="none" w:sz="0" w:space="0" w:color="auto"/>
      </w:divBdr>
    </w:div>
    <w:div w:id="1264339367">
      <w:bodyDiv w:val="1"/>
      <w:marLeft w:val="0"/>
      <w:marRight w:val="0"/>
      <w:marTop w:val="0"/>
      <w:marBottom w:val="0"/>
      <w:divBdr>
        <w:top w:val="none" w:sz="0" w:space="0" w:color="auto"/>
        <w:left w:val="none" w:sz="0" w:space="0" w:color="auto"/>
        <w:bottom w:val="none" w:sz="0" w:space="0" w:color="auto"/>
        <w:right w:val="none" w:sz="0" w:space="0" w:color="auto"/>
      </w:divBdr>
    </w:div>
    <w:div w:id="1271548933">
      <w:bodyDiv w:val="1"/>
      <w:marLeft w:val="0"/>
      <w:marRight w:val="0"/>
      <w:marTop w:val="0"/>
      <w:marBottom w:val="0"/>
      <w:divBdr>
        <w:top w:val="none" w:sz="0" w:space="0" w:color="auto"/>
        <w:left w:val="none" w:sz="0" w:space="0" w:color="auto"/>
        <w:bottom w:val="none" w:sz="0" w:space="0" w:color="auto"/>
        <w:right w:val="none" w:sz="0" w:space="0" w:color="auto"/>
      </w:divBdr>
    </w:div>
    <w:div w:id="1271820889">
      <w:bodyDiv w:val="1"/>
      <w:marLeft w:val="0"/>
      <w:marRight w:val="0"/>
      <w:marTop w:val="0"/>
      <w:marBottom w:val="0"/>
      <w:divBdr>
        <w:top w:val="none" w:sz="0" w:space="0" w:color="auto"/>
        <w:left w:val="none" w:sz="0" w:space="0" w:color="auto"/>
        <w:bottom w:val="none" w:sz="0" w:space="0" w:color="auto"/>
        <w:right w:val="none" w:sz="0" w:space="0" w:color="auto"/>
      </w:divBdr>
    </w:div>
    <w:div w:id="1273395729">
      <w:bodyDiv w:val="1"/>
      <w:marLeft w:val="0"/>
      <w:marRight w:val="0"/>
      <w:marTop w:val="0"/>
      <w:marBottom w:val="0"/>
      <w:divBdr>
        <w:top w:val="none" w:sz="0" w:space="0" w:color="auto"/>
        <w:left w:val="none" w:sz="0" w:space="0" w:color="auto"/>
        <w:bottom w:val="none" w:sz="0" w:space="0" w:color="auto"/>
        <w:right w:val="none" w:sz="0" w:space="0" w:color="auto"/>
      </w:divBdr>
    </w:div>
    <w:div w:id="1285038815">
      <w:bodyDiv w:val="1"/>
      <w:marLeft w:val="0"/>
      <w:marRight w:val="0"/>
      <w:marTop w:val="0"/>
      <w:marBottom w:val="0"/>
      <w:divBdr>
        <w:top w:val="none" w:sz="0" w:space="0" w:color="auto"/>
        <w:left w:val="none" w:sz="0" w:space="0" w:color="auto"/>
        <w:bottom w:val="none" w:sz="0" w:space="0" w:color="auto"/>
        <w:right w:val="none" w:sz="0" w:space="0" w:color="auto"/>
      </w:divBdr>
    </w:div>
    <w:div w:id="1294486993">
      <w:bodyDiv w:val="1"/>
      <w:marLeft w:val="0"/>
      <w:marRight w:val="0"/>
      <w:marTop w:val="0"/>
      <w:marBottom w:val="0"/>
      <w:divBdr>
        <w:top w:val="none" w:sz="0" w:space="0" w:color="auto"/>
        <w:left w:val="none" w:sz="0" w:space="0" w:color="auto"/>
        <w:bottom w:val="none" w:sz="0" w:space="0" w:color="auto"/>
        <w:right w:val="none" w:sz="0" w:space="0" w:color="auto"/>
      </w:divBdr>
    </w:div>
    <w:div w:id="1294602176">
      <w:bodyDiv w:val="1"/>
      <w:marLeft w:val="0"/>
      <w:marRight w:val="0"/>
      <w:marTop w:val="0"/>
      <w:marBottom w:val="0"/>
      <w:divBdr>
        <w:top w:val="none" w:sz="0" w:space="0" w:color="auto"/>
        <w:left w:val="none" w:sz="0" w:space="0" w:color="auto"/>
        <w:bottom w:val="none" w:sz="0" w:space="0" w:color="auto"/>
        <w:right w:val="none" w:sz="0" w:space="0" w:color="auto"/>
      </w:divBdr>
    </w:div>
    <w:div w:id="1295983570">
      <w:bodyDiv w:val="1"/>
      <w:marLeft w:val="0"/>
      <w:marRight w:val="0"/>
      <w:marTop w:val="0"/>
      <w:marBottom w:val="0"/>
      <w:divBdr>
        <w:top w:val="none" w:sz="0" w:space="0" w:color="auto"/>
        <w:left w:val="none" w:sz="0" w:space="0" w:color="auto"/>
        <w:bottom w:val="none" w:sz="0" w:space="0" w:color="auto"/>
        <w:right w:val="none" w:sz="0" w:space="0" w:color="auto"/>
      </w:divBdr>
    </w:div>
    <w:div w:id="1300917078">
      <w:bodyDiv w:val="1"/>
      <w:marLeft w:val="0"/>
      <w:marRight w:val="0"/>
      <w:marTop w:val="0"/>
      <w:marBottom w:val="0"/>
      <w:divBdr>
        <w:top w:val="none" w:sz="0" w:space="0" w:color="auto"/>
        <w:left w:val="none" w:sz="0" w:space="0" w:color="auto"/>
        <w:bottom w:val="none" w:sz="0" w:space="0" w:color="auto"/>
        <w:right w:val="none" w:sz="0" w:space="0" w:color="auto"/>
      </w:divBdr>
    </w:div>
    <w:div w:id="1311516286">
      <w:bodyDiv w:val="1"/>
      <w:marLeft w:val="0"/>
      <w:marRight w:val="0"/>
      <w:marTop w:val="0"/>
      <w:marBottom w:val="0"/>
      <w:divBdr>
        <w:top w:val="none" w:sz="0" w:space="0" w:color="auto"/>
        <w:left w:val="none" w:sz="0" w:space="0" w:color="auto"/>
        <w:bottom w:val="none" w:sz="0" w:space="0" w:color="auto"/>
        <w:right w:val="none" w:sz="0" w:space="0" w:color="auto"/>
      </w:divBdr>
    </w:div>
    <w:div w:id="1312637959">
      <w:bodyDiv w:val="1"/>
      <w:marLeft w:val="0"/>
      <w:marRight w:val="0"/>
      <w:marTop w:val="0"/>
      <w:marBottom w:val="0"/>
      <w:divBdr>
        <w:top w:val="none" w:sz="0" w:space="0" w:color="auto"/>
        <w:left w:val="none" w:sz="0" w:space="0" w:color="auto"/>
        <w:bottom w:val="none" w:sz="0" w:space="0" w:color="auto"/>
        <w:right w:val="none" w:sz="0" w:space="0" w:color="auto"/>
      </w:divBdr>
    </w:div>
    <w:div w:id="1314944872">
      <w:bodyDiv w:val="1"/>
      <w:marLeft w:val="0"/>
      <w:marRight w:val="0"/>
      <w:marTop w:val="0"/>
      <w:marBottom w:val="0"/>
      <w:divBdr>
        <w:top w:val="none" w:sz="0" w:space="0" w:color="auto"/>
        <w:left w:val="none" w:sz="0" w:space="0" w:color="auto"/>
        <w:bottom w:val="none" w:sz="0" w:space="0" w:color="auto"/>
        <w:right w:val="none" w:sz="0" w:space="0" w:color="auto"/>
      </w:divBdr>
    </w:div>
    <w:div w:id="1325625912">
      <w:bodyDiv w:val="1"/>
      <w:marLeft w:val="0"/>
      <w:marRight w:val="0"/>
      <w:marTop w:val="0"/>
      <w:marBottom w:val="0"/>
      <w:divBdr>
        <w:top w:val="none" w:sz="0" w:space="0" w:color="auto"/>
        <w:left w:val="none" w:sz="0" w:space="0" w:color="auto"/>
        <w:bottom w:val="none" w:sz="0" w:space="0" w:color="auto"/>
        <w:right w:val="none" w:sz="0" w:space="0" w:color="auto"/>
      </w:divBdr>
    </w:div>
    <w:div w:id="1330060544">
      <w:bodyDiv w:val="1"/>
      <w:marLeft w:val="0"/>
      <w:marRight w:val="0"/>
      <w:marTop w:val="0"/>
      <w:marBottom w:val="0"/>
      <w:divBdr>
        <w:top w:val="none" w:sz="0" w:space="0" w:color="auto"/>
        <w:left w:val="none" w:sz="0" w:space="0" w:color="auto"/>
        <w:bottom w:val="none" w:sz="0" w:space="0" w:color="auto"/>
        <w:right w:val="none" w:sz="0" w:space="0" w:color="auto"/>
      </w:divBdr>
    </w:div>
    <w:div w:id="1337073137">
      <w:bodyDiv w:val="1"/>
      <w:marLeft w:val="0"/>
      <w:marRight w:val="0"/>
      <w:marTop w:val="0"/>
      <w:marBottom w:val="0"/>
      <w:divBdr>
        <w:top w:val="none" w:sz="0" w:space="0" w:color="auto"/>
        <w:left w:val="none" w:sz="0" w:space="0" w:color="auto"/>
        <w:bottom w:val="none" w:sz="0" w:space="0" w:color="auto"/>
        <w:right w:val="none" w:sz="0" w:space="0" w:color="auto"/>
      </w:divBdr>
    </w:div>
    <w:div w:id="1337612705">
      <w:bodyDiv w:val="1"/>
      <w:marLeft w:val="0"/>
      <w:marRight w:val="0"/>
      <w:marTop w:val="0"/>
      <w:marBottom w:val="0"/>
      <w:divBdr>
        <w:top w:val="none" w:sz="0" w:space="0" w:color="auto"/>
        <w:left w:val="none" w:sz="0" w:space="0" w:color="auto"/>
        <w:bottom w:val="none" w:sz="0" w:space="0" w:color="auto"/>
        <w:right w:val="none" w:sz="0" w:space="0" w:color="auto"/>
      </w:divBdr>
    </w:div>
    <w:div w:id="1339191076">
      <w:bodyDiv w:val="1"/>
      <w:marLeft w:val="0"/>
      <w:marRight w:val="0"/>
      <w:marTop w:val="0"/>
      <w:marBottom w:val="0"/>
      <w:divBdr>
        <w:top w:val="none" w:sz="0" w:space="0" w:color="auto"/>
        <w:left w:val="none" w:sz="0" w:space="0" w:color="auto"/>
        <w:bottom w:val="none" w:sz="0" w:space="0" w:color="auto"/>
        <w:right w:val="none" w:sz="0" w:space="0" w:color="auto"/>
      </w:divBdr>
    </w:div>
    <w:div w:id="1341737390">
      <w:bodyDiv w:val="1"/>
      <w:marLeft w:val="0"/>
      <w:marRight w:val="0"/>
      <w:marTop w:val="0"/>
      <w:marBottom w:val="0"/>
      <w:divBdr>
        <w:top w:val="none" w:sz="0" w:space="0" w:color="auto"/>
        <w:left w:val="none" w:sz="0" w:space="0" w:color="auto"/>
        <w:bottom w:val="none" w:sz="0" w:space="0" w:color="auto"/>
        <w:right w:val="none" w:sz="0" w:space="0" w:color="auto"/>
      </w:divBdr>
    </w:div>
    <w:div w:id="1348020328">
      <w:bodyDiv w:val="1"/>
      <w:marLeft w:val="0"/>
      <w:marRight w:val="0"/>
      <w:marTop w:val="0"/>
      <w:marBottom w:val="0"/>
      <w:divBdr>
        <w:top w:val="none" w:sz="0" w:space="0" w:color="auto"/>
        <w:left w:val="none" w:sz="0" w:space="0" w:color="auto"/>
        <w:bottom w:val="none" w:sz="0" w:space="0" w:color="auto"/>
        <w:right w:val="none" w:sz="0" w:space="0" w:color="auto"/>
      </w:divBdr>
    </w:div>
    <w:div w:id="1348363146">
      <w:bodyDiv w:val="1"/>
      <w:marLeft w:val="0"/>
      <w:marRight w:val="0"/>
      <w:marTop w:val="0"/>
      <w:marBottom w:val="0"/>
      <w:divBdr>
        <w:top w:val="none" w:sz="0" w:space="0" w:color="auto"/>
        <w:left w:val="none" w:sz="0" w:space="0" w:color="auto"/>
        <w:bottom w:val="none" w:sz="0" w:space="0" w:color="auto"/>
        <w:right w:val="none" w:sz="0" w:space="0" w:color="auto"/>
      </w:divBdr>
    </w:div>
    <w:div w:id="1350136968">
      <w:bodyDiv w:val="1"/>
      <w:marLeft w:val="0"/>
      <w:marRight w:val="0"/>
      <w:marTop w:val="0"/>
      <w:marBottom w:val="0"/>
      <w:divBdr>
        <w:top w:val="none" w:sz="0" w:space="0" w:color="auto"/>
        <w:left w:val="none" w:sz="0" w:space="0" w:color="auto"/>
        <w:bottom w:val="none" w:sz="0" w:space="0" w:color="auto"/>
        <w:right w:val="none" w:sz="0" w:space="0" w:color="auto"/>
      </w:divBdr>
    </w:div>
    <w:div w:id="1351689139">
      <w:bodyDiv w:val="1"/>
      <w:marLeft w:val="0"/>
      <w:marRight w:val="0"/>
      <w:marTop w:val="0"/>
      <w:marBottom w:val="0"/>
      <w:divBdr>
        <w:top w:val="none" w:sz="0" w:space="0" w:color="auto"/>
        <w:left w:val="none" w:sz="0" w:space="0" w:color="auto"/>
        <w:bottom w:val="none" w:sz="0" w:space="0" w:color="auto"/>
        <w:right w:val="none" w:sz="0" w:space="0" w:color="auto"/>
      </w:divBdr>
    </w:div>
    <w:div w:id="1363165253">
      <w:bodyDiv w:val="1"/>
      <w:marLeft w:val="0"/>
      <w:marRight w:val="0"/>
      <w:marTop w:val="0"/>
      <w:marBottom w:val="0"/>
      <w:divBdr>
        <w:top w:val="none" w:sz="0" w:space="0" w:color="auto"/>
        <w:left w:val="none" w:sz="0" w:space="0" w:color="auto"/>
        <w:bottom w:val="none" w:sz="0" w:space="0" w:color="auto"/>
        <w:right w:val="none" w:sz="0" w:space="0" w:color="auto"/>
      </w:divBdr>
    </w:div>
    <w:div w:id="1373001219">
      <w:bodyDiv w:val="1"/>
      <w:marLeft w:val="0"/>
      <w:marRight w:val="0"/>
      <w:marTop w:val="0"/>
      <w:marBottom w:val="0"/>
      <w:divBdr>
        <w:top w:val="none" w:sz="0" w:space="0" w:color="auto"/>
        <w:left w:val="none" w:sz="0" w:space="0" w:color="auto"/>
        <w:bottom w:val="none" w:sz="0" w:space="0" w:color="auto"/>
        <w:right w:val="none" w:sz="0" w:space="0" w:color="auto"/>
      </w:divBdr>
    </w:div>
    <w:div w:id="1374227539">
      <w:bodyDiv w:val="1"/>
      <w:marLeft w:val="0"/>
      <w:marRight w:val="0"/>
      <w:marTop w:val="0"/>
      <w:marBottom w:val="0"/>
      <w:divBdr>
        <w:top w:val="none" w:sz="0" w:space="0" w:color="auto"/>
        <w:left w:val="none" w:sz="0" w:space="0" w:color="auto"/>
        <w:bottom w:val="none" w:sz="0" w:space="0" w:color="auto"/>
        <w:right w:val="none" w:sz="0" w:space="0" w:color="auto"/>
      </w:divBdr>
    </w:div>
    <w:div w:id="1382637064">
      <w:bodyDiv w:val="1"/>
      <w:marLeft w:val="0"/>
      <w:marRight w:val="0"/>
      <w:marTop w:val="0"/>
      <w:marBottom w:val="0"/>
      <w:divBdr>
        <w:top w:val="none" w:sz="0" w:space="0" w:color="auto"/>
        <w:left w:val="none" w:sz="0" w:space="0" w:color="auto"/>
        <w:bottom w:val="none" w:sz="0" w:space="0" w:color="auto"/>
        <w:right w:val="none" w:sz="0" w:space="0" w:color="auto"/>
      </w:divBdr>
    </w:div>
    <w:div w:id="1382823737">
      <w:bodyDiv w:val="1"/>
      <w:marLeft w:val="0"/>
      <w:marRight w:val="0"/>
      <w:marTop w:val="0"/>
      <w:marBottom w:val="0"/>
      <w:divBdr>
        <w:top w:val="none" w:sz="0" w:space="0" w:color="auto"/>
        <w:left w:val="none" w:sz="0" w:space="0" w:color="auto"/>
        <w:bottom w:val="none" w:sz="0" w:space="0" w:color="auto"/>
        <w:right w:val="none" w:sz="0" w:space="0" w:color="auto"/>
      </w:divBdr>
    </w:div>
    <w:div w:id="1390154536">
      <w:bodyDiv w:val="1"/>
      <w:marLeft w:val="0"/>
      <w:marRight w:val="0"/>
      <w:marTop w:val="0"/>
      <w:marBottom w:val="0"/>
      <w:divBdr>
        <w:top w:val="none" w:sz="0" w:space="0" w:color="auto"/>
        <w:left w:val="none" w:sz="0" w:space="0" w:color="auto"/>
        <w:bottom w:val="none" w:sz="0" w:space="0" w:color="auto"/>
        <w:right w:val="none" w:sz="0" w:space="0" w:color="auto"/>
      </w:divBdr>
    </w:div>
    <w:div w:id="1392268782">
      <w:bodyDiv w:val="1"/>
      <w:marLeft w:val="0"/>
      <w:marRight w:val="0"/>
      <w:marTop w:val="0"/>
      <w:marBottom w:val="0"/>
      <w:divBdr>
        <w:top w:val="none" w:sz="0" w:space="0" w:color="auto"/>
        <w:left w:val="none" w:sz="0" w:space="0" w:color="auto"/>
        <w:bottom w:val="none" w:sz="0" w:space="0" w:color="auto"/>
        <w:right w:val="none" w:sz="0" w:space="0" w:color="auto"/>
      </w:divBdr>
    </w:div>
    <w:div w:id="1407455215">
      <w:bodyDiv w:val="1"/>
      <w:marLeft w:val="0"/>
      <w:marRight w:val="0"/>
      <w:marTop w:val="0"/>
      <w:marBottom w:val="0"/>
      <w:divBdr>
        <w:top w:val="none" w:sz="0" w:space="0" w:color="auto"/>
        <w:left w:val="none" w:sz="0" w:space="0" w:color="auto"/>
        <w:bottom w:val="none" w:sz="0" w:space="0" w:color="auto"/>
        <w:right w:val="none" w:sz="0" w:space="0" w:color="auto"/>
      </w:divBdr>
    </w:div>
    <w:div w:id="1410156730">
      <w:bodyDiv w:val="1"/>
      <w:marLeft w:val="0"/>
      <w:marRight w:val="0"/>
      <w:marTop w:val="0"/>
      <w:marBottom w:val="0"/>
      <w:divBdr>
        <w:top w:val="none" w:sz="0" w:space="0" w:color="auto"/>
        <w:left w:val="none" w:sz="0" w:space="0" w:color="auto"/>
        <w:bottom w:val="none" w:sz="0" w:space="0" w:color="auto"/>
        <w:right w:val="none" w:sz="0" w:space="0" w:color="auto"/>
      </w:divBdr>
    </w:div>
    <w:div w:id="1415274369">
      <w:bodyDiv w:val="1"/>
      <w:marLeft w:val="0"/>
      <w:marRight w:val="0"/>
      <w:marTop w:val="0"/>
      <w:marBottom w:val="0"/>
      <w:divBdr>
        <w:top w:val="none" w:sz="0" w:space="0" w:color="auto"/>
        <w:left w:val="none" w:sz="0" w:space="0" w:color="auto"/>
        <w:bottom w:val="none" w:sz="0" w:space="0" w:color="auto"/>
        <w:right w:val="none" w:sz="0" w:space="0" w:color="auto"/>
      </w:divBdr>
    </w:div>
    <w:div w:id="1438326201">
      <w:bodyDiv w:val="1"/>
      <w:marLeft w:val="0"/>
      <w:marRight w:val="0"/>
      <w:marTop w:val="0"/>
      <w:marBottom w:val="0"/>
      <w:divBdr>
        <w:top w:val="none" w:sz="0" w:space="0" w:color="auto"/>
        <w:left w:val="none" w:sz="0" w:space="0" w:color="auto"/>
        <w:bottom w:val="none" w:sz="0" w:space="0" w:color="auto"/>
        <w:right w:val="none" w:sz="0" w:space="0" w:color="auto"/>
      </w:divBdr>
    </w:div>
    <w:div w:id="1438480709">
      <w:bodyDiv w:val="1"/>
      <w:marLeft w:val="0"/>
      <w:marRight w:val="0"/>
      <w:marTop w:val="0"/>
      <w:marBottom w:val="0"/>
      <w:divBdr>
        <w:top w:val="none" w:sz="0" w:space="0" w:color="auto"/>
        <w:left w:val="none" w:sz="0" w:space="0" w:color="auto"/>
        <w:bottom w:val="none" w:sz="0" w:space="0" w:color="auto"/>
        <w:right w:val="none" w:sz="0" w:space="0" w:color="auto"/>
      </w:divBdr>
    </w:div>
    <w:div w:id="1446731290">
      <w:bodyDiv w:val="1"/>
      <w:marLeft w:val="0"/>
      <w:marRight w:val="0"/>
      <w:marTop w:val="0"/>
      <w:marBottom w:val="0"/>
      <w:divBdr>
        <w:top w:val="none" w:sz="0" w:space="0" w:color="auto"/>
        <w:left w:val="none" w:sz="0" w:space="0" w:color="auto"/>
        <w:bottom w:val="none" w:sz="0" w:space="0" w:color="auto"/>
        <w:right w:val="none" w:sz="0" w:space="0" w:color="auto"/>
      </w:divBdr>
    </w:div>
    <w:div w:id="1446970110">
      <w:bodyDiv w:val="1"/>
      <w:marLeft w:val="0"/>
      <w:marRight w:val="0"/>
      <w:marTop w:val="0"/>
      <w:marBottom w:val="0"/>
      <w:divBdr>
        <w:top w:val="none" w:sz="0" w:space="0" w:color="auto"/>
        <w:left w:val="none" w:sz="0" w:space="0" w:color="auto"/>
        <w:bottom w:val="none" w:sz="0" w:space="0" w:color="auto"/>
        <w:right w:val="none" w:sz="0" w:space="0" w:color="auto"/>
      </w:divBdr>
    </w:div>
    <w:div w:id="1452438646">
      <w:bodyDiv w:val="1"/>
      <w:marLeft w:val="0"/>
      <w:marRight w:val="0"/>
      <w:marTop w:val="0"/>
      <w:marBottom w:val="0"/>
      <w:divBdr>
        <w:top w:val="none" w:sz="0" w:space="0" w:color="auto"/>
        <w:left w:val="none" w:sz="0" w:space="0" w:color="auto"/>
        <w:bottom w:val="none" w:sz="0" w:space="0" w:color="auto"/>
        <w:right w:val="none" w:sz="0" w:space="0" w:color="auto"/>
      </w:divBdr>
    </w:div>
    <w:div w:id="1454785103">
      <w:bodyDiv w:val="1"/>
      <w:marLeft w:val="0"/>
      <w:marRight w:val="0"/>
      <w:marTop w:val="0"/>
      <w:marBottom w:val="0"/>
      <w:divBdr>
        <w:top w:val="none" w:sz="0" w:space="0" w:color="auto"/>
        <w:left w:val="none" w:sz="0" w:space="0" w:color="auto"/>
        <w:bottom w:val="none" w:sz="0" w:space="0" w:color="auto"/>
        <w:right w:val="none" w:sz="0" w:space="0" w:color="auto"/>
      </w:divBdr>
    </w:div>
    <w:div w:id="1454977448">
      <w:bodyDiv w:val="1"/>
      <w:marLeft w:val="0"/>
      <w:marRight w:val="0"/>
      <w:marTop w:val="0"/>
      <w:marBottom w:val="0"/>
      <w:divBdr>
        <w:top w:val="none" w:sz="0" w:space="0" w:color="auto"/>
        <w:left w:val="none" w:sz="0" w:space="0" w:color="auto"/>
        <w:bottom w:val="none" w:sz="0" w:space="0" w:color="auto"/>
        <w:right w:val="none" w:sz="0" w:space="0" w:color="auto"/>
      </w:divBdr>
    </w:div>
    <w:div w:id="1457217710">
      <w:bodyDiv w:val="1"/>
      <w:marLeft w:val="0"/>
      <w:marRight w:val="0"/>
      <w:marTop w:val="0"/>
      <w:marBottom w:val="0"/>
      <w:divBdr>
        <w:top w:val="none" w:sz="0" w:space="0" w:color="auto"/>
        <w:left w:val="none" w:sz="0" w:space="0" w:color="auto"/>
        <w:bottom w:val="none" w:sz="0" w:space="0" w:color="auto"/>
        <w:right w:val="none" w:sz="0" w:space="0" w:color="auto"/>
      </w:divBdr>
    </w:div>
    <w:div w:id="1461800670">
      <w:bodyDiv w:val="1"/>
      <w:marLeft w:val="0"/>
      <w:marRight w:val="0"/>
      <w:marTop w:val="0"/>
      <w:marBottom w:val="0"/>
      <w:divBdr>
        <w:top w:val="none" w:sz="0" w:space="0" w:color="auto"/>
        <w:left w:val="none" w:sz="0" w:space="0" w:color="auto"/>
        <w:bottom w:val="none" w:sz="0" w:space="0" w:color="auto"/>
        <w:right w:val="none" w:sz="0" w:space="0" w:color="auto"/>
      </w:divBdr>
    </w:div>
    <w:div w:id="1462458549">
      <w:bodyDiv w:val="1"/>
      <w:marLeft w:val="0"/>
      <w:marRight w:val="0"/>
      <w:marTop w:val="0"/>
      <w:marBottom w:val="0"/>
      <w:divBdr>
        <w:top w:val="none" w:sz="0" w:space="0" w:color="auto"/>
        <w:left w:val="none" w:sz="0" w:space="0" w:color="auto"/>
        <w:bottom w:val="none" w:sz="0" w:space="0" w:color="auto"/>
        <w:right w:val="none" w:sz="0" w:space="0" w:color="auto"/>
      </w:divBdr>
    </w:div>
    <w:div w:id="1465153932">
      <w:bodyDiv w:val="1"/>
      <w:marLeft w:val="0"/>
      <w:marRight w:val="0"/>
      <w:marTop w:val="0"/>
      <w:marBottom w:val="0"/>
      <w:divBdr>
        <w:top w:val="none" w:sz="0" w:space="0" w:color="auto"/>
        <w:left w:val="none" w:sz="0" w:space="0" w:color="auto"/>
        <w:bottom w:val="none" w:sz="0" w:space="0" w:color="auto"/>
        <w:right w:val="none" w:sz="0" w:space="0" w:color="auto"/>
      </w:divBdr>
    </w:div>
    <w:div w:id="1469784218">
      <w:bodyDiv w:val="1"/>
      <w:marLeft w:val="0"/>
      <w:marRight w:val="0"/>
      <w:marTop w:val="0"/>
      <w:marBottom w:val="0"/>
      <w:divBdr>
        <w:top w:val="none" w:sz="0" w:space="0" w:color="auto"/>
        <w:left w:val="none" w:sz="0" w:space="0" w:color="auto"/>
        <w:bottom w:val="none" w:sz="0" w:space="0" w:color="auto"/>
        <w:right w:val="none" w:sz="0" w:space="0" w:color="auto"/>
      </w:divBdr>
    </w:div>
    <w:div w:id="1472093951">
      <w:bodyDiv w:val="1"/>
      <w:marLeft w:val="0"/>
      <w:marRight w:val="0"/>
      <w:marTop w:val="0"/>
      <w:marBottom w:val="0"/>
      <w:divBdr>
        <w:top w:val="none" w:sz="0" w:space="0" w:color="auto"/>
        <w:left w:val="none" w:sz="0" w:space="0" w:color="auto"/>
        <w:bottom w:val="none" w:sz="0" w:space="0" w:color="auto"/>
        <w:right w:val="none" w:sz="0" w:space="0" w:color="auto"/>
      </w:divBdr>
    </w:div>
    <w:div w:id="1473138130">
      <w:bodyDiv w:val="1"/>
      <w:marLeft w:val="0"/>
      <w:marRight w:val="0"/>
      <w:marTop w:val="0"/>
      <w:marBottom w:val="0"/>
      <w:divBdr>
        <w:top w:val="none" w:sz="0" w:space="0" w:color="auto"/>
        <w:left w:val="none" w:sz="0" w:space="0" w:color="auto"/>
        <w:bottom w:val="none" w:sz="0" w:space="0" w:color="auto"/>
        <w:right w:val="none" w:sz="0" w:space="0" w:color="auto"/>
      </w:divBdr>
    </w:div>
    <w:div w:id="1473281084">
      <w:bodyDiv w:val="1"/>
      <w:marLeft w:val="0"/>
      <w:marRight w:val="0"/>
      <w:marTop w:val="0"/>
      <w:marBottom w:val="0"/>
      <w:divBdr>
        <w:top w:val="none" w:sz="0" w:space="0" w:color="auto"/>
        <w:left w:val="none" w:sz="0" w:space="0" w:color="auto"/>
        <w:bottom w:val="none" w:sz="0" w:space="0" w:color="auto"/>
        <w:right w:val="none" w:sz="0" w:space="0" w:color="auto"/>
      </w:divBdr>
    </w:div>
    <w:div w:id="1474525946">
      <w:bodyDiv w:val="1"/>
      <w:marLeft w:val="0"/>
      <w:marRight w:val="0"/>
      <w:marTop w:val="0"/>
      <w:marBottom w:val="0"/>
      <w:divBdr>
        <w:top w:val="none" w:sz="0" w:space="0" w:color="auto"/>
        <w:left w:val="none" w:sz="0" w:space="0" w:color="auto"/>
        <w:bottom w:val="none" w:sz="0" w:space="0" w:color="auto"/>
        <w:right w:val="none" w:sz="0" w:space="0" w:color="auto"/>
      </w:divBdr>
    </w:div>
    <w:div w:id="1484160022">
      <w:bodyDiv w:val="1"/>
      <w:marLeft w:val="0"/>
      <w:marRight w:val="0"/>
      <w:marTop w:val="0"/>
      <w:marBottom w:val="0"/>
      <w:divBdr>
        <w:top w:val="none" w:sz="0" w:space="0" w:color="auto"/>
        <w:left w:val="none" w:sz="0" w:space="0" w:color="auto"/>
        <w:bottom w:val="none" w:sz="0" w:space="0" w:color="auto"/>
        <w:right w:val="none" w:sz="0" w:space="0" w:color="auto"/>
      </w:divBdr>
    </w:div>
    <w:div w:id="1490714406">
      <w:bodyDiv w:val="1"/>
      <w:marLeft w:val="0"/>
      <w:marRight w:val="0"/>
      <w:marTop w:val="0"/>
      <w:marBottom w:val="0"/>
      <w:divBdr>
        <w:top w:val="none" w:sz="0" w:space="0" w:color="auto"/>
        <w:left w:val="none" w:sz="0" w:space="0" w:color="auto"/>
        <w:bottom w:val="none" w:sz="0" w:space="0" w:color="auto"/>
        <w:right w:val="none" w:sz="0" w:space="0" w:color="auto"/>
      </w:divBdr>
    </w:div>
    <w:div w:id="1498304958">
      <w:bodyDiv w:val="1"/>
      <w:marLeft w:val="0"/>
      <w:marRight w:val="0"/>
      <w:marTop w:val="0"/>
      <w:marBottom w:val="0"/>
      <w:divBdr>
        <w:top w:val="none" w:sz="0" w:space="0" w:color="auto"/>
        <w:left w:val="none" w:sz="0" w:space="0" w:color="auto"/>
        <w:bottom w:val="none" w:sz="0" w:space="0" w:color="auto"/>
        <w:right w:val="none" w:sz="0" w:space="0" w:color="auto"/>
      </w:divBdr>
    </w:div>
    <w:div w:id="1502894088">
      <w:bodyDiv w:val="1"/>
      <w:marLeft w:val="0"/>
      <w:marRight w:val="0"/>
      <w:marTop w:val="0"/>
      <w:marBottom w:val="0"/>
      <w:divBdr>
        <w:top w:val="none" w:sz="0" w:space="0" w:color="auto"/>
        <w:left w:val="none" w:sz="0" w:space="0" w:color="auto"/>
        <w:bottom w:val="none" w:sz="0" w:space="0" w:color="auto"/>
        <w:right w:val="none" w:sz="0" w:space="0" w:color="auto"/>
      </w:divBdr>
    </w:div>
    <w:div w:id="1503009046">
      <w:bodyDiv w:val="1"/>
      <w:marLeft w:val="0"/>
      <w:marRight w:val="0"/>
      <w:marTop w:val="0"/>
      <w:marBottom w:val="0"/>
      <w:divBdr>
        <w:top w:val="none" w:sz="0" w:space="0" w:color="auto"/>
        <w:left w:val="none" w:sz="0" w:space="0" w:color="auto"/>
        <w:bottom w:val="none" w:sz="0" w:space="0" w:color="auto"/>
        <w:right w:val="none" w:sz="0" w:space="0" w:color="auto"/>
      </w:divBdr>
    </w:div>
    <w:div w:id="1507208155">
      <w:bodyDiv w:val="1"/>
      <w:marLeft w:val="0"/>
      <w:marRight w:val="0"/>
      <w:marTop w:val="0"/>
      <w:marBottom w:val="0"/>
      <w:divBdr>
        <w:top w:val="none" w:sz="0" w:space="0" w:color="auto"/>
        <w:left w:val="none" w:sz="0" w:space="0" w:color="auto"/>
        <w:bottom w:val="none" w:sz="0" w:space="0" w:color="auto"/>
        <w:right w:val="none" w:sz="0" w:space="0" w:color="auto"/>
      </w:divBdr>
    </w:div>
    <w:div w:id="1526358031">
      <w:bodyDiv w:val="1"/>
      <w:marLeft w:val="0"/>
      <w:marRight w:val="0"/>
      <w:marTop w:val="0"/>
      <w:marBottom w:val="0"/>
      <w:divBdr>
        <w:top w:val="none" w:sz="0" w:space="0" w:color="auto"/>
        <w:left w:val="none" w:sz="0" w:space="0" w:color="auto"/>
        <w:bottom w:val="none" w:sz="0" w:space="0" w:color="auto"/>
        <w:right w:val="none" w:sz="0" w:space="0" w:color="auto"/>
      </w:divBdr>
    </w:div>
    <w:div w:id="1536962253">
      <w:bodyDiv w:val="1"/>
      <w:marLeft w:val="0"/>
      <w:marRight w:val="0"/>
      <w:marTop w:val="0"/>
      <w:marBottom w:val="0"/>
      <w:divBdr>
        <w:top w:val="none" w:sz="0" w:space="0" w:color="auto"/>
        <w:left w:val="none" w:sz="0" w:space="0" w:color="auto"/>
        <w:bottom w:val="none" w:sz="0" w:space="0" w:color="auto"/>
        <w:right w:val="none" w:sz="0" w:space="0" w:color="auto"/>
      </w:divBdr>
    </w:div>
    <w:div w:id="1546285590">
      <w:bodyDiv w:val="1"/>
      <w:marLeft w:val="0"/>
      <w:marRight w:val="0"/>
      <w:marTop w:val="0"/>
      <w:marBottom w:val="0"/>
      <w:divBdr>
        <w:top w:val="none" w:sz="0" w:space="0" w:color="auto"/>
        <w:left w:val="none" w:sz="0" w:space="0" w:color="auto"/>
        <w:bottom w:val="none" w:sz="0" w:space="0" w:color="auto"/>
        <w:right w:val="none" w:sz="0" w:space="0" w:color="auto"/>
      </w:divBdr>
    </w:div>
    <w:div w:id="1546328098">
      <w:bodyDiv w:val="1"/>
      <w:marLeft w:val="0"/>
      <w:marRight w:val="0"/>
      <w:marTop w:val="0"/>
      <w:marBottom w:val="0"/>
      <w:divBdr>
        <w:top w:val="none" w:sz="0" w:space="0" w:color="auto"/>
        <w:left w:val="none" w:sz="0" w:space="0" w:color="auto"/>
        <w:bottom w:val="none" w:sz="0" w:space="0" w:color="auto"/>
        <w:right w:val="none" w:sz="0" w:space="0" w:color="auto"/>
      </w:divBdr>
    </w:div>
    <w:div w:id="1563247384">
      <w:bodyDiv w:val="1"/>
      <w:marLeft w:val="0"/>
      <w:marRight w:val="0"/>
      <w:marTop w:val="0"/>
      <w:marBottom w:val="0"/>
      <w:divBdr>
        <w:top w:val="none" w:sz="0" w:space="0" w:color="auto"/>
        <w:left w:val="none" w:sz="0" w:space="0" w:color="auto"/>
        <w:bottom w:val="none" w:sz="0" w:space="0" w:color="auto"/>
        <w:right w:val="none" w:sz="0" w:space="0" w:color="auto"/>
      </w:divBdr>
    </w:div>
    <w:div w:id="1564754657">
      <w:bodyDiv w:val="1"/>
      <w:marLeft w:val="0"/>
      <w:marRight w:val="0"/>
      <w:marTop w:val="0"/>
      <w:marBottom w:val="0"/>
      <w:divBdr>
        <w:top w:val="none" w:sz="0" w:space="0" w:color="auto"/>
        <w:left w:val="none" w:sz="0" w:space="0" w:color="auto"/>
        <w:bottom w:val="none" w:sz="0" w:space="0" w:color="auto"/>
        <w:right w:val="none" w:sz="0" w:space="0" w:color="auto"/>
      </w:divBdr>
    </w:div>
    <w:div w:id="1566182974">
      <w:bodyDiv w:val="1"/>
      <w:marLeft w:val="0"/>
      <w:marRight w:val="0"/>
      <w:marTop w:val="0"/>
      <w:marBottom w:val="0"/>
      <w:divBdr>
        <w:top w:val="none" w:sz="0" w:space="0" w:color="auto"/>
        <w:left w:val="none" w:sz="0" w:space="0" w:color="auto"/>
        <w:bottom w:val="none" w:sz="0" w:space="0" w:color="auto"/>
        <w:right w:val="none" w:sz="0" w:space="0" w:color="auto"/>
      </w:divBdr>
    </w:div>
    <w:div w:id="1568563781">
      <w:bodyDiv w:val="1"/>
      <w:marLeft w:val="0"/>
      <w:marRight w:val="0"/>
      <w:marTop w:val="0"/>
      <w:marBottom w:val="0"/>
      <w:divBdr>
        <w:top w:val="none" w:sz="0" w:space="0" w:color="auto"/>
        <w:left w:val="none" w:sz="0" w:space="0" w:color="auto"/>
        <w:bottom w:val="none" w:sz="0" w:space="0" w:color="auto"/>
        <w:right w:val="none" w:sz="0" w:space="0" w:color="auto"/>
      </w:divBdr>
    </w:div>
    <w:div w:id="1568950825">
      <w:bodyDiv w:val="1"/>
      <w:marLeft w:val="0"/>
      <w:marRight w:val="0"/>
      <w:marTop w:val="0"/>
      <w:marBottom w:val="0"/>
      <w:divBdr>
        <w:top w:val="none" w:sz="0" w:space="0" w:color="auto"/>
        <w:left w:val="none" w:sz="0" w:space="0" w:color="auto"/>
        <w:bottom w:val="none" w:sz="0" w:space="0" w:color="auto"/>
        <w:right w:val="none" w:sz="0" w:space="0" w:color="auto"/>
      </w:divBdr>
    </w:div>
    <w:div w:id="1573350510">
      <w:bodyDiv w:val="1"/>
      <w:marLeft w:val="0"/>
      <w:marRight w:val="0"/>
      <w:marTop w:val="0"/>
      <w:marBottom w:val="0"/>
      <w:divBdr>
        <w:top w:val="none" w:sz="0" w:space="0" w:color="auto"/>
        <w:left w:val="none" w:sz="0" w:space="0" w:color="auto"/>
        <w:bottom w:val="none" w:sz="0" w:space="0" w:color="auto"/>
        <w:right w:val="none" w:sz="0" w:space="0" w:color="auto"/>
      </w:divBdr>
    </w:div>
    <w:div w:id="1578905150">
      <w:bodyDiv w:val="1"/>
      <w:marLeft w:val="0"/>
      <w:marRight w:val="0"/>
      <w:marTop w:val="0"/>
      <w:marBottom w:val="0"/>
      <w:divBdr>
        <w:top w:val="none" w:sz="0" w:space="0" w:color="auto"/>
        <w:left w:val="none" w:sz="0" w:space="0" w:color="auto"/>
        <w:bottom w:val="none" w:sz="0" w:space="0" w:color="auto"/>
        <w:right w:val="none" w:sz="0" w:space="0" w:color="auto"/>
      </w:divBdr>
    </w:div>
    <w:div w:id="1586962746">
      <w:bodyDiv w:val="1"/>
      <w:marLeft w:val="0"/>
      <w:marRight w:val="0"/>
      <w:marTop w:val="0"/>
      <w:marBottom w:val="0"/>
      <w:divBdr>
        <w:top w:val="none" w:sz="0" w:space="0" w:color="auto"/>
        <w:left w:val="none" w:sz="0" w:space="0" w:color="auto"/>
        <w:bottom w:val="none" w:sz="0" w:space="0" w:color="auto"/>
        <w:right w:val="none" w:sz="0" w:space="0" w:color="auto"/>
      </w:divBdr>
    </w:div>
    <w:div w:id="1591040154">
      <w:bodyDiv w:val="1"/>
      <w:marLeft w:val="0"/>
      <w:marRight w:val="0"/>
      <w:marTop w:val="0"/>
      <w:marBottom w:val="0"/>
      <w:divBdr>
        <w:top w:val="none" w:sz="0" w:space="0" w:color="auto"/>
        <w:left w:val="none" w:sz="0" w:space="0" w:color="auto"/>
        <w:bottom w:val="none" w:sz="0" w:space="0" w:color="auto"/>
        <w:right w:val="none" w:sz="0" w:space="0" w:color="auto"/>
      </w:divBdr>
    </w:div>
    <w:div w:id="1591544017">
      <w:bodyDiv w:val="1"/>
      <w:marLeft w:val="0"/>
      <w:marRight w:val="0"/>
      <w:marTop w:val="0"/>
      <w:marBottom w:val="0"/>
      <w:divBdr>
        <w:top w:val="none" w:sz="0" w:space="0" w:color="auto"/>
        <w:left w:val="none" w:sz="0" w:space="0" w:color="auto"/>
        <w:bottom w:val="none" w:sz="0" w:space="0" w:color="auto"/>
        <w:right w:val="none" w:sz="0" w:space="0" w:color="auto"/>
      </w:divBdr>
    </w:div>
    <w:div w:id="1602951039">
      <w:bodyDiv w:val="1"/>
      <w:marLeft w:val="0"/>
      <w:marRight w:val="0"/>
      <w:marTop w:val="0"/>
      <w:marBottom w:val="0"/>
      <w:divBdr>
        <w:top w:val="none" w:sz="0" w:space="0" w:color="auto"/>
        <w:left w:val="none" w:sz="0" w:space="0" w:color="auto"/>
        <w:bottom w:val="none" w:sz="0" w:space="0" w:color="auto"/>
        <w:right w:val="none" w:sz="0" w:space="0" w:color="auto"/>
      </w:divBdr>
    </w:div>
    <w:div w:id="1603224271">
      <w:bodyDiv w:val="1"/>
      <w:marLeft w:val="0"/>
      <w:marRight w:val="0"/>
      <w:marTop w:val="0"/>
      <w:marBottom w:val="0"/>
      <w:divBdr>
        <w:top w:val="none" w:sz="0" w:space="0" w:color="auto"/>
        <w:left w:val="none" w:sz="0" w:space="0" w:color="auto"/>
        <w:bottom w:val="none" w:sz="0" w:space="0" w:color="auto"/>
        <w:right w:val="none" w:sz="0" w:space="0" w:color="auto"/>
      </w:divBdr>
    </w:div>
    <w:div w:id="1617370524">
      <w:bodyDiv w:val="1"/>
      <w:marLeft w:val="0"/>
      <w:marRight w:val="0"/>
      <w:marTop w:val="0"/>
      <w:marBottom w:val="0"/>
      <w:divBdr>
        <w:top w:val="none" w:sz="0" w:space="0" w:color="auto"/>
        <w:left w:val="none" w:sz="0" w:space="0" w:color="auto"/>
        <w:bottom w:val="none" w:sz="0" w:space="0" w:color="auto"/>
        <w:right w:val="none" w:sz="0" w:space="0" w:color="auto"/>
      </w:divBdr>
    </w:div>
    <w:div w:id="1621498745">
      <w:bodyDiv w:val="1"/>
      <w:marLeft w:val="0"/>
      <w:marRight w:val="0"/>
      <w:marTop w:val="0"/>
      <w:marBottom w:val="0"/>
      <w:divBdr>
        <w:top w:val="none" w:sz="0" w:space="0" w:color="auto"/>
        <w:left w:val="none" w:sz="0" w:space="0" w:color="auto"/>
        <w:bottom w:val="none" w:sz="0" w:space="0" w:color="auto"/>
        <w:right w:val="none" w:sz="0" w:space="0" w:color="auto"/>
      </w:divBdr>
    </w:div>
    <w:div w:id="1623420736">
      <w:bodyDiv w:val="1"/>
      <w:marLeft w:val="0"/>
      <w:marRight w:val="0"/>
      <w:marTop w:val="0"/>
      <w:marBottom w:val="0"/>
      <w:divBdr>
        <w:top w:val="none" w:sz="0" w:space="0" w:color="auto"/>
        <w:left w:val="none" w:sz="0" w:space="0" w:color="auto"/>
        <w:bottom w:val="none" w:sz="0" w:space="0" w:color="auto"/>
        <w:right w:val="none" w:sz="0" w:space="0" w:color="auto"/>
      </w:divBdr>
    </w:div>
    <w:div w:id="1641764496">
      <w:bodyDiv w:val="1"/>
      <w:marLeft w:val="0"/>
      <w:marRight w:val="0"/>
      <w:marTop w:val="0"/>
      <w:marBottom w:val="0"/>
      <w:divBdr>
        <w:top w:val="none" w:sz="0" w:space="0" w:color="auto"/>
        <w:left w:val="none" w:sz="0" w:space="0" w:color="auto"/>
        <w:bottom w:val="none" w:sz="0" w:space="0" w:color="auto"/>
        <w:right w:val="none" w:sz="0" w:space="0" w:color="auto"/>
      </w:divBdr>
    </w:div>
    <w:div w:id="1649093670">
      <w:bodyDiv w:val="1"/>
      <w:marLeft w:val="0"/>
      <w:marRight w:val="0"/>
      <w:marTop w:val="0"/>
      <w:marBottom w:val="0"/>
      <w:divBdr>
        <w:top w:val="none" w:sz="0" w:space="0" w:color="auto"/>
        <w:left w:val="none" w:sz="0" w:space="0" w:color="auto"/>
        <w:bottom w:val="none" w:sz="0" w:space="0" w:color="auto"/>
        <w:right w:val="none" w:sz="0" w:space="0" w:color="auto"/>
      </w:divBdr>
    </w:div>
    <w:div w:id="1655524066">
      <w:bodyDiv w:val="1"/>
      <w:marLeft w:val="0"/>
      <w:marRight w:val="0"/>
      <w:marTop w:val="0"/>
      <w:marBottom w:val="0"/>
      <w:divBdr>
        <w:top w:val="none" w:sz="0" w:space="0" w:color="auto"/>
        <w:left w:val="none" w:sz="0" w:space="0" w:color="auto"/>
        <w:bottom w:val="none" w:sz="0" w:space="0" w:color="auto"/>
        <w:right w:val="none" w:sz="0" w:space="0" w:color="auto"/>
      </w:divBdr>
    </w:div>
    <w:div w:id="1662779619">
      <w:bodyDiv w:val="1"/>
      <w:marLeft w:val="0"/>
      <w:marRight w:val="0"/>
      <w:marTop w:val="0"/>
      <w:marBottom w:val="0"/>
      <w:divBdr>
        <w:top w:val="none" w:sz="0" w:space="0" w:color="auto"/>
        <w:left w:val="none" w:sz="0" w:space="0" w:color="auto"/>
        <w:bottom w:val="none" w:sz="0" w:space="0" w:color="auto"/>
        <w:right w:val="none" w:sz="0" w:space="0" w:color="auto"/>
      </w:divBdr>
    </w:div>
    <w:div w:id="1666468293">
      <w:bodyDiv w:val="1"/>
      <w:marLeft w:val="0"/>
      <w:marRight w:val="0"/>
      <w:marTop w:val="0"/>
      <w:marBottom w:val="0"/>
      <w:divBdr>
        <w:top w:val="none" w:sz="0" w:space="0" w:color="auto"/>
        <w:left w:val="none" w:sz="0" w:space="0" w:color="auto"/>
        <w:bottom w:val="none" w:sz="0" w:space="0" w:color="auto"/>
        <w:right w:val="none" w:sz="0" w:space="0" w:color="auto"/>
      </w:divBdr>
    </w:div>
    <w:div w:id="1666980110">
      <w:bodyDiv w:val="1"/>
      <w:marLeft w:val="0"/>
      <w:marRight w:val="0"/>
      <w:marTop w:val="0"/>
      <w:marBottom w:val="0"/>
      <w:divBdr>
        <w:top w:val="none" w:sz="0" w:space="0" w:color="auto"/>
        <w:left w:val="none" w:sz="0" w:space="0" w:color="auto"/>
        <w:bottom w:val="none" w:sz="0" w:space="0" w:color="auto"/>
        <w:right w:val="none" w:sz="0" w:space="0" w:color="auto"/>
      </w:divBdr>
    </w:div>
    <w:div w:id="1668241483">
      <w:bodyDiv w:val="1"/>
      <w:marLeft w:val="0"/>
      <w:marRight w:val="0"/>
      <w:marTop w:val="0"/>
      <w:marBottom w:val="0"/>
      <w:divBdr>
        <w:top w:val="none" w:sz="0" w:space="0" w:color="auto"/>
        <w:left w:val="none" w:sz="0" w:space="0" w:color="auto"/>
        <w:bottom w:val="none" w:sz="0" w:space="0" w:color="auto"/>
        <w:right w:val="none" w:sz="0" w:space="0" w:color="auto"/>
      </w:divBdr>
    </w:div>
    <w:div w:id="1685134980">
      <w:bodyDiv w:val="1"/>
      <w:marLeft w:val="0"/>
      <w:marRight w:val="0"/>
      <w:marTop w:val="0"/>
      <w:marBottom w:val="0"/>
      <w:divBdr>
        <w:top w:val="none" w:sz="0" w:space="0" w:color="auto"/>
        <w:left w:val="none" w:sz="0" w:space="0" w:color="auto"/>
        <w:bottom w:val="none" w:sz="0" w:space="0" w:color="auto"/>
        <w:right w:val="none" w:sz="0" w:space="0" w:color="auto"/>
      </w:divBdr>
    </w:div>
    <w:div w:id="1693414714">
      <w:bodyDiv w:val="1"/>
      <w:marLeft w:val="0"/>
      <w:marRight w:val="0"/>
      <w:marTop w:val="0"/>
      <w:marBottom w:val="0"/>
      <w:divBdr>
        <w:top w:val="none" w:sz="0" w:space="0" w:color="auto"/>
        <w:left w:val="none" w:sz="0" w:space="0" w:color="auto"/>
        <w:bottom w:val="none" w:sz="0" w:space="0" w:color="auto"/>
        <w:right w:val="none" w:sz="0" w:space="0" w:color="auto"/>
      </w:divBdr>
    </w:div>
    <w:div w:id="1695883937">
      <w:bodyDiv w:val="1"/>
      <w:marLeft w:val="0"/>
      <w:marRight w:val="0"/>
      <w:marTop w:val="0"/>
      <w:marBottom w:val="0"/>
      <w:divBdr>
        <w:top w:val="none" w:sz="0" w:space="0" w:color="auto"/>
        <w:left w:val="none" w:sz="0" w:space="0" w:color="auto"/>
        <w:bottom w:val="none" w:sz="0" w:space="0" w:color="auto"/>
        <w:right w:val="none" w:sz="0" w:space="0" w:color="auto"/>
      </w:divBdr>
    </w:div>
    <w:div w:id="1696230428">
      <w:bodyDiv w:val="1"/>
      <w:marLeft w:val="0"/>
      <w:marRight w:val="0"/>
      <w:marTop w:val="0"/>
      <w:marBottom w:val="0"/>
      <w:divBdr>
        <w:top w:val="none" w:sz="0" w:space="0" w:color="auto"/>
        <w:left w:val="none" w:sz="0" w:space="0" w:color="auto"/>
        <w:bottom w:val="none" w:sz="0" w:space="0" w:color="auto"/>
        <w:right w:val="none" w:sz="0" w:space="0" w:color="auto"/>
      </w:divBdr>
    </w:div>
    <w:div w:id="1700080711">
      <w:bodyDiv w:val="1"/>
      <w:marLeft w:val="0"/>
      <w:marRight w:val="0"/>
      <w:marTop w:val="0"/>
      <w:marBottom w:val="0"/>
      <w:divBdr>
        <w:top w:val="none" w:sz="0" w:space="0" w:color="auto"/>
        <w:left w:val="none" w:sz="0" w:space="0" w:color="auto"/>
        <w:bottom w:val="none" w:sz="0" w:space="0" w:color="auto"/>
        <w:right w:val="none" w:sz="0" w:space="0" w:color="auto"/>
      </w:divBdr>
    </w:div>
    <w:div w:id="1720084978">
      <w:bodyDiv w:val="1"/>
      <w:marLeft w:val="0"/>
      <w:marRight w:val="0"/>
      <w:marTop w:val="0"/>
      <w:marBottom w:val="0"/>
      <w:divBdr>
        <w:top w:val="none" w:sz="0" w:space="0" w:color="auto"/>
        <w:left w:val="none" w:sz="0" w:space="0" w:color="auto"/>
        <w:bottom w:val="none" w:sz="0" w:space="0" w:color="auto"/>
        <w:right w:val="none" w:sz="0" w:space="0" w:color="auto"/>
      </w:divBdr>
    </w:div>
    <w:div w:id="1724599804">
      <w:bodyDiv w:val="1"/>
      <w:marLeft w:val="0"/>
      <w:marRight w:val="0"/>
      <w:marTop w:val="0"/>
      <w:marBottom w:val="0"/>
      <w:divBdr>
        <w:top w:val="none" w:sz="0" w:space="0" w:color="auto"/>
        <w:left w:val="none" w:sz="0" w:space="0" w:color="auto"/>
        <w:bottom w:val="none" w:sz="0" w:space="0" w:color="auto"/>
        <w:right w:val="none" w:sz="0" w:space="0" w:color="auto"/>
      </w:divBdr>
    </w:div>
    <w:div w:id="1726029168">
      <w:bodyDiv w:val="1"/>
      <w:marLeft w:val="0"/>
      <w:marRight w:val="0"/>
      <w:marTop w:val="0"/>
      <w:marBottom w:val="0"/>
      <w:divBdr>
        <w:top w:val="none" w:sz="0" w:space="0" w:color="auto"/>
        <w:left w:val="none" w:sz="0" w:space="0" w:color="auto"/>
        <w:bottom w:val="none" w:sz="0" w:space="0" w:color="auto"/>
        <w:right w:val="none" w:sz="0" w:space="0" w:color="auto"/>
      </w:divBdr>
    </w:div>
    <w:div w:id="1727489799">
      <w:bodyDiv w:val="1"/>
      <w:marLeft w:val="0"/>
      <w:marRight w:val="0"/>
      <w:marTop w:val="0"/>
      <w:marBottom w:val="0"/>
      <w:divBdr>
        <w:top w:val="none" w:sz="0" w:space="0" w:color="auto"/>
        <w:left w:val="none" w:sz="0" w:space="0" w:color="auto"/>
        <w:bottom w:val="none" w:sz="0" w:space="0" w:color="auto"/>
        <w:right w:val="none" w:sz="0" w:space="0" w:color="auto"/>
      </w:divBdr>
    </w:div>
    <w:div w:id="1742021900">
      <w:bodyDiv w:val="1"/>
      <w:marLeft w:val="0"/>
      <w:marRight w:val="0"/>
      <w:marTop w:val="0"/>
      <w:marBottom w:val="0"/>
      <w:divBdr>
        <w:top w:val="none" w:sz="0" w:space="0" w:color="auto"/>
        <w:left w:val="none" w:sz="0" w:space="0" w:color="auto"/>
        <w:bottom w:val="none" w:sz="0" w:space="0" w:color="auto"/>
        <w:right w:val="none" w:sz="0" w:space="0" w:color="auto"/>
      </w:divBdr>
    </w:div>
    <w:div w:id="1746563082">
      <w:bodyDiv w:val="1"/>
      <w:marLeft w:val="0"/>
      <w:marRight w:val="0"/>
      <w:marTop w:val="0"/>
      <w:marBottom w:val="0"/>
      <w:divBdr>
        <w:top w:val="none" w:sz="0" w:space="0" w:color="auto"/>
        <w:left w:val="none" w:sz="0" w:space="0" w:color="auto"/>
        <w:bottom w:val="none" w:sz="0" w:space="0" w:color="auto"/>
        <w:right w:val="none" w:sz="0" w:space="0" w:color="auto"/>
      </w:divBdr>
    </w:div>
    <w:div w:id="1748847543">
      <w:bodyDiv w:val="1"/>
      <w:marLeft w:val="0"/>
      <w:marRight w:val="0"/>
      <w:marTop w:val="0"/>
      <w:marBottom w:val="0"/>
      <w:divBdr>
        <w:top w:val="none" w:sz="0" w:space="0" w:color="auto"/>
        <w:left w:val="none" w:sz="0" w:space="0" w:color="auto"/>
        <w:bottom w:val="none" w:sz="0" w:space="0" w:color="auto"/>
        <w:right w:val="none" w:sz="0" w:space="0" w:color="auto"/>
      </w:divBdr>
    </w:div>
    <w:div w:id="1769692594">
      <w:bodyDiv w:val="1"/>
      <w:marLeft w:val="0"/>
      <w:marRight w:val="0"/>
      <w:marTop w:val="0"/>
      <w:marBottom w:val="0"/>
      <w:divBdr>
        <w:top w:val="none" w:sz="0" w:space="0" w:color="auto"/>
        <w:left w:val="none" w:sz="0" w:space="0" w:color="auto"/>
        <w:bottom w:val="none" w:sz="0" w:space="0" w:color="auto"/>
        <w:right w:val="none" w:sz="0" w:space="0" w:color="auto"/>
      </w:divBdr>
    </w:div>
    <w:div w:id="1774209473">
      <w:bodyDiv w:val="1"/>
      <w:marLeft w:val="0"/>
      <w:marRight w:val="0"/>
      <w:marTop w:val="0"/>
      <w:marBottom w:val="0"/>
      <w:divBdr>
        <w:top w:val="none" w:sz="0" w:space="0" w:color="auto"/>
        <w:left w:val="none" w:sz="0" w:space="0" w:color="auto"/>
        <w:bottom w:val="none" w:sz="0" w:space="0" w:color="auto"/>
        <w:right w:val="none" w:sz="0" w:space="0" w:color="auto"/>
      </w:divBdr>
    </w:div>
    <w:div w:id="1774743804">
      <w:bodyDiv w:val="1"/>
      <w:marLeft w:val="0"/>
      <w:marRight w:val="0"/>
      <w:marTop w:val="0"/>
      <w:marBottom w:val="0"/>
      <w:divBdr>
        <w:top w:val="none" w:sz="0" w:space="0" w:color="auto"/>
        <w:left w:val="none" w:sz="0" w:space="0" w:color="auto"/>
        <w:bottom w:val="none" w:sz="0" w:space="0" w:color="auto"/>
        <w:right w:val="none" w:sz="0" w:space="0" w:color="auto"/>
      </w:divBdr>
    </w:div>
    <w:div w:id="1779106501">
      <w:bodyDiv w:val="1"/>
      <w:marLeft w:val="0"/>
      <w:marRight w:val="0"/>
      <w:marTop w:val="0"/>
      <w:marBottom w:val="0"/>
      <w:divBdr>
        <w:top w:val="none" w:sz="0" w:space="0" w:color="auto"/>
        <w:left w:val="none" w:sz="0" w:space="0" w:color="auto"/>
        <w:bottom w:val="none" w:sz="0" w:space="0" w:color="auto"/>
        <w:right w:val="none" w:sz="0" w:space="0" w:color="auto"/>
      </w:divBdr>
    </w:div>
    <w:div w:id="1780947963">
      <w:bodyDiv w:val="1"/>
      <w:marLeft w:val="0"/>
      <w:marRight w:val="0"/>
      <w:marTop w:val="0"/>
      <w:marBottom w:val="0"/>
      <w:divBdr>
        <w:top w:val="none" w:sz="0" w:space="0" w:color="auto"/>
        <w:left w:val="none" w:sz="0" w:space="0" w:color="auto"/>
        <w:bottom w:val="none" w:sz="0" w:space="0" w:color="auto"/>
        <w:right w:val="none" w:sz="0" w:space="0" w:color="auto"/>
      </w:divBdr>
    </w:div>
    <w:div w:id="1792897577">
      <w:bodyDiv w:val="1"/>
      <w:marLeft w:val="0"/>
      <w:marRight w:val="0"/>
      <w:marTop w:val="0"/>
      <w:marBottom w:val="0"/>
      <w:divBdr>
        <w:top w:val="none" w:sz="0" w:space="0" w:color="auto"/>
        <w:left w:val="none" w:sz="0" w:space="0" w:color="auto"/>
        <w:bottom w:val="none" w:sz="0" w:space="0" w:color="auto"/>
        <w:right w:val="none" w:sz="0" w:space="0" w:color="auto"/>
      </w:divBdr>
    </w:div>
    <w:div w:id="1804611608">
      <w:bodyDiv w:val="1"/>
      <w:marLeft w:val="0"/>
      <w:marRight w:val="0"/>
      <w:marTop w:val="0"/>
      <w:marBottom w:val="0"/>
      <w:divBdr>
        <w:top w:val="none" w:sz="0" w:space="0" w:color="auto"/>
        <w:left w:val="none" w:sz="0" w:space="0" w:color="auto"/>
        <w:bottom w:val="none" w:sz="0" w:space="0" w:color="auto"/>
        <w:right w:val="none" w:sz="0" w:space="0" w:color="auto"/>
      </w:divBdr>
    </w:div>
    <w:div w:id="1810315804">
      <w:bodyDiv w:val="1"/>
      <w:marLeft w:val="0"/>
      <w:marRight w:val="0"/>
      <w:marTop w:val="0"/>
      <w:marBottom w:val="0"/>
      <w:divBdr>
        <w:top w:val="none" w:sz="0" w:space="0" w:color="auto"/>
        <w:left w:val="none" w:sz="0" w:space="0" w:color="auto"/>
        <w:bottom w:val="none" w:sz="0" w:space="0" w:color="auto"/>
        <w:right w:val="none" w:sz="0" w:space="0" w:color="auto"/>
      </w:divBdr>
    </w:div>
    <w:div w:id="1811433129">
      <w:bodyDiv w:val="1"/>
      <w:marLeft w:val="0"/>
      <w:marRight w:val="0"/>
      <w:marTop w:val="0"/>
      <w:marBottom w:val="0"/>
      <w:divBdr>
        <w:top w:val="none" w:sz="0" w:space="0" w:color="auto"/>
        <w:left w:val="none" w:sz="0" w:space="0" w:color="auto"/>
        <w:bottom w:val="none" w:sz="0" w:space="0" w:color="auto"/>
        <w:right w:val="none" w:sz="0" w:space="0" w:color="auto"/>
      </w:divBdr>
    </w:div>
    <w:div w:id="1820881007">
      <w:bodyDiv w:val="1"/>
      <w:marLeft w:val="0"/>
      <w:marRight w:val="0"/>
      <w:marTop w:val="0"/>
      <w:marBottom w:val="0"/>
      <w:divBdr>
        <w:top w:val="none" w:sz="0" w:space="0" w:color="auto"/>
        <w:left w:val="none" w:sz="0" w:space="0" w:color="auto"/>
        <w:bottom w:val="none" w:sz="0" w:space="0" w:color="auto"/>
        <w:right w:val="none" w:sz="0" w:space="0" w:color="auto"/>
      </w:divBdr>
    </w:div>
    <w:div w:id="1828667045">
      <w:bodyDiv w:val="1"/>
      <w:marLeft w:val="0"/>
      <w:marRight w:val="0"/>
      <w:marTop w:val="0"/>
      <w:marBottom w:val="0"/>
      <w:divBdr>
        <w:top w:val="none" w:sz="0" w:space="0" w:color="auto"/>
        <w:left w:val="none" w:sz="0" w:space="0" w:color="auto"/>
        <w:bottom w:val="none" w:sz="0" w:space="0" w:color="auto"/>
        <w:right w:val="none" w:sz="0" w:space="0" w:color="auto"/>
      </w:divBdr>
    </w:div>
    <w:div w:id="1833176553">
      <w:bodyDiv w:val="1"/>
      <w:marLeft w:val="0"/>
      <w:marRight w:val="0"/>
      <w:marTop w:val="0"/>
      <w:marBottom w:val="0"/>
      <w:divBdr>
        <w:top w:val="none" w:sz="0" w:space="0" w:color="auto"/>
        <w:left w:val="none" w:sz="0" w:space="0" w:color="auto"/>
        <w:bottom w:val="none" w:sz="0" w:space="0" w:color="auto"/>
        <w:right w:val="none" w:sz="0" w:space="0" w:color="auto"/>
      </w:divBdr>
    </w:div>
    <w:div w:id="1833981119">
      <w:bodyDiv w:val="1"/>
      <w:marLeft w:val="0"/>
      <w:marRight w:val="0"/>
      <w:marTop w:val="0"/>
      <w:marBottom w:val="0"/>
      <w:divBdr>
        <w:top w:val="none" w:sz="0" w:space="0" w:color="auto"/>
        <w:left w:val="none" w:sz="0" w:space="0" w:color="auto"/>
        <w:bottom w:val="none" w:sz="0" w:space="0" w:color="auto"/>
        <w:right w:val="none" w:sz="0" w:space="0" w:color="auto"/>
      </w:divBdr>
    </w:div>
    <w:div w:id="1840072966">
      <w:bodyDiv w:val="1"/>
      <w:marLeft w:val="0"/>
      <w:marRight w:val="0"/>
      <w:marTop w:val="0"/>
      <w:marBottom w:val="0"/>
      <w:divBdr>
        <w:top w:val="none" w:sz="0" w:space="0" w:color="auto"/>
        <w:left w:val="none" w:sz="0" w:space="0" w:color="auto"/>
        <w:bottom w:val="none" w:sz="0" w:space="0" w:color="auto"/>
        <w:right w:val="none" w:sz="0" w:space="0" w:color="auto"/>
      </w:divBdr>
    </w:div>
    <w:div w:id="1846751293">
      <w:bodyDiv w:val="1"/>
      <w:marLeft w:val="0"/>
      <w:marRight w:val="0"/>
      <w:marTop w:val="0"/>
      <w:marBottom w:val="0"/>
      <w:divBdr>
        <w:top w:val="none" w:sz="0" w:space="0" w:color="auto"/>
        <w:left w:val="none" w:sz="0" w:space="0" w:color="auto"/>
        <w:bottom w:val="none" w:sz="0" w:space="0" w:color="auto"/>
        <w:right w:val="none" w:sz="0" w:space="0" w:color="auto"/>
      </w:divBdr>
    </w:div>
    <w:div w:id="1873230388">
      <w:bodyDiv w:val="1"/>
      <w:marLeft w:val="0"/>
      <w:marRight w:val="0"/>
      <w:marTop w:val="0"/>
      <w:marBottom w:val="0"/>
      <w:divBdr>
        <w:top w:val="none" w:sz="0" w:space="0" w:color="auto"/>
        <w:left w:val="none" w:sz="0" w:space="0" w:color="auto"/>
        <w:bottom w:val="none" w:sz="0" w:space="0" w:color="auto"/>
        <w:right w:val="none" w:sz="0" w:space="0" w:color="auto"/>
      </w:divBdr>
    </w:div>
    <w:div w:id="1877739512">
      <w:bodyDiv w:val="1"/>
      <w:marLeft w:val="0"/>
      <w:marRight w:val="0"/>
      <w:marTop w:val="0"/>
      <w:marBottom w:val="0"/>
      <w:divBdr>
        <w:top w:val="none" w:sz="0" w:space="0" w:color="auto"/>
        <w:left w:val="none" w:sz="0" w:space="0" w:color="auto"/>
        <w:bottom w:val="none" w:sz="0" w:space="0" w:color="auto"/>
        <w:right w:val="none" w:sz="0" w:space="0" w:color="auto"/>
      </w:divBdr>
    </w:div>
    <w:div w:id="1887175136">
      <w:bodyDiv w:val="1"/>
      <w:marLeft w:val="0"/>
      <w:marRight w:val="0"/>
      <w:marTop w:val="0"/>
      <w:marBottom w:val="0"/>
      <w:divBdr>
        <w:top w:val="none" w:sz="0" w:space="0" w:color="auto"/>
        <w:left w:val="none" w:sz="0" w:space="0" w:color="auto"/>
        <w:bottom w:val="none" w:sz="0" w:space="0" w:color="auto"/>
        <w:right w:val="none" w:sz="0" w:space="0" w:color="auto"/>
      </w:divBdr>
    </w:div>
    <w:div w:id="1894349361">
      <w:bodyDiv w:val="1"/>
      <w:marLeft w:val="0"/>
      <w:marRight w:val="0"/>
      <w:marTop w:val="0"/>
      <w:marBottom w:val="0"/>
      <w:divBdr>
        <w:top w:val="none" w:sz="0" w:space="0" w:color="auto"/>
        <w:left w:val="none" w:sz="0" w:space="0" w:color="auto"/>
        <w:bottom w:val="none" w:sz="0" w:space="0" w:color="auto"/>
        <w:right w:val="none" w:sz="0" w:space="0" w:color="auto"/>
      </w:divBdr>
    </w:div>
    <w:div w:id="1895308552">
      <w:bodyDiv w:val="1"/>
      <w:marLeft w:val="0"/>
      <w:marRight w:val="0"/>
      <w:marTop w:val="0"/>
      <w:marBottom w:val="0"/>
      <w:divBdr>
        <w:top w:val="none" w:sz="0" w:space="0" w:color="auto"/>
        <w:left w:val="none" w:sz="0" w:space="0" w:color="auto"/>
        <w:bottom w:val="none" w:sz="0" w:space="0" w:color="auto"/>
        <w:right w:val="none" w:sz="0" w:space="0" w:color="auto"/>
      </w:divBdr>
    </w:div>
    <w:div w:id="1908831959">
      <w:bodyDiv w:val="1"/>
      <w:marLeft w:val="0"/>
      <w:marRight w:val="0"/>
      <w:marTop w:val="0"/>
      <w:marBottom w:val="0"/>
      <w:divBdr>
        <w:top w:val="none" w:sz="0" w:space="0" w:color="auto"/>
        <w:left w:val="none" w:sz="0" w:space="0" w:color="auto"/>
        <w:bottom w:val="none" w:sz="0" w:space="0" w:color="auto"/>
        <w:right w:val="none" w:sz="0" w:space="0" w:color="auto"/>
      </w:divBdr>
    </w:div>
    <w:div w:id="1909149095">
      <w:bodyDiv w:val="1"/>
      <w:marLeft w:val="0"/>
      <w:marRight w:val="0"/>
      <w:marTop w:val="0"/>
      <w:marBottom w:val="0"/>
      <w:divBdr>
        <w:top w:val="none" w:sz="0" w:space="0" w:color="auto"/>
        <w:left w:val="none" w:sz="0" w:space="0" w:color="auto"/>
        <w:bottom w:val="none" w:sz="0" w:space="0" w:color="auto"/>
        <w:right w:val="none" w:sz="0" w:space="0" w:color="auto"/>
      </w:divBdr>
    </w:div>
    <w:div w:id="1910379326">
      <w:bodyDiv w:val="1"/>
      <w:marLeft w:val="0"/>
      <w:marRight w:val="0"/>
      <w:marTop w:val="0"/>
      <w:marBottom w:val="0"/>
      <w:divBdr>
        <w:top w:val="none" w:sz="0" w:space="0" w:color="auto"/>
        <w:left w:val="none" w:sz="0" w:space="0" w:color="auto"/>
        <w:bottom w:val="none" w:sz="0" w:space="0" w:color="auto"/>
        <w:right w:val="none" w:sz="0" w:space="0" w:color="auto"/>
      </w:divBdr>
    </w:div>
    <w:div w:id="1914468748">
      <w:bodyDiv w:val="1"/>
      <w:marLeft w:val="0"/>
      <w:marRight w:val="0"/>
      <w:marTop w:val="0"/>
      <w:marBottom w:val="0"/>
      <w:divBdr>
        <w:top w:val="none" w:sz="0" w:space="0" w:color="auto"/>
        <w:left w:val="none" w:sz="0" w:space="0" w:color="auto"/>
        <w:bottom w:val="none" w:sz="0" w:space="0" w:color="auto"/>
        <w:right w:val="none" w:sz="0" w:space="0" w:color="auto"/>
      </w:divBdr>
    </w:div>
    <w:div w:id="1928534160">
      <w:bodyDiv w:val="1"/>
      <w:marLeft w:val="0"/>
      <w:marRight w:val="0"/>
      <w:marTop w:val="0"/>
      <w:marBottom w:val="0"/>
      <w:divBdr>
        <w:top w:val="none" w:sz="0" w:space="0" w:color="auto"/>
        <w:left w:val="none" w:sz="0" w:space="0" w:color="auto"/>
        <w:bottom w:val="none" w:sz="0" w:space="0" w:color="auto"/>
        <w:right w:val="none" w:sz="0" w:space="0" w:color="auto"/>
      </w:divBdr>
    </w:div>
    <w:div w:id="1929001704">
      <w:bodyDiv w:val="1"/>
      <w:marLeft w:val="0"/>
      <w:marRight w:val="0"/>
      <w:marTop w:val="0"/>
      <w:marBottom w:val="0"/>
      <w:divBdr>
        <w:top w:val="none" w:sz="0" w:space="0" w:color="auto"/>
        <w:left w:val="none" w:sz="0" w:space="0" w:color="auto"/>
        <w:bottom w:val="none" w:sz="0" w:space="0" w:color="auto"/>
        <w:right w:val="none" w:sz="0" w:space="0" w:color="auto"/>
      </w:divBdr>
    </w:div>
    <w:div w:id="1934896581">
      <w:bodyDiv w:val="1"/>
      <w:marLeft w:val="0"/>
      <w:marRight w:val="0"/>
      <w:marTop w:val="0"/>
      <w:marBottom w:val="0"/>
      <w:divBdr>
        <w:top w:val="none" w:sz="0" w:space="0" w:color="auto"/>
        <w:left w:val="none" w:sz="0" w:space="0" w:color="auto"/>
        <w:bottom w:val="none" w:sz="0" w:space="0" w:color="auto"/>
        <w:right w:val="none" w:sz="0" w:space="0" w:color="auto"/>
      </w:divBdr>
    </w:div>
    <w:div w:id="1936858943">
      <w:bodyDiv w:val="1"/>
      <w:marLeft w:val="0"/>
      <w:marRight w:val="0"/>
      <w:marTop w:val="0"/>
      <w:marBottom w:val="0"/>
      <w:divBdr>
        <w:top w:val="none" w:sz="0" w:space="0" w:color="auto"/>
        <w:left w:val="none" w:sz="0" w:space="0" w:color="auto"/>
        <w:bottom w:val="none" w:sz="0" w:space="0" w:color="auto"/>
        <w:right w:val="none" w:sz="0" w:space="0" w:color="auto"/>
      </w:divBdr>
    </w:div>
    <w:div w:id="1939412446">
      <w:bodyDiv w:val="1"/>
      <w:marLeft w:val="0"/>
      <w:marRight w:val="0"/>
      <w:marTop w:val="0"/>
      <w:marBottom w:val="0"/>
      <w:divBdr>
        <w:top w:val="none" w:sz="0" w:space="0" w:color="auto"/>
        <w:left w:val="none" w:sz="0" w:space="0" w:color="auto"/>
        <w:bottom w:val="none" w:sz="0" w:space="0" w:color="auto"/>
        <w:right w:val="none" w:sz="0" w:space="0" w:color="auto"/>
      </w:divBdr>
    </w:div>
    <w:div w:id="1940328224">
      <w:bodyDiv w:val="1"/>
      <w:marLeft w:val="0"/>
      <w:marRight w:val="0"/>
      <w:marTop w:val="0"/>
      <w:marBottom w:val="0"/>
      <w:divBdr>
        <w:top w:val="none" w:sz="0" w:space="0" w:color="auto"/>
        <w:left w:val="none" w:sz="0" w:space="0" w:color="auto"/>
        <w:bottom w:val="none" w:sz="0" w:space="0" w:color="auto"/>
        <w:right w:val="none" w:sz="0" w:space="0" w:color="auto"/>
      </w:divBdr>
    </w:div>
    <w:div w:id="1942179339">
      <w:bodyDiv w:val="1"/>
      <w:marLeft w:val="0"/>
      <w:marRight w:val="0"/>
      <w:marTop w:val="0"/>
      <w:marBottom w:val="0"/>
      <w:divBdr>
        <w:top w:val="none" w:sz="0" w:space="0" w:color="auto"/>
        <w:left w:val="none" w:sz="0" w:space="0" w:color="auto"/>
        <w:bottom w:val="none" w:sz="0" w:space="0" w:color="auto"/>
        <w:right w:val="none" w:sz="0" w:space="0" w:color="auto"/>
      </w:divBdr>
    </w:div>
    <w:div w:id="1946961952">
      <w:bodyDiv w:val="1"/>
      <w:marLeft w:val="0"/>
      <w:marRight w:val="0"/>
      <w:marTop w:val="0"/>
      <w:marBottom w:val="0"/>
      <w:divBdr>
        <w:top w:val="none" w:sz="0" w:space="0" w:color="auto"/>
        <w:left w:val="none" w:sz="0" w:space="0" w:color="auto"/>
        <w:bottom w:val="none" w:sz="0" w:space="0" w:color="auto"/>
        <w:right w:val="none" w:sz="0" w:space="0" w:color="auto"/>
      </w:divBdr>
    </w:div>
    <w:div w:id="1948268912">
      <w:bodyDiv w:val="1"/>
      <w:marLeft w:val="0"/>
      <w:marRight w:val="0"/>
      <w:marTop w:val="0"/>
      <w:marBottom w:val="0"/>
      <w:divBdr>
        <w:top w:val="none" w:sz="0" w:space="0" w:color="auto"/>
        <w:left w:val="none" w:sz="0" w:space="0" w:color="auto"/>
        <w:bottom w:val="none" w:sz="0" w:space="0" w:color="auto"/>
        <w:right w:val="none" w:sz="0" w:space="0" w:color="auto"/>
      </w:divBdr>
    </w:div>
    <w:div w:id="1959528309">
      <w:bodyDiv w:val="1"/>
      <w:marLeft w:val="0"/>
      <w:marRight w:val="0"/>
      <w:marTop w:val="0"/>
      <w:marBottom w:val="0"/>
      <w:divBdr>
        <w:top w:val="none" w:sz="0" w:space="0" w:color="auto"/>
        <w:left w:val="none" w:sz="0" w:space="0" w:color="auto"/>
        <w:bottom w:val="none" w:sz="0" w:space="0" w:color="auto"/>
        <w:right w:val="none" w:sz="0" w:space="0" w:color="auto"/>
      </w:divBdr>
    </w:div>
    <w:div w:id="1961719472">
      <w:bodyDiv w:val="1"/>
      <w:marLeft w:val="0"/>
      <w:marRight w:val="0"/>
      <w:marTop w:val="0"/>
      <w:marBottom w:val="0"/>
      <w:divBdr>
        <w:top w:val="none" w:sz="0" w:space="0" w:color="auto"/>
        <w:left w:val="none" w:sz="0" w:space="0" w:color="auto"/>
        <w:bottom w:val="none" w:sz="0" w:space="0" w:color="auto"/>
        <w:right w:val="none" w:sz="0" w:space="0" w:color="auto"/>
      </w:divBdr>
    </w:div>
    <w:div w:id="1962884671">
      <w:bodyDiv w:val="1"/>
      <w:marLeft w:val="0"/>
      <w:marRight w:val="0"/>
      <w:marTop w:val="0"/>
      <w:marBottom w:val="0"/>
      <w:divBdr>
        <w:top w:val="none" w:sz="0" w:space="0" w:color="auto"/>
        <w:left w:val="none" w:sz="0" w:space="0" w:color="auto"/>
        <w:bottom w:val="none" w:sz="0" w:space="0" w:color="auto"/>
        <w:right w:val="none" w:sz="0" w:space="0" w:color="auto"/>
      </w:divBdr>
    </w:div>
    <w:div w:id="1967540559">
      <w:bodyDiv w:val="1"/>
      <w:marLeft w:val="0"/>
      <w:marRight w:val="0"/>
      <w:marTop w:val="0"/>
      <w:marBottom w:val="0"/>
      <w:divBdr>
        <w:top w:val="none" w:sz="0" w:space="0" w:color="auto"/>
        <w:left w:val="none" w:sz="0" w:space="0" w:color="auto"/>
        <w:bottom w:val="none" w:sz="0" w:space="0" w:color="auto"/>
        <w:right w:val="none" w:sz="0" w:space="0" w:color="auto"/>
      </w:divBdr>
    </w:div>
    <w:div w:id="1975059400">
      <w:bodyDiv w:val="1"/>
      <w:marLeft w:val="0"/>
      <w:marRight w:val="0"/>
      <w:marTop w:val="0"/>
      <w:marBottom w:val="0"/>
      <w:divBdr>
        <w:top w:val="none" w:sz="0" w:space="0" w:color="auto"/>
        <w:left w:val="none" w:sz="0" w:space="0" w:color="auto"/>
        <w:bottom w:val="none" w:sz="0" w:space="0" w:color="auto"/>
        <w:right w:val="none" w:sz="0" w:space="0" w:color="auto"/>
      </w:divBdr>
    </w:div>
    <w:div w:id="1982804866">
      <w:bodyDiv w:val="1"/>
      <w:marLeft w:val="0"/>
      <w:marRight w:val="0"/>
      <w:marTop w:val="0"/>
      <w:marBottom w:val="0"/>
      <w:divBdr>
        <w:top w:val="none" w:sz="0" w:space="0" w:color="auto"/>
        <w:left w:val="none" w:sz="0" w:space="0" w:color="auto"/>
        <w:bottom w:val="none" w:sz="0" w:space="0" w:color="auto"/>
        <w:right w:val="none" w:sz="0" w:space="0" w:color="auto"/>
      </w:divBdr>
    </w:div>
    <w:div w:id="1984507971">
      <w:bodyDiv w:val="1"/>
      <w:marLeft w:val="0"/>
      <w:marRight w:val="0"/>
      <w:marTop w:val="0"/>
      <w:marBottom w:val="0"/>
      <w:divBdr>
        <w:top w:val="none" w:sz="0" w:space="0" w:color="auto"/>
        <w:left w:val="none" w:sz="0" w:space="0" w:color="auto"/>
        <w:bottom w:val="none" w:sz="0" w:space="0" w:color="auto"/>
        <w:right w:val="none" w:sz="0" w:space="0" w:color="auto"/>
      </w:divBdr>
    </w:div>
    <w:div w:id="1991857747">
      <w:bodyDiv w:val="1"/>
      <w:marLeft w:val="0"/>
      <w:marRight w:val="0"/>
      <w:marTop w:val="0"/>
      <w:marBottom w:val="0"/>
      <w:divBdr>
        <w:top w:val="none" w:sz="0" w:space="0" w:color="auto"/>
        <w:left w:val="none" w:sz="0" w:space="0" w:color="auto"/>
        <w:bottom w:val="none" w:sz="0" w:space="0" w:color="auto"/>
        <w:right w:val="none" w:sz="0" w:space="0" w:color="auto"/>
      </w:divBdr>
    </w:div>
    <w:div w:id="1992441120">
      <w:bodyDiv w:val="1"/>
      <w:marLeft w:val="0"/>
      <w:marRight w:val="0"/>
      <w:marTop w:val="0"/>
      <w:marBottom w:val="0"/>
      <w:divBdr>
        <w:top w:val="none" w:sz="0" w:space="0" w:color="auto"/>
        <w:left w:val="none" w:sz="0" w:space="0" w:color="auto"/>
        <w:bottom w:val="none" w:sz="0" w:space="0" w:color="auto"/>
        <w:right w:val="none" w:sz="0" w:space="0" w:color="auto"/>
      </w:divBdr>
    </w:div>
    <w:div w:id="1996756263">
      <w:bodyDiv w:val="1"/>
      <w:marLeft w:val="0"/>
      <w:marRight w:val="0"/>
      <w:marTop w:val="0"/>
      <w:marBottom w:val="0"/>
      <w:divBdr>
        <w:top w:val="none" w:sz="0" w:space="0" w:color="auto"/>
        <w:left w:val="none" w:sz="0" w:space="0" w:color="auto"/>
        <w:bottom w:val="none" w:sz="0" w:space="0" w:color="auto"/>
        <w:right w:val="none" w:sz="0" w:space="0" w:color="auto"/>
      </w:divBdr>
    </w:div>
    <w:div w:id="2000839153">
      <w:bodyDiv w:val="1"/>
      <w:marLeft w:val="0"/>
      <w:marRight w:val="0"/>
      <w:marTop w:val="0"/>
      <w:marBottom w:val="0"/>
      <w:divBdr>
        <w:top w:val="none" w:sz="0" w:space="0" w:color="auto"/>
        <w:left w:val="none" w:sz="0" w:space="0" w:color="auto"/>
        <w:bottom w:val="none" w:sz="0" w:space="0" w:color="auto"/>
        <w:right w:val="none" w:sz="0" w:space="0" w:color="auto"/>
      </w:divBdr>
    </w:div>
    <w:div w:id="2002931554">
      <w:bodyDiv w:val="1"/>
      <w:marLeft w:val="0"/>
      <w:marRight w:val="0"/>
      <w:marTop w:val="0"/>
      <w:marBottom w:val="0"/>
      <w:divBdr>
        <w:top w:val="none" w:sz="0" w:space="0" w:color="auto"/>
        <w:left w:val="none" w:sz="0" w:space="0" w:color="auto"/>
        <w:bottom w:val="none" w:sz="0" w:space="0" w:color="auto"/>
        <w:right w:val="none" w:sz="0" w:space="0" w:color="auto"/>
      </w:divBdr>
    </w:div>
    <w:div w:id="2003119724">
      <w:bodyDiv w:val="1"/>
      <w:marLeft w:val="0"/>
      <w:marRight w:val="0"/>
      <w:marTop w:val="0"/>
      <w:marBottom w:val="0"/>
      <w:divBdr>
        <w:top w:val="none" w:sz="0" w:space="0" w:color="auto"/>
        <w:left w:val="none" w:sz="0" w:space="0" w:color="auto"/>
        <w:bottom w:val="none" w:sz="0" w:space="0" w:color="auto"/>
        <w:right w:val="none" w:sz="0" w:space="0" w:color="auto"/>
      </w:divBdr>
    </w:div>
    <w:div w:id="2003198186">
      <w:bodyDiv w:val="1"/>
      <w:marLeft w:val="0"/>
      <w:marRight w:val="0"/>
      <w:marTop w:val="0"/>
      <w:marBottom w:val="0"/>
      <w:divBdr>
        <w:top w:val="none" w:sz="0" w:space="0" w:color="auto"/>
        <w:left w:val="none" w:sz="0" w:space="0" w:color="auto"/>
        <w:bottom w:val="none" w:sz="0" w:space="0" w:color="auto"/>
        <w:right w:val="none" w:sz="0" w:space="0" w:color="auto"/>
      </w:divBdr>
    </w:div>
    <w:div w:id="2006735549">
      <w:bodyDiv w:val="1"/>
      <w:marLeft w:val="0"/>
      <w:marRight w:val="0"/>
      <w:marTop w:val="0"/>
      <w:marBottom w:val="0"/>
      <w:divBdr>
        <w:top w:val="none" w:sz="0" w:space="0" w:color="auto"/>
        <w:left w:val="none" w:sz="0" w:space="0" w:color="auto"/>
        <w:bottom w:val="none" w:sz="0" w:space="0" w:color="auto"/>
        <w:right w:val="none" w:sz="0" w:space="0" w:color="auto"/>
      </w:divBdr>
    </w:div>
    <w:div w:id="2008093738">
      <w:bodyDiv w:val="1"/>
      <w:marLeft w:val="0"/>
      <w:marRight w:val="0"/>
      <w:marTop w:val="0"/>
      <w:marBottom w:val="0"/>
      <w:divBdr>
        <w:top w:val="none" w:sz="0" w:space="0" w:color="auto"/>
        <w:left w:val="none" w:sz="0" w:space="0" w:color="auto"/>
        <w:bottom w:val="none" w:sz="0" w:space="0" w:color="auto"/>
        <w:right w:val="none" w:sz="0" w:space="0" w:color="auto"/>
      </w:divBdr>
    </w:div>
    <w:div w:id="2012755288">
      <w:bodyDiv w:val="1"/>
      <w:marLeft w:val="0"/>
      <w:marRight w:val="0"/>
      <w:marTop w:val="0"/>
      <w:marBottom w:val="0"/>
      <w:divBdr>
        <w:top w:val="none" w:sz="0" w:space="0" w:color="auto"/>
        <w:left w:val="none" w:sz="0" w:space="0" w:color="auto"/>
        <w:bottom w:val="none" w:sz="0" w:space="0" w:color="auto"/>
        <w:right w:val="none" w:sz="0" w:space="0" w:color="auto"/>
      </w:divBdr>
    </w:div>
    <w:div w:id="2017806101">
      <w:bodyDiv w:val="1"/>
      <w:marLeft w:val="0"/>
      <w:marRight w:val="0"/>
      <w:marTop w:val="0"/>
      <w:marBottom w:val="0"/>
      <w:divBdr>
        <w:top w:val="none" w:sz="0" w:space="0" w:color="auto"/>
        <w:left w:val="none" w:sz="0" w:space="0" w:color="auto"/>
        <w:bottom w:val="none" w:sz="0" w:space="0" w:color="auto"/>
        <w:right w:val="none" w:sz="0" w:space="0" w:color="auto"/>
      </w:divBdr>
    </w:div>
    <w:div w:id="2018533163">
      <w:bodyDiv w:val="1"/>
      <w:marLeft w:val="0"/>
      <w:marRight w:val="0"/>
      <w:marTop w:val="0"/>
      <w:marBottom w:val="0"/>
      <w:divBdr>
        <w:top w:val="none" w:sz="0" w:space="0" w:color="auto"/>
        <w:left w:val="none" w:sz="0" w:space="0" w:color="auto"/>
        <w:bottom w:val="none" w:sz="0" w:space="0" w:color="auto"/>
        <w:right w:val="none" w:sz="0" w:space="0" w:color="auto"/>
      </w:divBdr>
    </w:div>
    <w:div w:id="2029062684">
      <w:bodyDiv w:val="1"/>
      <w:marLeft w:val="0"/>
      <w:marRight w:val="0"/>
      <w:marTop w:val="0"/>
      <w:marBottom w:val="0"/>
      <w:divBdr>
        <w:top w:val="none" w:sz="0" w:space="0" w:color="auto"/>
        <w:left w:val="none" w:sz="0" w:space="0" w:color="auto"/>
        <w:bottom w:val="none" w:sz="0" w:space="0" w:color="auto"/>
        <w:right w:val="none" w:sz="0" w:space="0" w:color="auto"/>
      </w:divBdr>
    </w:div>
    <w:div w:id="2031370711">
      <w:bodyDiv w:val="1"/>
      <w:marLeft w:val="0"/>
      <w:marRight w:val="0"/>
      <w:marTop w:val="0"/>
      <w:marBottom w:val="0"/>
      <w:divBdr>
        <w:top w:val="none" w:sz="0" w:space="0" w:color="auto"/>
        <w:left w:val="none" w:sz="0" w:space="0" w:color="auto"/>
        <w:bottom w:val="none" w:sz="0" w:space="0" w:color="auto"/>
        <w:right w:val="none" w:sz="0" w:space="0" w:color="auto"/>
      </w:divBdr>
    </w:div>
    <w:div w:id="2037928412">
      <w:bodyDiv w:val="1"/>
      <w:marLeft w:val="0"/>
      <w:marRight w:val="0"/>
      <w:marTop w:val="0"/>
      <w:marBottom w:val="0"/>
      <w:divBdr>
        <w:top w:val="none" w:sz="0" w:space="0" w:color="auto"/>
        <w:left w:val="none" w:sz="0" w:space="0" w:color="auto"/>
        <w:bottom w:val="none" w:sz="0" w:space="0" w:color="auto"/>
        <w:right w:val="none" w:sz="0" w:space="0" w:color="auto"/>
      </w:divBdr>
    </w:div>
    <w:div w:id="2039313965">
      <w:bodyDiv w:val="1"/>
      <w:marLeft w:val="0"/>
      <w:marRight w:val="0"/>
      <w:marTop w:val="0"/>
      <w:marBottom w:val="0"/>
      <w:divBdr>
        <w:top w:val="none" w:sz="0" w:space="0" w:color="auto"/>
        <w:left w:val="none" w:sz="0" w:space="0" w:color="auto"/>
        <w:bottom w:val="none" w:sz="0" w:space="0" w:color="auto"/>
        <w:right w:val="none" w:sz="0" w:space="0" w:color="auto"/>
      </w:divBdr>
    </w:div>
    <w:div w:id="2049141578">
      <w:bodyDiv w:val="1"/>
      <w:marLeft w:val="0"/>
      <w:marRight w:val="0"/>
      <w:marTop w:val="0"/>
      <w:marBottom w:val="0"/>
      <w:divBdr>
        <w:top w:val="none" w:sz="0" w:space="0" w:color="auto"/>
        <w:left w:val="none" w:sz="0" w:space="0" w:color="auto"/>
        <w:bottom w:val="none" w:sz="0" w:space="0" w:color="auto"/>
        <w:right w:val="none" w:sz="0" w:space="0" w:color="auto"/>
      </w:divBdr>
    </w:div>
    <w:div w:id="2058317953">
      <w:bodyDiv w:val="1"/>
      <w:marLeft w:val="0"/>
      <w:marRight w:val="0"/>
      <w:marTop w:val="0"/>
      <w:marBottom w:val="0"/>
      <w:divBdr>
        <w:top w:val="none" w:sz="0" w:space="0" w:color="auto"/>
        <w:left w:val="none" w:sz="0" w:space="0" w:color="auto"/>
        <w:bottom w:val="none" w:sz="0" w:space="0" w:color="auto"/>
        <w:right w:val="none" w:sz="0" w:space="0" w:color="auto"/>
      </w:divBdr>
    </w:div>
    <w:div w:id="2060353260">
      <w:bodyDiv w:val="1"/>
      <w:marLeft w:val="0"/>
      <w:marRight w:val="0"/>
      <w:marTop w:val="0"/>
      <w:marBottom w:val="0"/>
      <w:divBdr>
        <w:top w:val="none" w:sz="0" w:space="0" w:color="auto"/>
        <w:left w:val="none" w:sz="0" w:space="0" w:color="auto"/>
        <w:bottom w:val="none" w:sz="0" w:space="0" w:color="auto"/>
        <w:right w:val="none" w:sz="0" w:space="0" w:color="auto"/>
      </w:divBdr>
    </w:div>
    <w:div w:id="2069112653">
      <w:bodyDiv w:val="1"/>
      <w:marLeft w:val="0"/>
      <w:marRight w:val="0"/>
      <w:marTop w:val="0"/>
      <w:marBottom w:val="0"/>
      <w:divBdr>
        <w:top w:val="none" w:sz="0" w:space="0" w:color="auto"/>
        <w:left w:val="none" w:sz="0" w:space="0" w:color="auto"/>
        <w:bottom w:val="none" w:sz="0" w:space="0" w:color="auto"/>
        <w:right w:val="none" w:sz="0" w:space="0" w:color="auto"/>
      </w:divBdr>
    </w:div>
    <w:div w:id="2072265207">
      <w:bodyDiv w:val="1"/>
      <w:marLeft w:val="0"/>
      <w:marRight w:val="0"/>
      <w:marTop w:val="0"/>
      <w:marBottom w:val="0"/>
      <w:divBdr>
        <w:top w:val="none" w:sz="0" w:space="0" w:color="auto"/>
        <w:left w:val="none" w:sz="0" w:space="0" w:color="auto"/>
        <w:bottom w:val="none" w:sz="0" w:space="0" w:color="auto"/>
        <w:right w:val="none" w:sz="0" w:space="0" w:color="auto"/>
      </w:divBdr>
    </w:div>
    <w:div w:id="2072921511">
      <w:bodyDiv w:val="1"/>
      <w:marLeft w:val="0"/>
      <w:marRight w:val="0"/>
      <w:marTop w:val="0"/>
      <w:marBottom w:val="0"/>
      <w:divBdr>
        <w:top w:val="none" w:sz="0" w:space="0" w:color="auto"/>
        <w:left w:val="none" w:sz="0" w:space="0" w:color="auto"/>
        <w:bottom w:val="none" w:sz="0" w:space="0" w:color="auto"/>
        <w:right w:val="none" w:sz="0" w:space="0" w:color="auto"/>
      </w:divBdr>
    </w:div>
    <w:div w:id="2073456663">
      <w:bodyDiv w:val="1"/>
      <w:marLeft w:val="0"/>
      <w:marRight w:val="0"/>
      <w:marTop w:val="0"/>
      <w:marBottom w:val="0"/>
      <w:divBdr>
        <w:top w:val="none" w:sz="0" w:space="0" w:color="auto"/>
        <w:left w:val="none" w:sz="0" w:space="0" w:color="auto"/>
        <w:bottom w:val="none" w:sz="0" w:space="0" w:color="auto"/>
        <w:right w:val="none" w:sz="0" w:space="0" w:color="auto"/>
      </w:divBdr>
    </w:div>
    <w:div w:id="2073576364">
      <w:bodyDiv w:val="1"/>
      <w:marLeft w:val="0"/>
      <w:marRight w:val="0"/>
      <w:marTop w:val="0"/>
      <w:marBottom w:val="0"/>
      <w:divBdr>
        <w:top w:val="none" w:sz="0" w:space="0" w:color="auto"/>
        <w:left w:val="none" w:sz="0" w:space="0" w:color="auto"/>
        <w:bottom w:val="none" w:sz="0" w:space="0" w:color="auto"/>
        <w:right w:val="none" w:sz="0" w:space="0" w:color="auto"/>
      </w:divBdr>
    </w:div>
    <w:div w:id="2074693601">
      <w:bodyDiv w:val="1"/>
      <w:marLeft w:val="0"/>
      <w:marRight w:val="0"/>
      <w:marTop w:val="0"/>
      <w:marBottom w:val="0"/>
      <w:divBdr>
        <w:top w:val="none" w:sz="0" w:space="0" w:color="auto"/>
        <w:left w:val="none" w:sz="0" w:space="0" w:color="auto"/>
        <w:bottom w:val="none" w:sz="0" w:space="0" w:color="auto"/>
        <w:right w:val="none" w:sz="0" w:space="0" w:color="auto"/>
      </w:divBdr>
    </w:div>
    <w:div w:id="2080130211">
      <w:bodyDiv w:val="1"/>
      <w:marLeft w:val="0"/>
      <w:marRight w:val="0"/>
      <w:marTop w:val="0"/>
      <w:marBottom w:val="0"/>
      <w:divBdr>
        <w:top w:val="none" w:sz="0" w:space="0" w:color="auto"/>
        <w:left w:val="none" w:sz="0" w:space="0" w:color="auto"/>
        <w:bottom w:val="none" w:sz="0" w:space="0" w:color="auto"/>
        <w:right w:val="none" w:sz="0" w:space="0" w:color="auto"/>
      </w:divBdr>
    </w:div>
    <w:div w:id="2083990959">
      <w:bodyDiv w:val="1"/>
      <w:marLeft w:val="0"/>
      <w:marRight w:val="0"/>
      <w:marTop w:val="0"/>
      <w:marBottom w:val="0"/>
      <w:divBdr>
        <w:top w:val="none" w:sz="0" w:space="0" w:color="auto"/>
        <w:left w:val="none" w:sz="0" w:space="0" w:color="auto"/>
        <w:bottom w:val="none" w:sz="0" w:space="0" w:color="auto"/>
        <w:right w:val="none" w:sz="0" w:space="0" w:color="auto"/>
      </w:divBdr>
    </w:div>
    <w:div w:id="2086030327">
      <w:bodyDiv w:val="1"/>
      <w:marLeft w:val="0"/>
      <w:marRight w:val="0"/>
      <w:marTop w:val="0"/>
      <w:marBottom w:val="0"/>
      <w:divBdr>
        <w:top w:val="none" w:sz="0" w:space="0" w:color="auto"/>
        <w:left w:val="none" w:sz="0" w:space="0" w:color="auto"/>
        <w:bottom w:val="none" w:sz="0" w:space="0" w:color="auto"/>
        <w:right w:val="none" w:sz="0" w:space="0" w:color="auto"/>
      </w:divBdr>
    </w:div>
    <w:div w:id="2091732818">
      <w:bodyDiv w:val="1"/>
      <w:marLeft w:val="0"/>
      <w:marRight w:val="0"/>
      <w:marTop w:val="0"/>
      <w:marBottom w:val="0"/>
      <w:divBdr>
        <w:top w:val="none" w:sz="0" w:space="0" w:color="auto"/>
        <w:left w:val="none" w:sz="0" w:space="0" w:color="auto"/>
        <w:bottom w:val="none" w:sz="0" w:space="0" w:color="auto"/>
        <w:right w:val="none" w:sz="0" w:space="0" w:color="auto"/>
      </w:divBdr>
    </w:div>
    <w:div w:id="2092655907">
      <w:bodyDiv w:val="1"/>
      <w:marLeft w:val="0"/>
      <w:marRight w:val="0"/>
      <w:marTop w:val="0"/>
      <w:marBottom w:val="0"/>
      <w:divBdr>
        <w:top w:val="none" w:sz="0" w:space="0" w:color="auto"/>
        <w:left w:val="none" w:sz="0" w:space="0" w:color="auto"/>
        <w:bottom w:val="none" w:sz="0" w:space="0" w:color="auto"/>
        <w:right w:val="none" w:sz="0" w:space="0" w:color="auto"/>
      </w:divBdr>
    </w:div>
    <w:div w:id="2094276957">
      <w:bodyDiv w:val="1"/>
      <w:marLeft w:val="0"/>
      <w:marRight w:val="0"/>
      <w:marTop w:val="0"/>
      <w:marBottom w:val="0"/>
      <w:divBdr>
        <w:top w:val="none" w:sz="0" w:space="0" w:color="auto"/>
        <w:left w:val="none" w:sz="0" w:space="0" w:color="auto"/>
        <w:bottom w:val="none" w:sz="0" w:space="0" w:color="auto"/>
        <w:right w:val="none" w:sz="0" w:space="0" w:color="auto"/>
      </w:divBdr>
    </w:div>
    <w:div w:id="2096704069">
      <w:bodyDiv w:val="1"/>
      <w:marLeft w:val="0"/>
      <w:marRight w:val="0"/>
      <w:marTop w:val="0"/>
      <w:marBottom w:val="0"/>
      <w:divBdr>
        <w:top w:val="none" w:sz="0" w:space="0" w:color="auto"/>
        <w:left w:val="none" w:sz="0" w:space="0" w:color="auto"/>
        <w:bottom w:val="none" w:sz="0" w:space="0" w:color="auto"/>
        <w:right w:val="none" w:sz="0" w:space="0" w:color="auto"/>
      </w:divBdr>
    </w:div>
    <w:div w:id="2097479908">
      <w:bodyDiv w:val="1"/>
      <w:marLeft w:val="0"/>
      <w:marRight w:val="0"/>
      <w:marTop w:val="0"/>
      <w:marBottom w:val="0"/>
      <w:divBdr>
        <w:top w:val="none" w:sz="0" w:space="0" w:color="auto"/>
        <w:left w:val="none" w:sz="0" w:space="0" w:color="auto"/>
        <w:bottom w:val="none" w:sz="0" w:space="0" w:color="auto"/>
        <w:right w:val="none" w:sz="0" w:space="0" w:color="auto"/>
      </w:divBdr>
    </w:div>
    <w:div w:id="2097511605">
      <w:bodyDiv w:val="1"/>
      <w:marLeft w:val="0"/>
      <w:marRight w:val="0"/>
      <w:marTop w:val="0"/>
      <w:marBottom w:val="0"/>
      <w:divBdr>
        <w:top w:val="none" w:sz="0" w:space="0" w:color="auto"/>
        <w:left w:val="none" w:sz="0" w:space="0" w:color="auto"/>
        <w:bottom w:val="none" w:sz="0" w:space="0" w:color="auto"/>
        <w:right w:val="none" w:sz="0" w:space="0" w:color="auto"/>
      </w:divBdr>
    </w:div>
    <w:div w:id="2100641596">
      <w:bodyDiv w:val="1"/>
      <w:marLeft w:val="0"/>
      <w:marRight w:val="0"/>
      <w:marTop w:val="0"/>
      <w:marBottom w:val="0"/>
      <w:divBdr>
        <w:top w:val="none" w:sz="0" w:space="0" w:color="auto"/>
        <w:left w:val="none" w:sz="0" w:space="0" w:color="auto"/>
        <w:bottom w:val="none" w:sz="0" w:space="0" w:color="auto"/>
        <w:right w:val="none" w:sz="0" w:space="0" w:color="auto"/>
      </w:divBdr>
    </w:div>
    <w:div w:id="2107462232">
      <w:bodyDiv w:val="1"/>
      <w:marLeft w:val="0"/>
      <w:marRight w:val="0"/>
      <w:marTop w:val="0"/>
      <w:marBottom w:val="0"/>
      <w:divBdr>
        <w:top w:val="none" w:sz="0" w:space="0" w:color="auto"/>
        <w:left w:val="none" w:sz="0" w:space="0" w:color="auto"/>
        <w:bottom w:val="none" w:sz="0" w:space="0" w:color="auto"/>
        <w:right w:val="none" w:sz="0" w:space="0" w:color="auto"/>
      </w:divBdr>
    </w:div>
    <w:div w:id="2109888164">
      <w:bodyDiv w:val="1"/>
      <w:marLeft w:val="0"/>
      <w:marRight w:val="0"/>
      <w:marTop w:val="0"/>
      <w:marBottom w:val="0"/>
      <w:divBdr>
        <w:top w:val="none" w:sz="0" w:space="0" w:color="auto"/>
        <w:left w:val="none" w:sz="0" w:space="0" w:color="auto"/>
        <w:bottom w:val="none" w:sz="0" w:space="0" w:color="auto"/>
        <w:right w:val="none" w:sz="0" w:space="0" w:color="auto"/>
      </w:divBdr>
    </w:div>
    <w:div w:id="2110195502">
      <w:bodyDiv w:val="1"/>
      <w:marLeft w:val="0"/>
      <w:marRight w:val="0"/>
      <w:marTop w:val="0"/>
      <w:marBottom w:val="0"/>
      <w:divBdr>
        <w:top w:val="none" w:sz="0" w:space="0" w:color="auto"/>
        <w:left w:val="none" w:sz="0" w:space="0" w:color="auto"/>
        <w:bottom w:val="none" w:sz="0" w:space="0" w:color="auto"/>
        <w:right w:val="none" w:sz="0" w:space="0" w:color="auto"/>
      </w:divBdr>
    </w:div>
    <w:div w:id="2110463559">
      <w:bodyDiv w:val="1"/>
      <w:marLeft w:val="0"/>
      <w:marRight w:val="0"/>
      <w:marTop w:val="0"/>
      <w:marBottom w:val="0"/>
      <w:divBdr>
        <w:top w:val="none" w:sz="0" w:space="0" w:color="auto"/>
        <w:left w:val="none" w:sz="0" w:space="0" w:color="auto"/>
        <w:bottom w:val="none" w:sz="0" w:space="0" w:color="auto"/>
        <w:right w:val="none" w:sz="0" w:space="0" w:color="auto"/>
      </w:divBdr>
    </w:div>
    <w:div w:id="2114130494">
      <w:bodyDiv w:val="1"/>
      <w:marLeft w:val="0"/>
      <w:marRight w:val="0"/>
      <w:marTop w:val="0"/>
      <w:marBottom w:val="0"/>
      <w:divBdr>
        <w:top w:val="none" w:sz="0" w:space="0" w:color="auto"/>
        <w:left w:val="none" w:sz="0" w:space="0" w:color="auto"/>
        <w:bottom w:val="none" w:sz="0" w:space="0" w:color="auto"/>
        <w:right w:val="none" w:sz="0" w:space="0" w:color="auto"/>
      </w:divBdr>
    </w:div>
    <w:div w:id="2116558148">
      <w:bodyDiv w:val="1"/>
      <w:marLeft w:val="0"/>
      <w:marRight w:val="0"/>
      <w:marTop w:val="0"/>
      <w:marBottom w:val="0"/>
      <w:divBdr>
        <w:top w:val="none" w:sz="0" w:space="0" w:color="auto"/>
        <w:left w:val="none" w:sz="0" w:space="0" w:color="auto"/>
        <w:bottom w:val="none" w:sz="0" w:space="0" w:color="auto"/>
        <w:right w:val="none" w:sz="0" w:space="0" w:color="auto"/>
      </w:divBdr>
    </w:div>
    <w:div w:id="2120951566">
      <w:bodyDiv w:val="1"/>
      <w:marLeft w:val="0"/>
      <w:marRight w:val="0"/>
      <w:marTop w:val="0"/>
      <w:marBottom w:val="0"/>
      <w:divBdr>
        <w:top w:val="none" w:sz="0" w:space="0" w:color="auto"/>
        <w:left w:val="none" w:sz="0" w:space="0" w:color="auto"/>
        <w:bottom w:val="none" w:sz="0" w:space="0" w:color="auto"/>
        <w:right w:val="none" w:sz="0" w:space="0" w:color="auto"/>
      </w:divBdr>
    </w:div>
    <w:div w:id="2123064222">
      <w:bodyDiv w:val="1"/>
      <w:marLeft w:val="0"/>
      <w:marRight w:val="0"/>
      <w:marTop w:val="0"/>
      <w:marBottom w:val="0"/>
      <w:divBdr>
        <w:top w:val="none" w:sz="0" w:space="0" w:color="auto"/>
        <w:left w:val="none" w:sz="0" w:space="0" w:color="auto"/>
        <w:bottom w:val="none" w:sz="0" w:space="0" w:color="auto"/>
        <w:right w:val="none" w:sz="0" w:space="0" w:color="auto"/>
      </w:divBdr>
    </w:div>
    <w:div w:id="2134444572">
      <w:bodyDiv w:val="1"/>
      <w:marLeft w:val="0"/>
      <w:marRight w:val="0"/>
      <w:marTop w:val="0"/>
      <w:marBottom w:val="0"/>
      <w:divBdr>
        <w:top w:val="none" w:sz="0" w:space="0" w:color="auto"/>
        <w:left w:val="none" w:sz="0" w:space="0" w:color="auto"/>
        <w:bottom w:val="none" w:sz="0" w:space="0" w:color="auto"/>
        <w:right w:val="none" w:sz="0" w:space="0" w:color="auto"/>
      </w:divBdr>
    </w:div>
    <w:div w:id="2137142499">
      <w:bodyDiv w:val="1"/>
      <w:marLeft w:val="0"/>
      <w:marRight w:val="0"/>
      <w:marTop w:val="0"/>
      <w:marBottom w:val="0"/>
      <w:divBdr>
        <w:top w:val="none" w:sz="0" w:space="0" w:color="auto"/>
        <w:left w:val="none" w:sz="0" w:space="0" w:color="auto"/>
        <w:bottom w:val="none" w:sz="0" w:space="0" w:color="auto"/>
        <w:right w:val="none" w:sz="0" w:space="0" w:color="auto"/>
      </w:divBdr>
    </w:div>
    <w:div w:id="2143617730">
      <w:bodyDiv w:val="1"/>
      <w:marLeft w:val="0"/>
      <w:marRight w:val="0"/>
      <w:marTop w:val="0"/>
      <w:marBottom w:val="0"/>
      <w:divBdr>
        <w:top w:val="none" w:sz="0" w:space="0" w:color="auto"/>
        <w:left w:val="none" w:sz="0" w:space="0" w:color="auto"/>
        <w:bottom w:val="none" w:sz="0" w:space="0" w:color="auto"/>
        <w:right w:val="none" w:sz="0" w:space="0" w:color="auto"/>
      </w:divBdr>
    </w:div>
    <w:div w:id="2143689924">
      <w:bodyDiv w:val="1"/>
      <w:marLeft w:val="0"/>
      <w:marRight w:val="0"/>
      <w:marTop w:val="0"/>
      <w:marBottom w:val="0"/>
      <w:divBdr>
        <w:top w:val="none" w:sz="0" w:space="0" w:color="auto"/>
        <w:left w:val="none" w:sz="0" w:space="0" w:color="auto"/>
        <w:bottom w:val="none" w:sz="0" w:space="0" w:color="auto"/>
        <w:right w:val="none" w:sz="0" w:space="0" w:color="auto"/>
      </w:divBdr>
    </w:div>
    <w:div w:id="2144499780">
      <w:bodyDiv w:val="1"/>
      <w:marLeft w:val="0"/>
      <w:marRight w:val="0"/>
      <w:marTop w:val="0"/>
      <w:marBottom w:val="0"/>
      <w:divBdr>
        <w:top w:val="none" w:sz="0" w:space="0" w:color="auto"/>
        <w:left w:val="none" w:sz="0" w:space="0" w:color="auto"/>
        <w:bottom w:val="none" w:sz="0" w:space="0" w:color="auto"/>
        <w:right w:val="none" w:sz="0" w:space="0" w:color="auto"/>
      </w:divBdr>
    </w:div>
    <w:div w:id="214677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emf"/><Relationship Id="rId299" Type="http://schemas.openxmlformats.org/officeDocument/2006/relationships/image" Target="media/image238.png"/><Relationship Id="rId21" Type="http://schemas.openxmlformats.org/officeDocument/2006/relationships/hyperlink" Target="http://pbdata.wpengine.com/" TargetMode="External"/><Relationship Id="rId63" Type="http://schemas.openxmlformats.org/officeDocument/2006/relationships/image" Target="media/image43.emf"/><Relationship Id="rId159" Type="http://schemas.openxmlformats.org/officeDocument/2006/relationships/image" Target="media/image124.emf"/><Relationship Id="rId324" Type="http://schemas.openxmlformats.org/officeDocument/2006/relationships/hyperlink" Target="https://www.peterborough.gov.uk/healthcare/public-health/" TargetMode="External"/><Relationship Id="rId170" Type="http://schemas.openxmlformats.org/officeDocument/2006/relationships/image" Target="media/image135.emf"/><Relationship Id="rId226" Type="http://schemas.openxmlformats.org/officeDocument/2006/relationships/image" Target="media/image189.png"/><Relationship Id="rId268" Type="http://schemas.openxmlformats.org/officeDocument/2006/relationships/image" Target="media/image207.emf"/><Relationship Id="rId32" Type="http://schemas.openxmlformats.org/officeDocument/2006/relationships/image" Target="media/image15.png"/><Relationship Id="rId74" Type="http://schemas.openxmlformats.org/officeDocument/2006/relationships/image" Target="media/image54.png"/><Relationship Id="rId128" Type="http://schemas.openxmlformats.org/officeDocument/2006/relationships/image" Target="media/image97.png"/><Relationship Id="rId5" Type="http://schemas.openxmlformats.org/officeDocument/2006/relationships/webSettings" Target="webSettings.xml"/><Relationship Id="rId181" Type="http://schemas.openxmlformats.org/officeDocument/2006/relationships/image" Target="media/image145.emf"/><Relationship Id="rId237" Type="http://schemas.openxmlformats.org/officeDocument/2006/relationships/image" Target="media/image200.png"/><Relationship Id="rId279" Type="http://schemas.openxmlformats.org/officeDocument/2006/relationships/image" Target="media/image218.png"/><Relationship Id="rId43" Type="http://schemas.openxmlformats.org/officeDocument/2006/relationships/image" Target="media/image23.png"/><Relationship Id="rId139" Type="http://schemas.openxmlformats.org/officeDocument/2006/relationships/image" Target="media/image105.emf"/><Relationship Id="rId290" Type="http://schemas.openxmlformats.org/officeDocument/2006/relationships/image" Target="media/image229.emf"/><Relationship Id="rId304" Type="http://schemas.openxmlformats.org/officeDocument/2006/relationships/image" Target="media/image243.emf"/><Relationship Id="rId85" Type="http://schemas.openxmlformats.org/officeDocument/2006/relationships/image" Target="media/image62.png"/><Relationship Id="rId150" Type="http://schemas.openxmlformats.org/officeDocument/2006/relationships/image" Target="media/image116.emf"/><Relationship Id="rId192" Type="http://schemas.openxmlformats.org/officeDocument/2006/relationships/image" Target="media/image156.emf"/><Relationship Id="rId206" Type="http://schemas.openxmlformats.org/officeDocument/2006/relationships/hyperlink" Target="https://files.digital.nhs.uk/F6/A5706C/MHCYP%202017%20Summary.pdf" TargetMode="External"/><Relationship Id="rId248" Type="http://schemas.openxmlformats.org/officeDocument/2006/relationships/chart" Target="charts/chart9.xml"/><Relationship Id="rId12" Type="http://schemas.openxmlformats.org/officeDocument/2006/relationships/image" Target="media/image3.png"/><Relationship Id="rId108" Type="http://schemas.openxmlformats.org/officeDocument/2006/relationships/image" Target="media/image80.png"/><Relationship Id="rId315" Type="http://schemas.openxmlformats.org/officeDocument/2006/relationships/image" Target="media/image250.png"/><Relationship Id="rId54" Type="http://schemas.openxmlformats.org/officeDocument/2006/relationships/image" Target="media/image34.emf"/><Relationship Id="rId96" Type="http://schemas.openxmlformats.org/officeDocument/2006/relationships/image" Target="media/image71.emf"/><Relationship Id="rId161" Type="http://schemas.openxmlformats.org/officeDocument/2006/relationships/image" Target="media/image126.emf"/><Relationship Id="rId217" Type="http://schemas.openxmlformats.org/officeDocument/2006/relationships/image" Target="media/image180.png"/><Relationship Id="rId259" Type="http://schemas.openxmlformats.org/officeDocument/2006/relationships/chart" Target="charts/chart18.xml"/><Relationship Id="rId23" Type="http://schemas.openxmlformats.org/officeDocument/2006/relationships/hyperlink" Target="http://www.localhealth.org.uk/" TargetMode="External"/><Relationship Id="rId119" Type="http://schemas.openxmlformats.org/officeDocument/2006/relationships/image" Target="media/image89.png"/><Relationship Id="rId270" Type="http://schemas.openxmlformats.org/officeDocument/2006/relationships/image" Target="media/image209.emf"/><Relationship Id="rId326" Type="http://schemas.openxmlformats.org/officeDocument/2006/relationships/hyperlink" Target="http://www.phoutcomes.info/" TargetMode="External"/><Relationship Id="rId65" Type="http://schemas.openxmlformats.org/officeDocument/2006/relationships/image" Target="media/image45.png"/><Relationship Id="rId130" Type="http://schemas.openxmlformats.org/officeDocument/2006/relationships/image" Target="media/image99.png"/><Relationship Id="rId172" Type="http://schemas.openxmlformats.org/officeDocument/2006/relationships/image" Target="media/image137.png"/><Relationship Id="rId228" Type="http://schemas.openxmlformats.org/officeDocument/2006/relationships/image" Target="media/image191.png"/><Relationship Id="rId281" Type="http://schemas.openxmlformats.org/officeDocument/2006/relationships/image" Target="media/image220.png"/><Relationship Id="rId34" Type="http://schemas.openxmlformats.org/officeDocument/2006/relationships/image" Target="media/image17.emf"/><Relationship Id="rId76" Type="http://schemas.openxmlformats.org/officeDocument/2006/relationships/image" Target="media/image55.emf"/><Relationship Id="rId141" Type="http://schemas.openxmlformats.org/officeDocument/2006/relationships/image" Target="media/image107.emf"/><Relationship Id="rId7" Type="http://schemas.openxmlformats.org/officeDocument/2006/relationships/endnotes" Target="endnotes.xml"/><Relationship Id="rId183" Type="http://schemas.openxmlformats.org/officeDocument/2006/relationships/image" Target="media/image147.emf"/><Relationship Id="rId239" Type="http://schemas.openxmlformats.org/officeDocument/2006/relationships/image" Target="media/image202.emf"/><Relationship Id="rId250" Type="http://schemas.openxmlformats.org/officeDocument/2006/relationships/chart" Target="charts/chart11.xml"/><Relationship Id="rId271" Type="http://schemas.openxmlformats.org/officeDocument/2006/relationships/image" Target="media/image210.png"/><Relationship Id="rId292" Type="http://schemas.openxmlformats.org/officeDocument/2006/relationships/image" Target="media/image231.emf"/><Relationship Id="rId306" Type="http://schemas.openxmlformats.org/officeDocument/2006/relationships/image" Target="media/image245.emf"/><Relationship Id="rId24" Type="http://schemas.openxmlformats.org/officeDocument/2006/relationships/hyperlink" Target="https://www.cambridgeshire.gov.uk/residents/travel-roads-and-parking/roads-and-pathways/road-safety/" TargetMode="External"/><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4.emf"/><Relationship Id="rId110" Type="http://schemas.openxmlformats.org/officeDocument/2006/relationships/image" Target="media/image82.png"/><Relationship Id="rId131" Type="http://schemas.openxmlformats.org/officeDocument/2006/relationships/image" Target="media/image100.emf"/><Relationship Id="rId327" Type="http://schemas.openxmlformats.org/officeDocument/2006/relationships/hyperlink" Target="https://fingertips.phe.org.uk/" TargetMode="External"/><Relationship Id="rId152" Type="http://schemas.openxmlformats.org/officeDocument/2006/relationships/image" Target="media/image117.emf"/><Relationship Id="rId173" Type="http://schemas.openxmlformats.org/officeDocument/2006/relationships/image" Target="media/image138.emf"/><Relationship Id="rId194" Type="http://schemas.openxmlformats.org/officeDocument/2006/relationships/image" Target="media/image158.emf"/><Relationship Id="rId208" Type="http://schemas.openxmlformats.org/officeDocument/2006/relationships/image" Target="media/image171.emf"/><Relationship Id="rId229" Type="http://schemas.openxmlformats.org/officeDocument/2006/relationships/image" Target="media/image192.png"/><Relationship Id="rId240" Type="http://schemas.openxmlformats.org/officeDocument/2006/relationships/chart" Target="charts/chart1.xml"/><Relationship Id="rId261" Type="http://schemas.openxmlformats.org/officeDocument/2006/relationships/hyperlink" Target="https://assets.publishing.service.gov.uk/government/uploads/system/uploads/attachment_data/file/762539/Characteristics_of_children_in_need_2017-2018_Main_tables.xlsx" TargetMode="External"/><Relationship Id="rId14" Type="http://schemas.openxmlformats.org/officeDocument/2006/relationships/hyperlink" Target="http://cambridgeshireinsight.org.uk/jsna" TargetMode="External"/><Relationship Id="rId35" Type="http://schemas.openxmlformats.org/officeDocument/2006/relationships/image" Target="media/image18.png"/><Relationship Id="rId56" Type="http://schemas.openxmlformats.org/officeDocument/2006/relationships/image" Target="media/image36.emf"/><Relationship Id="rId77" Type="http://schemas.openxmlformats.org/officeDocument/2006/relationships/image" Target="media/image56.png"/><Relationship Id="rId100" Type="http://schemas.openxmlformats.org/officeDocument/2006/relationships/hyperlink" Target="http://fingertipsreports.phe.org.uk/health-profiles/2018/e10000003.pdf" TargetMode="External"/><Relationship Id="rId282" Type="http://schemas.openxmlformats.org/officeDocument/2006/relationships/image" Target="media/image221.png"/><Relationship Id="rId317" Type="http://schemas.openxmlformats.org/officeDocument/2006/relationships/hyperlink" Target="http://cambridgeshireinsight.org.uk/jsna" TargetMode="External"/><Relationship Id="rId8" Type="http://schemas.openxmlformats.org/officeDocument/2006/relationships/image" Target="media/image1.png"/><Relationship Id="rId98" Type="http://schemas.openxmlformats.org/officeDocument/2006/relationships/image" Target="media/image73.png"/><Relationship Id="rId121" Type="http://schemas.openxmlformats.org/officeDocument/2006/relationships/image" Target="media/image91.png"/><Relationship Id="rId142" Type="http://schemas.openxmlformats.org/officeDocument/2006/relationships/image" Target="media/image108.emf"/><Relationship Id="rId163" Type="http://schemas.openxmlformats.org/officeDocument/2006/relationships/image" Target="media/image128.emf"/><Relationship Id="rId184" Type="http://schemas.openxmlformats.org/officeDocument/2006/relationships/image" Target="media/image148.png"/><Relationship Id="rId219" Type="http://schemas.openxmlformats.org/officeDocument/2006/relationships/image" Target="media/image182.emf"/><Relationship Id="rId230" Type="http://schemas.openxmlformats.org/officeDocument/2006/relationships/image" Target="media/image193.emf"/><Relationship Id="rId251" Type="http://schemas.openxmlformats.org/officeDocument/2006/relationships/chart" Target="charts/chart12.xml"/><Relationship Id="rId25" Type="http://schemas.openxmlformats.org/officeDocument/2006/relationships/image" Target="media/image9.png"/><Relationship Id="rId46" Type="http://schemas.openxmlformats.org/officeDocument/2006/relationships/image" Target="media/image26.png"/><Relationship Id="rId67" Type="http://schemas.openxmlformats.org/officeDocument/2006/relationships/image" Target="media/image47.png"/><Relationship Id="rId272" Type="http://schemas.openxmlformats.org/officeDocument/2006/relationships/image" Target="media/image211.emf"/><Relationship Id="rId293" Type="http://schemas.openxmlformats.org/officeDocument/2006/relationships/image" Target="media/image232.emf"/><Relationship Id="rId307" Type="http://schemas.openxmlformats.org/officeDocument/2006/relationships/image" Target="media/image246.emf"/><Relationship Id="rId328" Type="http://schemas.openxmlformats.org/officeDocument/2006/relationships/hyperlink" Target="mailto:phi-team@cambridgeshire.gov.uk" TargetMode="External"/><Relationship Id="rId88" Type="http://schemas.openxmlformats.org/officeDocument/2006/relationships/image" Target="media/image65.png"/><Relationship Id="rId111" Type="http://schemas.openxmlformats.org/officeDocument/2006/relationships/hyperlink" Target="http://www.phoutcomes.info" TargetMode="External"/><Relationship Id="rId132" Type="http://schemas.openxmlformats.org/officeDocument/2006/relationships/hyperlink" Target="http://fingertips.phe.org.uk/mh-jsna" TargetMode="External"/><Relationship Id="rId153" Type="http://schemas.openxmlformats.org/officeDocument/2006/relationships/image" Target="media/image118.emf"/><Relationship Id="rId174" Type="http://schemas.openxmlformats.org/officeDocument/2006/relationships/image" Target="media/image139.png"/><Relationship Id="rId195" Type="http://schemas.openxmlformats.org/officeDocument/2006/relationships/image" Target="media/image159.emf"/><Relationship Id="rId209" Type="http://schemas.openxmlformats.org/officeDocument/2006/relationships/image" Target="media/image172.emf"/><Relationship Id="rId220" Type="http://schemas.openxmlformats.org/officeDocument/2006/relationships/image" Target="media/image183.emf"/><Relationship Id="rId241" Type="http://schemas.openxmlformats.org/officeDocument/2006/relationships/chart" Target="charts/chart2.xml"/><Relationship Id="rId15" Type="http://schemas.openxmlformats.org/officeDocument/2006/relationships/hyperlink" Target="file:///C:\Users\et139\AppData\Roaming\Microsoft\Word\www.peterborough.gov.uk\healthcare\public-health\JSNA" TargetMode="External"/><Relationship Id="rId36" Type="http://schemas.openxmlformats.org/officeDocument/2006/relationships/image" Target="media/image19.emf"/><Relationship Id="rId57" Type="http://schemas.openxmlformats.org/officeDocument/2006/relationships/image" Target="media/image37.emf"/><Relationship Id="rId262" Type="http://schemas.openxmlformats.org/officeDocument/2006/relationships/hyperlink" Target="https://www.gov.uk/government/publications/children-looked-after-return-2017-to-2018-guide" TargetMode="External"/><Relationship Id="rId283" Type="http://schemas.openxmlformats.org/officeDocument/2006/relationships/image" Target="media/image222.emf"/><Relationship Id="rId318" Type="http://schemas.openxmlformats.org/officeDocument/2006/relationships/hyperlink" Target="http://cambridgeshireinsight.org.uk/joint-strategic-needs-assessment/current-jsna-reports" TargetMode="External"/><Relationship Id="rId78" Type="http://schemas.openxmlformats.org/officeDocument/2006/relationships/hyperlink" Target="https://www.gov.uk/government/statistics/national-insurance-number-allocations-to-adult-overseas-nationals-to-june-2018" TargetMode="External"/><Relationship Id="rId99" Type="http://schemas.openxmlformats.org/officeDocument/2006/relationships/image" Target="media/image74.png"/><Relationship Id="rId101" Type="http://schemas.openxmlformats.org/officeDocument/2006/relationships/image" Target="media/image75.png"/><Relationship Id="rId122" Type="http://schemas.openxmlformats.org/officeDocument/2006/relationships/image" Target="media/image92.png"/><Relationship Id="rId143" Type="http://schemas.openxmlformats.org/officeDocument/2006/relationships/image" Target="media/image109.emf"/><Relationship Id="rId164" Type="http://schemas.openxmlformats.org/officeDocument/2006/relationships/image" Target="media/image129.emf"/><Relationship Id="rId185" Type="http://schemas.openxmlformats.org/officeDocument/2006/relationships/image" Target="media/image149.emf"/><Relationship Id="rId9" Type="http://schemas.openxmlformats.org/officeDocument/2006/relationships/hyperlink" Target="http://cambridgeshireinsight.org.uk/jsna" TargetMode="External"/><Relationship Id="rId210" Type="http://schemas.openxmlformats.org/officeDocument/2006/relationships/image" Target="media/image173.emf"/><Relationship Id="rId26" Type="http://schemas.openxmlformats.org/officeDocument/2006/relationships/hyperlink" Target="https://cambridgeshireinsight.org.uk/population/" TargetMode="External"/><Relationship Id="rId231" Type="http://schemas.openxmlformats.org/officeDocument/2006/relationships/image" Target="media/image194.emf"/><Relationship Id="rId252" Type="http://schemas.openxmlformats.org/officeDocument/2006/relationships/chart" Target="charts/chart13.xml"/><Relationship Id="rId273" Type="http://schemas.openxmlformats.org/officeDocument/2006/relationships/image" Target="media/image212.emf"/><Relationship Id="rId294" Type="http://schemas.openxmlformats.org/officeDocument/2006/relationships/image" Target="media/image233.emf"/><Relationship Id="rId308" Type="http://schemas.openxmlformats.org/officeDocument/2006/relationships/image" Target="media/image247.emf"/><Relationship Id="rId329" Type="http://schemas.openxmlformats.org/officeDocument/2006/relationships/hyperlink" Target="http://cambridgeshireinsight.org.uk/health"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6.emf"/><Relationship Id="rId112" Type="http://schemas.openxmlformats.org/officeDocument/2006/relationships/image" Target="media/image83.png"/><Relationship Id="rId133" Type="http://schemas.openxmlformats.org/officeDocument/2006/relationships/image" Target="media/image101.emf"/><Relationship Id="rId154" Type="http://schemas.openxmlformats.org/officeDocument/2006/relationships/image" Target="media/image119.png"/><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image" Target="media/image164.emf"/><Relationship Id="rId16" Type="http://schemas.openxmlformats.org/officeDocument/2006/relationships/header" Target="header1.xml"/><Relationship Id="rId221" Type="http://schemas.openxmlformats.org/officeDocument/2006/relationships/image" Target="media/image184.png"/><Relationship Id="rId242" Type="http://schemas.openxmlformats.org/officeDocument/2006/relationships/chart" Target="charts/chart3.xml"/><Relationship Id="rId263" Type="http://schemas.openxmlformats.org/officeDocument/2006/relationships/hyperlink" Target="https://www.gov.uk/government/publications/children-in-need-census-2017-to-2018-guide" TargetMode="External"/><Relationship Id="rId284" Type="http://schemas.openxmlformats.org/officeDocument/2006/relationships/image" Target="media/image223.emf"/><Relationship Id="rId319" Type="http://schemas.openxmlformats.org/officeDocument/2006/relationships/hyperlink" Target="mailto:david.lea@cambridgeshire.gov.uk" TargetMode="External"/><Relationship Id="rId37" Type="http://schemas.openxmlformats.org/officeDocument/2006/relationships/hyperlink" Target="http://cambridgeshire.wpengine.com/wp-content/uploads/2017/08/2015-Cambridgeshire-and-Peterborough-Population-and-Dwelling-Stock-Estimates-and-Forecasts-Methodology-Note.pdf" TargetMode="External"/><Relationship Id="rId58" Type="http://schemas.openxmlformats.org/officeDocument/2006/relationships/image" Target="media/image38.emf"/><Relationship Id="rId79" Type="http://schemas.openxmlformats.org/officeDocument/2006/relationships/image" Target="media/image57.emf"/><Relationship Id="rId102" Type="http://schemas.openxmlformats.org/officeDocument/2006/relationships/hyperlink" Target="http://fingertipsreports.phe.org.uk/health-profiles/2018/e06000031.pdf" TargetMode="External"/><Relationship Id="rId123" Type="http://schemas.openxmlformats.org/officeDocument/2006/relationships/image" Target="media/image93.emf"/><Relationship Id="rId144" Type="http://schemas.openxmlformats.org/officeDocument/2006/relationships/image" Target="media/image110.emf"/><Relationship Id="rId330" Type="http://schemas.openxmlformats.org/officeDocument/2006/relationships/fontTable" Target="fontTable.xml"/><Relationship Id="rId90" Type="http://schemas.openxmlformats.org/officeDocument/2006/relationships/image" Target="media/image67.emf"/><Relationship Id="rId165" Type="http://schemas.openxmlformats.org/officeDocument/2006/relationships/image" Target="media/image130.png"/><Relationship Id="rId186" Type="http://schemas.openxmlformats.org/officeDocument/2006/relationships/image" Target="media/image150.emf"/><Relationship Id="rId211" Type="http://schemas.openxmlformats.org/officeDocument/2006/relationships/image" Target="media/image174.emf"/><Relationship Id="rId232" Type="http://schemas.openxmlformats.org/officeDocument/2006/relationships/image" Target="media/image195.png"/><Relationship Id="rId253" Type="http://schemas.openxmlformats.org/officeDocument/2006/relationships/chart" Target="charts/chart14.xml"/><Relationship Id="rId274" Type="http://schemas.openxmlformats.org/officeDocument/2006/relationships/image" Target="media/image213.emf"/><Relationship Id="rId295" Type="http://schemas.openxmlformats.org/officeDocument/2006/relationships/image" Target="media/image234.emf"/><Relationship Id="rId309" Type="http://schemas.openxmlformats.org/officeDocument/2006/relationships/image" Target="media/image248.emf"/><Relationship Id="rId27" Type="http://schemas.openxmlformats.org/officeDocument/2006/relationships/image" Target="media/image10.png"/><Relationship Id="rId48" Type="http://schemas.openxmlformats.org/officeDocument/2006/relationships/image" Target="media/image28.emf"/><Relationship Id="rId69" Type="http://schemas.openxmlformats.org/officeDocument/2006/relationships/image" Target="media/image49.emf"/><Relationship Id="rId113" Type="http://schemas.openxmlformats.org/officeDocument/2006/relationships/image" Target="media/image84.emf"/><Relationship Id="rId134" Type="http://schemas.openxmlformats.org/officeDocument/2006/relationships/hyperlink" Target="https://fingertips.phe.org.uk/profile/wider-determinants" TargetMode="External"/><Relationship Id="rId320" Type="http://schemas.openxmlformats.org/officeDocument/2006/relationships/hyperlink" Target="mailto:PHI-team@cambridgeshire.gov.uk" TargetMode="External"/><Relationship Id="rId80" Type="http://schemas.openxmlformats.org/officeDocument/2006/relationships/image" Target="media/image58.emf"/><Relationship Id="rId155" Type="http://schemas.openxmlformats.org/officeDocument/2006/relationships/image" Target="media/image120.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5.emf"/><Relationship Id="rId222" Type="http://schemas.openxmlformats.org/officeDocument/2006/relationships/image" Target="media/image185.png"/><Relationship Id="rId243" Type="http://schemas.openxmlformats.org/officeDocument/2006/relationships/chart" Target="charts/chart4.xml"/><Relationship Id="rId264" Type="http://schemas.openxmlformats.org/officeDocument/2006/relationships/hyperlink" Target="https://www.ons.gov.uk/peoplepopulationandcommunity/populationandmigration/populationestimates/datasets/populationestimatesforukenglandandwalesscotlandandnorthernireland" TargetMode="External"/><Relationship Id="rId285" Type="http://schemas.openxmlformats.org/officeDocument/2006/relationships/image" Target="media/image224.emf"/><Relationship Id="rId17" Type="http://schemas.openxmlformats.org/officeDocument/2006/relationships/footer" Target="footer1.xml"/><Relationship Id="rId38" Type="http://schemas.openxmlformats.org/officeDocument/2006/relationships/hyperlink" Target="https://www.ons.gov.uk/peoplepopulationandcommunity/populationandmigration/populationprojections" TargetMode="External"/><Relationship Id="rId59" Type="http://schemas.openxmlformats.org/officeDocument/2006/relationships/image" Target="media/image39.emf"/><Relationship Id="rId103" Type="http://schemas.openxmlformats.org/officeDocument/2006/relationships/image" Target="media/image76.png"/><Relationship Id="rId124" Type="http://schemas.openxmlformats.org/officeDocument/2006/relationships/image" Target="media/image94.emf"/><Relationship Id="rId310" Type="http://schemas.openxmlformats.org/officeDocument/2006/relationships/hyperlink" Target="https://cambridgeshireinsight.org.uk/jsna/health-and-wellbeing-strategy/" TargetMode="External"/><Relationship Id="rId70" Type="http://schemas.openxmlformats.org/officeDocument/2006/relationships/image" Target="media/image50.emf"/><Relationship Id="rId91" Type="http://schemas.openxmlformats.org/officeDocument/2006/relationships/image" Target="media/image68.png"/><Relationship Id="rId145" Type="http://schemas.openxmlformats.org/officeDocument/2006/relationships/image" Target="media/image111.png"/><Relationship Id="rId166" Type="http://schemas.openxmlformats.org/officeDocument/2006/relationships/image" Target="media/image131.emf"/><Relationship Id="rId187" Type="http://schemas.openxmlformats.org/officeDocument/2006/relationships/image" Target="media/image151.emf"/><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6.emf"/><Relationship Id="rId254" Type="http://schemas.openxmlformats.org/officeDocument/2006/relationships/chart" Target="charts/chart15.xml"/><Relationship Id="rId28" Type="http://schemas.openxmlformats.org/officeDocument/2006/relationships/image" Target="media/image11.png"/><Relationship Id="rId49" Type="http://schemas.openxmlformats.org/officeDocument/2006/relationships/image" Target="media/image29.emf"/><Relationship Id="rId114" Type="http://schemas.openxmlformats.org/officeDocument/2006/relationships/image" Target="media/image85.png"/><Relationship Id="rId275" Type="http://schemas.openxmlformats.org/officeDocument/2006/relationships/image" Target="media/image214.emf"/><Relationship Id="rId296" Type="http://schemas.openxmlformats.org/officeDocument/2006/relationships/image" Target="media/image235.emf"/><Relationship Id="rId300" Type="http://schemas.openxmlformats.org/officeDocument/2006/relationships/image" Target="media/image239.emf"/><Relationship Id="rId60" Type="http://schemas.openxmlformats.org/officeDocument/2006/relationships/image" Target="media/image40.emf"/><Relationship Id="rId81" Type="http://schemas.openxmlformats.org/officeDocument/2006/relationships/image" Target="media/image59.emf"/><Relationship Id="rId135" Type="http://schemas.openxmlformats.org/officeDocument/2006/relationships/image" Target="media/image102.emf"/><Relationship Id="rId156" Type="http://schemas.openxmlformats.org/officeDocument/2006/relationships/image" Target="media/image121.emf"/><Relationship Id="rId177" Type="http://schemas.openxmlformats.org/officeDocument/2006/relationships/image" Target="media/image142.emf"/><Relationship Id="rId198" Type="http://schemas.openxmlformats.org/officeDocument/2006/relationships/image" Target="media/image162.emf"/><Relationship Id="rId321" Type="http://schemas.openxmlformats.org/officeDocument/2006/relationships/hyperlink" Target="http://cambridgeshireinsight.org.uk/health" TargetMode="External"/><Relationship Id="rId202" Type="http://schemas.openxmlformats.org/officeDocument/2006/relationships/image" Target="media/image166.emf"/><Relationship Id="rId223" Type="http://schemas.openxmlformats.org/officeDocument/2006/relationships/image" Target="media/image186.png"/><Relationship Id="rId244" Type="http://schemas.openxmlformats.org/officeDocument/2006/relationships/chart" Target="charts/chart5.xml"/><Relationship Id="rId18" Type="http://schemas.openxmlformats.org/officeDocument/2006/relationships/header" Target="header2.xml"/><Relationship Id="rId39" Type="http://schemas.openxmlformats.org/officeDocument/2006/relationships/hyperlink" Target="https://cambridgeshireinsight.org.uk/population/" TargetMode="External"/><Relationship Id="rId265" Type="http://schemas.openxmlformats.org/officeDocument/2006/relationships/hyperlink" Target="https://app.powerbi.com/view?r=eyJrIjoiNTY0ZTNhN2YtODg2ZS00OTIyLWI2MjItZTJiY2E5M2MxNTBmIiwidCI6IjUwZjYwNzFmLWJiZmUtNDAxYS04ODAzLTY3Mzc0OGU2MjllMiIsImMiOjh9" TargetMode="External"/><Relationship Id="rId286" Type="http://schemas.openxmlformats.org/officeDocument/2006/relationships/image" Target="media/image225.emf"/><Relationship Id="rId50" Type="http://schemas.openxmlformats.org/officeDocument/2006/relationships/image" Target="media/image30.emf"/><Relationship Id="rId104" Type="http://schemas.openxmlformats.org/officeDocument/2006/relationships/hyperlink" Target="http://cambridgeshireinsight.org.uk/health/aphr" TargetMode="External"/><Relationship Id="rId125" Type="http://schemas.openxmlformats.org/officeDocument/2006/relationships/image" Target="media/image95.png"/><Relationship Id="rId146" Type="http://schemas.openxmlformats.org/officeDocument/2006/relationships/image" Target="media/image112.emf"/><Relationship Id="rId167" Type="http://schemas.openxmlformats.org/officeDocument/2006/relationships/image" Target="media/image132.emf"/><Relationship Id="rId188" Type="http://schemas.openxmlformats.org/officeDocument/2006/relationships/image" Target="media/image152.emf"/><Relationship Id="rId311" Type="http://schemas.openxmlformats.org/officeDocument/2006/relationships/hyperlink" Target="https://www.peterborough.gov.uk/healthcare/public-health/health-and-wellbeing-strategy/" TargetMode="External"/><Relationship Id="rId71" Type="http://schemas.openxmlformats.org/officeDocument/2006/relationships/image" Target="media/image51.png"/><Relationship Id="rId92" Type="http://schemas.openxmlformats.org/officeDocument/2006/relationships/image" Target="media/image69.png"/><Relationship Id="rId213" Type="http://schemas.openxmlformats.org/officeDocument/2006/relationships/image" Target="media/image176.emf"/><Relationship Id="rId234"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hyperlink" Target="https://fingertips.phe.org.uk/profile/health-profiles" TargetMode="External"/><Relationship Id="rId255" Type="http://schemas.openxmlformats.org/officeDocument/2006/relationships/chart" Target="charts/chart16.xml"/><Relationship Id="rId276" Type="http://schemas.openxmlformats.org/officeDocument/2006/relationships/image" Target="media/image215.emf"/><Relationship Id="rId297" Type="http://schemas.openxmlformats.org/officeDocument/2006/relationships/image" Target="media/image236.emf"/><Relationship Id="rId40" Type="http://schemas.openxmlformats.org/officeDocument/2006/relationships/image" Target="media/image20.emf"/><Relationship Id="rId115" Type="http://schemas.openxmlformats.org/officeDocument/2006/relationships/image" Target="media/image86.png"/><Relationship Id="rId136" Type="http://schemas.openxmlformats.org/officeDocument/2006/relationships/hyperlink" Target="https://fingertips.phe.org.uk/profile/wider-determinants" TargetMode="External"/><Relationship Id="rId157" Type="http://schemas.openxmlformats.org/officeDocument/2006/relationships/image" Target="media/image122.emf"/><Relationship Id="rId178" Type="http://schemas.openxmlformats.org/officeDocument/2006/relationships/image" Target="media/image143.emf"/><Relationship Id="rId301" Type="http://schemas.openxmlformats.org/officeDocument/2006/relationships/image" Target="media/image240.emf"/><Relationship Id="rId322" Type="http://schemas.openxmlformats.org/officeDocument/2006/relationships/hyperlink" Target="http://cambridgeshireinsight.org.uk/" TargetMode="External"/><Relationship Id="rId61" Type="http://schemas.openxmlformats.org/officeDocument/2006/relationships/image" Target="media/image41.emf"/><Relationship Id="rId82" Type="http://schemas.openxmlformats.org/officeDocument/2006/relationships/image" Target="media/image60.emf"/><Relationship Id="rId199" Type="http://schemas.openxmlformats.org/officeDocument/2006/relationships/image" Target="media/image163.emf"/><Relationship Id="rId203" Type="http://schemas.openxmlformats.org/officeDocument/2006/relationships/image" Target="media/image167.emf"/><Relationship Id="rId19" Type="http://schemas.openxmlformats.org/officeDocument/2006/relationships/footer" Target="footer2.xml"/><Relationship Id="rId224" Type="http://schemas.openxmlformats.org/officeDocument/2006/relationships/image" Target="media/image187.png"/><Relationship Id="rId245" Type="http://schemas.openxmlformats.org/officeDocument/2006/relationships/chart" Target="charts/chart6.xml"/><Relationship Id="rId266" Type="http://schemas.openxmlformats.org/officeDocument/2006/relationships/image" Target="media/image205.emf"/><Relationship Id="rId287" Type="http://schemas.openxmlformats.org/officeDocument/2006/relationships/image" Target="media/image226.emf"/><Relationship Id="rId30" Type="http://schemas.openxmlformats.org/officeDocument/2006/relationships/image" Target="media/image13.emf"/><Relationship Id="rId105" Type="http://schemas.openxmlformats.org/officeDocument/2006/relationships/image" Target="media/image77.emf"/><Relationship Id="rId126" Type="http://schemas.openxmlformats.org/officeDocument/2006/relationships/hyperlink" Target="http://www.phoutcomes.info" TargetMode="External"/><Relationship Id="rId147" Type="http://schemas.openxmlformats.org/officeDocument/2006/relationships/image" Target="media/image113.emf"/><Relationship Id="rId168" Type="http://schemas.openxmlformats.org/officeDocument/2006/relationships/image" Target="media/image133.emf"/><Relationship Id="rId312" Type="http://schemas.openxmlformats.org/officeDocument/2006/relationships/hyperlink" Target="https://cambridgeshireinsight.org.uk/jsna/published-joint-strategic-needs-assessments/" TargetMode="Externa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hyperlink" Target="https://fingertips.phe.org.uk/profile/wider-determinants" TargetMode="External"/><Relationship Id="rId189" Type="http://schemas.openxmlformats.org/officeDocument/2006/relationships/image" Target="media/image153.emf"/><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8.png"/><Relationship Id="rId256" Type="http://schemas.openxmlformats.org/officeDocument/2006/relationships/image" Target="media/image203.png"/><Relationship Id="rId277" Type="http://schemas.openxmlformats.org/officeDocument/2006/relationships/image" Target="media/image216.png"/><Relationship Id="rId298" Type="http://schemas.openxmlformats.org/officeDocument/2006/relationships/image" Target="media/image237.emf"/><Relationship Id="rId116" Type="http://schemas.openxmlformats.org/officeDocument/2006/relationships/hyperlink" Target="http://www.phoutcomes.info" TargetMode="External"/><Relationship Id="rId137" Type="http://schemas.openxmlformats.org/officeDocument/2006/relationships/image" Target="media/image103.emf"/><Relationship Id="rId158" Type="http://schemas.openxmlformats.org/officeDocument/2006/relationships/image" Target="media/image123.emf"/><Relationship Id="rId302" Type="http://schemas.openxmlformats.org/officeDocument/2006/relationships/image" Target="media/image241.emf"/><Relationship Id="rId323" Type="http://schemas.openxmlformats.org/officeDocument/2006/relationships/hyperlink" Target="http://cambridgeshireinsight.org.uk/health" TargetMode="External"/><Relationship Id="rId20" Type="http://schemas.openxmlformats.org/officeDocument/2006/relationships/image" Target="media/image8.emf"/><Relationship Id="rId41" Type="http://schemas.openxmlformats.org/officeDocument/2006/relationships/image" Target="media/image21.emf"/><Relationship Id="rId62" Type="http://schemas.openxmlformats.org/officeDocument/2006/relationships/image" Target="media/image42.emf"/><Relationship Id="rId83" Type="http://schemas.openxmlformats.org/officeDocument/2006/relationships/hyperlink" Target="https://www.gov.uk/government/consultations/proposed-reduced-frequency-of-the-quarterly-nhs-commissioning-population-statistics-official-statistic" TargetMode="External"/><Relationship Id="rId179" Type="http://schemas.openxmlformats.org/officeDocument/2006/relationships/image" Target="media/image144.emf"/><Relationship Id="rId190" Type="http://schemas.openxmlformats.org/officeDocument/2006/relationships/image" Target="media/image154.emf"/><Relationship Id="rId204" Type="http://schemas.openxmlformats.org/officeDocument/2006/relationships/image" Target="media/image168.emf"/><Relationship Id="rId225" Type="http://schemas.openxmlformats.org/officeDocument/2006/relationships/image" Target="media/image188.emf"/><Relationship Id="rId246" Type="http://schemas.openxmlformats.org/officeDocument/2006/relationships/chart" Target="charts/chart7.xml"/><Relationship Id="rId267" Type="http://schemas.openxmlformats.org/officeDocument/2006/relationships/image" Target="media/image206.emf"/><Relationship Id="rId288" Type="http://schemas.openxmlformats.org/officeDocument/2006/relationships/image" Target="media/image227.emf"/><Relationship Id="rId106" Type="http://schemas.openxmlformats.org/officeDocument/2006/relationships/image" Target="media/image78.emf"/><Relationship Id="rId127" Type="http://schemas.openxmlformats.org/officeDocument/2006/relationships/image" Target="media/image96.emf"/><Relationship Id="rId313" Type="http://schemas.openxmlformats.org/officeDocument/2006/relationships/image" Target="media/image249.emf"/><Relationship Id="rId10" Type="http://schemas.openxmlformats.org/officeDocument/2006/relationships/hyperlink" Target="https://www.peterborough.gov.uk/healthcare/public-health/JSNA/" TargetMode="External"/><Relationship Id="rId31" Type="http://schemas.openxmlformats.org/officeDocument/2006/relationships/image" Target="media/image14.png"/><Relationship Id="rId52" Type="http://schemas.openxmlformats.org/officeDocument/2006/relationships/image" Target="media/image32.png"/><Relationship Id="rId73" Type="http://schemas.openxmlformats.org/officeDocument/2006/relationships/image" Target="media/image53.emf"/><Relationship Id="rId94" Type="http://schemas.openxmlformats.org/officeDocument/2006/relationships/hyperlink" Target="http://cambridgeshire.wpengine.com/wp-content/uploads/2017/08/Cambridgeshire-Summary-Report-IMD-2015.pdf" TargetMode="External"/><Relationship Id="rId148" Type="http://schemas.openxmlformats.org/officeDocument/2006/relationships/image" Target="media/image114.png"/><Relationship Id="rId169" Type="http://schemas.openxmlformats.org/officeDocument/2006/relationships/image" Target="media/image134.emf"/><Relationship Id="rId4" Type="http://schemas.openxmlformats.org/officeDocument/2006/relationships/settings" Target="settings.xml"/><Relationship Id="rId180" Type="http://schemas.openxmlformats.org/officeDocument/2006/relationships/hyperlink" Target="http://www.phoutcomes.info/" TargetMode="External"/><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04.png"/><Relationship Id="rId278" Type="http://schemas.openxmlformats.org/officeDocument/2006/relationships/image" Target="media/image217.png"/><Relationship Id="rId303" Type="http://schemas.openxmlformats.org/officeDocument/2006/relationships/image" Target="media/image242.emf"/><Relationship Id="rId42" Type="http://schemas.openxmlformats.org/officeDocument/2006/relationships/image" Target="media/image22.emf"/><Relationship Id="rId84" Type="http://schemas.openxmlformats.org/officeDocument/2006/relationships/image" Target="media/image61.emf"/><Relationship Id="rId138" Type="http://schemas.openxmlformats.org/officeDocument/2006/relationships/image" Target="media/image104.emf"/><Relationship Id="rId191" Type="http://schemas.openxmlformats.org/officeDocument/2006/relationships/image" Target="media/image155.emf"/><Relationship Id="rId205" Type="http://schemas.openxmlformats.org/officeDocument/2006/relationships/image" Target="media/image169.emf"/><Relationship Id="rId247" Type="http://schemas.openxmlformats.org/officeDocument/2006/relationships/chart" Target="charts/chart8.xml"/><Relationship Id="rId107" Type="http://schemas.openxmlformats.org/officeDocument/2006/relationships/image" Target="media/image79.png"/><Relationship Id="rId289" Type="http://schemas.openxmlformats.org/officeDocument/2006/relationships/image" Target="media/image228.emf"/><Relationship Id="rId11" Type="http://schemas.openxmlformats.org/officeDocument/2006/relationships/image" Target="media/image2.png"/><Relationship Id="rId53" Type="http://schemas.openxmlformats.org/officeDocument/2006/relationships/image" Target="media/image33.emf"/><Relationship Id="rId149" Type="http://schemas.openxmlformats.org/officeDocument/2006/relationships/image" Target="media/image115.emf"/><Relationship Id="rId314" Type="http://schemas.openxmlformats.org/officeDocument/2006/relationships/hyperlink" Target="https://cambridgeshireinsight.org.uk/jsna/" TargetMode="External"/><Relationship Id="rId95" Type="http://schemas.openxmlformats.org/officeDocument/2006/relationships/image" Target="media/image70.png"/><Relationship Id="rId160" Type="http://schemas.openxmlformats.org/officeDocument/2006/relationships/image" Target="media/image125.emf"/><Relationship Id="rId216" Type="http://schemas.openxmlformats.org/officeDocument/2006/relationships/image" Target="media/image179.png"/><Relationship Id="rId258" Type="http://schemas.openxmlformats.org/officeDocument/2006/relationships/chart" Target="charts/chart17.xml"/><Relationship Id="rId22" Type="http://schemas.openxmlformats.org/officeDocument/2006/relationships/hyperlink" Target="http://cambridgeshireinsight.org.uk/" TargetMode="External"/><Relationship Id="rId64" Type="http://schemas.openxmlformats.org/officeDocument/2006/relationships/image" Target="media/image44.emf"/><Relationship Id="rId118" Type="http://schemas.openxmlformats.org/officeDocument/2006/relationships/image" Target="media/image88.emf"/><Relationship Id="rId325" Type="http://schemas.openxmlformats.org/officeDocument/2006/relationships/hyperlink" Target="http://cambridgeshireinsight.org.uk/health/phof" TargetMode="External"/><Relationship Id="rId171" Type="http://schemas.openxmlformats.org/officeDocument/2006/relationships/image" Target="media/image136.png"/><Relationship Id="rId227" Type="http://schemas.openxmlformats.org/officeDocument/2006/relationships/image" Target="media/image190.png"/><Relationship Id="rId269" Type="http://schemas.openxmlformats.org/officeDocument/2006/relationships/image" Target="media/image208.png"/><Relationship Id="rId33" Type="http://schemas.openxmlformats.org/officeDocument/2006/relationships/image" Target="media/image16.emf"/><Relationship Id="rId129" Type="http://schemas.openxmlformats.org/officeDocument/2006/relationships/image" Target="media/image98.emf"/><Relationship Id="rId280" Type="http://schemas.openxmlformats.org/officeDocument/2006/relationships/image" Target="media/image219.png"/><Relationship Id="rId75" Type="http://schemas.openxmlformats.org/officeDocument/2006/relationships/hyperlink" Target="https://www.ons.gov.uk/peoplepopulationandcommunity/populationandmigration/populationestimates" TargetMode="External"/><Relationship Id="rId140" Type="http://schemas.openxmlformats.org/officeDocument/2006/relationships/image" Target="media/image106.emf"/><Relationship Id="rId182" Type="http://schemas.openxmlformats.org/officeDocument/2006/relationships/image" Target="media/image146.emf"/><Relationship Id="rId6" Type="http://schemas.openxmlformats.org/officeDocument/2006/relationships/footnotes" Target="footnotes.xml"/><Relationship Id="rId238" Type="http://schemas.openxmlformats.org/officeDocument/2006/relationships/image" Target="media/image201.emf"/><Relationship Id="rId291" Type="http://schemas.openxmlformats.org/officeDocument/2006/relationships/image" Target="media/image230.emf"/><Relationship Id="rId305" Type="http://schemas.openxmlformats.org/officeDocument/2006/relationships/image" Target="media/image244.emf"/><Relationship Id="rId44" Type="http://schemas.openxmlformats.org/officeDocument/2006/relationships/image" Target="media/image24.png"/><Relationship Id="rId86" Type="http://schemas.openxmlformats.org/officeDocument/2006/relationships/image" Target="media/image63.emf"/><Relationship Id="rId151" Type="http://schemas.openxmlformats.org/officeDocument/2006/relationships/hyperlink" Target="https://fingertips.phe.org.uk/profile/tobacco-control" TargetMode="External"/><Relationship Id="rId193" Type="http://schemas.openxmlformats.org/officeDocument/2006/relationships/image" Target="media/image157.emf"/><Relationship Id="rId207" Type="http://schemas.openxmlformats.org/officeDocument/2006/relationships/image" Target="media/image170.emf"/><Relationship Id="rId249" Type="http://schemas.openxmlformats.org/officeDocument/2006/relationships/chart" Target="charts/chart10.xml"/><Relationship Id="rId13" Type="http://schemas.openxmlformats.org/officeDocument/2006/relationships/image" Target="media/image4.png"/><Relationship Id="rId109" Type="http://schemas.openxmlformats.org/officeDocument/2006/relationships/image" Target="media/image81.png"/><Relationship Id="rId260" Type="http://schemas.openxmlformats.org/officeDocument/2006/relationships/hyperlink" Target="https://www.gov.uk/government/publications/local-authority-interactive-tool-lait" TargetMode="External"/><Relationship Id="rId316" Type="http://schemas.openxmlformats.org/officeDocument/2006/relationships/hyperlink" Target="https://www.peterborough.gov.uk/healthcare/public-health/JSNA/" TargetMode="External"/><Relationship Id="rId55" Type="http://schemas.openxmlformats.org/officeDocument/2006/relationships/image" Target="media/image35.emf"/><Relationship Id="rId97" Type="http://schemas.openxmlformats.org/officeDocument/2006/relationships/image" Target="media/image72.png"/><Relationship Id="rId120" Type="http://schemas.openxmlformats.org/officeDocument/2006/relationships/image" Target="media/image90.png"/><Relationship Id="rId162" Type="http://schemas.openxmlformats.org/officeDocument/2006/relationships/image" Target="media/image127.png"/><Relationship Id="rId218" Type="http://schemas.openxmlformats.org/officeDocument/2006/relationships/image" Target="media/image181.emf"/></Relationships>
</file>

<file path=word/_rels/footer1.xml.rels><?xml version="1.0" encoding="UTF-8" standalone="yes"?>
<Relationships xmlns="http://schemas.openxmlformats.org/package/2006/relationships"><Relationship Id="rId1" Type="http://schemas.openxmlformats.org/officeDocument/2006/relationships/image" Target="media/image5.wmf"/></Relationships>
</file>

<file path=word/_rels/footer2.xml.rels><?xml version="1.0" encoding="UTF-8" standalone="yes"?>
<Relationships xmlns="http://schemas.openxmlformats.org/package/2006/relationships"><Relationship Id="rId1" Type="http://schemas.openxmlformats.org/officeDocument/2006/relationships/image" Target="media/image5.wmf"/></Relationships>
</file>

<file path=word/_rels/footnotes.xml.rels><?xml version="1.0" encoding="UTF-8" standalone="yes"?>
<Relationships xmlns="http://schemas.openxmlformats.org/package/2006/relationships"><Relationship Id="rId1" Type="http://schemas.openxmlformats.org/officeDocument/2006/relationships/hyperlink" Target="https://www.homeless.org.uk/sites/default/files/site-attachments/20141009%20JSNA%20Briefing.pdf"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8.wmf"/><Relationship Id="rId2" Type="http://schemas.openxmlformats.org/officeDocument/2006/relationships/image" Target="media/image6.emf"/><Relationship Id="rId1" Type="http://schemas.openxmlformats.org/officeDocument/2006/relationships/image" Target="media/image5.wmf"/><Relationship Id="rId4" Type="http://schemas.openxmlformats.org/officeDocument/2006/relationships/image" Target="media/image9.emf"/></Relationships>
</file>

<file path=word/_rels/header2.xml.rels><?xml version="1.0" encoding="UTF-8" standalone="yes"?>
<Relationships xmlns="http://schemas.openxmlformats.org/package/2006/relationships"><Relationship Id="rId3" Type="http://schemas.openxmlformats.org/officeDocument/2006/relationships/image" Target="media/image8.wmf"/><Relationship Id="rId2" Type="http://schemas.openxmlformats.org/officeDocument/2006/relationships/image" Target="media/image7.emf"/><Relationship Id="rId1" Type="http://schemas.openxmlformats.org/officeDocument/2006/relationships/image" Target="media/image5.wmf"/><Relationship Id="rId4" Type="http://schemas.openxmlformats.org/officeDocument/2006/relationships/image" Target="media/image12.emf"/></Relationships>
</file>

<file path=word/charts/_rels/chart1.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CSC%20referrals%20per%20pop.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LAC%20per%20pop.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LAC%20%25%20adopted%20in%20yea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LAC%20%25%20adopted%20in%20yea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LAC%20%25%20returning%20hom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LAC%20%25%20returning%20hom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Adults%20datasets%20-%20national.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Adults%20datasets%20-%20nationa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Adults%20datasets%20-%20national.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Adults%20datasets%20-%20national.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CSC%20referrals%20per%20pop.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CIN%20per%20pop.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CIN%20per%20pop.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S47%20per%20pop.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S47%20per%20po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CPP%20per%20pop.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PCC%20CPP%20per%20pop.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cc.cambridgeshire.gov.uk\data\OCYPS\Strategy%20&amp;%20Commissioning_ND\PM&amp;QA\Service%20Areas\Childrens%20Services\JSNA\Core%20dataset%202018\CCC%20LAC%20per%20pop.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lgn="ct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a:t>
            </a:r>
          </a:p>
          <a:p>
            <a:pPr algn="ctr">
              <a:defRPr sz="1000">
                <a:solidFill>
                  <a:srgbClr val="002F5D"/>
                </a:solidFill>
              </a:defRPr>
            </a:pPr>
            <a:r>
              <a:rPr lang="en-GB" sz="1000">
                <a:solidFill>
                  <a:srgbClr val="002F5D"/>
                </a:solidFill>
              </a:rPr>
              <a:t>Rates per 10,000 of referrals to Children's Social Services</a:t>
            </a:r>
          </a:p>
        </c:rich>
      </c:tx>
      <c:layout/>
      <c:overlay val="0"/>
      <c:spPr>
        <a:noFill/>
        <a:ln>
          <a:noFill/>
        </a:ln>
        <a:effectLst/>
      </c:spPr>
      <c:txPr>
        <a:bodyPr rot="0" spcFirstLastPara="1" vertOverflow="ellipsis" vert="horz" wrap="square" anchor="ctr" anchorCtr="1"/>
        <a:lstStyle/>
        <a:p>
          <a:pPr algn="ct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295.3</c:v>
                </c:pt>
                <c:pt idx="1">
                  <c:v>319.3</c:v>
                </c:pt>
                <c:pt idx="2">
                  <c:v>331</c:v>
                </c:pt>
              </c:numCache>
            </c:numRef>
          </c:val>
          <c:smooth val="0"/>
          <c:extLst xmlns:c16r2="http://schemas.microsoft.com/office/drawing/2015/06/chart">
            <c:ext xmlns:c16="http://schemas.microsoft.com/office/drawing/2014/chart" uri="{C3380CC4-5D6E-409C-BE32-E72D297353CC}">
              <c16:uniqueId val="{00000000-CFF8-4291-AA16-32B15AF526C6}"/>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425.5</c:v>
                </c:pt>
                <c:pt idx="1">
                  <c:v>374.4</c:v>
                </c:pt>
                <c:pt idx="2">
                  <c:v>361.9</c:v>
                </c:pt>
              </c:numCache>
            </c:numRef>
          </c:val>
          <c:smooth val="0"/>
          <c:extLst xmlns:c16r2="http://schemas.microsoft.com/office/drawing/2015/06/chart">
            <c:ext xmlns:c16="http://schemas.microsoft.com/office/drawing/2014/chart" uri="{C3380CC4-5D6E-409C-BE32-E72D297353CC}">
              <c16:uniqueId val="{00000001-CFF8-4291-AA16-32B15AF526C6}"/>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423.96999999999997</c:v>
                </c:pt>
                <c:pt idx="1">
                  <c:v>455.45</c:v>
                </c:pt>
                <c:pt idx="2">
                  <c:v>443.46000000000004</c:v>
                </c:pt>
              </c:numCache>
            </c:numRef>
          </c:val>
          <c:smooth val="0"/>
          <c:extLst xmlns:c16r2="http://schemas.microsoft.com/office/drawing/2015/06/chart">
            <c:ext xmlns:c16="http://schemas.microsoft.com/office/drawing/2014/chart" uri="{C3380CC4-5D6E-409C-BE32-E72D297353CC}">
              <c16:uniqueId val="{00000002-CFF8-4291-AA16-32B15AF526C6}"/>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532.20000000000005</c:v>
                </c:pt>
                <c:pt idx="1">
                  <c:v>548.20000000000005</c:v>
                </c:pt>
                <c:pt idx="2">
                  <c:v>552.5</c:v>
                </c:pt>
              </c:numCache>
            </c:numRef>
          </c:val>
          <c:smooth val="0"/>
          <c:extLst xmlns:c16r2="http://schemas.microsoft.com/office/drawing/2015/06/chart">
            <c:ext xmlns:c16="http://schemas.microsoft.com/office/drawing/2014/chart" uri="{C3380CC4-5D6E-409C-BE32-E72D297353CC}">
              <c16:uniqueId val="{00000003-CFF8-4291-AA16-32B15AF526C6}"/>
            </c:ext>
          </c:extLst>
        </c:ser>
        <c:dLbls>
          <c:showLegendKey val="0"/>
          <c:showVal val="0"/>
          <c:showCatName val="0"/>
          <c:showSerName val="0"/>
          <c:showPercent val="0"/>
          <c:showBubbleSize val="0"/>
        </c:dLbls>
        <c:smooth val="0"/>
        <c:axId val="889624064"/>
        <c:axId val="889633312"/>
      </c:lineChart>
      <c:catAx>
        <c:axId val="88962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3312"/>
        <c:crosses val="autoZero"/>
        <c:auto val="1"/>
        <c:lblAlgn val="ctr"/>
        <c:lblOffset val="100"/>
        <c:noMultiLvlLbl val="0"/>
      </c:catAx>
      <c:valAx>
        <c:axId val="889633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40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 </a:t>
            </a:r>
          </a:p>
          <a:p>
            <a:pPr>
              <a:defRPr sz="1000">
                <a:solidFill>
                  <a:srgbClr val="002F5D"/>
                </a:solidFill>
              </a:defRPr>
            </a:pPr>
            <a:r>
              <a:rPr lang="en-GB" sz="1000">
                <a:solidFill>
                  <a:srgbClr val="002F5D"/>
                </a:solidFill>
              </a:rPr>
              <a:t>Children looked after rate, per 10,000 children aged under 18</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76</c:v>
                </c:pt>
                <c:pt idx="1">
                  <c:v>73</c:v>
                </c:pt>
                <c:pt idx="2">
                  <c:v>74</c:v>
                </c:pt>
              </c:numCache>
            </c:numRef>
          </c:val>
          <c:smooth val="0"/>
          <c:extLst xmlns:c16r2="http://schemas.microsoft.com/office/drawing/2015/06/chart">
            <c:ext xmlns:c16="http://schemas.microsoft.com/office/drawing/2014/chart" uri="{C3380CC4-5D6E-409C-BE32-E72D297353CC}">
              <c16:uniqueId val="{00000000-D1B9-48FC-A177-044561A92D91}"/>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49</c:v>
                </c:pt>
                <c:pt idx="1">
                  <c:v>49</c:v>
                </c:pt>
                <c:pt idx="2">
                  <c:v>49</c:v>
                </c:pt>
              </c:numCache>
            </c:numRef>
          </c:val>
          <c:smooth val="0"/>
          <c:extLst xmlns:c16r2="http://schemas.microsoft.com/office/drawing/2015/06/chart">
            <c:ext xmlns:c16="http://schemas.microsoft.com/office/drawing/2014/chart" uri="{C3380CC4-5D6E-409C-BE32-E72D297353CC}">
              <c16:uniqueId val="{00000001-D1B9-48FC-A177-044561A92D91}"/>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79.5</c:v>
                </c:pt>
                <c:pt idx="1">
                  <c:v>81.7</c:v>
                </c:pt>
                <c:pt idx="2">
                  <c:v>86.6</c:v>
                </c:pt>
              </c:numCache>
            </c:numRef>
          </c:val>
          <c:smooth val="0"/>
          <c:extLst xmlns:c16r2="http://schemas.microsoft.com/office/drawing/2015/06/chart">
            <c:ext xmlns:c16="http://schemas.microsoft.com/office/drawing/2014/chart" uri="{C3380CC4-5D6E-409C-BE32-E72D297353CC}">
              <c16:uniqueId val="{00000002-D1B9-48FC-A177-044561A92D91}"/>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60</c:v>
                </c:pt>
                <c:pt idx="1">
                  <c:v>62</c:v>
                </c:pt>
                <c:pt idx="2">
                  <c:v>64</c:v>
                </c:pt>
              </c:numCache>
            </c:numRef>
          </c:val>
          <c:smooth val="0"/>
          <c:extLst xmlns:c16r2="http://schemas.microsoft.com/office/drawing/2015/06/chart">
            <c:ext xmlns:c16="http://schemas.microsoft.com/office/drawing/2014/chart" uri="{C3380CC4-5D6E-409C-BE32-E72D297353CC}">
              <c16:uniqueId val="{00000003-D1B9-48FC-A177-044561A92D91}"/>
            </c:ext>
          </c:extLst>
        </c:ser>
        <c:dLbls>
          <c:showLegendKey val="0"/>
          <c:showVal val="0"/>
          <c:showCatName val="0"/>
          <c:showSerName val="0"/>
          <c:showPercent val="0"/>
          <c:showBubbleSize val="0"/>
        </c:dLbls>
        <c:smooth val="0"/>
        <c:axId val="889625152"/>
        <c:axId val="889625696"/>
      </c:lineChart>
      <c:catAx>
        <c:axId val="88962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5696"/>
        <c:crosses val="autoZero"/>
        <c:auto val="1"/>
        <c:lblAlgn val="ctr"/>
        <c:lblOffset val="100"/>
        <c:noMultiLvlLbl val="0"/>
      </c:catAx>
      <c:valAx>
        <c:axId val="889625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5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a:t>
            </a:r>
          </a:p>
          <a:p>
            <a:pPr>
              <a:defRPr sz="1000">
                <a:solidFill>
                  <a:srgbClr val="002F5D"/>
                </a:solidFill>
              </a:defRPr>
            </a:pPr>
            <a:r>
              <a:rPr lang="en-GB" sz="1000">
                <a:solidFill>
                  <a:srgbClr val="002F5D"/>
                </a:solidFill>
              </a:rPr>
              <a:t>Percentage of Looked After Children adopted in year</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14</c:v>
                </c:pt>
                <c:pt idx="1">
                  <c:v>14</c:v>
                </c:pt>
                <c:pt idx="2">
                  <c:v>13</c:v>
                </c:pt>
              </c:numCache>
            </c:numRef>
          </c:val>
          <c:smooth val="0"/>
          <c:extLst xmlns:c16r2="http://schemas.microsoft.com/office/drawing/2015/06/chart">
            <c:ext xmlns:c16="http://schemas.microsoft.com/office/drawing/2014/chart" uri="{C3380CC4-5D6E-409C-BE32-E72D297353CC}">
              <c16:uniqueId val="{00000000-405B-4148-8E7E-815A03EC7BDE}"/>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15</c:v>
                </c:pt>
                <c:pt idx="1">
                  <c:v>17</c:v>
                </c:pt>
                <c:pt idx="2">
                  <c:v>14</c:v>
                </c:pt>
              </c:numCache>
            </c:numRef>
          </c:val>
          <c:smooth val="0"/>
          <c:extLst xmlns:c16r2="http://schemas.microsoft.com/office/drawing/2015/06/chart">
            <c:ext xmlns:c16="http://schemas.microsoft.com/office/drawing/2014/chart" uri="{C3380CC4-5D6E-409C-BE32-E72D297353CC}">
              <c16:uniqueId val="{00000001-405B-4148-8E7E-815A03EC7BDE}"/>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13</c:v>
                </c:pt>
                <c:pt idx="1">
                  <c:v>15.8</c:v>
                </c:pt>
                <c:pt idx="2">
                  <c:v>14</c:v>
                </c:pt>
              </c:numCache>
            </c:numRef>
          </c:val>
          <c:smooth val="0"/>
          <c:extLst xmlns:c16r2="http://schemas.microsoft.com/office/drawing/2015/06/chart">
            <c:ext xmlns:c16="http://schemas.microsoft.com/office/drawing/2014/chart" uri="{C3380CC4-5D6E-409C-BE32-E72D297353CC}">
              <c16:uniqueId val="{00000002-405B-4148-8E7E-815A03EC7BDE}"/>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15</c:v>
                </c:pt>
                <c:pt idx="1">
                  <c:v>14</c:v>
                </c:pt>
                <c:pt idx="2">
                  <c:v>13</c:v>
                </c:pt>
              </c:numCache>
            </c:numRef>
          </c:val>
          <c:smooth val="0"/>
          <c:extLst xmlns:c16r2="http://schemas.microsoft.com/office/drawing/2015/06/chart">
            <c:ext xmlns:c16="http://schemas.microsoft.com/office/drawing/2014/chart" uri="{C3380CC4-5D6E-409C-BE32-E72D297353CC}">
              <c16:uniqueId val="{00000003-405B-4148-8E7E-815A03EC7BDE}"/>
            </c:ext>
          </c:extLst>
        </c:ser>
        <c:dLbls>
          <c:showLegendKey val="0"/>
          <c:showVal val="0"/>
          <c:showCatName val="0"/>
          <c:showSerName val="0"/>
          <c:showPercent val="0"/>
          <c:showBubbleSize val="0"/>
        </c:dLbls>
        <c:smooth val="0"/>
        <c:axId val="889626240"/>
        <c:axId val="889626784"/>
      </c:lineChart>
      <c:catAx>
        <c:axId val="8896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6784"/>
        <c:crosses val="autoZero"/>
        <c:auto val="1"/>
        <c:lblAlgn val="ctr"/>
        <c:lblOffset val="100"/>
        <c:noMultiLvlLbl val="0"/>
      </c:catAx>
      <c:valAx>
        <c:axId val="889626784"/>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6240"/>
        <c:crosses val="autoZero"/>
        <c:crossBetween val="between"/>
        <c:majorUnit val="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a:t>
            </a:r>
          </a:p>
          <a:p>
            <a:pPr>
              <a:defRPr sz="1000">
                <a:solidFill>
                  <a:srgbClr val="002F5D"/>
                </a:solidFill>
              </a:defRPr>
            </a:pPr>
            <a:r>
              <a:rPr lang="en-GB" sz="1000">
                <a:solidFill>
                  <a:srgbClr val="002F5D"/>
                </a:solidFill>
              </a:rPr>
              <a:t>Percentage of Looked After Children adopted in year</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17</c:v>
                </c:pt>
                <c:pt idx="1">
                  <c:v>13</c:v>
                </c:pt>
                <c:pt idx="2">
                  <c:v>13</c:v>
                </c:pt>
              </c:numCache>
            </c:numRef>
          </c:val>
          <c:smooth val="0"/>
          <c:extLst xmlns:c16r2="http://schemas.microsoft.com/office/drawing/2015/06/chart">
            <c:ext xmlns:c16="http://schemas.microsoft.com/office/drawing/2014/chart" uri="{C3380CC4-5D6E-409C-BE32-E72D297353CC}">
              <c16:uniqueId val="{00000000-D3DF-4394-AEE5-7A30076B5C08}"/>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15</c:v>
                </c:pt>
                <c:pt idx="1">
                  <c:v>17</c:v>
                </c:pt>
                <c:pt idx="2">
                  <c:v>14</c:v>
                </c:pt>
              </c:numCache>
            </c:numRef>
          </c:val>
          <c:smooth val="0"/>
          <c:extLst xmlns:c16r2="http://schemas.microsoft.com/office/drawing/2015/06/chart">
            <c:ext xmlns:c16="http://schemas.microsoft.com/office/drawing/2014/chart" uri="{C3380CC4-5D6E-409C-BE32-E72D297353CC}">
              <c16:uniqueId val="{00000001-D3DF-4394-AEE5-7A30076B5C08}"/>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20.6</c:v>
                </c:pt>
                <c:pt idx="1">
                  <c:v>22.7</c:v>
                </c:pt>
                <c:pt idx="2">
                  <c:v>19.3</c:v>
                </c:pt>
              </c:numCache>
            </c:numRef>
          </c:val>
          <c:smooth val="0"/>
          <c:extLst xmlns:c16r2="http://schemas.microsoft.com/office/drawing/2015/06/chart">
            <c:ext xmlns:c16="http://schemas.microsoft.com/office/drawing/2014/chart" uri="{C3380CC4-5D6E-409C-BE32-E72D297353CC}">
              <c16:uniqueId val="{00000002-D3DF-4394-AEE5-7A30076B5C08}"/>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15</c:v>
                </c:pt>
                <c:pt idx="1">
                  <c:v>14</c:v>
                </c:pt>
                <c:pt idx="2">
                  <c:v>13</c:v>
                </c:pt>
              </c:numCache>
            </c:numRef>
          </c:val>
          <c:smooth val="0"/>
          <c:extLst xmlns:c16r2="http://schemas.microsoft.com/office/drawing/2015/06/chart">
            <c:ext xmlns:c16="http://schemas.microsoft.com/office/drawing/2014/chart" uri="{C3380CC4-5D6E-409C-BE32-E72D297353CC}">
              <c16:uniqueId val="{00000003-D3DF-4394-AEE5-7A30076B5C08}"/>
            </c:ext>
          </c:extLst>
        </c:ser>
        <c:dLbls>
          <c:showLegendKey val="0"/>
          <c:showVal val="0"/>
          <c:showCatName val="0"/>
          <c:showSerName val="0"/>
          <c:showPercent val="0"/>
          <c:showBubbleSize val="0"/>
        </c:dLbls>
        <c:smooth val="0"/>
        <c:axId val="889627872"/>
        <c:axId val="889628960"/>
      </c:lineChart>
      <c:catAx>
        <c:axId val="88962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8960"/>
        <c:crosses val="autoZero"/>
        <c:auto val="1"/>
        <c:lblAlgn val="ctr"/>
        <c:lblOffset val="100"/>
        <c:noMultiLvlLbl val="0"/>
      </c:catAx>
      <c:valAx>
        <c:axId val="889628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78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a:t>
            </a:r>
          </a:p>
          <a:p>
            <a:pPr>
              <a:defRPr sz="1000">
                <a:solidFill>
                  <a:srgbClr val="002F5D"/>
                </a:solidFill>
              </a:defRPr>
            </a:pPr>
            <a:r>
              <a:rPr lang="en-GB" sz="1000">
                <a:solidFill>
                  <a:srgbClr val="002F5D"/>
                </a:solidFill>
              </a:rPr>
              <a:t>Percentage of children returning home after a period of being looked after</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sysDash"/>
              <a:round/>
            </a:ln>
            <a:effectLst/>
          </c:spPr>
          <c:marker>
            <c:symbol val="none"/>
          </c:marker>
          <c:cat>
            <c:strRef>
              <c:f>Sheet1!$C$2:$E$2</c:f>
              <c:strCache>
                <c:ptCount val="3"/>
                <c:pt idx="0">
                  <c:v>2014-15</c:v>
                </c:pt>
                <c:pt idx="1">
                  <c:v>2015-16</c:v>
                </c:pt>
                <c:pt idx="2">
                  <c:v>2016-17</c:v>
                </c:pt>
              </c:strCache>
            </c:strRef>
          </c:cat>
          <c:val>
            <c:numRef>
              <c:f>Sheet1!$C$3:$E$3</c:f>
              <c:numCache>
                <c:formatCode>0.00</c:formatCode>
                <c:ptCount val="3"/>
                <c:pt idx="0">
                  <c:v>32</c:v>
                </c:pt>
                <c:pt idx="1">
                  <c:v>37</c:v>
                </c:pt>
                <c:pt idx="2">
                  <c:v>30</c:v>
                </c:pt>
              </c:numCache>
            </c:numRef>
          </c:val>
          <c:smooth val="0"/>
          <c:extLst xmlns:c16r2="http://schemas.microsoft.com/office/drawing/2015/06/chart">
            <c:ext xmlns:c16="http://schemas.microsoft.com/office/drawing/2014/chart" uri="{C3380CC4-5D6E-409C-BE32-E72D297353CC}">
              <c16:uniqueId val="{00000000-4496-4C04-87C9-F248AA5F58F4}"/>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2014-15</c:v>
                </c:pt>
                <c:pt idx="1">
                  <c:v>2015-16</c:v>
                </c:pt>
                <c:pt idx="2">
                  <c:v>2016-17</c:v>
                </c:pt>
              </c:strCache>
            </c:strRef>
          </c:cat>
          <c:val>
            <c:numRef>
              <c:f>Sheet1!$C$4:$E$4</c:f>
              <c:numCache>
                <c:formatCode>0.00</c:formatCode>
                <c:ptCount val="3"/>
                <c:pt idx="0">
                  <c:v>30</c:v>
                </c:pt>
                <c:pt idx="1">
                  <c:v>29</c:v>
                </c:pt>
                <c:pt idx="2">
                  <c:v>28</c:v>
                </c:pt>
              </c:numCache>
            </c:numRef>
          </c:val>
          <c:smooth val="0"/>
          <c:extLst xmlns:c16r2="http://schemas.microsoft.com/office/drawing/2015/06/chart">
            <c:ext xmlns:c16="http://schemas.microsoft.com/office/drawing/2014/chart" uri="{C3380CC4-5D6E-409C-BE32-E72D297353CC}">
              <c16:uniqueId val="{00000001-4496-4C04-87C9-F248AA5F58F4}"/>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2014-15</c:v>
                </c:pt>
                <c:pt idx="1">
                  <c:v>2015-16</c:v>
                </c:pt>
                <c:pt idx="2">
                  <c:v>2016-17</c:v>
                </c:pt>
              </c:strCache>
            </c:strRef>
          </c:cat>
          <c:val>
            <c:numRef>
              <c:f>Sheet1!$C$5:$E$5</c:f>
              <c:numCache>
                <c:formatCode>0.00</c:formatCode>
                <c:ptCount val="3"/>
                <c:pt idx="0">
                  <c:v>37.299999999999997</c:v>
                </c:pt>
                <c:pt idx="1">
                  <c:v>35.5</c:v>
                </c:pt>
                <c:pt idx="2">
                  <c:v>30.4</c:v>
                </c:pt>
              </c:numCache>
            </c:numRef>
          </c:val>
          <c:smooth val="0"/>
          <c:extLst xmlns:c16r2="http://schemas.microsoft.com/office/drawing/2015/06/chart">
            <c:ext xmlns:c16="http://schemas.microsoft.com/office/drawing/2014/chart" uri="{C3380CC4-5D6E-409C-BE32-E72D297353CC}">
              <c16:uniqueId val="{00000002-4496-4C04-87C9-F248AA5F58F4}"/>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2014-15</c:v>
                </c:pt>
                <c:pt idx="1">
                  <c:v>2015-16</c:v>
                </c:pt>
                <c:pt idx="2">
                  <c:v>2016-17</c:v>
                </c:pt>
              </c:strCache>
            </c:strRef>
          </c:cat>
          <c:val>
            <c:numRef>
              <c:f>Sheet1!$C$6:$E$6</c:f>
              <c:numCache>
                <c:formatCode>0.00</c:formatCode>
                <c:ptCount val="3"/>
                <c:pt idx="0">
                  <c:v>34</c:v>
                </c:pt>
                <c:pt idx="1">
                  <c:v>34</c:v>
                </c:pt>
                <c:pt idx="2">
                  <c:v>32</c:v>
                </c:pt>
              </c:numCache>
            </c:numRef>
          </c:val>
          <c:smooth val="0"/>
          <c:extLst xmlns:c16r2="http://schemas.microsoft.com/office/drawing/2015/06/chart">
            <c:ext xmlns:c16="http://schemas.microsoft.com/office/drawing/2014/chart" uri="{C3380CC4-5D6E-409C-BE32-E72D297353CC}">
              <c16:uniqueId val="{00000003-4496-4C04-87C9-F248AA5F58F4}"/>
            </c:ext>
          </c:extLst>
        </c:ser>
        <c:dLbls>
          <c:showLegendKey val="0"/>
          <c:showVal val="0"/>
          <c:showCatName val="0"/>
          <c:showSerName val="0"/>
          <c:showPercent val="0"/>
          <c:showBubbleSize val="0"/>
        </c:dLbls>
        <c:smooth val="0"/>
        <c:axId val="1329375760"/>
        <c:axId val="1329380112"/>
      </c:lineChart>
      <c:catAx>
        <c:axId val="132937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80112"/>
        <c:crosses val="autoZero"/>
        <c:auto val="1"/>
        <c:lblAlgn val="ctr"/>
        <c:lblOffset val="100"/>
        <c:noMultiLvlLbl val="0"/>
      </c:catAx>
      <c:valAx>
        <c:axId val="1329380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75760"/>
        <c:crosses val="autoZero"/>
        <c:crossBetween val="between"/>
        <c:majorUnit val="1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a:t>
            </a:r>
          </a:p>
          <a:p>
            <a:pPr>
              <a:defRPr sz="1000">
                <a:solidFill>
                  <a:srgbClr val="002F5D"/>
                </a:solidFill>
              </a:defRPr>
            </a:pPr>
            <a:r>
              <a:rPr lang="en-GB" sz="1000">
                <a:solidFill>
                  <a:srgbClr val="002F5D"/>
                </a:solidFill>
              </a:rPr>
              <a:t>Percentage of children returning home after a period of being looked after</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2014-15</c:v>
                </c:pt>
                <c:pt idx="1">
                  <c:v>2015-16</c:v>
                </c:pt>
                <c:pt idx="2">
                  <c:v>2016-17</c:v>
                </c:pt>
              </c:strCache>
            </c:strRef>
          </c:cat>
          <c:val>
            <c:numRef>
              <c:f>Sheet1!$C$3:$E$3</c:f>
              <c:numCache>
                <c:formatCode>0.00</c:formatCode>
                <c:ptCount val="3"/>
                <c:pt idx="0">
                  <c:v>24</c:v>
                </c:pt>
                <c:pt idx="1">
                  <c:v>28</c:v>
                </c:pt>
                <c:pt idx="2">
                  <c:v>33</c:v>
                </c:pt>
              </c:numCache>
            </c:numRef>
          </c:val>
          <c:smooth val="0"/>
          <c:extLst xmlns:c16r2="http://schemas.microsoft.com/office/drawing/2015/06/chart">
            <c:ext xmlns:c16="http://schemas.microsoft.com/office/drawing/2014/chart" uri="{C3380CC4-5D6E-409C-BE32-E72D297353CC}">
              <c16:uniqueId val="{00000000-3FFA-4D73-8653-F11FAF68BC04}"/>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2014-15</c:v>
                </c:pt>
                <c:pt idx="1">
                  <c:v>2015-16</c:v>
                </c:pt>
                <c:pt idx="2">
                  <c:v>2016-17</c:v>
                </c:pt>
              </c:strCache>
            </c:strRef>
          </c:cat>
          <c:val>
            <c:numRef>
              <c:f>Sheet1!$C$4:$E$4</c:f>
              <c:numCache>
                <c:formatCode>0.00</c:formatCode>
                <c:ptCount val="3"/>
                <c:pt idx="0">
                  <c:v>30</c:v>
                </c:pt>
                <c:pt idx="1">
                  <c:v>29</c:v>
                </c:pt>
                <c:pt idx="2">
                  <c:v>28</c:v>
                </c:pt>
              </c:numCache>
            </c:numRef>
          </c:val>
          <c:smooth val="0"/>
          <c:extLst xmlns:c16r2="http://schemas.microsoft.com/office/drawing/2015/06/chart">
            <c:ext xmlns:c16="http://schemas.microsoft.com/office/drawing/2014/chart" uri="{C3380CC4-5D6E-409C-BE32-E72D297353CC}">
              <c16:uniqueId val="{00000001-3FFA-4D73-8653-F11FAF68BC04}"/>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2014-15</c:v>
                </c:pt>
                <c:pt idx="1">
                  <c:v>2015-16</c:v>
                </c:pt>
                <c:pt idx="2">
                  <c:v>2016-17</c:v>
                </c:pt>
              </c:strCache>
            </c:strRef>
          </c:cat>
          <c:val>
            <c:numRef>
              <c:f>Sheet1!$C$5:$E$5</c:f>
              <c:numCache>
                <c:formatCode>0.00</c:formatCode>
                <c:ptCount val="3"/>
                <c:pt idx="0">
                  <c:v>32.799999999999997</c:v>
                </c:pt>
                <c:pt idx="1">
                  <c:v>33.799999999999997</c:v>
                </c:pt>
                <c:pt idx="2">
                  <c:v>29.9</c:v>
                </c:pt>
              </c:numCache>
            </c:numRef>
          </c:val>
          <c:smooth val="0"/>
          <c:extLst xmlns:c16r2="http://schemas.microsoft.com/office/drawing/2015/06/chart">
            <c:ext xmlns:c16="http://schemas.microsoft.com/office/drawing/2014/chart" uri="{C3380CC4-5D6E-409C-BE32-E72D297353CC}">
              <c16:uniqueId val="{00000002-3FFA-4D73-8653-F11FAF68BC04}"/>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2014-15</c:v>
                </c:pt>
                <c:pt idx="1">
                  <c:v>2015-16</c:v>
                </c:pt>
                <c:pt idx="2">
                  <c:v>2016-17</c:v>
                </c:pt>
              </c:strCache>
            </c:strRef>
          </c:cat>
          <c:val>
            <c:numRef>
              <c:f>Sheet1!$C$6:$E$6</c:f>
              <c:numCache>
                <c:formatCode>0.00</c:formatCode>
                <c:ptCount val="3"/>
                <c:pt idx="0">
                  <c:v>34</c:v>
                </c:pt>
                <c:pt idx="1">
                  <c:v>34</c:v>
                </c:pt>
                <c:pt idx="2">
                  <c:v>32</c:v>
                </c:pt>
              </c:numCache>
            </c:numRef>
          </c:val>
          <c:smooth val="0"/>
          <c:extLst xmlns:c16r2="http://schemas.microsoft.com/office/drawing/2015/06/chart">
            <c:ext xmlns:c16="http://schemas.microsoft.com/office/drawing/2014/chart" uri="{C3380CC4-5D6E-409C-BE32-E72D297353CC}">
              <c16:uniqueId val="{00000003-3FFA-4D73-8653-F11FAF68BC04}"/>
            </c:ext>
          </c:extLst>
        </c:ser>
        <c:dLbls>
          <c:showLegendKey val="0"/>
          <c:showVal val="0"/>
          <c:showCatName val="0"/>
          <c:showSerName val="0"/>
          <c:showPercent val="0"/>
          <c:showBubbleSize val="0"/>
        </c:dLbls>
        <c:smooth val="0"/>
        <c:axId val="1329401328"/>
        <c:axId val="1329382832"/>
      </c:lineChart>
      <c:catAx>
        <c:axId val="132940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82832"/>
        <c:crosses val="autoZero"/>
        <c:auto val="1"/>
        <c:lblAlgn val="ctr"/>
        <c:lblOffset val="100"/>
        <c:noMultiLvlLbl val="0"/>
      </c:catAx>
      <c:valAx>
        <c:axId val="1329382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401328"/>
        <c:crosses val="autoZero"/>
        <c:crossBetween val="between"/>
        <c:majorUnit val="1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 Number of requests for support received from new clients per 100,000 of population aged 18+</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'1. requests for new clients'!$B$34</c:f>
              <c:strCache>
                <c:ptCount val="1"/>
                <c:pt idx="0">
                  <c:v>Cambridgeshire</c:v>
                </c:pt>
              </c:strCache>
            </c:strRef>
          </c:tx>
          <c:spPr>
            <a:ln w="28575" cap="rnd">
              <a:solidFill>
                <a:schemeClr val="accent5">
                  <a:shade val="58000"/>
                </a:schemeClr>
              </a:solidFill>
              <a:prstDash val="sysDash"/>
              <a:round/>
            </a:ln>
            <a:effectLst/>
          </c:spPr>
          <c:marker>
            <c:symbol val="none"/>
          </c:marker>
          <c:cat>
            <c:strRef>
              <c:f>'1. requests for new clients'!$C$33:$E$33</c:f>
              <c:strCache>
                <c:ptCount val="3"/>
                <c:pt idx="0">
                  <c:v>2015-16</c:v>
                </c:pt>
                <c:pt idx="1">
                  <c:v>2016-17</c:v>
                </c:pt>
                <c:pt idx="2">
                  <c:v>2017-18</c:v>
                </c:pt>
              </c:strCache>
            </c:strRef>
          </c:cat>
          <c:val>
            <c:numRef>
              <c:f>'1. requests for new clients'!$C$34:$E$34</c:f>
              <c:numCache>
                <c:formatCode>[$-10409]#,##0;\(#,##0\)</c:formatCode>
                <c:ptCount val="3"/>
                <c:pt idx="0">
                  <c:v>2755</c:v>
                </c:pt>
                <c:pt idx="1">
                  <c:v>2375</c:v>
                </c:pt>
                <c:pt idx="2">
                  <c:v>2570</c:v>
                </c:pt>
              </c:numCache>
            </c:numRef>
          </c:val>
          <c:smooth val="0"/>
          <c:extLst xmlns:c16r2="http://schemas.microsoft.com/office/drawing/2015/06/chart">
            <c:ext xmlns:c16="http://schemas.microsoft.com/office/drawing/2014/chart" uri="{C3380CC4-5D6E-409C-BE32-E72D297353CC}">
              <c16:uniqueId val="{00000000-C598-4D0A-9C1E-1C807BB26399}"/>
            </c:ext>
          </c:extLst>
        </c:ser>
        <c:ser>
          <c:idx val="1"/>
          <c:order val="1"/>
          <c:tx>
            <c:strRef>
              <c:f>'1. requests for new clients'!$B$35</c:f>
              <c:strCache>
                <c:ptCount val="1"/>
                <c:pt idx="0">
                  <c:v>East of England</c:v>
                </c:pt>
              </c:strCache>
            </c:strRef>
          </c:tx>
          <c:spPr>
            <a:ln w="28575" cap="rnd">
              <a:solidFill>
                <a:schemeClr val="accent5">
                  <a:shade val="86000"/>
                </a:schemeClr>
              </a:solidFill>
              <a:round/>
            </a:ln>
            <a:effectLst/>
          </c:spPr>
          <c:marker>
            <c:symbol val="none"/>
          </c:marker>
          <c:cat>
            <c:strRef>
              <c:f>'1. requests for new clients'!$C$33:$E$33</c:f>
              <c:strCache>
                <c:ptCount val="3"/>
                <c:pt idx="0">
                  <c:v>2015-16</c:v>
                </c:pt>
                <c:pt idx="1">
                  <c:v>2016-17</c:v>
                </c:pt>
                <c:pt idx="2">
                  <c:v>2017-18</c:v>
                </c:pt>
              </c:strCache>
            </c:strRef>
          </c:cat>
          <c:val>
            <c:numRef>
              <c:f>'1. requests for new clients'!$C$35:$E$35</c:f>
              <c:numCache>
                <c:formatCode>[$-10409]#,##0;\(#,##0\)</c:formatCode>
                <c:ptCount val="3"/>
                <c:pt idx="0">
                  <c:v>3330</c:v>
                </c:pt>
                <c:pt idx="1">
                  <c:v>3600</c:v>
                </c:pt>
                <c:pt idx="2">
                  <c:v>3450</c:v>
                </c:pt>
              </c:numCache>
            </c:numRef>
          </c:val>
          <c:smooth val="0"/>
          <c:extLst xmlns:c16r2="http://schemas.microsoft.com/office/drawing/2015/06/chart">
            <c:ext xmlns:c16="http://schemas.microsoft.com/office/drawing/2014/chart" uri="{C3380CC4-5D6E-409C-BE32-E72D297353CC}">
              <c16:uniqueId val="{00000001-C598-4D0A-9C1E-1C807BB26399}"/>
            </c:ext>
          </c:extLst>
        </c:ser>
        <c:ser>
          <c:idx val="2"/>
          <c:order val="2"/>
          <c:tx>
            <c:strRef>
              <c:f>'1. requests for new clients'!$B$36</c:f>
              <c:strCache>
                <c:ptCount val="1"/>
                <c:pt idx="0">
                  <c:v>Statistical Neighbours</c:v>
                </c:pt>
              </c:strCache>
            </c:strRef>
          </c:tx>
          <c:spPr>
            <a:ln w="28575" cap="rnd">
              <a:solidFill>
                <a:schemeClr val="accent5">
                  <a:tint val="86000"/>
                </a:schemeClr>
              </a:solidFill>
              <a:round/>
            </a:ln>
            <a:effectLst/>
          </c:spPr>
          <c:marker>
            <c:symbol val="none"/>
          </c:marker>
          <c:cat>
            <c:strRef>
              <c:f>'1. requests for new clients'!$C$33:$E$33</c:f>
              <c:strCache>
                <c:ptCount val="3"/>
                <c:pt idx="0">
                  <c:v>2015-16</c:v>
                </c:pt>
                <c:pt idx="1">
                  <c:v>2016-17</c:v>
                </c:pt>
                <c:pt idx="2">
                  <c:v>2017-18</c:v>
                </c:pt>
              </c:strCache>
            </c:strRef>
          </c:cat>
          <c:val>
            <c:numRef>
              <c:f>'1. requests for new clients'!$C$36:$E$36</c:f>
              <c:numCache>
                <c:formatCode>[$-10409]#,##0;\(#,##0\)</c:formatCode>
                <c:ptCount val="3"/>
                <c:pt idx="0">
                  <c:v>4050</c:v>
                </c:pt>
                <c:pt idx="1">
                  <c:v>4060</c:v>
                </c:pt>
                <c:pt idx="2">
                  <c:v>4025</c:v>
                </c:pt>
              </c:numCache>
            </c:numRef>
          </c:val>
          <c:smooth val="0"/>
          <c:extLst xmlns:c16r2="http://schemas.microsoft.com/office/drawing/2015/06/chart">
            <c:ext xmlns:c16="http://schemas.microsoft.com/office/drawing/2014/chart" uri="{C3380CC4-5D6E-409C-BE32-E72D297353CC}">
              <c16:uniqueId val="{00000002-C598-4D0A-9C1E-1C807BB26399}"/>
            </c:ext>
          </c:extLst>
        </c:ser>
        <c:ser>
          <c:idx val="3"/>
          <c:order val="3"/>
          <c:tx>
            <c:strRef>
              <c:f>'1. requests for new clients'!$B$37</c:f>
              <c:strCache>
                <c:ptCount val="1"/>
                <c:pt idx="0">
                  <c:v>England</c:v>
                </c:pt>
              </c:strCache>
            </c:strRef>
          </c:tx>
          <c:spPr>
            <a:ln w="28575" cap="rnd">
              <a:solidFill>
                <a:schemeClr val="accent5">
                  <a:tint val="58000"/>
                </a:schemeClr>
              </a:solidFill>
              <a:round/>
            </a:ln>
            <a:effectLst/>
          </c:spPr>
          <c:marker>
            <c:symbol val="none"/>
          </c:marker>
          <c:cat>
            <c:strRef>
              <c:f>'1. requests for new clients'!$C$33:$E$33</c:f>
              <c:strCache>
                <c:ptCount val="3"/>
                <c:pt idx="0">
                  <c:v>2015-16</c:v>
                </c:pt>
                <c:pt idx="1">
                  <c:v>2016-17</c:v>
                </c:pt>
                <c:pt idx="2">
                  <c:v>2017-18</c:v>
                </c:pt>
              </c:strCache>
            </c:strRef>
          </c:cat>
          <c:val>
            <c:numRef>
              <c:f>'1. requests for new clients'!$C$37:$E$37</c:f>
              <c:numCache>
                <c:formatCode>[$-10409]#,##0;\(#,##0\)</c:formatCode>
                <c:ptCount val="3"/>
                <c:pt idx="0">
                  <c:v>4200</c:v>
                </c:pt>
                <c:pt idx="1">
                  <c:v>4175</c:v>
                </c:pt>
                <c:pt idx="2">
                  <c:v>4215</c:v>
                </c:pt>
              </c:numCache>
            </c:numRef>
          </c:val>
          <c:smooth val="0"/>
          <c:extLst xmlns:c16r2="http://schemas.microsoft.com/office/drawing/2015/06/chart">
            <c:ext xmlns:c16="http://schemas.microsoft.com/office/drawing/2014/chart" uri="{C3380CC4-5D6E-409C-BE32-E72D297353CC}">
              <c16:uniqueId val="{00000003-C598-4D0A-9C1E-1C807BB26399}"/>
            </c:ext>
          </c:extLst>
        </c:ser>
        <c:dLbls>
          <c:showLegendKey val="0"/>
          <c:showVal val="0"/>
          <c:showCatName val="0"/>
          <c:showSerName val="0"/>
          <c:showPercent val="0"/>
          <c:showBubbleSize val="0"/>
        </c:dLbls>
        <c:smooth val="0"/>
        <c:axId val="1329379024"/>
        <c:axId val="1329375216"/>
      </c:lineChart>
      <c:catAx>
        <c:axId val="132937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75216"/>
        <c:crosses val="autoZero"/>
        <c:auto val="1"/>
        <c:lblAlgn val="ctr"/>
        <c:lblOffset val="100"/>
        <c:noMultiLvlLbl val="0"/>
      </c:catAx>
      <c:valAx>
        <c:axId val="1329375216"/>
        <c:scaling>
          <c:orientation val="minMax"/>
        </c:scaling>
        <c:delete val="0"/>
        <c:axPos val="l"/>
        <c:majorGridlines>
          <c:spPr>
            <a:ln w="9525" cap="flat" cmpd="sng" algn="ctr">
              <a:solidFill>
                <a:schemeClr val="tx1">
                  <a:lumMod val="15000"/>
                  <a:lumOff val="85000"/>
                </a:schemeClr>
              </a:solidFill>
              <a:round/>
            </a:ln>
            <a:effectLst/>
          </c:spPr>
        </c:majorGridlines>
        <c:numFmt formatCode="[$-10409]#,##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790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 - Number of requests for support received from new clients per 100,000 of population aged 18+</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'1. requests for new clients'!$P$34</c:f>
              <c:strCache>
                <c:ptCount val="1"/>
                <c:pt idx="0">
                  <c:v>Peterborough</c:v>
                </c:pt>
              </c:strCache>
            </c:strRef>
          </c:tx>
          <c:spPr>
            <a:ln w="28575" cap="rnd">
              <a:solidFill>
                <a:schemeClr val="accent6">
                  <a:shade val="58000"/>
                </a:schemeClr>
              </a:solidFill>
              <a:prstDash val="dash"/>
              <a:round/>
            </a:ln>
            <a:effectLst/>
          </c:spPr>
          <c:marker>
            <c:symbol val="none"/>
          </c:marker>
          <c:cat>
            <c:strRef>
              <c:f>'1. requests for new clients'!$Q$33:$S$33</c:f>
              <c:strCache>
                <c:ptCount val="3"/>
                <c:pt idx="0">
                  <c:v>2015-16</c:v>
                </c:pt>
                <c:pt idx="1">
                  <c:v>2016-17</c:v>
                </c:pt>
                <c:pt idx="2">
                  <c:v>2017-18</c:v>
                </c:pt>
              </c:strCache>
            </c:strRef>
          </c:cat>
          <c:val>
            <c:numRef>
              <c:f>'1. requests for new clients'!$Q$34:$S$34</c:f>
              <c:numCache>
                <c:formatCode>[$-10409]#,##0;\(#,##0\)</c:formatCode>
                <c:ptCount val="3"/>
                <c:pt idx="0">
                  <c:v>3160</c:v>
                </c:pt>
                <c:pt idx="1">
                  <c:v>2735</c:v>
                </c:pt>
                <c:pt idx="2">
                  <c:v>2560</c:v>
                </c:pt>
              </c:numCache>
            </c:numRef>
          </c:val>
          <c:smooth val="0"/>
          <c:extLst xmlns:c16r2="http://schemas.microsoft.com/office/drawing/2015/06/chart">
            <c:ext xmlns:c16="http://schemas.microsoft.com/office/drawing/2014/chart" uri="{C3380CC4-5D6E-409C-BE32-E72D297353CC}">
              <c16:uniqueId val="{00000000-1C2F-4F93-A662-1015D6021027}"/>
            </c:ext>
          </c:extLst>
        </c:ser>
        <c:ser>
          <c:idx val="1"/>
          <c:order val="1"/>
          <c:tx>
            <c:strRef>
              <c:f>'1. requests for new clients'!$P$35</c:f>
              <c:strCache>
                <c:ptCount val="1"/>
                <c:pt idx="0">
                  <c:v>East of England</c:v>
                </c:pt>
              </c:strCache>
            </c:strRef>
          </c:tx>
          <c:spPr>
            <a:ln w="28575" cap="rnd">
              <a:solidFill>
                <a:schemeClr val="accent6">
                  <a:shade val="86000"/>
                </a:schemeClr>
              </a:solidFill>
              <a:round/>
            </a:ln>
            <a:effectLst/>
          </c:spPr>
          <c:marker>
            <c:symbol val="none"/>
          </c:marker>
          <c:cat>
            <c:strRef>
              <c:f>'1. requests for new clients'!$Q$33:$S$33</c:f>
              <c:strCache>
                <c:ptCount val="3"/>
                <c:pt idx="0">
                  <c:v>2015-16</c:v>
                </c:pt>
                <c:pt idx="1">
                  <c:v>2016-17</c:v>
                </c:pt>
                <c:pt idx="2">
                  <c:v>2017-18</c:v>
                </c:pt>
              </c:strCache>
            </c:strRef>
          </c:cat>
          <c:val>
            <c:numRef>
              <c:f>'1. requests for new clients'!$Q$35:$S$35</c:f>
              <c:numCache>
                <c:formatCode>[$-10409]#,##0;\(#,##0\)</c:formatCode>
                <c:ptCount val="3"/>
                <c:pt idx="0">
                  <c:v>3330</c:v>
                </c:pt>
                <c:pt idx="1">
                  <c:v>3600</c:v>
                </c:pt>
                <c:pt idx="2">
                  <c:v>3450</c:v>
                </c:pt>
              </c:numCache>
            </c:numRef>
          </c:val>
          <c:smooth val="0"/>
          <c:extLst xmlns:c16r2="http://schemas.microsoft.com/office/drawing/2015/06/chart">
            <c:ext xmlns:c16="http://schemas.microsoft.com/office/drawing/2014/chart" uri="{C3380CC4-5D6E-409C-BE32-E72D297353CC}">
              <c16:uniqueId val="{00000001-1C2F-4F93-A662-1015D6021027}"/>
            </c:ext>
          </c:extLst>
        </c:ser>
        <c:ser>
          <c:idx val="2"/>
          <c:order val="2"/>
          <c:tx>
            <c:strRef>
              <c:f>'1. requests for new clients'!$P$36</c:f>
              <c:strCache>
                <c:ptCount val="1"/>
                <c:pt idx="0">
                  <c:v>Statistical Neighbours</c:v>
                </c:pt>
              </c:strCache>
            </c:strRef>
          </c:tx>
          <c:spPr>
            <a:ln w="28575" cap="rnd">
              <a:solidFill>
                <a:schemeClr val="accent6">
                  <a:tint val="86000"/>
                </a:schemeClr>
              </a:solidFill>
              <a:round/>
            </a:ln>
            <a:effectLst/>
          </c:spPr>
          <c:marker>
            <c:symbol val="none"/>
          </c:marker>
          <c:cat>
            <c:strRef>
              <c:f>'1. requests for new clients'!$Q$33:$S$33</c:f>
              <c:strCache>
                <c:ptCount val="3"/>
                <c:pt idx="0">
                  <c:v>2015-16</c:v>
                </c:pt>
                <c:pt idx="1">
                  <c:v>2016-17</c:v>
                </c:pt>
                <c:pt idx="2">
                  <c:v>2017-18</c:v>
                </c:pt>
              </c:strCache>
            </c:strRef>
          </c:cat>
          <c:val>
            <c:numRef>
              <c:f>'1. requests for new clients'!$Q$36:$S$36</c:f>
              <c:numCache>
                <c:formatCode>[$-10409]#,##0;\(#,##0\)</c:formatCode>
                <c:ptCount val="3"/>
                <c:pt idx="0">
                  <c:v>5245</c:v>
                </c:pt>
                <c:pt idx="1">
                  <c:v>5405</c:v>
                </c:pt>
                <c:pt idx="2">
                  <c:v>5195</c:v>
                </c:pt>
              </c:numCache>
            </c:numRef>
          </c:val>
          <c:smooth val="0"/>
          <c:extLst xmlns:c16r2="http://schemas.microsoft.com/office/drawing/2015/06/chart">
            <c:ext xmlns:c16="http://schemas.microsoft.com/office/drawing/2014/chart" uri="{C3380CC4-5D6E-409C-BE32-E72D297353CC}">
              <c16:uniqueId val="{00000002-1C2F-4F93-A662-1015D6021027}"/>
            </c:ext>
          </c:extLst>
        </c:ser>
        <c:ser>
          <c:idx val="3"/>
          <c:order val="3"/>
          <c:tx>
            <c:strRef>
              <c:f>'1. requests for new clients'!$P$37</c:f>
              <c:strCache>
                <c:ptCount val="1"/>
                <c:pt idx="0">
                  <c:v>England</c:v>
                </c:pt>
              </c:strCache>
            </c:strRef>
          </c:tx>
          <c:spPr>
            <a:ln w="28575" cap="rnd">
              <a:solidFill>
                <a:schemeClr val="accent6">
                  <a:tint val="58000"/>
                </a:schemeClr>
              </a:solidFill>
              <a:round/>
            </a:ln>
            <a:effectLst/>
          </c:spPr>
          <c:marker>
            <c:symbol val="none"/>
          </c:marker>
          <c:cat>
            <c:strRef>
              <c:f>'1. requests for new clients'!$Q$33:$S$33</c:f>
              <c:strCache>
                <c:ptCount val="3"/>
                <c:pt idx="0">
                  <c:v>2015-16</c:v>
                </c:pt>
                <c:pt idx="1">
                  <c:v>2016-17</c:v>
                </c:pt>
                <c:pt idx="2">
                  <c:v>2017-18</c:v>
                </c:pt>
              </c:strCache>
            </c:strRef>
          </c:cat>
          <c:val>
            <c:numRef>
              <c:f>'1. requests for new clients'!$Q$37:$S$37</c:f>
              <c:numCache>
                <c:formatCode>[$-10409]#,##0;\(#,##0\)</c:formatCode>
                <c:ptCount val="3"/>
                <c:pt idx="0">
                  <c:v>4200</c:v>
                </c:pt>
                <c:pt idx="1">
                  <c:v>4175</c:v>
                </c:pt>
                <c:pt idx="2">
                  <c:v>4215</c:v>
                </c:pt>
              </c:numCache>
            </c:numRef>
          </c:val>
          <c:smooth val="0"/>
          <c:extLst xmlns:c16r2="http://schemas.microsoft.com/office/drawing/2015/06/chart">
            <c:ext xmlns:c16="http://schemas.microsoft.com/office/drawing/2014/chart" uri="{C3380CC4-5D6E-409C-BE32-E72D297353CC}">
              <c16:uniqueId val="{00000003-1C2F-4F93-A662-1015D6021027}"/>
            </c:ext>
          </c:extLst>
        </c:ser>
        <c:dLbls>
          <c:showLegendKey val="0"/>
          <c:showVal val="0"/>
          <c:showCatName val="0"/>
          <c:showSerName val="0"/>
          <c:showPercent val="0"/>
          <c:showBubbleSize val="0"/>
        </c:dLbls>
        <c:smooth val="0"/>
        <c:axId val="1329386096"/>
        <c:axId val="1329404592"/>
      </c:lineChart>
      <c:catAx>
        <c:axId val="132938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404592"/>
        <c:crosses val="autoZero"/>
        <c:auto val="1"/>
        <c:lblAlgn val="ctr"/>
        <c:lblOffset val="100"/>
        <c:noMultiLvlLbl val="0"/>
      </c:catAx>
      <c:valAx>
        <c:axId val="1329404592"/>
        <c:scaling>
          <c:orientation val="minMax"/>
        </c:scaling>
        <c:delete val="0"/>
        <c:axPos val="l"/>
        <c:majorGridlines>
          <c:spPr>
            <a:ln w="9525" cap="flat" cmpd="sng" algn="ctr">
              <a:solidFill>
                <a:schemeClr val="tx1">
                  <a:lumMod val="15000"/>
                  <a:lumOff val="85000"/>
                </a:schemeClr>
              </a:solidFill>
              <a:round/>
            </a:ln>
            <a:effectLst/>
          </c:spPr>
        </c:majorGridlines>
        <c:numFmt formatCode="[$-10409]#,##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860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 Carers supported in the year, per 100,000 of population aged 18+</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'3.carers'!$B$34</c:f>
              <c:strCache>
                <c:ptCount val="1"/>
                <c:pt idx="0">
                  <c:v>Cambridgeshire</c:v>
                </c:pt>
              </c:strCache>
            </c:strRef>
          </c:tx>
          <c:spPr>
            <a:ln w="28575" cap="rnd">
              <a:solidFill>
                <a:schemeClr val="accent5">
                  <a:shade val="58000"/>
                </a:schemeClr>
              </a:solidFill>
              <a:prstDash val="sysDash"/>
              <a:round/>
            </a:ln>
            <a:effectLst/>
          </c:spPr>
          <c:marker>
            <c:symbol val="none"/>
          </c:marker>
          <c:cat>
            <c:strRef>
              <c:f>'3.carers'!$C$33:$E$33</c:f>
              <c:strCache>
                <c:ptCount val="3"/>
                <c:pt idx="0">
                  <c:v>2015-16</c:v>
                </c:pt>
                <c:pt idx="1">
                  <c:v>2016-17</c:v>
                </c:pt>
                <c:pt idx="2">
                  <c:v>2017-18</c:v>
                </c:pt>
              </c:strCache>
            </c:strRef>
          </c:cat>
          <c:val>
            <c:numRef>
              <c:f>'3.carers'!$C$34:$E$34</c:f>
              <c:numCache>
                <c:formatCode>[$-10409]#,##0;\(#,##0\)</c:formatCode>
                <c:ptCount val="3"/>
                <c:pt idx="0">
                  <c:v>940</c:v>
                </c:pt>
                <c:pt idx="1">
                  <c:v>785</c:v>
                </c:pt>
                <c:pt idx="2">
                  <c:v>700</c:v>
                </c:pt>
              </c:numCache>
            </c:numRef>
          </c:val>
          <c:smooth val="0"/>
          <c:extLst xmlns:c16r2="http://schemas.microsoft.com/office/drawing/2015/06/chart">
            <c:ext xmlns:c16="http://schemas.microsoft.com/office/drawing/2014/chart" uri="{C3380CC4-5D6E-409C-BE32-E72D297353CC}">
              <c16:uniqueId val="{00000000-8B1D-4C5C-9801-F9AAC8DCEA66}"/>
            </c:ext>
          </c:extLst>
        </c:ser>
        <c:ser>
          <c:idx val="1"/>
          <c:order val="1"/>
          <c:tx>
            <c:strRef>
              <c:f>'3.carers'!$B$35</c:f>
              <c:strCache>
                <c:ptCount val="1"/>
                <c:pt idx="0">
                  <c:v>East of England</c:v>
                </c:pt>
              </c:strCache>
            </c:strRef>
          </c:tx>
          <c:spPr>
            <a:ln w="28575" cap="rnd">
              <a:solidFill>
                <a:schemeClr val="accent5">
                  <a:shade val="86000"/>
                </a:schemeClr>
              </a:solidFill>
              <a:round/>
            </a:ln>
            <a:effectLst/>
          </c:spPr>
          <c:marker>
            <c:symbol val="none"/>
          </c:marker>
          <c:cat>
            <c:strRef>
              <c:f>'3.carers'!$C$33:$E$33</c:f>
              <c:strCache>
                <c:ptCount val="3"/>
                <c:pt idx="0">
                  <c:v>2015-16</c:v>
                </c:pt>
                <c:pt idx="1">
                  <c:v>2016-17</c:v>
                </c:pt>
                <c:pt idx="2">
                  <c:v>2017-18</c:v>
                </c:pt>
              </c:strCache>
            </c:strRef>
          </c:cat>
          <c:val>
            <c:numRef>
              <c:f>'3.carers'!$C$35:$E$35</c:f>
              <c:numCache>
                <c:formatCode>[$-10409]#,##0;\(#,##0\)</c:formatCode>
                <c:ptCount val="3"/>
                <c:pt idx="0">
                  <c:v>665</c:v>
                </c:pt>
                <c:pt idx="1">
                  <c:v>600</c:v>
                </c:pt>
                <c:pt idx="2">
                  <c:v>535</c:v>
                </c:pt>
              </c:numCache>
            </c:numRef>
          </c:val>
          <c:smooth val="0"/>
          <c:extLst xmlns:c16r2="http://schemas.microsoft.com/office/drawing/2015/06/chart">
            <c:ext xmlns:c16="http://schemas.microsoft.com/office/drawing/2014/chart" uri="{C3380CC4-5D6E-409C-BE32-E72D297353CC}">
              <c16:uniqueId val="{00000001-8B1D-4C5C-9801-F9AAC8DCEA66}"/>
            </c:ext>
          </c:extLst>
        </c:ser>
        <c:ser>
          <c:idx val="2"/>
          <c:order val="2"/>
          <c:tx>
            <c:strRef>
              <c:f>'3.carers'!$B$36</c:f>
              <c:strCache>
                <c:ptCount val="1"/>
                <c:pt idx="0">
                  <c:v>Statistical Neighbours</c:v>
                </c:pt>
              </c:strCache>
            </c:strRef>
          </c:tx>
          <c:spPr>
            <a:ln w="28575" cap="rnd">
              <a:solidFill>
                <a:schemeClr val="accent5">
                  <a:tint val="86000"/>
                </a:schemeClr>
              </a:solidFill>
              <a:round/>
            </a:ln>
            <a:effectLst/>
          </c:spPr>
          <c:marker>
            <c:symbol val="none"/>
          </c:marker>
          <c:cat>
            <c:strRef>
              <c:f>'3.carers'!$C$33:$E$33</c:f>
              <c:strCache>
                <c:ptCount val="3"/>
                <c:pt idx="0">
                  <c:v>2015-16</c:v>
                </c:pt>
                <c:pt idx="1">
                  <c:v>2016-17</c:v>
                </c:pt>
                <c:pt idx="2">
                  <c:v>2017-18</c:v>
                </c:pt>
              </c:strCache>
            </c:strRef>
          </c:cat>
          <c:val>
            <c:numRef>
              <c:f>'3.carers'!$C$36:$E$36</c:f>
              <c:numCache>
                <c:formatCode>[$-10409]#,##0;\(#,##0\)</c:formatCode>
                <c:ptCount val="3"/>
                <c:pt idx="0">
                  <c:v>845</c:v>
                </c:pt>
                <c:pt idx="1">
                  <c:v>775</c:v>
                </c:pt>
                <c:pt idx="2">
                  <c:v>735</c:v>
                </c:pt>
              </c:numCache>
            </c:numRef>
          </c:val>
          <c:smooth val="0"/>
          <c:extLst xmlns:c16r2="http://schemas.microsoft.com/office/drawing/2015/06/chart">
            <c:ext xmlns:c16="http://schemas.microsoft.com/office/drawing/2014/chart" uri="{C3380CC4-5D6E-409C-BE32-E72D297353CC}">
              <c16:uniqueId val="{00000002-8B1D-4C5C-9801-F9AAC8DCEA66}"/>
            </c:ext>
          </c:extLst>
        </c:ser>
        <c:ser>
          <c:idx val="3"/>
          <c:order val="3"/>
          <c:tx>
            <c:strRef>
              <c:f>'3.carers'!$B$37</c:f>
              <c:strCache>
                <c:ptCount val="1"/>
                <c:pt idx="0">
                  <c:v>England</c:v>
                </c:pt>
              </c:strCache>
            </c:strRef>
          </c:tx>
          <c:spPr>
            <a:ln w="28575" cap="rnd">
              <a:solidFill>
                <a:schemeClr val="accent5">
                  <a:tint val="58000"/>
                </a:schemeClr>
              </a:solidFill>
              <a:round/>
            </a:ln>
            <a:effectLst/>
          </c:spPr>
          <c:marker>
            <c:symbol val="none"/>
          </c:marker>
          <c:cat>
            <c:strRef>
              <c:f>'3.carers'!$C$33:$E$33</c:f>
              <c:strCache>
                <c:ptCount val="3"/>
                <c:pt idx="0">
                  <c:v>2015-16</c:v>
                </c:pt>
                <c:pt idx="1">
                  <c:v>2016-17</c:v>
                </c:pt>
                <c:pt idx="2">
                  <c:v>2017-18</c:v>
                </c:pt>
              </c:strCache>
            </c:strRef>
          </c:cat>
          <c:val>
            <c:numRef>
              <c:f>'3.carers'!$C$37:$E$37</c:f>
              <c:numCache>
                <c:formatCode>[$-10409]#,##0;\(#,##0\)</c:formatCode>
                <c:ptCount val="3"/>
                <c:pt idx="0">
                  <c:v>895</c:v>
                </c:pt>
                <c:pt idx="1">
                  <c:v>850</c:v>
                </c:pt>
                <c:pt idx="2">
                  <c:v>825</c:v>
                </c:pt>
              </c:numCache>
            </c:numRef>
          </c:val>
          <c:smooth val="0"/>
          <c:extLst xmlns:c16r2="http://schemas.microsoft.com/office/drawing/2015/06/chart">
            <c:ext xmlns:c16="http://schemas.microsoft.com/office/drawing/2014/chart" uri="{C3380CC4-5D6E-409C-BE32-E72D297353CC}">
              <c16:uniqueId val="{00000003-8B1D-4C5C-9801-F9AAC8DCEA66}"/>
            </c:ext>
          </c:extLst>
        </c:ser>
        <c:dLbls>
          <c:showLegendKey val="0"/>
          <c:showVal val="0"/>
          <c:showCatName val="0"/>
          <c:showSerName val="0"/>
          <c:showPercent val="0"/>
          <c:showBubbleSize val="0"/>
        </c:dLbls>
        <c:smooth val="0"/>
        <c:axId val="1329374128"/>
        <c:axId val="1329393168"/>
      </c:lineChart>
      <c:catAx>
        <c:axId val="132937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93168"/>
        <c:crosses val="autoZero"/>
        <c:auto val="1"/>
        <c:lblAlgn val="ctr"/>
        <c:lblOffset val="100"/>
        <c:noMultiLvlLbl val="0"/>
      </c:catAx>
      <c:valAx>
        <c:axId val="1329393168"/>
        <c:scaling>
          <c:orientation val="minMax"/>
        </c:scaling>
        <c:delete val="0"/>
        <c:axPos val="l"/>
        <c:majorGridlines>
          <c:spPr>
            <a:ln w="9525" cap="flat" cmpd="sng" algn="ctr">
              <a:solidFill>
                <a:schemeClr val="tx1">
                  <a:lumMod val="15000"/>
                  <a:lumOff val="85000"/>
                </a:schemeClr>
              </a:solidFill>
              <a:round/>
            </a:ln>
            <a:effectLst/>
          </c:spPr>
        </c:majorGridlines>
        <c:numFmt formatCode="[$-10409]#,##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74128"/>
        <c:crosses val="autoZero"/>
        <c:crossBetween val="between"/>
        <c:majorUnit val="2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a:solidFill>
                  <a:srgbClr val="002F5D"/>
                </a:solidFill>
              </a:rPr>
              <a:t>Peterborough - Carers supported in the year, per 100,000 of population aged 18+</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'3.carers'!$P$34</c:f>
              <c:strCache>
                <c:ptCount val="1"/>
                <c:pt idx="0">
                  <c:v>Peterborough</c:v>
                </c:pt>
              </c:strCache>
            </c:strRef>
          </c:tx>
          <c:spPr>
            <a:ln w="28575" cap="rnd">
              <a:solidFill>
                <a:schemeClr val="accent6">
                  <a:shade val="58000"/>
                </a:schemeClr>
              </a:solidFill>
              <a:prstDash val="dash"/>
              <a:round/>
            </a:ln>
            <a:effectLst/>
          </c:spPr>
          <c:marker>
            <c:symbol val="none"/>
          </c:marker>
          <c:cat>
            <c:strRef>
              <c:f>'3.carers'!$Q$33:$S$33</c:f>
              <c:strCache>
                <c:ptCount val="3"/>
                <c:pt idx="0">
                  <c:v>2015-16</c:v>
                </c:pt>
                <c:pt idx="1">
                  <c:v>2016-17</c:v>
                </c:pt>
                <c:pt idx="2">
                  <c:v>2017-18</c:v>
                </c:pt>
              </c:strCache>
            </c:strRef>
          </c:cat>
          <c:val>
            <c:numRef>
              <c:f>'3.carers'!$Q$34:$S$34</c:f>
              <c:numCache>
                <c:formatCode>[$-10409]#,##0;\(#,##0\)</c:formatCode>
                <c:ptCount val="3"/>
                <c:pt idx="0">
                  <c:v>1040</c:v>
                </c:pt>
                <c:pt idx="1">
                  <c:v>775</c:v>
                </c:pt>
                <c:pt idx="2">
                  <c:v>740</c:v>
                </c:pt>
              </c:numCache>
            </c:numRef>
          </c:val>
          <c:smooth val="0"/>
          <c:extLst xmlns:c16r2="http://schemas.microsoft.com/office/drawing/2015/06/chart">
            <c:ext xmlns:c16="http://schemas.microsoft.com/office/drawing/2014/chart" uri="{C3380CC4-5D6E-409C-BE32-E72D297353CC}">
              <c16:uniqueId val="{00000000-99D7-4166-A83A-E3FC8C68735B}"/>
            </c:ext>
          </c:extLst>
        </c:ser>
        <c:ser>
          <c:idx val="1"/>
          <c:order val="1"/>
          <c:tx>
            <c:strRef>
              <c:f>'3.carers'!$P$35</c:f>
              <c:strCache>
                <c:ptCount val="1"/>
                <c:pt idx="0">
                  <c:v>East of England</c:v>
                </c:pt>
              </c:strCache>
            </c:strRef>
          </c:tx>
          <c:spPr>
            <a:ln w="28575" cap="rnd">
              <a:solidFill>
                <a:schemeClr val="accent6">
                  <a:shade val="86000"/>
                </a:schemeClr>
              </a:solidFill>
              <a:round/>
            </a:ln>
            <a:effectLst/>
          </c:spPr>
          <c:marker>
            <c:symbol val="none"/>
          </c:marker>
          <c:cat>
            <c:strRef>
              <c:f>'3.carers'!$Q$33:$S$33</c:f>
              <c:strCache>
                <c:ptCount val="3"/>
                <c:pt idx="0">
                  <c:v>2015-16</c:v>
                </c:pt>
                <c:pt idx="1">
                  <c:v>2016-17</c:v>
                </c:pt>
                <c:pt idx="2">
                  <c:v>2017-18</c:v>
                </c:pt>
              </c:strCache>
            </c:strRef>
          </c:cat>
          <c:val>
            <c:numRef>
              <c:f>'3.carers'!$Q$35:$S$35</c:f>
              <c:numCache>
                <c:formatCode>[$-10409]#,##0;\(#,##0\)</c:formatCode>
                <c:ptCount val="3"/>
                <c:pt idx="0">
                  <c:v>665</c:v>
                </c:pt>
                <c:pt idx="1">
                  <c:v>600</c:v>
                </c:pt>
                <c:pt idx="2">
                  <c:v>535</c:v>
                </c:pt>
              </c:numCache>
            </c:numRef>
          </c:val>
          <c:smooth val="0"/>
          <c:extLst xmlns:c16r2="http://schemas.microsoft.com/office/drawing/2015/06/chart">
            <c:ext xmlns:c16="http://schemas.microsoft.com/office/drawing/2014/chart" uri="{C3380CC4-5D6E-409C-BE32-E72D297353CC}">
              <c16:uniqueId val="{00000001-99D7-4166-A83A-E3FC8C68735B}"/>
            </c:ext>
          </c:extLst>
        </c:ser>
        <c:ser>
          <c:idx val="2"/>
          <c:order val="2"/>
          <c:tx>
            <c:strRef>
              <c:f>'3.carers'!$P$36</c:f>
              <c:strCache>
                <c:ptCount val="1"/>
                <c:pt idx="0">
                  <c:v>Statistical Neighbours</c:v>
                </c:pt>
              </c:strCache>
            </c:strRef>
          </c:tx>
          <c:spPr>
            <a:ln w="28575" cap="rnd">
              <a:solidFill>
                <a:schemeClr val="accent6">
                  <a:tint val="86000"/>
                </a:schemeClr>
              </a:solidFill>
              <a:round/>
            </a:ln>
            <a:effectLst/>
          </c:spPr>
          <c:marker>
            <c:symbol val="none"/>
          </c:marker>
          <c:cat>
            <c:strRef>
              <c:f>'3.carers'!$Q$33:$S$33</c:f>
              <c:strCache>
                <c:ptCount val="3"/>
                <c:pt idx="0">
                  <c:v>2015-16</c:v>
                </c:pt>
                <c:pt idx="1">
                  <c:v>2016-17</c:v>
                </c:pt>
                <c:pt idx="2">
                  <c:v>2017-18</c:v>
                </c:pt>
              </c:strCache>
            </c:strRef>
          </c:cat>
          <c:val>
            <c:numRef>
              <c:f>'3.carers'!$Q$36:$S$36</c:f>
              <c:numCache>
                <c:formatCode>[$-10409]#,##0;\(#,##0\)</c:formatCode>
                <c:ptCount val="3"/>
                <c:pt idx="0">
                  <c:v>1070</c:v>
                </c:pt>
                <c:pt idx="1">
                  <c:v>950</c:v>
                </c:pt>
                <c:pt idx="2">
                  <c:v>940</c:v>
                </c:pt>
              </c:numCache>
            </c:numRef>
          </c:val>
          <c:smooth val="0"/>
          <c:extLst xmlns:c16r2="http://schemas.microsoft.com/office/drawing/2015/06/chart">
            <c:ext xmlns:c16="http://schemas.microsoft.com/office/drawing/2014/chart" uri="{C3380CC4-5D6E-409C-BE32-E72D297353CC}">
              <c16:uniqueId val="{00000002-99D7-4166-A83A-E3FC8C68735B}"/>
            </c:ext>
          </c:extLst>
        </c:ser>
        <c:ser>
          <c:idx val="3"/>
          <c:order val="3"/>
          <c:tx>
            <c:strRef>
              <c:f>'3.carers'!$P$37</c:f>
              <c:strCache>
                <c:ptCount val="1"/>
                <c:pt idx="0">
                  <c:v>England</c:v>
                </c:pt>
              </c:strCache>
            </c:strRef>
          </c:tx>
          <c:spPr>
            <a:ln w="28575" cap="rnd">
              <a:solidFill>
                <a:schemeClr val="accent6">
                  <a:tint val="58000"/>
                </a:schemeClr>
              </a:solidFill>
              <a:round/>
            </a:ln>
            <a:effectLst/>
          </c:spPr>
          <c:marker>
            <c:symbol val="none"/>
          </c:marker>
          <c:cat>
            <c:strRef>
              <c:f>'3.carers'!$Q$33:$S$33</c:f>
              <c:strCache>
                <c:ptCount val="3"/>
                <c:pt idx="0">
                  <c:v>2015-16</c:v>
                </c:pt>
                <c:pt idx="1">
                  <c:v>2016-17</c:v>
                </c:pt>
                <c:pt idx="2">
                  <c:v>2017-18</c:v>
                </c:pt>
              </c:strCache>
            </c:strRef>
          </c:cat>
          <c:val>
            <c:numRef>
              <c:f>'3.carers'!$Q$37:$S$37</c:f>
              <c:numCache>
                <c:formatCode>[$-10409]#,##0;\(#,##0\)</c:formatCode>
                <c:ptCount val="3"/>
                <c:pt idx="0">
                  <c:v>895</c:v>
                </c:pt>
                <c:pt idx="1">
                  <c:v>850</c:v>
                </c:pt>
                <c:pt idx="2">
                  <c:v>825</c:v>
                </c:pt>
              </c:numCache>
            </c:numRef>
          </c:val>
          <c:smooth val="0"/>
          <c:extLst xmlns:c16r2="http://schemas.microsoft.com/office/drawing/2015/06/chart">
            <c:ext xmlns:c16="http://schemas.microsoft.com/office/drawing/2014/chart" uri="{C3380CC4-5D6E-409C-BE32-E72D297353CC}">
              <c16:uniqueId val="{00000003-99D7-4166-A83A-E3FC8C68735B}"/>
            </c:ext>
          </c:extLst>
        </c:ser>
        <c:dLbls>
          <c:showLegendKey val="0"/>
          <c:showVal val="0"/>
          <c:showCatName val="0"/>
          <c:showSerName val="0"/>
          <c:showPercent val="0"/>
          <c:showBubbleSize val="0"/>
        </c:dLbls>
        <c:smooth val="0"/>
        <c:axId val="1329393712"/>
        <c:axId val="1329394800"/>
      </c:lineChart>
      <c:catAx>
        <c:axId val="1329393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29394800"/>
        <c:crosses val="autoZero"/>
        <c:auto val="1"/>
        <c:lblAlgn val="ctr"/>
        <c:lblOffset val="100"/>
        <c:noMultiLvlLbl val="0"/>
      </c:catAx>
      <c:valAx>
        <c:axId val="1329394800"/>
        <c:scaling>
          <c:orientation val="minMax"/>
        </c:scaling>
        <c:delete val="0"/>
        <c:axPos val="l"/>
        <c:majorGridlines>
          <c:spPr>
            <a:ln w="9525" cap="flat" cmpd="sng" algn="ctr">
              <a:solidFill>
                <a:schemeClr val="tx1">
                  <a:lumMod val="15000"/>
                  <a:lumOff val="85000"/>
                </a:schemeClr>
              </a:solidFill>
              <a:round/>
            </a:ln>
            <a:effectLst/>
          </c:spPr>
        </c:majorGridlines>
        <c:numFmt formatCode="[$-10409]#,##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13293937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 </a:t>
            </a:r>
          </a:p>
          <a:p>
            <a:pPr>
              <a:defRPr sz="1000">
                <a:solidFill>
                  <a:srgbClr val="002F5D"/>
                </a:solidFill>
              </a:defRPr>
            </a:pPr>
            <a:r>
              <a:rPr lang="en-GB" sz="1000">
                <a:solidFill>
                  <a:srgbClr val="002F5D"/>
                </a:solidFill>
              </a:rPr>
              <a:t>Rates per 10,000 of referrals to Children's Social Services</a:t>
            </a:r>
          </a:p>
        </c:rich>
      </c:tx>
      <c:layout>
        <c:manualLayout>
          <c:xMode val="edge"/>
          <c:yMode val="edge"/>
          <c:x val="0.25730672675708788"/>
          <c:y val="2.777777777777777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988.7</c:v>
                </c:pt>
                <c:pt idx="1">
                  <c:v>563.20000000000005</c:v>
                </c:pt>
                <c:pt idx="2">
                  <c:v>523.5</c:v>
                </c:pt>
              </c:numCache>
            </c:numRef>
          </c:val>
          <c:smooth val="0"/>
          <c:extLst xmlns:c16r2="http://schemas.microsoft.com/office/drawing/2015/06/chart">
            <c:ext xmlns:c16="http://schemas.microsoft.com/office/drawing/2014/chart" uri="{C3380CC4-5D6E-409C-BE32-E72D297353CC}">
              <c16:uniqueId val="{00000000-E484-4DFA-B408-297E4BE8BF01}"/>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425.5</c:v>
                </c:pt>
                <c:pt idx="1">
                  <c:v>374.4</c:v>
                </c:pt>
                <c:pt idx="2">
                  <c:v>361.9</c:v>
                </c:pt>
              </c:numCache>
            </c:numRef>
          </c:val>
          <c:smooth val="0"/>
          <c:extLst xmlns:c16r2="http://schemas.microsoft.com/office/drawing/2015/06/chart">
            <c:ext xmlns:c16="http://schemas.microsoft.com/office/drawing/2014/chart" uri="{C3380CC4-5D6E-409C-BE32-E72D297353CC}">
              <c16:uniqueId val="{00000001-E484-4DFA-B408-297E4BE8BF01}"/>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663.14</c:v>
                </c:pt>
                <c:pt idx="1">
                  <c:v>681.2</c:v>
                </c:pt>
                <c:pt idx="2">
                  <c:v>668.53000000000009</c:v>
                </c:pt>
              </c:numCache>
            </c:numRef>
          </c:val>
          <c:smooth val="0"/>
          <c:extLst xmlns:c16r2="http://schemas.microsoft.com/office/drawing/2015/06/chart">
            <c:ext xmlns:c16="http://schemas.microsoft.com/office/drawing/2014/chart" uri="{C3380CC4-5D6E-409C-BE32-E72D297353CC}">
              <c16:uniqueId val="{00000002-E484-4DFA-B408-297E4BE8BF01}"/>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532.20000000000005</c:v>
                </c:pt>
                <c:pt idx="1">
                  <c:v>548.20000000000005</c:v>
                </c:pt>
                <c:pt idx="2">
                  <c:v>552.5</c:v>
                </c:pt>
              </c:numCache>
            </c:numRef>
          </c:val>
          <c:smooth val="0"/>
          <c:extLst xmlns:c16r2="http://schemas.microsoft.com/office/drawing/2015/06/chart">
            <c:ext xmlns:c16="http://schemas.microsoft.com/office/drawing/2014/chart" uri="{C3380CC4-5D6E-409C-BE32-E72D297353CC}">
              <c16:uniqueId val="{00000003-E484-4DFA-B408-297E4BE8BF01}"/>
            </c:ext>
          </c:extLst>
        </c:ser>
        <c:dLbls>
          <c:showLegendKey val="0"/>
          <c:showVal val="0"/>
          <c:showCatName val="0"/>
          <c:showSerName val="0"/>
          <c:showPercent val="0"/>
          <c:showBubbleSize val="0"/>
        </c:dLbls>
        <c:smooth val="0"/>
        <c:axId val="889620256"/>
        <c:axId val="889634400"/>
      </c:lineChart>
      <c:catAx>
        <c:axId val="88962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4400"/>
        <c:crosses val="autoZero"/>
        <c:auto val="1"/>
        <c:lblAlgn val="ctr"/>
        <c:lblOffset val="100"/>
        <c:noMultiLvlLbl val="0"/>
      </c:catAx>
      <c:valAx>
        <c:axId val="889634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02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a:solidFill>
                  <a:srgbClr val="002F5D"/>
                </a:solidFill>
              </a:rPr>
              <a:t>Cambridgeshire </a:t>
            </a:r>
          </a:p>
          <a:p>
            <a:pPr>
              <a:defRPr>
                <a:solidFill>
                  <a:srgbClr val="002F5D"/>
                </a:solidFill>
              </a:defRPr>
            </a:pPr>
            <a:r>
              <a:rPr lang="en-GB">
                <a:solidFill>
                  <a:srgbClr val="002F5D"/>
                </a:solidFill>
              </a:rPr>
              <a:t>Children in Need rate per 10,000</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tables!$B$3</c:f>
              <c:strCache>
                <c:ptCount val="1"/>
                <c:pt idx="0">
                  <c:v>Cambridgeshire</c:v>
                </c:pt>
              </c:strCache>
            </c:strRef>
          </c:tx>
          <c:spPr>
            <a:ln w="28575" cap="rnd">
              <a:solidFill>
                <a:schemeClr val="accent5">
                  <a:shade val="58000"/>
                </a:schemeClr>
              </a:solidFill>
              <a:prstDash val="dash"/>
              <a:round/>
            </a:ln>
            <a:effectLst/>
          </c:spPr>
          <c:marker>
            <c:symbol val="none"/>
          </c:marker>
          <c:cat>
            <c:strRef>
              <c:f>tables!$C$2:$E$2</c:f>
              <c:strCache>
                <c:ptCount val="3"/>
                <c:pt idx="0">
                  <c:v>2015-16</c:v>
                </c:pt>
                <c:pt idx="1">
                  <c:v>2016-17</c:v>
                </c:pt>
                <c:pt idx="2">
                  <c:v>2017-18</c:v>
                </c:pt>
              </c:strCache>
            </c:strRef>
          </c:cat>
          <c:val>
            <c:numRef>
              <c:f>tables!$C$3:$E$3</c:f>
              <c:numCache>
                <c:formatCode>0.00</c:formatCode>
                <c:ptCount val="3"/>
                <c:pt idx="0">
                  <c:v>227.3</c:v>
                </c:pt>
                <c:pt idx="1">
                  <c:v>244.2</c:v>
                </c:pt>
                <c:pt idx="2">
                  <c:v>254.6</c:v>
                </c:pt>
              </c:numCache>
            </c:numRef>
          </c:val>
          <c:smooth val="0"/>
          <c:extLst xmlns:c16r2="http://schemas.microsoft.com/office/drawing/2015/06/chart">
            <c:ext xmlns:c16="http://schemas.microsoft.com/office/drawing/2014/chart" uri="{C3380CC4-5D6E-409C-BE32-E72D297353CC}">
              <c16:uniqueId val="{00000000-1C49-4808-A688-8ABDF06EDA5E}"/>
            </c:ext>
          </c:extLst>
        </c:ser>
        <c:ser>
          <c:idx val="1"/>
          <c:order val="1"/>
          <c:tx>
            <c:strRef>
              <c:f>tables!$B$4</c:f>
              <c:strCache>
                <c:ptCount val="1"/>
                <c:pt idx="0">
                  <c:v>East of England</c:v>
                </c:pt>
              </c:strCache>
            </c:strRef>
          </c:tx>
          <c:spPr>
            <a:ln w="28575" cap="rnd">
              <a:solidFill>
                <a:schemeClr val="accent5">
                  <a:shade val="86000"/>
                </a:schemeClr>
              </a:solidFill>
              <a:round/>
            </a:ln>
            <a:effectLst/>
          </c:spPr>
          <c:marker>
            <c:symbol val="none"/>
          </c:marker>
          <c:cat>
            <c:strRef>
              <c:f>tables!$C$2:$E$2</c:f>
              <c:strCache>
                <c:ptCount val="3"/>
                <c:pt idx="0">
                  <c:v>2015-16</c:v>
                </c:pt>
                <c:pt idx="1">
                  <c:v>2016-17</c:v>
                </c:pt>
                <c:pt idx="2">
                  <c:v>2017-18</c:v>
                </c:pt>
              </c:strCache>
            </c:strRef>
          </c:cat>
          <c:val>
            <c:numRef>
              <c:f>tables!$C$4:$E$4</c:f>
              <c:numCache>
                <c:formatCode>0.00</c:formatCode>
                <c:ptCount val="3"/>
                <c:pt idx="0">
                  <c:v>296.2</c:v>
                </c:pt>
                <c:pt idx="1">
                  <c:v>253.6</c:v>
                </c:pt>
                <c:pt idx="2">
                  <c:v>260.8</c:v>
                </c:pt>
              </c:numCache>
            </c:numRef>
          </c:val>
          <c:smooth val="0"/>
          <c:extLst xmlns:c16r2="http://schemas.microsoft.com/office/drawing/2015/06/chart">
            <c:ext xmlns:c16="http://schemas.microsoft.com/office/drawing/2014/chart" uri="{C3380CC4-5D6E-409C-BE32-E72D297353CC}">
              <c16:uniqueId val="{00000001-1C49-4808-A688-8ABDF06EDA5E}"/>
            </c:ext>
          </c:extLst>
        </c:ser>
        <c:ser>
          <c:idx val="2"/>
          <c:order val="2"/>
          <c:tx>
            <c:strRef>
              <c:f>tables!$B$5</c:f>
              <c:strCache>
                <c:ptCount val="1"/>
                <c:pt idx="0">
                  <c:v>Statistical Neighbours</c:v>
                </c:pt>
              </c:strCache>
            </c:strRef>
          </c:tx>
          <c:spPr>
            <a:ln w="28575" cap="rnd">
              <a:solidFill>
                <a:schemeClr val="accent5">
                  <a:tint val="86000"/>
                </a:schemeClr>
              </a:solidFill>
              <a:round/>
            </a:ln>
            <a:effectLst/>
          </c:spPr>
          <c:marker>
            <c:symbol val="none"/>
          </c:marker>
          <c:cat>
            <c:strRef>
              <c:f>tables!$C$2:$E$2</c:f>
              <c:strCache>
                <c:ptCount val="3"/>
                <c:pt idx="0">
                  <c:v>2015-16</c:v>
                </c:pt>
                <c:pt idx="1">
                  <c:v>2016-17</c:v>
                </c:pt>
                <c:pt idx="2">
                  <c:v>2017-18</c:v>
                </c:pt>
              </c:strCache>
            </c:strRef>
          </c:cat>
          <c:val>
            <c:numRef>
              <c:f>tables!$C$5:$E$5</c:f>
              <c:numCache>
                <c:formatCode>0.00</c:formatCode>
                <c:ptCount val="3"/>
                <c:pt idx="0">
                  <c:v>285.2</c:v>
                </c:pt>
                <c:pt idx="1">
                  <c:v>283.91999999999996</c:v>
                </c:pt>
                <c:pt idx="2">
                  <c:v>291.84999999999997</c:v>
                </c:pt>
              </c:numCache>
            </c:numRef>
          </c:val>
          <c:smooth val="0"/>
          <c:extLst xmlns:c16r2="http://schemas.microsoft.com/office/drawing/2015/06/chart">
            <c:ext xmlns:c16="http://schemas.microsoft.com/office/drawing/2014/chart" uri="{C3380CC4-5D6E-409C-BE32-E72D297353CC}">
              <c16:uniqueId val="{00000002-1C49-4808-A688-8ABDF06EDA5E}"/>
            </c:ext>
          </c:extLst>
        </c:ser>
        <c:ser>
          <c:idx val="3"/>
          <c:order val="3"/>
          <c:tx>
            <c:strRef>
              <c:f>tables!$B$6</c:f>
              <c:strCache>
                <c:ptCount val="1"/>
                <c:pt idx="0">
                  <c:v>England</c:v>
                </c:pt>
              </c:strCache>
            </c:strRef>
          </c:tx>
          <c:spPr>
            <a:ln w="28575" cap="rnd">
              <a:solidFill>
                <a:schemeClr val="accent5">
                  <a:tint val="58000"/>
                </a:schemeClr>
              </a:solidFill>
              <a:round/>
            </a:ln>
            <a:effectLst/>
          </c:spPr>
          <c:marker>
            <c:symbol val="none"/>
          </c:marker>
          <c:cat>
            <c:strRef>
              <c:f>tables!$C$2:$E$2</c:f>
              <c:strCache>
                <c:ptCount val="3"/>
                <c:pt idx="0">
                  <c:v>2015-16</c:v>
                </c:pt>
                <c:pt idx="1">
                  <c:v>2016-17</c:v>
                </c:pt>
                <c:pt idx="2">
                  <c:v>2017-18</c:v>
                </c:pt>
              </c:strCache>
            </c:strRef>
          </c:cat>
          <c:val>
            <c:numRef>
              <c:f>tables!$C$6:$E$6</c:f>
              <c:numCache>
                <c:formatCode>0.00</c:formatCode>
                <c:ptCount val="3"/>
                <c:pt idx="0">
                  <c:v>337.3</c:v>
                </c:pt>
                <c:pt idx="1">
                  <c:v>330.1</c:v>
                </c:pt>
                <c:pt idx="2">
                  <c:v>341</c:v>
                </c:pt>
              </c:numCache>
            </c:numRef>
          </c:val>
          <c:smooth val="0"/>
          <c:extLst xmlns:c16r2="http://schemas.microsoft.com/office/drawing/2015/06/chart">
            <c:ext xmlns:c16="http://schemas.microsoft.com/office/drawing/2014/chart" uri="{C3380CC4-5D6E-409C-BE32-E72D297353CC}">
              <c16:uniqueId val="{00000003-1C49-4808-A688-8ABDF06EDA5E}"/>
            </c:ext>
          </c:extLst>
        </c:ser>
        <c:dLbls>
          <c:showLegendKey val="0"/>
          <c:showVal val="0"/>
          <c:showCatName val="0"/>
          <c:showSerName val="0"/>
          <c:showPercent val="0"/>
          <c:showBubbleSize val="0"/>
        </c:dLbls>
        <c:smooth val="0"/>
        <c:axId val="889631136"/>
        <c:axId val="889630592"/>
      </c:lineChart>
      <c:catAx>
        <c:axId val="88963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0592"/>
        <c:crosses val="autoZero"/>
        <c:auto val="1"/>
        <c:lblAlgn val="ctr"/>
        <c:lblOffset val="100"/>
        <c:noMultiLvlLbl val="0"/>
      </c:catAx>
      <c:valAx>
        <c:axId val="889630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1136"/>
        <c:crosses val="autoZero"/>
        <c:crossBetween val="between"/>
        <c:majorUnit val="1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a:solidFill>
                  <a:srgbClr val="002F5D"/>
                </a:solidFill>
              </a:rPr>
              <a:t>Peterborough</a:t>
            </a:r>
          </a:p>
          <a:p>
            <a:pPr>
              <a:defRPr>
                <a:solidFill>
                  <a:srgbClr val="002F5D"/>
                </a:solidFill>
              </a:defRPr>
            </a:pPr>
            <a:r>
              <a:rPr lang="en-GB">
                <a:solidFill>
                  <a:srgbClr val="002F5D"/>
                </a:solidFill>
              </a:rPr>
              <a:t>Children in Need rate per 10,000</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371.5</c:v>
                </c:pt>
                <c:pt idx="1">
                  <c:v>362.3</c:v>
                </c:pt>
                <c:pt idx="2">
                  <c:v>330.1</c:v>
                </c:pt>
              </c:numCache>
            </c:numRef>
          </c:val>
          <c:smooth val="0"/>
          <c:extLst xmlns:c16r2="http://schemas.microsoft.com/office/drawing/2015/06/chart">
            <c:ext xmlns:c16="http://schemas.microsoft.com/office/drawing/2014/chart" uri="{C3380CC4-5D6E-409C-BE32-E72D297353CC}">
              <c16:uniqueId val="{00000000-95EB-4C36-98B6-213EA21D77DB}"/>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296.2</c:v>
                </c:pt>
                <c:pt idx="1">
                  <c:v>253.6</c:v>
                </c:pt>
                <c:pt idx="2">
                  <c:v>260.8</c:v>
                </c:pt>
              </c:numCache>
            </c:numRef>
          </c:val>
          <c:smooth val="0"/>
          <c:extLst xmlns:c16r2="http://schemas.microsoft.com/office/drawing/2015/06/chart">
            <c:ext xmlns:c16="http://schemas.microsoft.com/office/drawing/2014/chart" uri="{C3380CC4-5D6E-409C-BE32-E72D297353CC}">
              <c16:uniqueId val="{00000001-95EB-4C36-98B6-213EA21D77DB}"/>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408.4</c:v>
                </c:pt>
                <c:pt idx="1">
                  <c:v>389.58</c:v>
                </c:pt>
                <c:pt idx="2">
                  <c:v>395.83</c:v>
                </c:pt>
              </c:numCache>
            </c:numRef>
          </c:val>
          <c:smooth val="0"/>
          <c:extLst xmlns:c16r2="http://schemas.microsoft.com/office/drawing/2015/06/chart">
            <c:ext xmlns:c16="http://schemas.microsoft.com/office/drawing/2014/chart" uri="{C3380CC4-5D6E-409C-BE32-E72D297353CC}">
              <c16:uniqueId val="{00000002-95EB-4C36-98B6-213EA21D77DB}"/>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337.3</c:v>
                </c:pt>
                <c:pt idx="1">
                  <c:v>330.1</c:v>
                </c:pt>
                <c:pt idx="2">
                  <c:v>341</c:v>
                </c:pt>
              </c:numCache>
            </c:numRef>
          </c:val>
          <c:smooth val="0"/>
          <c:extLst xmlns:c16r2="http://schemas.microsoft.com/office/drawing/2015/06/chart">
            <c:ext xmlns:c16="http://schemas.microsoft.com/office/drawing/2014/chart" uri="{C3380CC4-5D6E-409C-BE32-E72D297353CC}">
              <c16:uniqueId val="{00000003-95EB-4C36-98B6-213EA21D77DB}"/>
            </c:ext>
          </c:extLst>
        </c:ser>
        <c:dLbls>
          <c:showLegendKey val="0"/>
          <c:showVal val="0"/>
          <c:showCatName val="0"/>
          <c:showSerName val="0"/>
          <c:showPercent val="0"/>
          <c:showBubbleSize val="0"/>
        </c:dLbls>
        <c:smooth val="0"/>
        <c:axId val="889621344"/>
        <c:axId val="889633856"/>
      </c:lineChart>
      <c:catAx>
        <c:axId val="88962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3856"/>
        <c:crosses val="autoZero"/>
        <c:auto val="1"/>
        <c:lblAlgn val="ctr"/>
        <c:lblOffset val="100"/>
        <c:noMultiLvlLbl val="0"/>
      </c:catAx>
      <c:valAx>
        <c:axId val="889633856"/>
        <c:scaling>
          <c:orientation val="minMax"/>
          <c:max val="5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1344"/>
        <c:crosses val="autoZero"/>
        <c:crossBetween val="between"/>
        <c:majorUnit val="1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a:t>
            </a:r>
          </a:p>
          <a:p>
            <a:pPr>
              <a:defRPr sz="1000">
                <a:solidFill>
                  <a:srgbClr val="002F5D"/>
                </a:solidFill>
              </a:defRPr>
            </a:pPr>
            <a:r>
              <a:rPr lang="en-GB" sz="1000">
                <a:solidFill>
                  <a:srgbClr val="002F5D"/>
                </a:solidFill>
              </a:rPr>
              <a:t>Section 47 enquiries which started during the year rate per 10,000 children</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106</c:v>
                </c:pt>
                <c:pt idx="1">
                  <c:v>113.9</c:v>
                </c:pt>
                <c:pt idx="2">
                  <c:v>112.9</c:v>
                </c:pt>
              </c:numCache>
            </c:numRef>
          </c:val>
          <c:smooth val="0"/>
          <c:extLst xmlns:c16r2="http://schemas.microsoft.com/office/drawing/2015/06/chart">
            <c:ext xmlns:c16="http://schemas.microsoft.com/office/drawing/2014/chart" uri="{C3380CC4-5D6E-409C-BE32-E72D297353CC}">
              <c16:uniqueId val="{00000000-29A1-4478-9C9F-39A3D9A715C3}"/>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102.4</c:v>
                </c:pt>
                <c:pt idx="1">
                  <c:v>101.8</c:v>
                </c:pt>
                <c:pt idx="2">
                  <c:v>101</c:v>
                </c:pt>
              </c:numCache>
            </c:numRef>
          </c:val>
          <c:smooth val="0"/>
          <c:extLst xmlns:c16r2="http://schemas.microsoft.com/office/drawing/2015/06/chart">
            <c:ext xmlns:c16="http://schemas.microsoft.com/office/drawing/2014/chart" uri="{C3380CC4-5D6E-409C-BE32-E72D297353CC}">
              <c16:uniqueId val="{00000001-29A1-4478-9C9F-39A3D9A715C3}"/>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126.65</c:v>
                </c:pt>
                <c:pt idx="1">
                  <c:v>135.45000000000002</c:v>
                </c:pt>
                <c:pt idx="2">
                  <c:v>148.4</c:v>
                </c:pt>
              </c:numCache>
            </c:numRef>
          </c:val>
          <c:smooth val="0"/>
          <c:extLst xmlns:c16r2="http://schemas.microsoft.com/office/drawing/2015/06/chart">
            <c:ext xmlns:c16="http://schemas.microsoft.com/office/drawing/2014/chart" uri="{C3380CC4-5D6E-409C-BE32-E72D297353CC}">
              <c16:uniqueId val="{00000002-29A1-4478-9C9F-39A3D9A715C3}"/>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147.69999999999999</c:v>
                </c:pt>
                <c:pt idx="1">
                  <c:v>157.6</c:v>
                </c:pt>
                <c:pt idx="2">
                  <c:v>166.9</c:v>
                </c:pt>
              </c:numCache>
            </c:numRef>
          </c:val>
          <c:smooth val="0"/>
          <c:extLst xmlns:c16r2="http://schemas.microsoft.com/office/drawing/2015/06/chart">
            <c:ext xmlns:c16="http://schemas.microsoft.com/office/drawing/2014/chart" uri="{C3380CC4-5D6E-409C-BE32-E72D297353CC}">
              <c16:uniqueId val="{00000003-29A1-4478-9C9F-39A3D9A715C3}"/>
            </c:ext>
          </c:extLst>
        </c:ser>
        <c:dLbls>
          <c:showLegendKey val="0"/>
          <c:showVal val="0"/>
          <c:showCatName val="0"/>
          <c:showSerName val="0"/>
          <c:showPercent val="0"/>
          <c:showBubbleSize val="0"/>
        </c:dLbls>
        <c:smooth val="0"/>
        <c:axId val="889627328"/>
        <c:axId val="889632224"/>
      </c:lineChart>
      <c:catAx>
        <c:axId val="88962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2224"/>
        <c:crosses val="autoZero"/>
        <c:auto val="1"/>
        <c:lblAlgn val="ctr"/>
        <c:lblOffset val="100"/>
        <c:noMultiLvlLbl val="0"/>
      </c:catAx>
      <c:valAx>
        <c:axId val="889632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73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Peterborough </a:t>
            </a:r>
          </a:p>
          <a:p>
            <a:pPr>
              <a:defRPr sz="1000">
                <a:solidFill>
                  <a:srgbClr val="002F5D"/>
                </a:solidFill>
              </a:defRPr>
            </a:pPr>
            <a:r>
              <a:rPr lang="en-GB" sz="1000">
                <a:solidFill>
                  <a:srgbClr val="002F5D"/>
                </a:solidFill>
              </a:rPr>
              <a:t>Section 47 enquiries which started during the year rate per 10,000 children</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194.2</c:v>
                </c:pt>
                <c:pt idx="1">
                  <c:v>182.4</c:v>
                </c:pt>
                <c:pt idx="2">
                  <c:v>199.6</c:v>
                </c:pt>
              </c:numCache>
            </c:numRef>
          </c:val>
          <c:smooth val="0"/>
          <c:extLst xmlns:c16r2="http://schemas.microsoft.com/office/drawing/2015/06/chart">
            <c:ext xmlns:c16="http://schemas.microsoft.com/office/drawing/2014/chart" uri="{C3380CC4-5D6E-409C-BE32-E72D297353CC}">
              <c16:uniqueId val="{00000000-4E7E-4C0F-ADAA-F65D4AAD2F00}"/>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102.4</c:v>
                </c:pt>
                <c:pt idx="1">
                  <c:v>101.8</c:v>
                </c:pt>
                <c:pt idx="2">
                  <c:v>101</c:v>
                </c:pt>
              </c:numCache>
            </c:numRef>
          </c:val>
          <c:smooth val="0"/>
          <c:extLst xmlns:c16r2="http://schemas.microsoft.com/office/drawing/2015/06/chart">
            <c:ext xmlns:c16="http://schemas.microsoft.com/office/drawing/2014/chart" uri="{C3380CC4-5D6E-409C-BE32-E72D297353CC}">
              <c16:uniqueId val="{00000001-4E7E-4C0F-ADAA-F65D4AAD2F00}"/>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221.97000000000003</c:v>
                </c:pt>
                <c:pt idx="1">
                  <c:v>239.17999999999998</c:v>
                </c:pt>
                <c:pt idx="2">
                  <c:v>260.76000000000005</c:v>
                </c:pt>
              </c:numCache>
            </c:numRef>
          </c:val>
          <c:smooth val="0"/>
          <c:extLst xmlns:c16r2="http://schemas.microsoft.com/office/drawing/2015/06/chart">
            <c:ext xmlns:c16="http://schemas.microsoft.com/office/drawing/2014/chart" uri="{C3380CC4-5D6E-409C-BE32-E72D297353CC}">
              <c16:uniqueId val="{00000002-4E7E-4C0F-ADAA-F65D4AAD2F00}"/>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147.69999999999999</c:v>
                </c:pt>
                <c:pt idx="1">
                  <c:v>157.6</c:v>
                </c:pt>
                <c:pt idx="2">
                  <c:v>166.9</c:v>
                </c:pt>
              </c:numCache>
            </c:numRef>
          </c:val>
          <c:smooth val="0"/>
          <c:extLst xmlns:c16r2="http://schemas.microsoft.com/office/drawing/2015/06/chart">
            <c:ext xmlns:c16="http://schemas.microsoft.com/office/drawing/2014/chart" uri="{C3380CC4-5D6E-409C-BE32-E72D297353CC}">
              <c16:uniqueId val="{00000003-4E7E-4C0F-ADAA-F65D4AAD2F00}"/>
            </c:ext>
          </c:extLst>
        </c:ser>
        <c:dLbls>
          <c:showLegendKey val="0"/>
          <c:showVal val="0"/>
          <c:showCatName val="0"/>
          <c:showSerName val="0"/>
          <c:showPercent val="0"/>
          <c:showBubbleSize val="0"/>
        </c:dLbls>
        <c:smooth val="0"/>
        <c:axId val="889630048"/>
        <c:axId val="889635488"/>
      </c:lineChart>
      <c:catAx>
        <c:axId val="88963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5488"/>
        <c:crosses val="autoZero"/>
        <c:auto val="1"/>
        <c:lblAlgn val="ctr"/>
        <c:lblOffset val="100"/>
        <c:noMultiLvlLbl val="0"/>
      </c:catAx>
      <c:valAx>
        <c:axId val="889635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300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sz="1000">
                <a:solidFill>
                  <a:srgbClr val="002F5D"/>
                </a:solidFill>
              </a:rPr>
              <a:t>Cambridgeshire </a:t>
            </a:r>
          </a:p>
          <a:p>
            <a:pPr>
              <a:defRPr sz="1000">
                <a:solidFill>
                  <a:srgbClr val="002F5D"/>
                </a:solidFill>
              </a:defRPr>
            </a:pPr>
            <a:r>
              <a:rPr lang="en-GB" sz="1000">
                <a:solidFill>
                  <a:srgbClr val="002F5D"/>
                </a:solidFill>
              </a:rPr>
              <a:t>Children who are the subject of a Child Protection Plan on the 31st March - rate per 10,000 </a:t>
            </a: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33</c:v>
                </c:pt>
                <c:pt idx="1">
                  <c:v>41.9</c:v>
                </c:pt>
                <c:pt idx="2">
                  <c:v>35.4</c:v>
                </c:pt>
              </c:numCache>
            </c:numRef>
          </c:val>
          <c:smooth val="0"/>
          <c:extLst xmlns:c16r2="http://schemas.microsoft.com/office/drawing/2015/06/chart">
            <c:ext xmlns:c16="http://schemas.microsoft.com/office/drawing/2014/chart" uri="{C3380CC4-5D6E-409C-BE32-E72D297353CC}">
              <c16:uniqueId val="{00000000-062B-4641-AA37-1BE5BB9F48D9}"/>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30.4</c:v>
                </c:pt>
                <c:pt idx="1">
                  <c:v>30.3</c:v>
                </c:pt>
                <c:pt idx="2">
                  <c:v>29</c:v>
                </c:pt>
              </c:numCache>
            </c:numRef>
          </c:val>
          <c:smooth val="0"/>
          <c:extLst xmlns:c16r2="http://schemas.microsoft.com/office/drawing/2015/06/chart">
            <c:ext xmlns:c16="http://schemas.microsoft.com/office/drawing/2014/chart" uri="{C3380CC4-5D6E-409C-BE32-E72D297353CC}">
              <c16:uniqueId val="{00000001-062B-4641-AA37-1BE5BB9F48D9}"/>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37.99</c:v>
                </c:pt>
                <c:pt idx="1">
                  <c:v>36.86999999999999</c:v>
                </c:pt>
                <c:pt idx="2">
                  <c:v>41.61</c:v>
                </c:pt>
              </c:numCache>
            </c:numRef>
          </c:val>
          <c:smooth val="0"/>
          <c:extLst xmlns:c16r2="http://schemas.microsoft.com/office/drawing/2015/06/chart">
            <c:ext xmlns:c16="http://schemas.microsoft.com/office/drawing/2014/chart" uri="{C3380CC4-5D6E-409C-BE32-E72D297353CC}">
              <c16:uniqueId val="{00000002-062B-4641-AA37-1BE5BB9F48D9}"/>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43.1</c:v>
                </c:pt>
                <c:pt idx="1">
                  <c:v>43.3</c:v>
                </c:pt>
                <c:pt idx="2">
                  <c:v>45.3</c:v>
                </c:pt>
              </c:numCache>
            </c:numRef>
          </c:val>
          <c:smooth val="0"/>
          <c:extLst xmlns:c16r2="http://schemas.microsoft.com/office/drawing/2015/06/chart">
            <c:ext xmlns:c16="http://schemas.microsoft.com/office/drawing/2014/chart" uri="{C3380CC4-5D6E-409C-BE32-E72D297353CC}">
              <c16:uniqueId val="{00000003-062B-4641-AA37-1BE5BB9F48D9}"/>
            </c:ext>
          </c:extLst>
        </c:ser>
        <c:dLbls>
          <c:showLegendKey val="0"/>
          <c:showVal val="0"/>
          <c:showCatName val="0"/>
          <c:showSerName val="0"/>
          <c:showPercent val="0"/>
          <c:showBubbleSize val="0"/>
        </c:dLbls>
        <c:smooth val="0"/>
        <c:axId val="889622432"/>
        <c:axId val="889622976"/>
      </c:lineChart>
      <c:catAx>
        <c:axId val="88962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2976"/>
        <c:crosses val="autoZero"/>
        <c:auto val="1"/>
        <c:lblAlgn val="ctr"/>
        <c:lblOffset val="100"/>
        <c:noMultiLvlLbl val="0"/>
      </c:catAx>
      <c:valAx>
        <c:axId val="889622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2432"/>
        <c:crosses val="autoZero"/>
        <c:crossBetween val="between"/>
        <c:majorUnit val="2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a:t>Peterborough</a:t>
            </a:r>
          </a:p>
          <a:p>
            <a:pPr>
              <a:defRPr/>
            </a:pPr>
            <a:r>
              <a:rPr lang="en-GB"/>
              <a:t>Children who are the subject of a Child Protection Plan on the 31st March - rate per 10,000 </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Peterborough</c:v>
                </c:pt>
              </c:strCache>
            </c:strRef>
          </c:tx>
          <c:spPr>
            <a:ln w="28575" cap="rnd">
              <a:solidFill>
                <a:schemeClr val="accent6">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53.9</c:v>
                </c:pt>
                <c:pt idx="1">
                  <c:v>50.9</c:v>
                </c:pt>
                <c:pt idx="2">
                  <c:v>45.6</c:v>
                </c:pt>
              </c:numCache>
            </c:numRef>
          </c:val>
          <c:smooth val="0"/>
          <c:extLst xmlns:c16r2="http://schemas.microsoft.com/office/drawing/2015/06/chart">
            <c:ext xmlns:c16="http://schemas.microsoft.com/office/drawing/2014/chart" uri="{C3380CC4-5D6E-409C-BE32-E72D297353CC}">
              <c16:uniqueId val="{00000000-1953-41E7-8067-400ED8399792}"/>
            </c:ext>
          </c:extLst>
        </c:ser>
        <c:ser>
          <c:idx val="1"/>
          <c:order val="1"/>
          <c:tx>
            <c:strRef>
              <c:f>Sheet1!$B$4</c:f>
              <c:strCache>
                <c:ptCount val="1"/>
                <c:pt idx="0">
                  <c:v>East of England</c:v>
                </c:pt>
              </c:strCache>
            </c:strRef>
          </c:tx>
          <c:spPr>
            <a:ln w="28575" cap="rnd">
              <a:solidFill>
                <a:schemeClr val="accent6">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30.4</c:v>
                </c:pt>
                <c:pt idx="1">
                  <c:v>30.3</c:v>
                </c:pt>
                <c:pt idx="2">
                  <c:v>29</c:v>
                </c:pt>
              </c:numCache>
            </c:numRef>
          </c:val>
          <c:smooth val="0"/>
          <c:extLst xmlns:c16r2="http://schemas.microsoft.com/office/drawing/2015/06/chart">
            <c:ext xmlns:c16="http://schemas.microsoft.com/office/drawing/2014/chart" uri="{C3380CC4-5D6E-409C-BE32-E72D297353CC}">
              <c16:uniqueId val="{00000001-1953-41E7-8067-400ED8399792}"/>
            </c:ext>
          </c:extLst>
        </c:ser>
        <c:ser>
          <c:idx val="2"/>
          <c:order val="2"/>
          <c:tx>
            <c:strRef>
              <c:f>Sheet1!$B$5</c:f>
              <c:strCache>
                <c:ptCount val="1"/>
                <c:pt idx="0">
                  <c:v>Statistical Neighbours</c:v>
                </c:pt>
              </c:strCache>
            </c:strRef>
          </c:tx>
          <c:spPr>
            <a:ln w="28575" cap="rnd">
              <a:solidFill>
                <a:schemeClr val="accent6">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57.260000000000005</c:v>
                </c:pt>
                <c:pt idx="1">
                  <c:v>55.15</c:v>
                </c:pt>
                <c:pt idx="2">
                  <c:v>64.44</c:v>
                </c:pt>
              </c:numCache>
            </c:numRef>
          </c:val>
          <c:smooth val="0"/>
          <c:extLst xmlns:c16r2="http://schemas.microsoft.com/office/drawing/2015/06/chart">
            <c:ext xmlns:c16="http://schemas.microsoft.com/office/drawing/2014/chart" uri="{C3380CC4-5D6E-409C-BE32-E72D297353CC}">
              <c16:uniqueId val="{00000002-1953-41E7-8067-400ED8399792}"/>
            </c:ext>
          </c:extLst>
        </c:ser>
        <c:ser>
          <c:idx val="3"/>
          <c:order val="3"/>
          <c:tx>
            <c:strRef>
              <c:f>Sheet1!$B$6</c:f>
              <c:strCache>
                <c:ptCount val="1"/>
                <c:pt idx="0">
                  <c:v>England</c:v>
                </c:pt>
              </c:strCache>
            </c:strRef>
          </c:tx>
          <c:spPr>
            <a:ln w="28575" cap="rnd">
              <a:solidFill>
                <a:schemeClr val="accent6">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43.1</c:v>
                </c:pt>
                <c:pt idx="1">
                  <c:v>43.3</c:v>
                </c:pt>
                <c:pt idx="2">
                  <c:v>45.3</c:v>
                </c:pt>
              </c:numCache>
            </c:numRef>
          </c:val>
          <c:smooth val="0"/>
          <c:extLst xmlns:c16r2="http://schemas.microsoft.com/office/drawing/2015/06/chart">
            <c:ext xmlns:c16="http://schemas.microsoft.com/office/drawing/2014/chart" uri="{C3380CC4-5D6E-409C-BE32-E72D297353CC}">
              <c16:uniqueId val="{00000003-1953-41E7-8067-400ED8399792}"/>
            </c:ext>
          </c:extLst>
        </c:ser>
        <c:dLbls>
          <c:showLegendKey val="0"/>
          <c:showVal val="0"/>
          <c:showCatName val="0"/>
          <c:showSerName val="0"/>
          <c:showPercent val="0"/>
          <c:showBubbleSize val="0"/>
        </c:dLbls>
        <c:smooth val="0"/>
        <c:axId val="889629504"/>
        <c:axId val="889628416"/>
      </c:lineChart>
      <c:catAx>
        <c:axId val="88962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8416"/>
        <c:crosses val="autoZero"/>
        <c:auto val="1"/>
        <c:lblAlgn val="ctr"/>
        <c:lblOffset val="100"/>
        <c:noMultiLvlLbl val="0"/>
      </c:catAx>
      <c:valAx>
        <c:axId val="889628416"/>
        <c:scaling>
          <c:orientation val="minMax"/>
          <c:max val="7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9504"/>
        <c:crosses val="autoZero"/>
        <c:crossBetween val="between"/>
        <c:majorUnit val="2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solidFill>
            <a:srgbClr val="002F5D"/>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r>
              <a:rPr lang="en-GB">
                <a:solidFill>
                  <a:srgbClr val="002F5D"/>
                </a:solidFill>
              </a:rPr>
              <a:t>Cambridgeshire </a:t>
            </a:r>
          </a:p>
          <a:p>
            <a:pPr>
              <a:defRPr>
                <a:solidFill>
                  <a:srgbClr val="002F5D"/>
                </a:solidFill>
              </a:defRPr>
            </a:pPr>
            <a:r>
              <a:rPr lang="en-GB">
                <a:solidFill>
                  <a:srgbClr val="002F5D"/>
                </a:solidFill>
              </a:rPr>
              <a:t>Children looked after rate, per 10,000 children aged under 18</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rgbClr val="002F5D"/>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Sheet1!$B$3</c:f>
              <c:strCache>
                <c:ptCount val="1"/>
                <c:pt idx="0">
                  <c:v>Cambridgeshire</c:v>
                </c:pt>
              </c:strCache>
            </c:strRef>
          </c:tx>
          <c:spPr>
            <a:ln w="28575" cap="rnd">
              <a:solidFill>
                <a:schemeClr val="accent5">
                  <a:shade val="58000"/>
                </a:schemeClr>
              </a:solidFill>
              <a:prstDash val="sysDash"/>
              <a:round/>
            </a:ln>
            <a:effectLst/>
          </c:spPr>
          <c:marker>
            <c:symbol val="none"/>
          </c:marker>
          <c:cat>
            <c:strRef>
              <c:f>Sheet1!$C$2:$E$2</c:f>
              <c:strCache>
                <c:ptCount val="3"/>
                <c:pt idx="0">
                  <c:v>2015-16</c:v>
                </c:pt>
                <c:pt idx="1">
                  <c:v>2016-17</c:v>
                </c:pt>
                <c:pt idx="2">
                  <c:v>2017-18</c:v>
                </c:pt>
              </c:strCache>
            </c:strRef>
          </c:cat>
          <c:val>
            <c:numRef>
              <c:f>Sheet1!$C$3:$E$3</c:f>
              <c:numCache>
                <c:formatCode>0.00</c:formatCode>
                <c:ptCount val="3"/>
                <c:pt idx="0">
                  <c:v>46</c:v>
                </c:pt>
                <c:pt idx="1">
                  <c:v>51</c:v>
                </c:pt>
                <c:pt idx="2">
                  <c:v>52</c:v>
                </c:pt>
              </c:numCache>
            </c:numRef>
          </c:val>
          <c:smooth val="0"/>
          <c:extLst xmlns:c16r2="http://schemas.microsoft.com/office/drawing/2015/06/chart">
            <c:ext xmlns:c16="http://schemas.microsoft.com/office/drawing/2014/chart" uri="{C3380CC4-5D6E-409C-BE32-E72D297353CC}">
              <c16:uniqueId val="{00000000-F7AD-4C38-9C29-F8A5F6FDE329}"/>
            </c:ext>
          </c:extLst>
        </c:ser>
        <c:ser>
          <c:idx val="1"/>
          <c:order val="1"/>
          <c:tx>
            <c:strRef>
              <c:f>Sheet1!$B$4</c:f>
              <c:strCache>
                <c:ptCount val="1"/>
                <c:pt idx="0">
                  <c:v>East of England</c:v>
                </c:pt>
              </c:strCache>
            </c:strRef>
          </c:tx>
          <c:spPr>
            <a:ln w="28575" cap="rnd">
              <a:solidFill>
                <a:schemeClr val="accent5">
                  <a:shade val="86000"/>
                </a:schemeClr>
              </a:solidFill>
              <a:round/>
            </a:ln>
            <a:effectLst/>
          </c:spPr>
          <c:marker>
            <c:symbol val="none"/>
          </c:marker>
          <c:cat>
            <c:strRef>
              <c:f>Sheet1!$C$2:$E$2</c:f>
              <c:strCache>
                <c:ptCount val="3"/>
                <c:pt idx="0">
                  <c:v>2015-16</c:v>
                </c:pt>
                <c:pt idx="1">
                  <c:v>2016-17</c:v>
                </c:pt>
                <c:pt idx="2">
                  <c:v>2017-18</c:v>
                </c:pt>
              </c:strCache>
            </c:strRef>
          </c:cat>
          <c:val>
            <c:numRef>
              <c:f>Sheet1!$C$4:$E$4</c:f>
              <c:numCache>
                <c:formatCode>0.00</c:formatCode>
                <c:ptCount val="3"/>
                <c:pt idx="0">
                  <c:v>49</c:v>
                </c:pt>
                <c:pt idx="1">
                  <c:v>49</c:v>
                </c:pt>
                <c:pt idx="2">
                  <c:v>49</c:v>
                </c:pt>
              </c:numCache>
            </c:numRef>
          </c:val>
          <c:smooth val="0"/>
          <c:extLst xmlns:c16r2="http://schemas.microsoft.com/office/drawing/2015/06/chart">
            <c:ext xmlns:c16="http://schemas.microsoft.com/office/drawing/2014/chart" uri="{C3380CC4-5D6E-409C-BE32-E72D297353CC}">
              <c16:uniqueId val="{00000001-F7AD-4C38-9C29-F8A5F6FDE329}"/>
            </c:ext>
          </c:extLst>
        </c:ser>
        <c:ser>
          <c:idx val="2"/>
          <c:order val="2"/>
          <c:tx>
            <c:strRef>
              <c:f>Sheet1!$B$5</c:f>
              <c:strCache>
                <c:ptCount val="1"/>
                <c:pt idx="0">
                  <c:v>Statistical Neighbours</c:v>
                </c:pt>
              </c:strCache>
            </c:strRef>
          </c:tx>
          <c:spPr>
            <a:ln w="28575" cap="rnd">
              <a:solidFill>
                <a:schemeClr val="accent5">
                  <a:tint val="86000"/>
                </a:schemeClr>
              </a:solidFill>
              <a:round/>
            </a:ln>
            <a:effectLst/>
          </c:spPr>
          <c:marker>
            <c:symbol val="none"/>
          </c:marker>
          <c:cat>
            <c:strRef>
              <c:f>Sheet1!$C$2:$E$2</c:f>
              <c:strCache>
                <c:ptCount val="3"/>
                <c:pt idx="0">
                  <c:v>2015-16</c:v>
                </c:pt>
                <c:pt idx="1">
                  <c:v>2016-17</c:v>
                </c:pt>
                <c:pt idx="2">
                  <c:v>2017-18</c:v>
                </c:pt>
              </c:strCache>
            </c:strRef>
          </c:cat>
          <c:val>
            <c:numRef>
              <c:f>Sheet1!$C$5:$E$5</c:f>
              <c:numCache>
                <c:formatCode>0.00</c:formatCode>
                <c:ptCount val="3"/>
                <c:pt idx="0">
                  <c:v>42.3</c:v>
                </c:pt>
                <c:pt idx="1">
                  <c:v>44.8</c:v>
                </c:pt>
                <c:pt idx="2">
                  <c:v>46.3</c:v>
                </c:pt>
              </c:numCache>
            </c:numRef>
          </c:val>
          <c:smooth val="0"/>
          <c:extLst xmlns:c16r2="http://schemas.microsoft.com/office/drawing/2015/06/chart">
            <c:ext xmlns:c16="http://schemas.microsoft.com/office/drawing/2014/chart" uri="{C3380CC4-5D6E-409C-BE32-E72D297353CC}">
              <c16:uniqueId val="{00000002-F7AD-4C38-9C29-F8A5F6FDE329}"/>
            </c:ext>
          </c:extLst>
        </c:ser>
        <c:ser>
          <c:idx val="3"/>
          <c:order val="3"/>
          <c:tx>
            <c:strRef>
              <c:f>Sheet1!$B$6</c:f>
              <c:strCache>
                <c:ptCount val="1"/>
                <c:pt idx="0">
                  <c:v>England</c:v>
                </c:pt>
              </c:strCache>
            </c:strRef>
          </c:tx>
          <c:spPr>
            <a:ln w="28575" cap="rnd">
              <a:solidFill>
                <a:schemeClr val="accent5">
                  <a:tint val="58000"/>
                </a:schemeClr>
              </a:solidFill>
              <a:round/>
            </a:ln>
            <a:effectLst/>
          </c:spPr>
          <c:marker>
            <c:symbol val="none"/>
          </c:marker>
          <c:cat>
            <c:strRef>
              <c:f>Sheet1!$C$2:$E$2</c:f>
              <c:strCache>
                <c:ptCount val="3"/>
                <c:pt idx="0">
                  <c:v>2015-16</c:v>
                </c:pt>
                <c:pt idx="1">
                  <c:v>2016-17</c:v>
                </c:pt>
                <c:pt idx="2">
                  <c:v>2017-18</c:v>
                </c:pt>
              </c:strCache>
            </c:strRef>
          </c:cat>
          <c:val>
            <c:numRef>
              <c:f>Sheet1!$C$6:$E$6</c:f>
              <c:numCache>
                <c:formatCode>0.00</c:formatCode>
                <c:ptCount val="3"/>
                <c:pt idx="0">
                  <c:v>60</c:v>
                </c:pt>
                <c:pt idx="1">
                  <c:v>62</c:v>
                </c:pt>
                <c:pt idx="2">
                  <c:v>64</c:v>
                </c:pt>
              </c:numCache>
            </c:numRef>
          </c:val>
          <c:smooth val="0"/>
          <c:extLst xmlns:c16r2="http://schemas.microsoft.com/office/drawing/2015/06/chart">
            <c:ext xmlns:c16="http://schemas.microsoft.com/office/drawing/2014/chart" uri="{C3380CC4-5D6E-409C-BE32-E72D297353CC}">
              <c16:uniqueId val="{00000003-F7AD-4C38-9C29-F8A5F6FDE329}"/>
            </c:ext>
          </c:extLst>
        </c:ser>
        <c:dLbls>
          <c:showLegendKey val="0"/>
          <c:showVal val="0"/>
          <c:showCatName val="0"/>
          <c:showSerName val="0"/>
          <c:showPercent val="0"/>
          <c:showBubbleSize val="0"/>
        </c:dLbls>
        <c:smooth val="0"/>
        <c:axId val="889624608"/>
        <c:axId val="889623520"/>
      </c:lineChart>
      <c:catAx>
        <c:axId val="88962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3520"/>
        <c:crosses val="autoZero"/>
        <c:auto val="1"/>
        <c:lblAlgn val="ctr"/>
        <c:lblOffset val="100"/>
        <c:noMultiLvlLbl val="0"/>
      </c:catAx>
      <c:valAx>
        <c:axId val="889623520"/>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crossAx val="889624608"/>
        <c:crosses val="autoZero"/>
        <c:crossBetween val="between"/>
        <c:majorUnit val="20"/>
      </c:valAx>
      <c:spPr>
        <a:noFill/>
        <a:ln>
          <a:noFill/>
        </a:ln>
        <a:effectLst/>
      </c:spPr>
    </c:plotArea>
    <c:legend>
      <c:legendPos val="b"/>
      <c:layout>
        <c:manualLayout>
          <c:xMode val="edge"/>
          <c:yMode val="edge"/>
          <c:x val="2.8959276018099549E-2"/>
          <c:y val="0.8211738116068823"/>
          <c:w val="0.90361990950226223"/>
          <c:h val="0.15104841061533975"/>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withinLinear" id="19">
  <a:schemeClr val="accent6"/>
</cs:colorStyle>
</file>

<file path=word/charts/colors13.xml><?xml version="1.0" encoding="utf-8"?>
<cs:colorStyle xmlns:cs="http://schemas.microsoft.com/office/drawing/2012/chartStyle" xmlns:a="http://schemas.openxmlformats.org/drawingml/2006/main" meth="withinLinear" id="18">
  <a:schemeClr val="accent5"/>
</cs:colorStyle>
</file>

<file path=word/charts/colors14.xml><?xml version="1.0" encoding="utf-8"?>
<cs:colorStyle xmlns:cs="http://schemas.microsoft.com/office/drawing/2012/chartStyle" xmlns:a="http://schemas.openxmlformats.org/drawingml/2006/main" meth="withinLinear" id="19">
  <a:schemeClr val="accent6"/>
</cs:colorStyle>
</file>

<file path=word/charts/colors15.xml><?xml version="1.0" encoding="utf-8"?>
<cs:colorStyle xmlns:cs="http://schemas.microsoft.com/office/drawing/2012/chartStyle" xmlns:a="http://schemas.openxmlformats.org/drawingml/2006/main" meth="withinLinear" id="18">
  <a:schemeClr val="accent5"/>
</cs:colorStyle>
</file>

<file path=word/charts/colors16.xml><?xml version="1.0" encoding="utf-8"?>
<cs:colorStyle xmlns:cs="http://schemas.microsoft.com/office/drawing/2012/chartStyle" xmlns:a="http://schemas.openxmlformats.org/drawingml/2006/main" meth="withinLinear" id="19">
  <a:schemeClr val="accent6"/>
</cs:colorStyle>
</file>

<file path=word/charts/colors17.xml><?xml version="1.0" encoding="utf-8"?>
<cs:colorStyle xmlns:cs="http://schemas.microsoft.com/office/drawing/2012/chartStyle" xmlns:a="http://schemas.openxmlformats.org/drawingml/2006/main" meth="withinLinear" id="18">
  <a:schemeClr val="accent5"/>
</cs:colorStyle>
</file>

<file path=word/charts/colors18.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D1812-000B-4CFD-B358-E5968E4C6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205</Pages>
  <Words>41628</Words>
  <Characters>237284</Characters>
  <Application>Microsoft Office Word</Application>
  <DocSecurity>0</DocSecurity>
  <Lines>1977</Lines>
  <Paragraphs>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Fitzjohn Gen</dc:creator>
  <cp:keywords/>
  <dc:description/>
  <cp:lastModifiedBy>Gowers Nicola</cp:lastModifiedBy>
  <cp:revision>3</cp:revision>
  <cp:lastPrinted>2019-07-24T09:01:00Z</cp:lastPrinted>
  <dcterms:created xsi:type="dcterms:W3CDTF">2019-07-24T09:01:00Z</dcterms:created>
  <dcterms:modified xsi:type="dcterms:W3CDTF">2019-07-24T09:06:00Z</dcterms:modified>
</cp:coreProperties>
</file>