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83" w:rsidRDefault="00003A83">
      <w:bookmarkStart w:id="0" w:name="_GoBack"/>
      <w:bookmarkEnd w:id="0"/>
      <w:r>
        <w:rPr>
          <w:noProof/>
          <w:lang w:eastAsia="en-GB"/>
        </w:rPr>
        <w:drawing>
          <wp:inline distT="0" distB="0" distL="0" distR="0" wp14:anchorId="674A5411" wp14:editId="2988000C">
            <wp:extent cx="5731510" cy="7747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74700"/>
                    </a:xfrm>
                    <a:prstGeom prst="rect">
                      <a:avLst/>
                    </a:prstGeom>
                  </pic:spPr>
                </pic:pic>
              </a:graphicData>
            </a:graphic>
          </wp:inline>
        </w:drawing>
      </w:r>
    </w:p>
    <w:p w:rsidR="00003A83" w:rsidRDefault="00003A83"/>
    <w:p w:rsidR="00003A83" w:rsidRDefault="00003A83"/>
    <w:p w:rsidR="00003A83" w:rsidRDefault="00003A83"/>
    <w:p w:rsidR="00003A83" w:rsidRDefault="00003A83"/>
    <w:p w:rsidR="00003A83" w:rsidRDefault="00003A83"/>
    <w:p w:rsidR="00324624" w:rsidRDefault="00324624"/>
    <w:p w:rsidR="00324624" w:rsidRDefault="00324624"/>
    <w:p w:rsidR="00324624" w:rsidRDefault="00324624"/>
    <w:p w:rsidR="00003A83" w:rsidRPr="00080AD5" w:rsidRDefault="00003A83" w:rsidP="00003A83">
      <w:pPr>
        <w:pStyle w:val="Heading1"/>
        <w:jc w:val="center"/>
        <w:rPr>
          <w:sz w:val="72"/>
          <w:szCs w:val="72"/>
        </w:rPr>
      </w:pPr>
      <w:r w:rsidRPr="00080AD5">
        <w:rPr>
          <w:sz w:val="72"/>
          <w:szCs w:val="72"/>
        </w:rPr>
        <w:t xml:space="preserve">Analysis of </w:t>
      </w:r>
      <w:r>
        <w:rPr>
          <w:sz w:val="72"/>
          <w:szCs w:val="72"/>
        </w:rPr>
        <w:t>National Diabetes Audit 2013-14 &amp; 2014-15, Cambridgeshire &amp; Peterborough Clinical Commissioning Group</w:t>
      </w:r>
    </w:p>
    <w:p w:rsidR="00003A83" w:rsidRDefault="00003A83"/>
    <w:p w:rsidR="00003A83" w:rsidRDefault="00003A83"/>
    <w:p w:rsidR="00003A83" w:rsidRDefault="00003A83"/>
    <w:p w:rsidR="00324624" w:rsidRDefault="00324624"/>
    <w:p w:rsidR="00324624" w:rsidRDefault="00324624"/>
    <w:p w:rsidR="00324624" w:rsidRDefault="00324624" w:rsidP="00324624">
      <w:pPr>
        <w:jc w:val="right"/>
      </w:pPr>
    </w:p>
    <w:p w:rsidR="00324624" w:rsidRDefault="00324624" w:rsidP="00324624">
      <w:pPr>
        <w:jc w:val="right"/>
      </w:pPr>
    </w:p>
    <w:p w:rsidR="00324624" w:rsidRDefault="00324624" w:rsidP="00324624">
      <w:pPr>
        <w:jc w:val="right"/>
      </w:pPr>
    </w:p>
    <w:p w:rsidR="00324624" w:rsidRDefault="00324624" w:rsidP="00324624">
      <w:pPr>
        <w:jc w:val="right"/>
      </w:pPr>
    </w:p>
    <w:p w:rsidR="00003A83" w:rsidRDefault="00063BDB" w:rsidP="00063BDB">
      <w:pPr>
        <w:pStyle w:val="Heading2"/>
      </w:pPr>
      <w:r>
        <w:lastRenderedPageBreak/>
        <w:t>Contents</w:t>
      </w:r>
    </w:p>
    <w:p w:rsidR="00063BDB" w:rsidRDefault="00063BDB" w:rsidP="00063BDB"/>
    <w:tbl>
      <w:tblPr>
        <w:tblStyle w:val="TableGrid"/>
        <w:tblW w:w="5000" w:type="pct"/>
        <w:tblLook w:val="04A0" w:firstRow="1" w:lastRow="0" w:firstColumn="1" w:lastColumn="0" w:noHBand="0" w:noVBand="1"/>
      </w:tblPr>
      <w:tblGrid>
        <w:gridCol w:w="2756"/>
        <w:gridCol w:w="3405"/>
        <w:gridCol w:w="3081"/>
      </w:tblGrid>
      <w:tr w:rsidR="00D12A5B" w:rsidRPr="00F37091" w:rsidTr="00D12A5B">
        <w:tc>
          <w:tcPr>
            <w:tcW w:w="1491" w:type="pct"/>
            <w:shd w:val="clear" w:color="auto" w:fill="DEEAF6" w:themeFill="accent1" w:themeFillTint="33"/>
          </w:tcPr>
          <w:p w:rsidR="00063BDB" w:rsidRPr="00F37091" w:rsidRDefault="00063BDB" w:rsidP="00CF3019">
            <w:pPr>
              <w:pStyle w:val="NoSpacing"/>
              <w:jc w:val="center"/>
              <w:rPr>
                <w:b/>
              </w:rPr>
            </w:pPr>
            <w:r w:rsidRPr="00F37091">
              <w:rPr>
                <w:b/>
              </w:rPr>
              <w:t>Section Number</w:t>
            </w:r>
          </w:p>
        </w:tc>
        <w:tc>
          <w:tcPr>
            <w:tcW w:w="1842" w:type="pct"/>
            <w:shd w:val="clear" w:color="auto" w:fill="DEEAF6" w:themeFill="accent1" w:themeFillTint="33"/>
          </w:tcPr>
          <w:p w:rsidR="00063BDB" w:rsidRPr="00F37091" w:rsidRDefault="00063BDB" w:rsidP="00CF3019">
            <w:pPr>
              <w:pStyle w:val="NoSpacing"/>
              <w:jc w:val="center"/>
              <w:rPr>
                <w:b/>
              </w:rPr>
            </w:pPr>
            <w:r w:rsidRPr="00F37091">
              <w:rPr>
                <w:b/>
              </w:rPr>
              <w:t>Section</w:t>
            </w:r>
          </w:p>
        </w:tc>
        <w:tc>
          <w:tcPr>
            <w:tcW w:w="1667" w:type="pct"/>
            <w:shd w:val="clear" w:color="auto" w:fill="DEEAF6" w:themeFill="accent1" w:themeFillTint="33"/>
          </w:tcPr>
          <w:p w:rsidR="00063BDB" w:rsidRPr="00F37091" w:rsidRDefault="00063BDB" w:rsidP="00CF3019">
            <w:pPr>
              <w:pStyle w:val="NoSpacing"/>
              <w:jc w:val="center"/>
              <w:rPr>
                <w:b/>
              </w:rPr>
            </w:pPr>
            <w:r w:rsidRPr="00F37091">
              <w:rPr>
                <w:b/>
              </w:rPr>
              <w:t>Page Number</w:t>
            </w:r>
          </w:p>
        </w:tc>
      </w:tr>
      <w:tr w:rsidR="00063BDB" w:rsidRPr="00F37091" w:rsidTr="00D12A5B">
        <w:tc>
          <w:tcPr>
            <w:tcW w:w="1491" w:type="pct"/>
          </w:tcPr>
          <w:p w:rsidR="00063BDB" w:rsidRPr="00627259" w:rsidRDefault="00063BDB" w:rsidP="00CF3019">
            <w:pPr>
              <w:pStyle w:val="NoSpacing"/>
              <w:jc w:val="center"/>
            </w:pPr>
            <w:r w:rsidRPr="00627259">
              <w:t>1</w:t>
            </w:r>
          </w:p>
        </w:tc>
        <w:tc>
          <w:tcPr>
            <w:tcW w:w="1842" w:type="pct"/>
            <w:shd w:val="clear" w:color="auto" w:fill="auto"/>
          </w:tcPr>
          <w:p w:rsidR="00063BDB" w:rsidRPr="00627259" w:rsidRDefault="0072516B" w:rsidP="00CF3019">
            <w:pPr>
              <w:pStyle w:val="NoSpacing"/>
              <w:jc w:val="center"/>
            </w:pPr>
            <w:r w:rsidRPr="00627259">
              <w:t>Introduction</w:t>
            </w:r>
          </w:p>
        </w:tc>
        <w:tc>
          <w:tcPr>
            <w:tcW w:w="1667" w:type="pct"/>
            <w:shd w:val="clear" w:color="auto" w:fill="auto"/>
          </w:tcPr>
          <w:p w:rsidR="00063BDB" w:rsidRPr="00627259" w:rsidRDefault="0072516B" w:rsidP="00CF3019">
            <w:pPr>
              <w:pStyle w:val="NoSpacing"/>
              <w:jc w:val="center"/>
            </w:pPr>
            <w:r w:rsidRPr="00627259">
              <w:t>2</w:t>
            </w:r>
          </w:p>
        </w:tc>
      </w:tr>
      <w:tr w:rsidR="00063BDB" w:rsidRPr="00F37091" w:rsidTr="00D12A5B">
        <w:tc>
          <w:tcPr>
            <w:tcW w:w="1491" w:type="pct"/>
          </w:tcPr>
          <w:p w:rsidR="00063BDB" w:rsidRPr="00627259" w:rsidRDefault="00063BDB" w:rsidP="00CF3019">
            <w:pPr>
              <w:pStyle w:val="NoSpacing"/>
              <w:jc w:val="center"/>
            </w:pPr>
            <w:r w:rsidRPr="00627259">
              <w:t>2</w:t>
            </w:r>
          </w:p>
        </w:tc>
        <w:tc>
          <w:tcPr>
            <w:tcW w:w="1842" w:type="pct"/>
            <w:shd w:val="clear" w:color="auto" w:fill="auto"/>
          </w:tcPr>
          <w:p w:rsidR="00063BDB" w:rsidRPr="00627259" w:rsidRDefault="0072516B" w:rsidP="00CF3019">
            <w:pPr>
              <w:pStyle w:val="NoSpacing"/>
              <w:jc w:val="center"/>
            </w:pPr>
            <w:r w:rsidRPr="00627259">
              <w:t>Executive Summary</w:t>
            </w:r>
          </w:p>
        </w:tc>
        <w:tc>
          <w:tcPr>
            <w:tcW w:w="1667" w:type="pct"/>
            <w:shd w:val="clear" w:color="auto" w:fill="auto"/>
          </w:tcPr>
          <w:p w:rsidR="00063BDB" w:rsidRPr="00627259" w:rsidRDefault="0072516B" w:rsidP="00CF3019">
            <w:pPr>
              <w:pStyle w:val="NoSpacing"/>
              <w:jc w:val="center"/>
            </w:pPr>
            <w:r w:rsidRPr="00627259">
              <w:t>3</w:t>
            </w:r>
          </w:p>
        </w:tc>
      </w:tr>
      <w:tr w:rsidR="00063BDB" w:rsidRPr="00F37091" w:rsidTr="00D12A5B">
        <w:tc>
          <w:tcPr>
            <w:tcW w:w="1491" w:type="pct"/>
          </w:tcPr>
          <w:p w:rsidR="00063BDB" w:rsidRPr="00627259" w:rsidRDefault="00063BDB" w:rsidP="00CF3019">
            <w:pPr>
              <w:pStyle w:val="NoSpacing"/>
              <w:jc w:val="center"/>
            </w:pPr>
            <w:r w:rsidRPr="00627259">
              <w:t>3</w:t>
            </w:r>
          </w:p>
        </w:tc>
        <w:tc>
          <w:tcPr>
            <w:tcW w:w="1842" w:type="pct"/>
            <w:shd w:val="clear" w:color="auto" w:fill="auto"/>
          </w:tcPr>
          <w:p w:rsidR="00063BDB" w:rsidRPr="00627259" w:rsidRDefault="0072516B" w:rsidP="006F4D1A">
            <w:pPr>
              <w:pStyle w:val="NoSpacing"/>
              <w:jc w:val="center"/>
            </w:pPr>
            <w:r w:rsidRPr="00627259">
              <w:t xml:space="preserve">Overview of 2013-14 &amp; 2014-15 National Diabetes Audit Data </w:t>
            </w:r>
          </w:p>
        </w:tc>
        <w:tc>
          <w:tcPr>
            <w:tcW w:w="1667" w:type="pct"/>
            <w:shd w:val="clear" w:color="auto" w:fill="auto"/>
          </w:tcPr>
          <w:p w:rsidR="00063BDB" w:rsidRPr="00627259" w:rsidRDefault="0072516B" w:rsidP="00CF3019">
            <w:pPr>
              <w:pStyle w:val="NoSpacing"/>
              <w:jc w:val="center"/>
            </w:pPr>
            <w:r w:rsidRPr="00627259">
              <w:t>4</w:t>
            </w:r>
          </w:p>
        </w:tc>
      </w:tr>
      <w:tr w:rsidR="00627259" w:rsidRPr="00F37091" w:rsidTr="00D12A5B">
        <w:tc>
          <w:tcPr>
            <w:tcW w:w="1491" w:type="pct"/>
          </w:tcPr>
          <w:p w:rsidR="00627259" w:rsidRPr="00627259" w:rsidRDefault="00627259" w:rsidP="00CF3019">
            <w:pPr>
              <w:pStyle w:val="NoSpacing"/>
              <w:jc w:val="center"/>
            </w:pPr>
            <w:r w:rsidRPr="00627259">
              <w:t>4</w:t>
            </w:r>
          </w:p>
        </w:tc>
        <w:tc>
          <w:tcPr>
            <w:tcW w:w="1842" w:type="pct"/>
            <w:shd w:val="clear" w:color="auto" w:fill="auto"/>
          </w:tcPr>
          <w:p w:rsidR="00627259" w:rsidRPr="00627259" w:rsidRDefault="00627259" w:rsidP="006F4D1A">
            <w:pPr>
              <w:pStyle w:val="NoSpacing"/>
              <w:jc w:val="center"/>
            </w:pPr>
            <w:r w:rsidRPr="00627259">
              <w:t>Appendix – 2014/15 Quality Outcomes Framework – Diabetes &amp; Associated Indicators</w:t>
            </w:r>
          </w:p>
        </w:tc>
        <w:tc>
          <w:tcPr>
            <w:tcW w:w="1667" w:type="pct"/>
            <w:shd w:val="clear" w:color="auto" w:fill="auto"/>
          </w:tcPr>
          <w:p w:rsidR="00627259" w:rsidRPr="00627259" w:rsidRDefault="00083586" w:rsidP="00CF3019">
            <w:pPr>
              <w:pStyle w:val="NoSpacing"/>
              <w:jc w:val="center"/>
            </w:pPr>
            <w:r>
              <w:t>22</w:t>
            </w:r>
          </w:p>
        </w:tc>
      </w:tr>
    </w:tbl>
    <w:p w:rsidR="00063BDB" w:rsidRPr="00063BDB" w:rsidRDefault="00063BDB" w:rsidP="00063BDB"/>
    <w:p w:rsidR="00003A83" w:rsidRDefault="00063BDB" w:rsidP="00063BDB">
      <w:pPr>
        <w:pStyle w:val="Heading2"/>
        <w:numPr>
          <w:ilvl w:val="0"/>
          <w:numId w:val="5"/>
        </w:numPr>
      </w:pPr>
      <w:r>
        <w:t xml:space="preserve">Introduction </w:t>
      </w:r>
    </w:p>
    <w:p w:rsidR="0072516B" w:rsidRDefault="0072516B"/>
    <w:p w:rsidR="00162E63" w:rsidRDefault="00063BDB">
      <w:r>
        <w:t>The National Diabetes Audit (NDA) is the largest annual clinical audit in the world, integrating data from both primary and secondary care sources. The results of the 2013-14 and 2014-15 collections were published on 28</w:t>
      </w:r>
      <w:r w:rsidRPr="00063BDB">
        <w:rPr>
          <w:vertAlign w:val="superscript"/>
        </w:rPr>
        <w:t>th</w:t>
      </w:r>
      <w:r>
        <w:t xml:space="preserve"> January 2016.</w:t>
      </w:r>
      <w:r w:rsidR="00E41384">
        <w:t xml:space="preserve"> An overview of the NDA is available on the Health &amp; Social Care Information Centre</w:t>
      </w:r>
      <w:r w:rsidR="00162E63">
        <w:t xml:space="preserve"> (HSCIC)</w:t>
      </w:r>
      <w:r w:rsidR="00E41384">
        <w:t xml:space="preserve"> website at URL: </w:t>
      </w:r>
      <w:hyperlink r:id="rId10" w:history="1">
        <w:r w:rsidR="00E41384" w:rsidRPr="00895E82">
          <w:rPr>
            <w:rStyle w:val="Hyperlink"/>
          </w:rPr>
          <w:t>http://www.hscic.gov.uk/nda</w:t>
        </w:r>
      </w:hyperlink>
      <w:r w:rsidR="00E41384">
        <w:t xml:space="preserve"> </w:t>
      </w:r>
      <w:r w:rsidR="00162E63">
        <w:t>and full data released by HSCIC in relation to the NDA</w:t>
      </w:r>
      <w:r w:rsidR="00DE0B36">
        <w:t>, including results for individual General Practices,</w:t>
      </w:r>
      <w:r w:rsidR="00162E63">
        <w:t xml:space="preserve"> are available at UR</w:t>
      </w:r>
      <w:r w:rsidR="00DE0B36">
        <w:t>L</w:t>
      </w:r>
      <w:r w:rsidR="00162E63">
        <w:t xml:space="preserve">: </w:t>
      </w:r>
      <w:hyperlink r:id="rId11" w:anchor="top" w:history="1">
        <w:r w:rsidR="00162E63" w:rsidRPr="00895E82">
          <w:rPr>
            <w:rStyle w:val="Hyperlink"/>
          </w:rPr>
          <w:t>http://www.hscic.gov.uk/searchcatalogue?productid=20155&amp;q=%22National+diabetes+audit%22&amp;sort=Relevance&amp;size=10&amp;page=1#top</w:t>
        </w:r>
      </w:hyperlink>
      <w:r w:rsidR="00162E63">
        <w:t xml:space="preserve"> </w:t>
      </w:r>
    </w:p>
    <w:p w:rsidR="00003A83" w:rsidRDefault="00063BDB">
      <w:r>
        <w:t>The NDA aims to answer four key questions based on the diabetes National Service Framework:</w:t>
      </w:r>
    </w:p>
    <w:p w:rsidR="00063BDB" w:rsidRDefault="00063BDB" w:rsidP="00063BDB">
      <w:pPr>
        <w:pStyle w:val="ListParagraph"/>
        <w:numPr>
          <w:ilvl w:val="0"/>
          <w:numId w:val="6"/>
        </w:numPr>
      </w:pPr>
      <w:r>
        <w:t>Is everyone with diabetes diagnosed and recorded on a practice diabetes register?</w:t>
      </w:r>
    </w:p>
    <w:p w:rsidR="00063BDB" w:rsidRDefault="00063BDB" w:rsidP="00063BDB">
      <w:pPr>
        <w:pStyle w:val="ListParagraph"/>
      </w:pPr>
    </w:p>
    <w:p w:rsidR="00063BDB" w:rsidRDefault="00063BDB" w:rsidP="00063BDB">
      <w:pPr>
        <w:pStyle w:val="ListParagraph"/>
        <w:numPr>
          <w:ilvl w:val="0"/>
          <w:numId w:val="6"/>
        </w:numPr>
      </w:pPr>
      <w:r>
        <w:t>What percentage of people registered with diabetes received the nine NICE key processes of diabetes care?</w:t>
      </w:r>
    </w:p>
    <w:p w:rsidR="00063BDB" w:rsidRDefault="00063BDB" w:rsidP="00063BDB">
      <w:pPr>
        <w:pStyle w:val="ListParagraph"/>
      </w:pPr>
    </w:p>
    <w:p w:rsidR="00063BDB" w:rsidRDefault="00063BDB" w:rsidP="00063BDB">
      <w:pPr>
        <w:pStyle w:val="ListParagraph"/>
        <w:numPr>
          <w:ilvl w:val="0"/>
          <w:numId w:val="6"/>
        </w:numPr>
      </w:pPr>
      <w:r>
        <w:t>What percentage of people registered with diabetes achieved NICE defined treatment targets for glucose control, blood pressure and blood cholesterol?</w:t>
      </w:r>
    </w:p>
    <w:p w:rsidR="00063BDB" w:rsidRDefault="00063BDB" w:rsidP="00063BDB">
      <w:pPr>
        <w:pStyle w:val="ListParagraph"/>
      </w:pPr>
    </w:p>
    <w:p w:rsidR="00063BDB" w:rsidRDefault="00063BDB" w:rsidP="00063BDB">
      <w:pPr>
        <w:pStyle w:val="ListParagraph"/>
        <w:numPr>
          <w:ilvl w:val="0"/>
          <w:numId w:val="6"/>
        </w:numPr>
      </w:pPr>
      <w:r>
        <w:t>For people with registered diabetes, what are the rates of acute and long term complications (disease outcomes)?</w:t>
      </w:r>
    </w:p>
    <w:p w:rsidR="00063BDB" w:rsidRDefault="00063BDB" w:rsidP="00063BDB">
      <w:r>
        <w:t>The NDA aims to improve the quality of patient care by enabling NHS organisations to:</w:t>
      </w:r>
    </w:p>
    <w:p w:rsidR="00063BDB" w:rsidRDefault="00063BDB" w:rsidP="00063BDB">
      <w:pPr>
        <w:pStyle w:val="ListParagraph"/>
        <w:numPr>
          <w:ilvl w:val="0"/>
          <w:numId w:val="7"/>
        </w:numPr>
      </w:pPr>
      <w:r>
        <w:t>Compare their outcomes of care with similar NHS organisations</w:t>
      </w:r>
    </w:p>
    <w:p w:rsidR="00063BDB" w:rsidRDefault="00063BDB" w:rsidP="00063BDB">
      <w:pPr>
        <w:pStyle w:val="ListParagraph"/>
        <w:numPr>
          <w:ilvl w:val="0"/>
          <w:numId w:val="7"/>
        </w:numPr>
      </w:pPr>
      <w:r>
        <w:t>Identify and share best practice</w:t>
      </w:r>
    </w:p>
    <w:p w:rsidR="00063BDB" w:rsidRDefault="00063BDB" w:rsidP="00063BDB">
      <w:pPr>
        <w:pStyle w:val="ListParagraph"/>
        <w:numPr>
          <w:ilvl w:val="0"/>
          <w:numId w:val="7"/>
        </w:numPr>
      </w:pPr>
      <w:r>
        <w:t>Identify gaps or shortfalls in commissioning services</w:t>
      </w:r>
    </w:p>
    <w:p w:rsidR="00063BDB" w:rsidRDefault="00063BDB" w:rsidP="00063BDB">
      <w:pPr>
        <w:pStyle w:val="ListParagraph"/>
        <w:numPr>
          <w:ilvl w:val="0"/>
          <w:numId w:val="7"/>
        </w:numPr>
      </w:pPr>
      <w:r>
        <w:t>Assess local practice against the diabetes National Service Framework and NICE guidelines and drive service improvement</w:t>
      </w:r>
    </w:p>
    <w:p w:rsidR="00063BDB" w:rsidRDefault="00063BDB" w:rsidP="00063BDB">
      <w:pPr>
        <w:pStyle w:val="ListParagraph"/>
        <w:numPr>
          <w:ilvl w:val="0"/>
          <w:numId w:val="7"/>
        </w:numPr>
      </w:pPr>
      <w:r>
        <w:t>Provide a more comprehensive picture of diabetes care and outcomes in England and Wales</w:t>
      </w:r>
    </w:p>
    <w:p w:rsidR="00063BDB" w:rsidRDefault="00063BDB" w:rsidP="00063BDB">
      <w:r>
        <w:t xml:space="preserve">Through participation in the audit, local services are able to benchmark their performance and identify where they are performing well and improve the quality of treatment and care they provide. On a national level, wide participation in the audit also provides an overview of the quality of care being provided in England and Wales. </w:t>
      </w:r>
    </w:p>
    <w:p w:rsidR="00003A83" w:rsidRDefault="00063BDB">
      <w:r>
        <w:lastRenderedPageBreak/>
        <w:t xml:space="preserve">This report summarises findings for Cambridgeshire &amp; Peterborough Clinical Commissioning Group </w:t>
      </w:r>
      <w:r w:rsidR="00303E95">
        <w:t xml:space="preserve"> (C&amp;P CCG) </w:t>
      </w:r>
      <w:r>
        <w:t xml:space="preserve">from the NDA 2013-14 &amp; 2014-15, including analysis of </w:t>
      </w:r>
      <w:r w:rsidRPr="00063BDB">
        <w:t xml:space="preserve">overall participation rates, the demographic </w:t>
      </w:r>
      <w:r>
        <w:t>composition</w:t>
      </w:r>
      <w:r w:rsidRPr="00063BDB">
        <w:t xml:space="preserve"> of patients registered via</w:t>
      </w:r>
      <w:r w:rsidR="007D37AA">
        <w:t xml:space="preserve"> g</w:t>
      </w:r>
      <w:r>
        <w:t>eneral</w:t>
      </w:r>
      <w:r w:rsidRPr="00063BDB">
        <w:t xml:space="preserve"> </w:t>
      </w:r>
      <w:r w:rsidR="007D37AA">
        <w:t>p</w:t>
      </w:r>
      <w:r w:rsidRPr="00063BDB">
        <w:t>ractices as part of the audit, care process completion for patients with type 1 diabetes and type 2 or other diabetes, percentages of patients newly diagnosed with diabetes offered/attending a structured education programme and treatment target achievement across the CCG.</w:t>
      </w:r>
    </w:p>
    <w:p w:rsidR="00E12343" w:rsidRDefault="00E12343"/>
    <w:p w:rsidR="00003A83" w:rsidRDefault="0072516B" w:rsidP="0072516B">
      <w:pPr>
        <w:pStyle w:val="Heading2"/>
        <w:numPr>
          <w:ilvl w:val="0"/>
          <w:numId w:val="5"/>
        </w:numPr>
      </w:pPr>
      <w:r>
        <w:t>Executive Summary</w:t>
      </w:r>
    </w:p>
    <w:p w:rsidR="00003A83" w:rsidRDefault="00003A83"/>
    <w:p w:rsidR="005034FD" w:rsidRDefault="005034FD" w:rsidP="00CF3019">
      <w:pPr>
        <w:pStyle w:val="ListParagraph"/>
        <w:numPr>
          <w:ilvl w:val="0"/>
          <w:numId w:val="3"/>
        </w:numPr>
      </w:pPr>
      <w:r w:rsidRPr="005034FD">
        <w:t xml:space="preserve">Participation in the National Diabetes Audit (NDA) is high within Cambridgeshire &amp; Peterborough Clinical Commissioning Group (C&amp;P CCG) compared to England and the number of participating </w:t>
      </w:r>
      <w:r w:rsidR="007D37AA">
        <w:t xml:space="preserve">general </w:t>
      </w:r>
      <w:r w:rsidRPr="005034FD">
        <w:t xml:space="preserve">practices within the CCG has risen from 74 to 77 between 2013-14 and 2014-15 (71.3% of all </w:t>
      </w:r>
      <w:r w:rsidR="007D37AA">
        <w:t xml:space="preserve">general </w:t>
      </w:r>
      <w:r w:rsidRPr="005034FD">
        <w:t xml:space="preserve">practices in the CCG; the national participation rate for 2014-15 is 54.9%). Participation rates are relatively consistent </w:t>
      </w:r>
      <w:r w:rsidR="007D37AA">
        <w:t>between Local Commissioning Groups (LCGs) in the</w:t>
      </w:r>
      <w:r w:rsidRPr="005034FD">
        <w:t xml:space="preserve"> CCG, </w:t>
      </w:r>
      <w:r w:rsidR="00CF3019" w:rsidRPr="00CF3019">
        <w:t xml:space="preserve">although </w:t>
      </w:r>
      <w:r w:rsidR="00DE0B36">
        <w:t xml:space="preserve">there is </w:t>
      </w:r>
      <w:r w:rsidR="0026411A">
        <w:t xml:space="preserve">some </w:t>
      </w:r>
      <w:r w:rsidR="00DE0B36">
        <w:t xml:space="preserve">variation between individual practices and </w:t>
      </w:r>
      <w:r w:rsidR="00842274">
        <w:t>LCGs</w:t>
      </w:r>
      <w:r w:rsidR="0026411A">
        <w:t xml:space="preserve"> with</w:t>
      </w:r>
      <w:r w:rsidR="00DE0B36">
        <w:t xml:space="preserve"> </w:t>
      </w:r>
      <w:r w:rsidR="00CF3019" w:rsidRPr="00CF3019">
        <w:t>below</w:t>
      </w:r>
      <w:r w:rsidR="00076F5B">
        <w:t xml:space="preserve"> average participation rates </w:t>
      </w:r>
      <w:r w:rsidR="00CF3019" w:rsidRPr="00CF3019">
        <w:t>observed in Hunts Care Partners (52.9%) and Cam Health (55.6%).</w:t>
      </w:r>
      <w:r w:rsidR="00FA40D9">
        <w:t xml:space="preserve"> </w:t>
      </w:r>
    </w:p>
    <w:p w:rsidR="005034FD" w:rsidRPr="005034FD" w:rsidRDefault="005034FD" w:rsidP="005034FD">
      <w:pPr>
        <w:pStyle w:val="ListParagraph"/>
      </w:pPr>
    </w:p>
    <w:p w:rsidR="00003A83" w:rsidRDefault="005034FD" w:rsidP="00003A83">
      <w:pPr>
        <w:pStyle w:val="ListParagraph"/>
        <w:numPr>
          <w:ilvl w:val="0"/>
          <w:numId w:val="3"/>
        </w:numPr>
      </w:pPr>
      <w:r w:rsidRPr="005034FD">
        <w:t xml:space="preserve">The demographic </w:t>
      </w:r>
      <w:r w:rsidR="001C4528">
        <w:t>composition</w:t>
      </w:r>
      <w:r w:rsidRPr="005034FD">
        <w:t xml:space="preserve"> of registrations</w:t>
      </w:r>
      <w:r w:rsidR="00A160AB">
        <w:t xml:space="preserve"> by general practices</w:t>
      </w:r>
      <w:r w:rsidR="00B7650D">
        <w:t xml:space="preserve"> within Cambridgeshire &amp; Peterborough CCG</w:t>
      </w:r>
      <w:r w:rsidRPr="005034FD">
        <w:t xml:space="preserve"> for the NDA is relatively similar to England, although percentages of registrations within the </w:t>
      </w:r>
      <w:r w:rsidR="004F5A57">
        <w:t>'White' ethnicity group are 13.5</w:t>
      </w:r>
      <w:r w:rsidRPr="005034FD">
        <w:t>% higher for type 1 registrations and 16.7% higher for type 2 and other registrations than England. Conversely,</w:t>
      </w:r>
      <w:r w:rsidR="004F5A57">
        <w:t xml:space="preserve"> with regards to </w:t>
      </w:r>
      <w:r w:rsidR="008448A6">
        <w:t>registrations from ‘minority ethnic’ groups</w:t>
      </w:r>
      <w:r w:rsidR="004F5A57">
        <w:t>,</w:t>
      </w:r>
      <w:r w:rsidRPr="005034FD">
        <w:t xml:space="preserve"> the percentage of type 1 registrations is 1.1% lower than England (8.6% compared to 9.7%</w:t>
      </w:r>
      <w:r w:rsidR="00957E2D">
        <w:t>)</w:t>
      </w:r>
      <w:r w:rsidRPr="005034FD">
        <w:t xml:space="preserve"> and for type 2 and other registrations the CCG percentage is 7.3% lower (11.8% compared to 19.1%). </w:t>
      </w:r>
    </w:p>
    <w:p w:rsidR="00003A83" w:rsidRPr="005034FD" w:rsidRDefault="00003A83" w:rsidP="00003A83">
      <w:pPr>
        <w:pStyle w:val="ListParagraph"/>
      </w:pPr>
    </w:p>
    <w:p w:rsidR="005034FD" w:rsidRDefault="005034FD" w:rsidP="00CF3019">
      <w:pPr>
        <w:pStyle w:val="ListParagraph"/>
        <w:numPr>
          <w:ilvl w:val="0"/>
          <w:numId w:val="3"/>
        </w:numPr>
      </w:pPr>
      <w:r w:rsidRPr="005034FD">
        <w:t>The CCG is performing 'as expected' with regards to care process completion for people with type 1 diabetes, although within this group</w:t>
      </w:r>
      <w:r w:rsidR="00E25B63">
        <w:t>,</w:t>
      </w:r>
      <w:r w:rsidRPr="005034FD">
        <w:t xml:space="preserve"> CCG performance is 'higher than expected' (</w:t>
      </w:r>
      <w:r w:rsidR="00E25B63">
        <w:t>therefore better)</w:t>
      </w:r>
      <w:r w:rsidRPr="005034FD">
        <w:t xml:space="preserve"> for foot surveillance and 'lower than expected' (worse) for cholesterol and urine albumin care process completion. The CCG is performing 'higher than expected' for care process completion for people with type 2 diabetes and for foot surveillance and BMI care processes within this indicator group. </w:t>
      </w:r>
    </w:p>
    <w:p w:rsidR="00003A83" w:rsidRDefault="00003A83" w:rsidP="00003A83">
      <w:pPr>
        <w:pStyle w:val="ListParagraph"/>
      </w:pPr>
    </w:p>
    <w:p w:rsidR="005034FD" w:rsidRDefault="005034FD" w:rsidP="00CF3019">
      <w:pPr>
        <w:pStyle w:val="ListParagraph"/>
        <w:numPr>
          <w:ilvl w:val="0"/>
          <w:numId w:val="3"/>
        </w:numPr>
      </w:pPr>
      <w:r w:rsidRPr="005034FD">
        <w:t>The percentage of newly diagnosed people with type 1 diabetes recorded as being offered a structured education programme has fallen</w:t>
      </w:r>
      <w:r w:rsidR="00E73E59">
        <w:t xml:space="preserve"> across the CCG</w:t>
      </w:r>
      <w:r w:rsidRPr="005034FD">
        <w:t xml:space="preserve"> from 39.6% to 28.9% and is now lower than the England percentage of 32.8%. The number of newly diagnosed people with type 1 diabetes who go on to attend a structured education programme has also fallen, from 4.0% to 0.9% and this is also now below the England value which has remained at 1.9% across 2013-14 and 2014-15. </w:t>
      </w:r>
    </w:p>
    <w:p w:rsidR="00003A83" w:rsidRPr="005034FD" w:rsidRDefault="00003A83" w:rsidP="00003A83">
      <w:pPr>
        <w:pStyle w:val="ListParagraph"/>
      </w:pPr>
    </w:p>
    <w:p w:rsidR="005034FD" w:rsidRDefault="005034FD" w:rsidP="00003A83">
      <w:pPr>
        <w:pStyle w:val="ListParagraph"/>
        <w:numPr>
          <w:ilvl w:val="0"/>
          <w:numId w:val="3"/>
        </w:numPr>
      </w:pPr>
      <w:r w:rsidRPr="005034FD">
        <w:t>The percentage of newly diagnosed people with type 2 diabetes recorded as being offered a structured educational programme has risen from 71.</w:t>
      </w:r>
      <w:r w:rsidR="004F5A57">
        <w:t>7</w:t>
      </w:r>
      <w:r w:rsidRPr="005034FD">
        <w:t>% to 80.5% and remains above the England percentage, which in 2014-15 is 78.7%. The percentage of newly diagnosed people with type 2 diabetes who subsequently attended a structured education progr</w:t>
      </w:r>
      <w:r w:rsidR="004F5A57">
        <w:t>amme has fallen from 8.9% to 4.5</w:t>
      </w:r>
      <w:r w:rsidRPr="005034FD">
        <w:t>% between 2013-14 and 2014-15 and is now below the England percentage which has risen over this period</w:t>
      </w:r>
      <w:r w:rsidR="004F5A57">
        <w:t xml:space="preserve"> from 5.8</w:t>
      </w:r>
      <w:r w:rsidRPr="005034FD">
        <w:t xml:space="preserve">% to 5.9%. </w:t>
      </w:r>
    </w:p>
    <w:p w:rsidR="00003A83" w:rsidRPr="005034FD" w:rsidRDefault="00003A83" w:rsidP="00003A83">
      <w:pPr>
        <w:pStyle w:val="ListParagraph"/>
      </w:pPr>
    </w:p>
    <w:p w:rsidR="00B57FEB" w:rsidRDefault="005034FD" w:rsidP="00003A83">
      <w:pPr>
        <w:pStyle w:val="ListParagraph"/>
        <w:numPr>
          <w:ilvl w:val="0"/>
          <w:numId w:val="3"/>
        </w:numPr>
      </w:pPr>
      <w:r w:rsidRPr="005034FD">
        <w:t>Treatment target achievement for people with type 1 diabetes across the CCG is 17.9%, below the England percentage of 19.3%. The disparity between the CCG and England with regards to the achievement percentage achieved for people with type 2 diabetes is higher, with the CCG percentage 36.2% and England 41.3%.</w:t>
      </w:r>
    </w:p>
    <w:p w:rsidR="00003A83" w:rsidRDefault="00003A83" w:rsidP="00003A83">
      <w:pPr>
        <w:pStyle w:val="ListParagraph"/>
      </w:pPr>
    </w:p>
    <w:p w:rsidR="0072516B" w:rsidRDefault="0072516B" w:rsidP="00003A83">
      <w:pPr>
        <w:pStyle w:val="ListParagraph"/>
      </w:pPr>
    </w:p>
    <w:p w:rsidR="00003A83" w:rsidRDefault="0072516B" w:rsidP="0072516B">
      <w:pPr>
        <w:pStyle w:val="Heading2"/>
        <w:numPr>
          <w:ilvl w:val="0"/>
          <w:numId w:val="5"/>
        </w:numPr>
      </w:pPr>
      <w:r>
        <w:t>Overview of 2013-14 &amp; 2014-15 National Diabetes Audit Data</w:t>
      </w:r>
    </w:p>
    <w:p w:rsidR="0072516B" w:rsidRPr="0072516B" w:rsidRDefault="0072516B" w:rsidP="0072516B"/>
    <w:p w:rsidR="00B57FEB" w:rsidRPr="00B57FEB" w:rsidRDefault="00B57FEB">
      <w:pPr>
        <w:rPr>
          <w:b/>
        </w:rPr>
      </w:pPr>
      <w:r w:rsidRPr="00B57FEB">
        <w:rPr>
          <w:b/>
        </w:rPr>
        <w:t>F</w:t>
      </w:r>
      <w:r w:rsidR="00121509">
        <w:rPr>
          <w:b/>
        </w:rPr>
        <w:t>igure 1</w:t>
      </w:r>
      <w:r w:rsidRPr="00B57FEB">
        <w:rPr>
          <w:b/>
        </w:rPr>
        <w:t xml:space="preserve">: National Diabetes Audit 2013-14 </w:t>
      </w:r>
      <w:r w:rsidR="00121509">
        <w:rPr>
          <w:b/>
        </w:rPr>
        <w:t>&amp;</w:t>
      </w:r>
      <w:r w:rsidRPr="00B57FEB">
        <w:rPr>
          <w:b/>
        </w:rPr>
        <w:t xml:space="preserve"> 2014-15, Participating General Practices</w:t>
      </w:r>
    </w:p>
    <w:tbl>
      <w:tblPr>
        <w:tblW w:w="5000" w:type="pct"/>
        <w:tblLook w:val="04A0" w:firstRow="1" w:lastRow="0" w:firstColumn="1" w:lastColumn="0" w:noHBand="0" w:noVBand="1"/>
      </w:tblPr>
      <w:tblGrid>
        <w:gridCol w:w="2338"/>
        <w:gridCol w:w="1314"/>
        <w:gridCol w:w="2139"/>
        <w:gridCol w:w="1832"/>
        <w:gridCol w:w="1619"/>
      </w:tblGrid>
      <w:tr w:rsidR="00B57FEB" w:rsidRPr="00B57FEB" w:rsidTr="00B57FEB">
        <w:trPr>
          <w:trHeight w:val="225"/>
        </w:trPr>
        <w:tc>
          <w:tcPr>
            <w:tcW w:w="1265"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57FEB" w:rsidRPr="00B57FEB" w:rsidRDefault="00B57FEB" w:rsidP="00B57FEB">
            <w:pPr>
              <w:spacing w:after="0" w:line="240" w:lineRule="auto"/>
              <w:jc w:val="center"/>
              <w:rPr>
                <w:rFonts w:ascii="Calibri" w:eastAsia="Times New Roman" w:hAnsi="Calibri" w:cs="Times New Roman"/>
                <w:b/>
                <w:bCs/>
                <w:color w:val="000000"/>
                <w:sz w:val="16"/>
                <w:szCs w:val="16"/>
                <w:lang w:eastAsia="en-GB"/>
              </w:rPr>
            </w:pPr>
            <w:r w:rsidRPr="00B57FEB">
              <w:rPr>
                <w:rFonts w:ascii="Calibri" w:eastAsia="Times New Roman" w:hAnsi="Calibri" w:cs="Times New Roman"/>
                <w:b/>
                <w:bCs/>
                <w:color w:val="000000"/>
                <w:sz w:val="16"/>
                <w:szCs w:val="16"/>
                <w:lang w:eastAsia="en-GB"/>
              </w:rPr>
              <w:t> </w:t>
            </w:r>
          </w:p>
        </w:tc>
        <w:tc>
          <w:tcPr>
            <w:tcW w:w="1868" w:type="pct"/>
            <w:gridSpan w:val="2"/>
            <w:tcBorders>
              <w:top w:val="single" w:sz="4" w:space="0" w:color="auto"/>
              <w:left w:val="nil"/>
              <w:bottom w:val="single" w:sz="4" w:space="0" w:color="auto"/>
              <w:right w:val="single" w:sz="4" w:space="0" w:color="auto"/>
            </w:tcBorders>
            <w:shd w:val="clear" w:color="000000" w:fill="DDEBF7"/>
            <w:vAlign w:val="center"/>
            <w:hideMark/>
          </w:tcPr>
          <w:p w:rsidR="00B57FEB" w:rsidRPr="00B57FEB" w:rsidRDefault="00B57FEB" w:rsidP="00B57FEB">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C&amp;P </w:t>
            </w:r>
            <w:r w:rsidRPr="00B57FEB">
              <w:rPr>
                <w:rFonts w:ascii="Calibri" w:eastAsia="Times New Roman" w:hAnsi="Calibri" w:cs="Times New Roman"/>
                <w:b/>
                <w:bCs/>
                <w:color w:val="000000"/>
                <w:sz w:val="16"/>
                <w:szCs w:val="16"/>
                <w:lang w:eastAsia="en-GB"/>
              </w:rPr>
              <w:t>CCG</w:t>
            </w:r>
          </w:p>
        </w:tc>
        <w:tc>
          <w:tcPr>
            <w:tcW w:w="1868"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B57FEB" w:rsidRPr="00B57FEB" w:rsidRDefault="00B57FEB" w:rsidP="00B57FEB">
            <w:pPr>
              <w:spacing w:after="0" w:line="240" w:lineRule="auto"/>
              <w:jc w:val="center"/>
              <w:rPr>
                <w:rFonts w:ascii="Calibri" w:eastAsia="Times New Roman" w:hAnsi="Calibri" w:cs="Times New Roman"/>
                <w:b/>
                <w:bCs/>
                <w:color w:val="000000"/>
                <w:sz w:val="16"/>
                <w:szCs w:val="16"/>
                <w:lang w:eastAsia="en-GB"/>
              </w:rPr>
            </w:pPr>
            <w:r w:rsidRPr="00B57FEB">
              <w:rPr>
                <w:rFonts w:ascii="Calibri" w:eastAsia="Times New Roman" w:hAnsi="Calibri" w:cs="Times New Roman"/>
                <w:b/>
                <w:bCs/>
                <w:color w:val="000000"/>
                <w:sz w:val="16"/>
                <w:szCs w:val="16"/>
                <w:lang w:eastAsia="en-GB"/>
              </w:rPr>
              <w:t>England</w:t>
            </w:r>
          </w:p>
        </w:tc>
      </w:tr>
      <w:tr w:rsidR="00B57FEB" w:rsidRPr="00B57FEB" w:rsidTr="00B57FEB">
        <w:trPr>
          <w:trHeight w:val="225"/>
        </w:trPr>
        <w:tc>
          <w:tcPr>
            <w:tcW w:w="1265" w:type="pct"/>
            <w:tcBorders>
              <w:top w:val="nil"/>
              <w:left w:val="single" w:sz="4" w:space="0" w:color="auto"/>
              <w:bottom w:val="single" w:sz="4" w:space="0" w:color="auto"/>
              <w:right w:val="single" w:sz="4" w:space="0" w:color="auto"/>
            </w:tcBorders>
            <w:shd w:val="clear" w:color="000000" w:fill="DDEBF7"/>
            <w:noWrap/>
            <w:vAlign w:val="center"/>
            <w:hideMark/>
          </w:tcPr>
          <w:p w:rsidR="00B57FEB" w:rsidRPr="00B57FEB" w:rsidRDefault="00B57FEB" w:rsidP="00B57FEB">
            <w:pPr>
              <w:spacing w:after="0" w:line="240" w:lineRule="auto"/>
              <w:jc w:val="center"/>
              <w:rPr>
                <w:rFonts w:ascii="Calibri" w:eastAsia="Times New Roman" w:hAnsi="Calibri" w:cs="Times New Roman"/>
                <w:b/>
                <w:bCs/>
                <w:color w:val="000000"/>
                <w:sz w:val="16"/>
                <w:szCs w:val="16"/>
                <w:lang w:eastAsia="en-GB"/>
              </w:rPr>
            </w:pPr>
            <w:r w:rsidRPr="00B57FEB">
              <w:rPr>
                <w:rFonts w:ascii="Calibri" w:eastAsia="Times New Roman" w:hAnsi="Calibri" w:cs="Times New Roman"/>
                <w:b/>
                <w:bCs/>
                <w:color w:val="000000"/>
                <w:sz w:val="16"/>
                <w:szCs w:val="16"/>
                <w:lang w:eastAsia="en-GB"/>
              </w:rPr>
              <w:t>Audit Period</w:t>
            </w:r>
          </w:p>
        </w:tc>
        <w:tc>
          <w:tcPr>
            <w:tcW w:w="711" w:type="pct"/>
            <w:tcBorders>
              <w:top w:val="nil"/>
              <w:left w:val="nil"/>
              <w:bottom w:val="single" w:sz="4" w:space="0" w:color="auto"/>
              <w:right w:val="single" w:sz="4" w:space="0" w:color="auto"/>
            </w:tcBorders>
            <w:shd w:val="clear" w:color="000000" w:fill="DDEBF7"/>
            <w:noWrap/>
            <w:vAlign w:val="center"/>
            <w:hideMark/>
          </w:tcPr>
          <w:p w:rsidR="00B57FEB" w:rsidRPr="00B57FEB" w:rsidRDefault="00CF3019" w:rsidP="00B57FEB">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1157" w:type="pct"/>
            <w:tcBorders>
              <w:top w:val="nil"/>
              <w:left w:val="nil"/>
              <w:bottom w:val="single" w:sz="4" w:space="0" w:color="auto"/>
              <w:right w:val="single" w:sz="4" w:space="0" w:color="auto"/>
            </w:tcBorders>
            <w:shd w:val="clear" w:color="000000" w:fill="DDEBF7"/>
            <w:noWrap/>
            <w:vAlign w:val="center"/>
            <w:hideMark/>
          </w:tcPr>
          <w:p w:rsidR="00B57FEB" w:rsidRPr="00B57FEB" w:rsidRDefault="00B57FEB" w:rsidP="00B57FEB">
            <w:pPr>
              <w:spacing w:after="0" w:line="240" w:lineRule="auto"/>
              <w:jc w:val="center"/>
              <w:rPr>
                <w:rFonts w:ascii="Calibri" w:eastAsia="Times New Roman" w:hAnsi="Calibri" w:cs="Times New Roman"/>
                <w:b/>
                <w:bCs/>
                <w:color w:val="000000"/>
                <w:sz w:val="16"/>
                <w:szCs w:val="16"/>
                <w:lang w:eastAsia="en-GB"/>
              </w:rPr>
            </w:pPr>
            <w:r w:rsidRPr="00B57FEB">
              <w:rPr>
                <w:rFonts w:ascii="Calibri" w:eastAsia="Times New Roman" w:hAnsi="Calibri" w:cs="Times New Roman"/>
                <w:b/>
                <w:bCs/>
                <w:color w:val="000000"/>
                <w:sz w:val="16"/>
                <w:szCs w:val="16"/>
                <w:lang w:eastAsia="en-GB"/>
              </w:rPr>
              <w:t>%</w:t>
            </w:r>
          </w:p>
        </w:tc>
        <w:tc>
          <w:tcPr>
            <w:tcW w:w="991" w:type="pct"/>
            <w:tcBorders>
              <w:top w:val="nil"/>
              <w:left w:val="nil"/>
              <w:bottom w:val="single" w:sz="4" w:space="0" w:color="auto"/>
              <w:right w:val="single" w:sz="4" w:space="0" w:color="auto"/>
            </w:tcBorders>
            <w:shd w:val="clear" w:color="000000" w:fill="DDEBF7"/>
            <w:noWrap/>
            <w:vAlign w:val="center"/>
            <w:hideMark/>
          </w:tcPr>
          <w:p w:rsidR="00B57FEB" w:rsidRPr="00B57FEB" w:rsidRDefault="00CF3019" w:rsidP="00B57FEB">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876" w:type="pct"/>
            <w:tcBorders>
              <w:top w:val="nil"/>
              <w:left w:val="nil"/>
              <w:bottom w:val="single" w:sz="4" w:space="0" w:color="auto"/>
              <w:right w:val="single" w:sz="4" w:space="0" w:color="auto"/>
            </w:tcBorders>
            <w:shd w:val="clear" w:color="000000" w:fill="DDEBF7"/>
            <w:noWrap/>
            <w:vAlign w:val="center"/>
            <w:hideMark/>
          </w:tcPr>
          <w:p w:rsidR="00B57FEB" w:rsidRPr="00B57FEB" w:rsidRDefault="00B57FEB" w:rsidP="00B57FEB">
            <w:pPr>
              <w:spacing w:after="0" w:line="240" w:lineRule="auto"/>
              <w:jc w:val="center"/>
              <w:rPr>
                <w:rFonts w:ascii="Calibri" w:eastAsia="Times New Roman" w:hAnsi="Calibri" w:cs="Times New Roman"/>
                <w:b/>
                <w:bCs/>
                <w:color w:val="000000"/>
                <w:sz w:val="16"/>
                <w:szCs w:val="16"/>
                <w:lang w:eastAsia="en-GB"/>
              </w:rPr>
            </w:pPr>
            <w:r w:rsidRPr="00B57FEB">
              <w:rPr>
                <w:rFonts w:ascii="Calibri" w:eastAsia="Times New Roman" w:hAnsi="Calibri" w:cs="Times New Roman"/>
                <w:b/>
                <w:bCs/>
                <w:color w:val="000000"/>
                <w:sz w:val="16"/>
                <w:szCs w:val="16"/>
                <w:lang w:eastAsia="en-GB"/>
              </w:rPr>
              <w:t>%</w:t>
            </w:r>
          </w:p>
        </w:tc>
      </w:tr>
      <w:tr w:rsidR="00B57FEB" w:rsidRPr="00B57FEB" w:rsidTr="00B57FEB">
        <w:trPr>
          <w:trHeight w:val="225"/>
        </w:trPr>
        <w:tc>
          <w:tcPr>
            <w:tcW w:w="1265" w:type="pct"/>
            <w:tcBorders>
              <w:top w:val="nil"/>
              <w:left w:val="single" w:sz="4" w:space="0" w:color="auto"/>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sz w:val="16"/>
                <w:szCs w:val="16"/>
                <w:lang w:eastAsia="en-GB"/>
              </w:rPr>
            </w:pPr>
            <w:r w:rsidRPr="00B57FEB">
              <w:rPr>
                <w:rFonts w:ascii="Calibri" w:eastAsia="Times New Roman" w:hAnsi="Calibri" w:cs="Times New Roman"/>
                <w:sz w:val="16"/>
                <w:szCs w:val="16"/>
                <w:lang w:eastAsia="en-GB"/>
              </w:rPr>
              <w:t>2013-14</w:t>
            </w:r>
          </w:p>
        </w:tc>
        <w:tc>
          <w:tcPr>
            <w:tcW w:w="711" w:type="pct"/>
            <w:tcBorders>
              <w:top w:val="nil"/>
              <w:left w:val="nil"/>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sz w:val="16"/>
                <w:szCs w:val="16"/>
                <w:lang w:eastAsia="en-GB"/>
              </w:rPr>
            </w:pPr>
            <w:r w:rsidRPr="00B57FEB">
              <w:rPr>
                <w:rFonts w:ascii="Calibri" w:eastAsia="Times New Roman" w:hAnsi="Calibri" w:cs="Times New Roman"/>
                <w:sz w:val="16"/>
                <w:szCs w:val="16"/>
                <w:lang w:eastAsia="en-GB"/>
              </w:rPr>
              <w:t>74</w:t>
            </w:r>
          </w:p>
        </w:tc>
        <w:tc>
          <w:tcPr>
            <w:tcW w:w="1157" w:type="pct"/>
            <w:tcBorders>
              <w:top w:val="nil"/>
              <w:left w:val="nil"/>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sz w:val="16"/>
                <w:szCs w:val="16"/>
                <w:lang w:eastAsia="en-GB"/>
              </w:rPr>
            </w:pPr>
            <w:r w:rsidRPr="00B57FEB">
              <w:rPr>
                <w:rFonts w:ascii="Calibri" w:eastAsia="Times New Roman" w:hAnsi="Calibri" w:cs="Times New Roman"/>
                <w:sz w:val="16"/>
                <w:szCs w:val="16"/>
                <w:lang w:eastAsia="en-GB"/>
              </w:rPr>
              <w:t>68.5</w:t>
            </w:r>
          </w:p>
        </w:tc>
        <w:tc>
          <w:tcPr>
            <w:tcW w:w="991" w:type="pct"/>
            <w:tcBorders>
              <w:top w:val="nil"/>
              <w:left w:val="nil"/>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sz w:val="16"/>
                <w:szCs w:val="16"/>
                <w:lang w:eastAsia="en-GB"/>
              </w:rPr>
            </w:pPr>
            <w:r w:rsidRPr="00B57FEB">
              <w:rPr>
                <w:rFonts w:ascii="Calibri" w:eastAsia="Times New Roman" w:hAnsi="Calibri" w:cs="Times New Roman"/>
                <w:sz w:val="16"/>
                <w:szCs w:val="16"/>
                <w:lang w:eastAsia="en-GB"/>
              </w:rPr>
              <w:t>4</w:t>
            </w:r>
            <w:r w:rsidR="00121509">
              <w:rPr>
                <w:rFonts w:ascii="Calibri" w:eastAsia="Times New Roman" w:hAnsi="Calibri" w:cs="Times New Roman"/>
                <w:sz w:val="16"/>
                <w:szCs w:val="16"/>
                <w:lang w:eastAsia="en-GB"/>
              </w:rPr>
              <w:t>,</w:t>
            </w:r>
            <w:r w:rsidRPr="00B57FEB">
              <w:rPr>
                <w:rFonts w:ascii="Calibri" w:eastAsia="Times New Roman" w:hAnsi="Calibri" w:cs="Times New Roman"/>
                <w:sz w:val="16"/>
                <w:szCs w:val="16"/>
                <w:lang w:eastAsia="en-GB"/>
              </w:rPr>
              <w:t>274</w:t>
            </w:r>
          </w:p>
        </w:tc>
        <w:tc>
          <w:tcPr>
            <w:tcW w:w="876" w:type="pct"/>
            <w:tcBorders>
              <w:top w:val="nil"/>
              <w:left w:val="nil"/>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color w:val="000000"/>
                <w:sz w:val="16"/>
                <w:szCs w:val="16"/>
                <w:lang w:eastAsia="en-GB"/>
              </w:rPr>
            </w:pPr>
            <w:r w:rsidRPr="00B57FEB">
              <w:rPr>
                <w:rFonts w:ascii="Calibri" w:eastAsia="Times New Roman" w:hAnsi="Calibri" w:cs="Times New Roman"/>
                <w:color w:val="000000"/>
                <w:sz w:val="16"/>
                <w:szCs w:val="16"/>
                <w:lang w:eastAsia="en-GB"/>
              </w:rPr>
              <w:t>54.9</w:t>
            </w:r>
          </w:p>
        </w:tc>
      </w:tr>
      <w:tr w:rsidR="00B57FEB" w:rsidRPr="00B57FEB" w:rsidTr="00B57FEB">
        <w:trPr>
          <w:trHeight w:val="225"/>
        </w:trPr>
        <w:tc>
          <w:tcPr>
            <w:tcW w:w="1265" w:type="pct"/>
            <w:tcBorders>
              <w:top w:val="nil"/>
              <w:left w:val="single" w:sz="4" w:space="0" w:color="auto"/>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sz w:val="16"/>
                <w:szCs w:val="16"/>
                <w:lang w:eastAsia="en-GB"/>
              </w:rPr>
            </w:pPr>
            <w:r w:rsidRPr="00B57FEB">
              <w:rPr>
                <w:rFonts w:ascii="Calibri" w:eastAsia="Times New Roman" w:hAnsi="Calibri" w:cs="Times New Roman"/>
                <w:sz w:val="16"/>
                <w:szCs w:val="16"/>
                <w:lang w:eastAsia="en-GB"/>
              </w:rPr>
              <w:t>2014-15</w:t>
            </w:r>
          </w:p>
        </w:tc>
        <w:tc>
          <w:tcPr>
            <w:tcW w:w="711" w:type="pct"/>
            <w:tcBorders>
              <w:top w:val="nil"/>
              <w:left w:val="nil"/>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sz w:val="16"/>
                <w:szCs w:val="16"/>
                <w:lang w:eastAsia="en-GB"/>
              </w:rPr>
            </w:pPr>
            <w:r w:rsidRPr="00B57FEB">
              <w:rPr>
                <w:rFonts w:ascii="Calibri" w:eastAsia="Times New Roman" w:hAnsi="Calibri" w:cs="Times New Roman"/>
                <w:sz w:val="16"/>
                <w:szCs w:val="16"/>
                <w:lang w:eastAsia="en-GB"/>
              </w:rPr>
              <w:t>77</w:t>
            </w:r>
          </w:p>
        </w:tc>
        <w:tc>
          <w:tcPr>
            <w:tcW w:w="1157" w:type="pct"/>
            <w:tcBorders>
              <w:top w:val="nil"/>
              <w:left w:val="nil"/>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sz w:val="16"/>
                <w:szCs w:val="16"/>
                <w:lang w:eastAsia="en-GB"/>
              </w:rPr>
            </w:pPr>
            <w:r w:rsidRPr="00B57FEB">
              <w:rPr>
                <w:rFonts w:ascii="Calibri" w:eastAsia="Times New Roman" w:hAnsi="Calibri" w:cs="Times New Roman"/>
                <w:sz w:val="16"/>
                <w:szCs w:val="16"/>
                <w:lang w:eastAsia="en-GB"/>
              </w:rPr>
              <w:t>71.3</w:t>
            </w:r>
          </w:p>
        </w:tc>
        <w:tc>
          <w:tcPr>
            <w:tcW w:w="991" w:type="pct"/>
            <w:tcBorders>
              <w:top w:val="nil"/>
              <w:left w:val="nil"/>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sz w:val="16"/>
                <w:szCs w:val="16"/>
                <w:lang w:eastAsia="en-GB"/>
              </w:rPr>
            </w:pPr>
            <w:r w:rsidRPr="00B57FEB">
              <w:rPr>
                <w:rFonts w:ascii="Calibri" w:eastAsia="Times New Roman" w:hAnsi="Calibri" w:cs="Times New Roman"/>
                <w:sz w:val="16"/>
                <w:szCs w:val="16"/>
                <w:lang w:eastAsia="en-GB"/>
              </w:rPr>
              <w:t>4</w:t>
            </w:r>
            <w:r w:rsidR="00121509">
              <w:rPr>
                <w:rFonts w:ascii="Calibri" w:eastAsia="Times New Roman" w:hAnsi="Calibri" w:cs="Times New Roman"/>
                <w:sz w:val="16"/>
                <w:szCs w:val="16"/>
                <w:lang w:eastAsia="en-GB"/>
              </w:rPr>
              <w:t>,</w:t>
            </w:r>
            <w:r w:rsidRPr="00B57FEB">
              <w:rPr>
                <w:rFonts w:ascii="Calibri" w:eastAsia="Times New Roman" w:hAnsi="Calibri" w:cs="Times New Roman"/>
                <w:sz w:val="16"/>
                <w:szCs w:val="16"/>
                <w:lang w:eastAsia="en-GB"/>
              </w:rPr>
              <w:t>256</w:t>
            </w:r>
          </w:p>
        </w:tc>
        <w:tc>
          <w:tcPr>
            <w:tcW w:w="876" w:type="pct"/>
            <w:tcBorders>
              <w:top w:val="nil"/>
              <w:left w:val="nil"/>
              <w:bottom w:val="single" w:sz="4" w:space="0" w:color="auto"/>
              <w:right w:val="single" w:sz="4" w:space="0" w:color="auto"/>
            </w:tcBorders>
            <w:shd w:val="clear" w:color="auto" w:fill="auto"/>
            <w:noWrap/>
            <w:vAlign w:val="center"/>
            <w:hideMark/>
          </w:tcPr>
          <w:p w:rsidR="00B57FEB" w:rsidRPr="00B57FEB" w:rsidRDefault="00B57FEB" w:rsidP="00B57FEB">
            <w:pPr>
              <w:spacing w:after="0" w:line="240" w:lineRule="auto"/>
              <w:jc w:val="center"/>
              <w:rPr>
                <w:rFonts w:ascii="Calibri" w:eastAsia="Times New Roman" w:hAnsi="Calibri" w:cs="Times New Roman"/>
                <w:color w:val="000000"/>
                <w:sz w:val="16"/>
                <w:szCs w:val="16"/>
                <w:lang w:eastAsia="en-GB"/>
              </w:rPr>
            </w:pPr>
            <w:r w:rsidRPr="00B57FEB">
              <w:rPr>
                <w:rFonts w:ascii="Calibri" w:eastAsia="Times New Roman" w:hAnsi="Calibri" w:cs="Times New Roman"/>
                <w:color w:val="000000"/>
                <w:sz w:val="16"/>
                <w:szCs w:val="16"/>
                <w:lang w:eastAsia="en-GB"/>
              </w:rPr>
              <w:t>54.9</w:t>
            </w:r>
          </w:p>
        </w:tc>
      </w:tr>
    </w:tbl>
    <w:p w:rsidR="00B57FEB" w:rsidRDefault="00B57FEB"/>
    <w:p w:rsidR="00B57FEB" w:rsidRDefault="00B57FEB">
      <w:r>
        <w:t>C&amp;P CCG has a statistically significantly high participation rate in the National Diabetes Audit for both 2013-14 and 2</w:t>
      </w:r>
      <w:r w:rsidR="009D144C">
        <w:t>014-15 in comparison to England.</w:t>
      </w:r>
      <w:r>
        <w:t xml:space="preserve"> </w:t>
      </w:r>
      <w:r w:rsidR="009D144C">
        <w:t>T</w:t>
      </w:r>
      <w:r>
        <w:t xml:space="preserve">he number of participating general practices in the CCG has risen by 2.8% from 74 to 77 and the participation rate is now 71.3%, 16.4% higher than the England participation rate of 54.9%. </w:t>
      </w:r>
    </w:p>
    <w:p w:rsidR="00B412C9" w:rsidRPr="00121509" w:rsidRDefault="00B412C9">
      <w:pPr>
        <w:rPr>
          <w:b/>
        </w:rPr>
      </w:pPr>
      <w:r w:rsidRPr="00121509">
        <w:rPr>
          <w:b/>
        </w:rPr>
        <w:t xml:space="preserve">Figure </w:t>
      </w:r>
      <w:r w:rsidR="00121509" w:rsidRPr="00121509">
        <w:rPr>
          <w:b/>
        </w:rPr>
        <w:t>2</w:t>
      </w:r>
      <w:r w:rsidRPr="00121509">
        <w:rPr>
          <w:b/>
        </w:rPr>
        <w:t>: N</w:t>
      </w:r>
      <w:r w:rsidR="009D144C">
        <w:rPr>
          <w:b/>
        </w:rPr>
        <w:t>ational Diabetes Audit 2013-14 &amp;</w:t>
      </w:r>
      <w:r w:rsidRPr="00121509">
        <w:rPr>
          <w:b/>
        </w:rPr>
        <w:t xml:space="preserve"> 2014-15, Local Commissioning Group Participation Rates &amp; 2014-15 Quality Outcomes Framework Indicators </w:t>
      </w:r>
    </w:p>
    <w:tbl>
      <w:tblPr>
        <w:tblW w:w="5000" w:type="pct"/>
        <w:tblLook w:val="04A0" w:firstRow="1" w:lastRow="0" w:firstColumn="1" w:lastColumn="0" w:noHBand="0" w:noVBand="1"/>
      </w:tblPr>
      <w:tblGrid>
        <w:gridCol w:w="2121"/>
        <w:gridCol w:w="379"/>
        <w:gridCol w:w="379"/>
        <w:gridCol w:w="1346"/>
        <w:gridCol w:w="379"/>
        <w:gridCol w:w="379"/>
        <w:gridCol w:w="1346"/>
        <w:gridCol w:w="762"/>
        <w:gridCol w:w="695"/>
        <w:gridCol w:w="761"/>
        <w:gridCol w:w="695"/>
      </w:tblGrid>
      <w:tr w:rsidR="00B412C9" w:rsidRPr="00B412C9" w:rsidTr="00B412C9">
        <w:trPr>
          <w:trHeight w:val="225"/>
        </w:trPr>
        <w:tc>
          <w:tcPr>
            <w:tcW w:w="3381" w:type="pct"/>
            <w:gridSpan w:val="7"/>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National Diabetes Audit</w:t>
            </w:r>
            <w:r>
              <w:rPr>
                <w:rFonts w:ascii="Calibri" w:eastAsia="Times New Roman" w:hAnsi="Calibri" w:cs="Times New Roman"/>
                <w:b/>
                <w:bCs/>
                <w:color w:val="000000"/>
                <w:sz w:val="16"/>
                <w:szCs w:val="16"/>
                <w:lang w:eastAsia="en-GB"/>
              </w:rPr>
              <w:t xml:space="preserve"> Data</w:t>
            </w:r>
          </w:p>
        </w:tc>
        <w:tc>
          <w:tcPr>
            <w:tcW w:w="1619" w:type="pct"/>
            <w:gridSpan w:val="4"/>
            <w:tcBorders>
              <w:top w:val="single" w:sz="4" w:space="0" w:color="auto"/>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2014-15 Quality Outcomes Framework</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 </w:t>
            </w:r>
          </w:p>
        </w:tc>
        <w:tc>
          <w:tcPr>
            <w:tcW w:w="1093"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2013-14</w:t>
            </w:r>
            <w:r>
              <w:rPr>
                <w:rFonts w:ascii="Calibri" w:eastAsia="Times New Roman" w:hAnsi="Calibri" w:cs="Times New Roman"/>
                <w:b/>
                <w:bCs/>
                <w:color w:val="000000"/>
                <w:sz w:val="16"/>
                <w:szCs w:val="16"/>
                <w:lang w:eastAsia="en-GB"/>
              </w:rPr>
              <w:t xml:space="preserve"> Participation</w:t>
            </w:r>
          </w:p>
        </w:tc>
        <w:tc>
          <w:tcPr>
            <w:tcW w:w="1093"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2014-15</w:t>
            </w:r>
            <w:r>
              <w:rPr>
                <w:rFonts w:ascii="Calibri" w:eastAsia="Times New Roman" w:hAnsi="Calibri" w:cs="Times New Roman"/>
                <w:b/>
                <w:bCs/>
                <w:color w:val="000000"/>
                <w:sz w:val="16"/>
                <w:szCs w:val="16"/>
                <w:lang w:eastAsia="en-GB"/>
              </w:rPr>
              <w:t xml:space="preserve"> Participation</w:t>
            </w:r>
          </w:p>
        </w:tc>
        <w:tc>
          <w:tcPr>
            <w:tcW w:w="810" w:type="pct"/>
            <w:gridSpan w:val="2"/>
            <w:tcBorders>
              <w:top w:val="single" w:sz="4" w:space="0" w:color="auto"/>
              <w:left w:val="nil"/>
              <w:bottom w:val="single" w:sz="4" w:space="0" w:color="auto"/>
              <w:right w:val="single" w:sz="4" w:space="0" w:color="auto"/>
            </w:tcBorders>
            <w:shd w:val="clear" w:color="000000" w:fill="DDEBF7"/>
            <w:vAlign w:val="center"/>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1. Diabetes QOF Prevalence (17+)</w:t>
            </w:r>
          </w:p>
        </w:tc>
        <w:tc>
          <w:tcPr>
            <w:tcW w:w="810" w:type="pct"/>
            <w:gridSpan w:val="2"/>
            <w:tcBorders>
              <w:top w:val="single" w:sz="4" w:space="0" w:color="auto"/>
              <w:left w:val="nil"/>
              <w:bottom w:val="single" w:sz="4" w:space="0" w:color="auto"/>
              <w:right w:val="single" w:sz="4" w:space="0" w:color="auto"/>
            </w:tcBorders>
            <w:shd w:val="clear" w:color="000000" w:fill="DDEBF7"/>
            <w:vAlign w:val="center"/>
            <w:hideMark/>
          </w:tcPr>
          <w:p w:rsidR="00B412C9" w:rsidRPr="00B412C9" w:rsidRDefault="00573F16" w:rsidP="00B412C9">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w:t>
            </w:r>
            <w:r w:rsidR="00B412C9" w:rsidRPr="00B412C9">
              <w:rPr>
                <w:rFonts w:ascii="Calibri" w:eastAsia="Times New Roman" w:hAnsi="Calibri" w:cs="Times New Roman"/>
                <w:b/>
                <w:bCs/>
                <w:color w:val="000000"/>
                <w:sz w:val="16"/>
                <w:szCs w:val="16"/>
                <w:lang w:eastAsia="en-GB"/>
              </w:rPr>
              <w:t>. Obesity QOF Prevalence (16+)</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000000" w:fill="DDEBF7"/>
            <w:noWrap/>
            <w:vAlign w:val="bottom"/>
            <w:hideMark/>
          </w:tcPr>
          <w:p w:rsidR="00B412C9" w:rsidRPr="00B412C9" w:rsidRDefault="006F4D1A" w:rsidP="00B412C9">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Local Commissioning Group</w:t>
            </w:r>
          </w:p>
        </w:tc>
        <w:tc>
          <w:tcPr>
            <w:tcW w:w="160" w:type="pct"/>
            <w:tcBorders>
              <w:top w:val="nil"/>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Y</w:t>
            </w:r>
          </w:p>
        </w:tc>
        <w:tc>
          <w:tcPr>
            <w:tcW w:w="160" w:type="pct"/>
            <w:tcBorders>
              <w:top w:val="nil"/>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N</w:t>
            </w:r>
          </w:p>
        </w:tc>
        <w:tc>
          <w:tcPr>
            <w:tcW w:w="774" w:type="pct"/>
            <w:tcBorders>
              <w:top w:val="nil"/>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 Participating</w:t>
            </w:r>
          </w:p>
        </w:tc>
        <w:tc>
          <w:tcPr>
            <w:tcW w:w="160" w:type="pct"/>
            <w:tcBorders>
              <w:top w:val="nil"/>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Y</w:t>
            </w:r>
          </w:p>
        </w:tc>
        <w:tc>
          <w:tcPr>
            <w:tcW w:w="160" w:type="pct"/>
            <w:tcBorders>
              <w:top w:val="nil"/>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N</w:t>
            </w:r>
          </w:p>
        </w:tc>
        <w:tc>
          <w:tcPr>
            <w:tcW w:w="774" w:type="pct"/>
            <w:tcBorders>
              <w:top w:val="nil"/>
              <w:left w:val="nil"/>
              <w:bottom w:val="single" w:sz="4" w:space="0" w:color="auto"/>
              <w:right w:val="single" w:sz="4" w:space="0" w:color="auto"/>
            </w:tcBorders>
            <w:shd w:val="clear" w:color="000000" w:fill="DDEBF7"/>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 Participating</w:t>
            </w:r>
          </w:p>
        </w:tc>
        <w:tc>
          <w:tcPr>
            <w:tcW w:w="405" w:type="pct"/>
            <w:tcBorders>
              <w:top w:val="nil"/>
              <w:left w:val="nil"/>
              <w:bottom w:val="single" w:sz="4" w:space="0" w:color="auto"/>
              <w:right w:val="single" w:sz="4" w:space="0" w:color="auto"/>
            </w:tcBorders>
            <w:shd w:val="clear" w:color="000000" w:fill="DDEBF7"/>
            <w:vAlign w:val="center"/>
            <w:hideMark/>
          </w:tcPr>
          <w:p w:rsidR="00B412C9" w:rsidRPr="00B412C9" w:rsidRDefault="00CF3019" w:rsidP="00B412C9">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405" w:type="pct"/>
            <w:tcBorders>
              <w:top w:val="nil"/>
              <w:left w:val="nil"/>
              <w:bottom w:val="single" w:sz="4" w:space="0" w:color="auto"/>
              <w:right w:val="single" w:sz="4" w:space="0" w:color="auto"/>
            </w:tcBorders>
            <w:shd w:val="clear" w:color="000000" w:fill="DDEBF7"/>
            <w:vAlign w:val="center"/>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w:t>
            </w:r>
          </w:p>
        </w:tc>
        <w:tc>
          <w:tcPr>
            <w:tcW w:w="405" w:type="pct"/>
            <w:tcBorders>
              <w:top w:val="nil"/>
              <w:left w:val="nil"/>
              <w:bottom w:val="single" w:sz="4" w:space="0" w:color="auto"/>
              <w:right w:val="single" w:sz="4" w:space="0" w:color="auto"/>
            </w:tcBorders>
            <w:shd w:val="clear" w:color="000000" w:fill="DDEBF7"/>
            <w:vAlign w:val="center"/>
            <w:hideMark/>
          </w:tcPr>
          <w:p w:rsidR="00B412C9" w:rsidRPr="00B412C9" w:rsidRDefault="00CF3019" w:rsidP="00B412C9">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405" w:type="pct"/>
            <w:tcBorders>
              <w:top w:val="nil"/>
              <w:left w:val="nil"/>
              <w:bottom w:val="single" w:sz="4" w:space="0" w:color="auto"/>
              <w:right w:val="single" w:sz="4" w:space="0" w:color="auto"/>
            </w:tcBorders>
            <w:shd w:val="clear" w:color="000000" w:fill="DDEBF7"/>
            <w:vAlign w:val="center"/>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BORDERLINE</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9</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1</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90.0%</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8</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2</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80.0%</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5,615</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6.5</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8,297</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9.5</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CAM HEALTH</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4</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5</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44.4%</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5</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4</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55.6%</w:t>
            </w:r>
          </w:p>
        </w:tc>
        <w:tc>
          <w:tcPr>
            <w:tcW w:w="405" w:type="pct"/>
            <w:tcBorders>
              <w:top w:val="nil"/>
              <w:left w:val="nil"/>
              <w:bottom w:val="single" w:sz="4" w:space="0" w:color="auto"/>
              <w:right w:val="single" w:sz="4" w:space="0" w:color="auto"/>
            </w:tcBorders>
            <w:shd w:val="clear" w:color="000000" w:fill="C6EFCE"/>
            <w:noWrap/>
            <w:vAlign w:val="center"/>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3,124</w:t>
            </w:r>
          </w:p>
        </w:tc>
        <w:tc>
          <w:tcPr>
            <w:tcW w:w="405" w:type="pct"/>
            <w:tcBorders>
              <w:top w:val="nil"/>
              <w:left w:val="nil"/>
              <w:bottom w:val="single" w:sz="4" w:space="0" w:color="auto"/>
              <w:right w:val="single" w:sz="4" w:space="0" w:color="auto"/>
            </w:tcBorders>
            <w:shd w:val="clear" w:color="000000" w:fill="C6EFCE"/>
            <w:noWrap/>
            <w:vAlign w:val="center"/>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4.2</w:t>
            </w:r>
          </w:p>
        </w:tc>
        <w:tc>
          <w:tcPr>
            <w:tcW w:w="405" w:type="pct"/>
            <w:tcBorders>
              <w:top w:val="nil"/>
              <w:left w:val="nil"/>
              <w:bottom w:val="single" w:sz="4" w:space="0" w:color="auto"/>
              <w:right w:val="single" w:sz="4" w:space="0" w:color="auto"/>
            </w:tcBorders>
            <w:shd w:val="clear" w:color="000000" w:fill="C6EFCE"/>
            <w:noWrap/>
            <w:vAlign w:val="center"/>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4,407</w:t>
            </w:r>
          </w:p>
        </w:tc>
        <w:tc>
          <w:tcPr>
            <w:tcW w:w="405" w:type="pct"/>
            <w:tcBorders>
              <w:top w:val="nil"/>
              <w:left w:val="nil"/>
              <w:bottom w:val="single" w:sz="4" w:space="0" w:color="auto"/>
              <w:right w:val="single" w:sz="4" w:space="0" w:color="auto"/>
            </w:tcBorders>
            <w:shd w:val="clear" w:color="000000" w:fill="C6EFCE"/>
            <w:noWrap/>
            <w:vAlign w:val="center"/>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5.9</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CATCH</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21</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75.0%</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21</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75.0%</w:t>
            </w:r>
          </w:p>
        </w:tc>
        <w:tc>
          <w:tcPr>
            <w:tcW w:w="405" w:type="pct"/>
            <w:tcBorders>
              <w:top w:val="nil"/>
              <w:left w:val="nil"/>
              <w:bottom w:val="single" w:sz="4" w:space="0" w:color="auto"/>
              <w:right w:val="single" w:sz="4" w:space="0" w:color="auto"/>
            </w:tcBorders>
            <w:shd w:val="clear" w:color="000000" w:fill="C6EFCE"/>
            <w:noWrap/>
            <w:vAlign w:val="center"/>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7,618</w:t>
            </w:r>
          </w:p>
        </w:tc>
        <w:tc>
          <w:tcPr>
            <w:tcW w:w="405" w:type="pct"/>
            <w:tcBorders>
              <w:top w:val="nil"/>
              <w:left w:val="nil"/>
              <w:bottom w:val="single" w:sz="4" w:space="0" w:color="auto"/>
              <w:right w:val="single" w:sz="4" w:space="0" w:color="auto"/>
            </w:tcBorders>
            <w:shd w:val="clear" w:color="000000" w:fill="C6EFCE"/>
            <w:noWrap/>
            <w:vAlign w:val="center"/>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4.0</w:t>
            </w:r>
          </w:p>
        </w:tc>
        <w:tc>
          <w:tcPr>
            <w:tcW w:w="405" w:type="pct"/>
            <w:tcBorders>
              <w:top w:val="nil"/>
              <w:left w:val="nil"/>
              <w:bottom w:val="single" w:sz="4" w:space="0" w:color="auto"/>
              <w:right w:val="single" w:sz="4" w:space="0" w:color="auto"/>
            </w:tcBorders>
            <w:shd w:val="clear" w:color="000000" w:fill="C6EFCE"/>
            <w:noWrap/>
            <w:vAlign w:val="center"/>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11,541</w:t>
            </w:r>
          </w:p>
        </w:tc>
        <w:tc>
          <w:tcPr>
            <w:tcW w:w="405" w:type="pct"/>
            <w:tcBorders>
              <w:top w:val="nil"/>
              <w:left w:val="nil"/>
              <w:bottom w:val="single" w:sz="4" w:space="0" w:color="auto"/>
              <w:right w:val="single" w:sz="4" w:space="0" w:color="auto"/>
            </w:tcBorders>
            <w:shd w:val="clear" w:color="000000" w:fill="C6EFCE"/>
            <w:noWrap/>
            <w:vAlign w:val="center"/>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6.0</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HUNTS CARE PARTNERS</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8</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9</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47.1%</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9</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8</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52.9%</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6,596</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6.6</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9,526</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9.4</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HUNTS HEALTH</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5</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4</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55.6%</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2</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77.8%</w:t>
            </w:r>
          </w:p>
        </w:tc>
        <w:tc>
          <w:tcPr>
            <w:tcW w:w="405" w:type="pct"/>
            <w:tcBorders>
              <w:top w:val="nil"/>
              <w:left w:val="nil"/>
              <w:bottom w:val="single" w:sz="4" w:space="0" w:color="auto"/>
              <w:right w:val="single" w:sz="4" w:space="0" w:color="auto"/>
            </w:tcBorders>
            <w:shd w:val="clear" w:color="auto" w:fill="auto"/>
            <w:noWrap/>
            <w:vAlign w:val="center"/>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3,292</w:t>
            </w:r>
          </w:p>
        </w:tc>
        <w:tc>
          <w:tcPr>
            <w:tcW w:w="405" w:type="pct"/>
            <w:tcBorders>
              <w:top w:val="nil"/>
              <w:left w:val="nil"/>
              <w:bottom w:val="single" w:sz="4" w:space="0" w:color="auto"/>
              <w:right w:val="single" w:sz="4" w:space="0" w:color="auto"/>
            </w:tcBorders>
            <w:shd w:val="clear" w:color="auto" w:fill="auto"/>
            <w:noWrap/>
            <w:vAlign w:val="center"/>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5.9</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5,100</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9.0</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ISLE OF ELY</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3</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70.0%</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8</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2</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80.0%</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5,269</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6.8</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8,180</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10.5</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PETERBOROUGH*</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17</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4</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81.0%</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16</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5</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76.2%</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7,225</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6.5</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11,542</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10.3</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WISBECH</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3</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1</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75.0%</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3</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1</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color w:val="000000"/>
                <w:sz w:val="16"/>
                <w:szCs w:val="16"/>
                <w:lang w:eastAsia="en-GB"/>
              </w:rPr>
            </w:pPr>
            <w:r w:rsidRPr="00B412C9">
              <w:rPr>
                <w:rFonts w:ascii="Calibri" w:eastAsia="Times New Roman" w:hAnsi="Calibri" w:cs="Times New Roman"/>
                <w:color w:val="000000"/>
                <w:sz w:val="16"/>
                <w:szCs w:val="16"/>
                <w:lang w:eastAsia="en-GB"/>
              </w:rPr>
              <w:t>75.0%</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2,930</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7.5</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4,501</w:t>
            </w:r>
          </w:p>
        </w:tc>
        <w:tc>
          <w:tcPr>
            <w:tcW w:w="405" w:type="pct"/>
            <w:tcBorders>
              <w:top w:val="nil"/>
              <w:left w:val="nil"/>
              <w:bottom w:val="single" w:sz="4" w:space="0" w:color="auto"/>
              <w:right w:val="single" w:sz="4" w:space="0" w:color="auto"/>
            </w:tcBorders>
            <w:shd w:val="clear" w:color="000000" w:fill="FFC7CE"/>
            <w:noWrap/>
            <w:vAlign w:val="center"/>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11.3</w:t>
            </w:r>
          </w:p>
        </w:tc>
      </w:tr>
      <w:tr w:rsidR="00B412C9" w:rsidRPr="00B412C9" w:rsidTr="00B412C9">
        <w:trPr>
          <w:trHeight w:val="225"/>
        </w:trPr>
        <w:tc>
          <w:tcPr>
            <w:tcW w:w="1194" w:type="pct"/>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CCG</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74</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34</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68.5%</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77</w:t>
            </w:r>
          </w:p>
        </w:tc>
        <w:tc>
          <w:tcPr>
            <w:tcW w:w="160"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31</w:t>
            </w:r>
          </w:p>
        </w:tc>
        <w:tc>
          <w:tcPr>
            <w:tcW w:w="774" w:type="pct"/>
            <w:tcBorders>
              <w:top w:val="nil"/>
              <w:left w:val="nil"/>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71.3%</w:t>
            </w:r>
          </w:p>
        </w:tc>
        <w:tc>
          <w:tcPr>
            <w:tcW w:w="405" w:type="pct"/>
            <w:tcBorders>
              <w:top w:val="nil"/>
              <w:left w:val="nil"/>
              <w:bottom w:val="single" w:sz="4" w:space="0" w:color="auto"/>
              <w:right w:val="single" w:sz="4" w:space="0" w:color="auto"/>
            </w:tcBorders>
            <w:shd w:val="clear" w:color="auto" w:fill="auto"/>
            <w:noWrap/>
            <w:vAlign w:val="center"/>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41,669</w:t>
            </w:r>
          </w:p>
        </w:tc>
        <w:tc>
          <w:tcPr>
            <w:tcW w:w="405" w:type="pct"/>
            <w:tcBorders>
              <w:top w:val="nil"/>
              <w:left w:val="nil"/>
              <w:bottom w:val="single" w:sz="4" w:space="0" w:color="auto"/>
              <w:right w:val="single" w:sz="4" w:space="0" w:color="auto"/>
            </w:tcBorders>
            <w:shd w:val="clear" w:color="auto" w:fill="auto"/>
            <w:noWrap/>
            <w:vAlign w:val="center"/>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5.7</w:t>
            </w:r>
          </w:p>
        </w:tc>
        <w:tc>
          <w:tcPr>
            <w:tcW w:w="405" w:type="pct"/>
            <w:tcBorders>
              <w:top w:val="nil"/>
              <w:left w:val="nil"/>
              <w:bottom w:val="single" w:sz="4" w:space="0" w:color="auto"/>
              <w:right w:val="single" w:sz="4" w:space="0" w:color="auto"/>
            </w:tcBorders>
            <w:shd w:val="clear" w:color="auto" w:fill="auto"/>
            <w:noWrap/>
            <w:vAlign w:val="center"/>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63,094</w:t>
            </w:r>
          </w:p>
        </w:tc>
        <w:tc>
          <w:tcPr>
            <w:tcW w:w="405" w:type="pct"/>
            <w:tcBorders>
              <w:top w:val="nil"/>
              <w:left w:val="nil"/>
              <w:bottom w:val="single" w:sz="4" w:space="0" w:color="auto"/>
              <w:right w:val="single" w:sz="4" w:space="0" w:color="auto"/>
            </w:tcBorders>
            <w:shd w:val="clear" w:color="auto" w:fill="auto"/>
            <w:noWrap/>
            <w:vAlign w:val="center"/>
            <w:hideMark/>
          </w:tcPr>
          <w:p w:rsidR="00B412C9" w:rsidRPr="00B412C9" w:rsidRDefault="00B412C9" w:rsidP="00B412C9">
            <w:pPr>
              <w:spacing w:after="0" w:line="240" w:lineRule="auto"/>
              <w:jc w:val="center"/>
              <w:rPr>
                <w:rFonts w:ascii="Calibri" w:eastAsia="Times New Roman" w:hAnsi="Calibri" w:cs="Times New Roman"/>
                <w:b/>
                <w:bCs/>
                <w:color w:val="000000"/>
                <w:sz w:val="16"/>
                <w:szCs w:val="16"/>
                <w:lang w:eastAsia="en-GB"/>
              </w:rPr>
            </w:pPr>
            <w:r w:rsidRPr="00B412C9">
              <w:rPr>
                <w:rFonts w:ascii="Calibri" w:eastAsia="Times New Roman" w:hAnsi="Calibri" w:cs="Times New Roman"/>
                <w:b/>
                <w:bCs/>
                <w:color w:val="000000"/>
                <w:sz w:val="16"/>
                <w:szCs w:val="16"/>
                <w:lang w:eastAsia="en-GB"/>
              </w:rPr>
              <w:t>8.5</w:t>
            </w:r>
          </w:p>
        </w:tc>
      </w:tr>
    </w:tbl>
    <w:p w:rsidR="00B412C9" w:rsidRDefault="00B412C9" w:rsidP="00B412C9">
      <w:r>
        <w:t>* Peterborough data include the Alma Road Surgery general practice which is now closed.</w:t>
      </w:r>
    </w:p>
    <w:tbl>
      <w:tblPr>
        <w:tblW w:w="2680" w:type="dxa"/>
        <w:tblLook w:val="04A0" w:firstRow="1" w:lastRow="0" w:firstColumn="1" w:lastColumn="0" w:noHBand="0" w:noVBand="1"/>
      </w:tblPr>
      <w:tblGrid>
        <w:gridCol w:w="2680"/>
      </w:tblGrid>
      <w:tr w:rsidR="00B412C9" w:rsidRPr="00B412C9" w:rsidTr="007D7B73">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B412C9" w:rsidRPr="00B41822" w:rsidRDefault="00B412C9" w:rsidP="00B412C9">
            <w:pPr>
              <w:spacing w:after="0" w:line="240" w:lineRule="auto"/>
              <w:jc w:val="center"/>
              <w:rPr>
                <w:rFonts w:ascii="Calibri" w:eastAsia="Times New Roman" w:hAnsi="Calibri" w:cs="Times New Roman"/>
                <w:b/>
                <w:color w:val="000000"/>
                <w:sz w:val="16"/>
                <w:szCs w:val="16"/>
                <w:lang w:eastAsia="en-GB"/>
              </w:rPr>
            </w:pPr>
            <w:r w:rsidRPr="00B41822">
              <w:rPr>
                <w:rFonts w:ascii="Calibri" w:eastAsia="Times New Roman" w:hAnsi="Calibri" w:cs="Times New Roman"/>
                <w:b/>
                <w:color w:val="000000"/>
                <w:sz w:val="16"/>
                <w:szCs w:val="16"/>
                <w:lang w:eastAsia="en-GB"/>
              </w:rPr>
              <w:t>Key:</w:t>
            </w:r>
          </w:p>
        </w:tc>
      </w:tr>
      <w:tr w:rsidR="00B412C9" w:rsidRPr="00B412C9" w:rsidTr="00B412C9">
        <w:trPr>
          <w:trHeight w:val="465"/>
        </w:trPr>
        <w:tc>
          <w:tcPr>
            <w:tcW w:w="2680" w:type="dxa"/>
            <w:tcBorders>
              <w:top w:val="nil"/>
              <w:left w:val="single" w:sz="4" w:space="0" w:color="auto"/>
              <w:bottom w:val="single" w:sz="4" w:space="0" w:color="auto"/>
              <w:right w:val="single" w:sz="4" w:space="0" w:color="auto"/>
            </w:tcBorders>
            <w:shd w:val="clear" w:color="000000" w:fill="C6EFCE"/>
            <w:vAlign w:val="bottom"/>
            <w:hideMark/>
          </w:tcPr>
          <w:p w:rsidR="00B412C9" w:rsidRPr="00B412C9" w:rsidRDefault="00B412C9" w:rsidP="00B412C9">
            <w:pPr>
              <w:spacing w:after="0" w:line="240" w:lineRule="auto"/>
              <w:jc w:val="center"/>
              <w:rPr>
                <w:rFonts w:ascii="Calibri" w:eastAsia="Times New Roman" w:hAnsi="Calibri" w:cs="Times New Roman"/>
                <w:color w:val="006100"/>
                <w:sz w:val="16"/>
                <w:szCs w:val="16"/>
                <w:lang w:eastAsia="en-GB"/>
              </w:rPr>
            </w:pPr>
            <w:r w:rsidRPr="00B412C9">
              <w:rPr>
                <w:rFonts w:ascii="Calibri" w:eastAsia="Times New Roman" w:hAnsi="Calibri" w:cs="Times New Roman"/>
                <w:color w:val="006100"/>
                <w:sz w:val="16"/>
                <w:szCs w:val="16"/>
                <w:lang w:eastAsia="en-GB"/>
              </w:rPr>
              <w:t>Statistically significantly better than CCG</w:t>
            </w:r>
          </w:p>
        </w:tc>
      </w:tr>
      <w:tr w:rsidR="00B412C9" w:rsidRPr="00B412C9" w:rsidTr="00B412C9">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B412C9" w:rsidRPr="00B412C9" w:rsidRDefault="00B412C9" w:rsidP="00B412C9">
            <w:pPr>
              <w:spacing w:after="0" w:line="240" w:lineRule="auto"/>
              <w:jc w:val="center"/>
              <w:rPr>
                <w:rFonts w:ascii="Calibri" w:eastAsia="Times New Roman" w:hAnsi="Calibri" w:cs="Times New Roman"/>
                <w:sz w:val="16"/>
                <w:szCs w:val="16"/>
                <w:lang w:eastAsia="en-GB"/>
              </w:rPr>
            </w:pPr>
            <w:r w:rsidRPr="00B412C9">
              <w:rPr>
                <w:rFonts w:ascii="Calibri" w:eastAsia="Times New Roman" w:hAnsi="Calibri" w:cs="Times New Roman"/>
                <w:sz w:val="16"/>
                <w:szCs w:val="16"/>
                <w:lang w:eastAsia="en-GB"/>
              </w:rPr>
              <w:t>Statistically similar to CCG</w:t>
            </w:r>
          </w:p>
        </w:tc>
      </w:tr>
      <w:tr w:rsidR="00B412C9" w:rsidRPr="00B412C9" w:rsidTr="00B412C9">
        <w:trPr>
          <w:trHeight w:val="465"/>
        </w:trPr>
        <w:tc>
          <w:tcPr>
            <w:tcW w:w="2680" w:type="dxa"/>
            <w:tcBorders>
              <w:top w:val="nil"/>
              <w:left w:val="single" w:sz="4" w:space="0" w:color="auto"/>
              <w:bottom w:val="single" w:sz="4" w:space="0" w:color="auto"/>
              <w:right w:val="single" w:sz="4" w:space="0" w:color="auto"/>
            </w:tcBorders>
            <w:shd w:val="clear" w:color="000000" w:fill="FFC7CE"/>
            <w:vAlign w:val="bottom"/>
            <w:hideMark/>
          </w:tcPr>
          <w:p w:rsidR="00B412C9" w:rsidRPr="00B412C9" w:rsidRDefault="00B412C9" w:rsidP="00B412C9">
            <w:pPr>
              <w:spacing w:after="0" w:line="240" w:lineRule="auto"/>
              <w:jc w:val="center"/>
              <w:rPr>
                <w:rFonts w:ascii="Calibri" w:eastAsia="Times New Roman" w:hAnsi="Calibri" w:cs="Times New Roman"/>
                <w:color w:val="9C0006"/>
                <w:sz w:val="16"/>
                <w:szCs w:val="16"/>
                <w:lang w:eastAsia="en-GB"/>
              </w:rPr>
            </w:pPr>
            <w:r w:rsidRPr="00B412C9">
              <w:rPr>
                <w:rFonts w:ascii="Calibri" w:eastAsia="Times New Roman" w:hAnsi="Calibri" w:cs="Times New Roman"/>
                <w:color w:val="9C0006"/>
                <w:sz w:val="16"/>
                <w:szCs w:val="16"/>
                <w:lang w:eastAsia="en-GB"/>
              </w:rPr>
              <w:t>Statistically significantly worse than CCG</w:t>
            </w:r>
          </w:p>
        </w:tc>
      </w:tr>
    </w:tbl>
    <w:p w:rsidR="00B412C9" w:rsidRDefault="00B412C9" w:rsidP="00952765"/>
    <w:p w:rsidR="00B412C9" w:rsidRPr="00B412C9" w:rsidRDefault="00B412C9" w:rsidP="00952765">
      <w:r>
        <w:t>The table above illustrates that there is a degree of variation in participation rates across Local Commissioning Groups</w:t>
      </w:r>
      <w:r w:rsidR="009D144C">
        <w:t xml:space="preserve"> within the CCG</w:t>
      </w:r>
      <w:r>
        <w:t>, with 2014/15 participation highest within the Borderline and Isle of</w:t>
      </w:r>
      <w:r w:rsidR="009D144C">
        <w:t xml:space="preserve"> Ely LCGs, </w:t>
      </w:r>
      <w:r>
        <w:t>both of which ha</w:t>
      </w:r>
      <w:r w:rsidR="009D144C">
        <w:t>ve</w:t>
      </w:r>
      <w:r>
        <w:t xml:space="preserve"> a participation rate of 80.0%. The LCGs with the lowest participation rates are Hunts Care Partners (52.9%) and Cam Health (55.6%). </w:t>
      </w:r>
      <w:r w:rsidR="00F43E07">
        <w:t>71.0%</w:t>
      </w:r>
      <w:r w:rsidR="0031517D">
        <w:t xml:space="preserve"> of practices</w:t>
      </w:r>
      <w:r w:rsidR="00F43E07">
        <w:t xml:space="preserve"> in the five LCGs that have statistically significantly high levels of diabetes prevalence</w:t>
      </w:r>
      <w:r w:rsidR="0031517D">
        <w:t xml:space="preserve"> participated in the </w:t>
      </w:r>
      <w:r w:rsidR="0031517D">
        <w:lastRenderedPageBreak/>
        <w:t>NDA</w:t>
      </w:r>
      <w:r w:rsidR="00F43E07">
        <w:t xml:space="preserve"> and 70.3% in the two LCGs</w:t>
      </w:r>
      <w:r w:rsidR="00D2181D">
        <w:t xml:space="preserve"> (Cam Health and Catch)</w:t>
      </w:r>
      <w:r w:rsidR="00F43E07">
        <w:t xml:space="preserve"> that have statistically significantly low diabetes prevalence</w:t>
      </w:r>
      <w:r w:rsidR="0031517D">
        <w:t xml:space="preserve"> participated</w:t>
      </w:r>
      <w:r w:rsidR="00F43E07">
        <w:t xml:space="preserve">. </w:t>
      </w:r>
      <w:r>
        <w:t xml:space="preserve"> </w:t>
      </w:r>
    </w:p>
    <w:p w:rsidR="00B412C9" w:rsidRDefault="00B412C9" w:rsidP="00952765">
      <w:pPr>
        <w:rPr>
          <w:b/>
        </w:rPr>
      </w:pPr>
    </w:p>
    <w:p w:rsidR="00952765" w:rsidRPr="00B57FEB" w:rsidRDefault="00952765" w:rsidP="00952765">
      <w:pPr>
        <w:rPr>
          <w:b/>
        </w:rPr>
      </w:pPr>
      <w:r w:rsidRPr="00B57FEB">
        <w:rPr>
          <w:b/>
        </w:rPr>
        <w:t xml:space="preserve">Figure </w:t>
      </w:r>
      <w:r w:rsidR="00121509">
        <w:rPr>
          <w:b/>
        </w:rPr>
        <w:t>3</w:t>
      </w:r>
      <w:r w:rsidRPr="00B57FEB">
        <w:rPr>
          <w:b/>
        </w:rPr>
        <w:t>: N</w:t>
      </w:r>
      <w:r w:rsidR="00DB37E5">
        <w:rPr>
          <w:b/>
        </w:rPr>
        <w:t xml:space="preserve">ational Diabetes Audit 2013-14 &amp; </w:t>
      </w:r>
      <w:r w:rsidRPr="00B57FEB">
        <w:rPr>
          <w:b/>
        </w:rPr>
        <w:t xml:space="preserve">2014-15, </w:t>
      </w:r>
      <w:r>
        <w:rPr>
          <w:b/>
        </w:rPr>
        <w:t>Total Registrations</w:t>
      </w:r>
    </w:p>
    <w:tbl>
      <w:tblPr>
        <w:tblW w:w="5000" w:type="pct"/>
        <w:tblLook w:val="04A0" w:firstRow="1" w:lastRow="0" w:firstColumn="1" w:lastColumn="0" w:noHBand="0" w:noVBand="1"/>
      </w:tblPr>
      <w:tblGrid>
        <w:gridCol w:w="1060"/>
        <w:gridCol w:w="1072"/>
        <w:gridCol w:w="419"/>
        <w:gridCol w:w="761"/>
        <w:gridCol w:w="419"/>
        <w:gridCol w:w="761"/>
        <w:gridCol w:w="500"/>
        <w:gridCol w:w="864"/>
        <w:gridCol w:w="500"/>
        <w:gridCol w:w="761"/>
        <w:gridCol w:w="581"/>
        <w:gridCol w:w="864"/>
        <w:gridCol w:w="680"/>
      </w:tblGrid>
      <w:tr w:rsidR="00952765" w:rsidRPr="00952765" w:rsidTr="00952765">
        <w:trPr>
          <w:trHeight w:val="225"/>
        </w:trPr>
        <w:tc>
          <w:tcPr>
            <w:tcW w:w="58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p>
        </w:tc>
        <w:tc>
          <w:tcPr>
            <w:tcW w:w="1465" w:type="pct"/>
            <w:gridSpan w:val="4"/>
            <w:tcBorders>
              <w:top w:val="single" w:sz="4" w:space="0" w:color="auto"/>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Type 1</w:t>
            </w:r>
          </w:p>
        </w:tc>
        <w:tc>
          <w:tcPr>
            <w:tcW w:w="1401" w:type="pct"/>
            <w:gridSpan w:val="4"/>
            <w:tcBorders>
              <w:top w:val="single" w:sz="4" w:space="0" w:color="auto"/>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Type 2</w:t>
            </w:r>
          </w:p>
        </w:tc>
        <w:tc>
          <w:tcPr>
            <w:tcW w:w="1552" w:type="pct"/>
            <w:gridSpan w:val="4"/>
            <w:tcBorders>
              <w:top w:val="single" w:sz="4" w:space="0" w:color="auto"/>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Total Registrations</w:t>
            </w:r>
          </w:p>
        </w:tc>
      </w:tr>
      <w:tr w:rsidR="00952765" w:rsidRPr="00952765" w:rsidTr="00952765">
        <w:trPr>
          <w:trHeight w:val="225"/>
        </w:trPr>
        <w:tc>
          <w:tcPr>
            <w:tcW w:w="582" w:type="pct"/>
            <w:tcBorders>
              <w:top w:val="nil"/>
              <w:left w:val="single" w:sz="4" w:space="0" w:color="auto"/>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p>
        </w:tc>
        <w:tc>
          <w:tcPr>
            <w:tcW w:w="820" w:type="pct"/>
            <w:gridSpan w:val="2"/>
            <w:tcBorders>
              <w:top w:val="single" w:sz="4" w:space="0" w:color="auto"/>
              <w:left w:val="nil"/>
              <w:bottom w:val="single" w:sz="4" w:space="0" w:color="auto"/>
              <w:right w:val="single" w:sz="4" w:space="0" w:color="auto"/>
            </w:tcBorders>
            <w:shd w:val="clear" w:color="000000" w:fill="DDEBF7"/>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C&amp;P CCG</w:t>
            </w:r>
          </w:p>
        </w:tc>
        <w:tc>
          <w:tcPr>
            <w:tcW w:w="644"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England</w:t>
            </w:r>
          </w:p>
        </w:tc>
        <w:tc>
          <w:tcPr>
            <w:tcW w:w="644" w:type="pct"/>
            <w:gridSpan w:val="2"/>
            <w:tcBorders>
              <w:top w:val="single" w:sz="4" w:space="0" w:color="auto"/>
              <w:left w:val="nil"/>
              <w:bottom w:val="single" w:sz="4" w:space="0" w:color="auto"/>
              <w:right w:val="single" w:sz="4" w:space="0" w:color="auto"/>
            </w:tcBorders>
            <w:shd w:val="clear" w:color="000000" w:fill="DDEBF7"/>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C&amp;P CCG</w:t>
            </w:r>
          </w:p>
        </w:tc>
        <w:tc>
          <w:tcPr>
            <w:tcW w:w="756"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England</w:t>
            </w:r>
          </w:p>
        </w:tc>
        <w:tc>
          <w:tcPr>
            <w:tcW w:w="689" w:type="pct"/>
            <w:gridSpan w:val="2"/>
            <w:tcBorders>
              <w:top w:val="single" w:sz="4" w:space="0" w:color="auto"/>
              <w:left w:val="nil"/>
              <w:bottom w:val="single" w:sz="4" w:space="0" w:color="auto"/>
              <w:right w:val="single" w:sz="4" w:space="0" w:color="auto"/>
            </w:tcBorders>
            <w:shd w:val="clear" w:color="000000" w:fill="DDEBF7"/>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C&amp;P CCG</w:t>
            </w:r>
          </w:p>
        </w:tc>
        <w:tc>
          <w:tcPr>
            <w:tcW w:w="863"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England</w:t>
            </w:r>
          </w:p>
        </w:tc>
      </w:tr>
      <w:tr w:rsidR="00952765" w:rsidRPr="00952765" w:rsidTr="00952765">
        <w:trPr>
          <w:trHeight w:val="225"/>
        </w:trPr>
        <w:tc>
          <w:tcPr>
            <w:tcW w:w="582" w:type="pct"/>
            <w:tcBorders>
              <w:top w:val="nil"/>
              <w:left w:val="single" w:sz="4" w:space="0" w:color="auto"/>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Audit Period</w:t>
            </w:r>
          </w:p>
        </w:tc>
        <w:tc>
          <w:tcPr>
            <w:tcW w:w="588" w:type="pct"/>
            <w:tcBorders>
              <w:top w:val="nil"/>
              <w:left w:val="nil"/>
              <w:bottom w:val="single" w:sz="4" w:space="0" w:color="auto"/>
              <w:right w:val="single" w:sz="4" w:space="0" w:color="auto"/>
            </w:tcBorders>
            <w:shd w:val="clear" w:color="000000" w:fill="DDEBF7"/>
            <w:noWrap/>
            <w:vAlign w:val="center"/>
            <w:hideMark/>
          </w:tcPr>
          <w:p w:rsidR="00952765" w:rsidRPr="00952765" w:rsidRDefault="00CF3019" w:rsidP="00952765">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232" w:type="pct"/>
            <w:tcBorders>
              <w:top w:val="nil"/>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w:t>
            </w:r>
          </w:p>
        </w:tc>
        <w:tc>
          <w:tcPr>
            <w:tcW w:w="412" w:type="pct"/>
            <w:tcBorders>
              <w:top w:val="nil"/>
              <w:left w:val="nil"/>
              <w:bottom w:val="single" w:sz="4" w:space="0" w:color="auto"/>
              <w:right w:val="single" w:sz="4" w:space="0" w:color="auto"/>
            </w:tcBorders>
            <w:shd w:val="clear" w:color="000000" w:fill="DDEBF7"/>
            <w:noWrap/>
            <w:vAlign w:val="center"/>
            <w:hideMark/>
          </w:tcPr>
          <w:p w:rsidR="00952765" w:rsidRPr="00952765" w:rsidRDefault="00CF3019" w:rsidP="00952765">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232" w:type="pct"/>
            <w:tcBorders>
              <w:top w:val="nil"/>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w:t>
            </w:r>
          </w:p>
        </w:tc>
        <w:tc>
          <w:tcPr>
            <w:tcW w:w="367" w:type="pct"/>
            <w:tcBorders>
              <w:top w:val="nil"/>
              <w:left w:val="nil"/>
              <w:bottom w:val="single" w:sz="4" w:space="0" w:color="auto"/>
              <w:right w:val="single" w:sz="4" w:space="0" w:color="auto"/>
            </w:tcBorders>
            <w:shd w:val="clear" w:color="000000" w:fill="DDEBF7"/>
            <w:noWrap/>
            <w:vAlign w:val="center"/>
            <w:hideMark/>
          </w:tcPr>
          <w:p w:rsidR="00952765" w:rsidRPr="00952765" w:rsidRDefault="00CF3019" w:rsidP="00952765">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277" w:type="pct"/>
            <w:tcBorders>
              <w:top w:val="nil"/>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w:t>
            </w:r>
          </w:p>
        </w:tc>
        <w:tc>
          <w:tcPr>
            <w:tcW w:w="479" w:type="pct"/>
            <w:tcBorders>
              <w:top w:val="nil"/>
              <w:left w:val="nil"/>
              <w:bottom w:val="single" w:sz="4" w:space="0" w:color="auto"/>
              <w:right w:val="single" w:sz="4" w:space="0" w:color="auto"/>
            </w:tcBorders>
            <w:shd w:val="clear" w:color="000000" w:fill="DDEBF7"/>
            <w:noWrap/>
            <w:vAlign w:val="center"/>
            <w:hideMark/>
          </w:tcPr>
          <w:p w:rsidR="00952765" w:rsidRPr="00952765" w:rsidRDefault="00CF3019" w:rsidP="00952765">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277" w:type="pct"/>
            <w:tcBorders>
              <w:top w:val="nil"/>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w:t>
            </w:r>
          </w:p>
        </w:tc>
        <w:tc>
          <w:tcPr>
            <w:tcW w:w="367" w:type="pct"/>
            <w:tcBorders>
              <w:top w:val="nil"/>
              <w:left w:val="nil"/>
              <w:bottom w:val="single" w:sz="4" w:space="0" w:color="auto"/>
              <w:right w:val="single" w:sz="4" w:space="0" w:color="auto"/>
            </w:tcBorders>
            <w:shd w:val="clear" w:color="000000" w:fill="DDEBF7"/>
            <w:noWrap/>
            <w:vAlign w:val="center"/>
            <w:hideMark/>
          </w:tcPr>
          <w:p w:rsidR="00952765" w:rsidRPr="00952765" w:rsidRDefault="00CF3019" w:rsidP="00952765">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322" w:type="pct"/>
            <w:tcBorders>
              <w:top w:val="nil"/>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w:t>
            </w:r>
          </w:p>
        </w:tc>
        <w:tc>
          <w:tcPr>
            <w:tcW w:w="479" w:type="pct"/>
            <w:tcBorders>
              <w:top w:val="nil"/>
              <w:left w:val="nil"/>
              <w:bottom w:val="single" w:sz="4" w:space="0" w:color="auto"/>
              <w:right w:val="single" w:sz="4" w:space="0" w:color="auto"/>
            </w:tcBorders>
            <w:shd w:val="clear" w:color="000000" w:fill="DDEBF7"/>
            <w:noWrap/>
            <w:vAlign w:val="center"/>
            <w:hideMark/>
          </w:tcPr>
          <w:p w:rsidR="00952765" w:rsidRPr="00952765" w:rsidRDefault="00CF3019" w:rsidP="00952765">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Number</w:t>
            </w:r>
          </w:p>
        </w:tc>
        <w:tc>
          <w:tcPr>
            <w:tcW w:w="384" w:type="pct"/>
            <w:tcBorders>
              <w:top w:val="nil"/>
              <w:left w:val="nil"/>
              <w:bottom w:val="single" w:sz="4" w:space="0" w:color="auto"/>
              <w:right w:val="single" w:sz="4" w:space="0" w:color="auto"/>
            </w:tcBorders>
            <w:shd w:val="clear" w:color="000000" w:fill="DDEBF7"/>
            <w:noWrap/>
            <w:vAlign w:val="center"/>
            <w:hideMark/>
          </w:tcPr>
          <w:p w:rsidR="00952765" w:rsidRPr="00952765" w:rsidRDefault="00952765" w:rsidP="00952765">
            <w:pPr>
              <w:spacing w:after="0" w:line="240" w:lineRule="auto"/>
              <w:jc w:val="center"/>
              <w:rPr>
                <w:rFonts w:ascii="Calibri" w:eastAsia="Times New Roman" w:hAnsi="Calibri" w:cs="Times New Roman"/>
                <w:b/>
                <w:bCs/>
                <w:color w:val="000000"/>
                <w:sz w:val="16"/>
                <w:szCs w:val="16"/>
                <w:lang w:eastAsia="en-GB"/>
              </w:rPr>
            </w:pPr>
            <w:r w:rsidRPr="00952765">
              <w:rPr>
                <w:rFonts w:ascii="Calibri" w:eastAsia="Times New Roman" w:hAnsi="Calibri" w:cs="Times New Roman"/>
                <w:b/>
                <w:bCs/>
                <w:color w:val="000000"/>
                <w:sz w:val="16"/>
                <w:szCs w:val="16"/>
                <w:lang w:eastAsia="en-GB"/>
              </w:rPr>
              <w:t>%</w:t>
            </w:r>
          </w:p>
        </w:tc>
      </w:tr>
      <w:tr w:rsidR="00952765" w:rsidRPr="00952765" w:rsidTr="00952765">
        <w:trPr>
          <w:trHeight w:val="225"/>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2013-14</w:t>
            </w:r>
          </w:p>
        </w:tc>
        <w:tc>
          <w:tcPr>
            <w:tcW w:w="588"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2,559</w:t>
            </w:r>
          </w:p>
        </w:tc>
        <w:tc>
          <w:tcPr>
            <w:tcW w:w="232"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Pr>
                <w:rFonts w:ascii="Calibri" w:eastAsia="Times New Roman" w:hAnsi="Calibri" w:cs="Times New Roman"/>
                <w:sz w:val="16"/>
                <w:szCs w:val="16"/>
                <w:lang w:eastAsia="en-GB"/>
              </w:rPr>
              <w:t>9.5</w:t>
            </w:r>
          </w:p>
        </w:tc>
        <w:tc>
          <w:tcPr>
            <w:tcW w:w="412"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143,910</w:t>
            </w:r>
          </w:p>
        </w:tc>
        <w:tc>
          <w:tcPr>
            <w:tcW w:w="232"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9.0</w:t>
            </w:r>
          </w:p>
        </w:tc>
        <w:tc>
          <w:tcPr>
            <w:tcW w:w="367"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24,444</w:t>
            </w:r>
          </w:p>
        </w:tc>
        <w:tc>
          <w:tcPr>
            <w:tcW w:w="277"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90.5</w:t>
            </w:r>
          </w:p>
        </w:tc>
        <w:tc>
          <w:tcPr>
            <w:tcW w:w="479"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1,458,277</w:t>
            </w:r>
          </w:p>
        </w:tc>
        <w:tc>
          <w:tcPr>
            <w:tcW w:w="277"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91.0</w:t>
            </w:r>
          </w:p>
        </w:tc>
        <w:tc>
          <w:tcPr>
            <w:tcW w:w="367"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27,003</w:t>
            </w:r>
          </w:p>
        </w:tc>
        <w:tc>
          <w:tcPr>
            <w:tcW w:w="322"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100.0</w:t>
            </w:r>
          </w:p>
        </w:tc>
        <w:tc>
          <w:tcPr>
            <w:tcW w:w="479"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1,602,187</w:t>
            </w:r>
          </w:p>
        </w:tc>
        <w:tc>
          <w:tcPr>
            <w:tcW w:w="384"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100.0</w:t>
            </w:r>
          </w:p>
        </w:tc>
      </w:tr>
      <w:tr w:rsidR="00952765" w:rsidRPr="00952765" w:rsidTr="00952765">
        <w:trPr>
          <w:trHeight w:val="225"/>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2014-15</w:t>
            </w:r>
          </w:p>
        </w:tc>
        <w:tc>
          <w:tcPr>
            <w:tcW w:w="588"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2,759</w:t>
            </w:r>
          </w:p>
        </w:tc>
        <w:tc>
          <w:tcPr>
            <w:tcW w:w="232"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Pr>
                <w:rFonts w:ascii="Calibri" w:eastAsia="Times New Roman" w:hAnsi="Calibri" w:cs="Times New Roman"/>
                <w:sz w:val="16"/>
                <w:szCs w:val="16"/>
                <w:lang w:eastAsia="en-GB"/>
              </w:rPr>
              <w:t>9.2</w:t>
            </w:r>
          </w:p>
        </w:tc>
        <w:tc>
          <w:tcPr>
            <w:tcW w:w="412"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149,824</w:t>
            </w:r>
          </w:p>
        </w:tc>
        <w:tc>
          <w:tcPr>
            <w:tcW w:w="232"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8.7</w:t>
            </w:r>
          </w:p>
        </w:tc>
        <w:tc>
          <w:tcPr>
            <w:tcW w:w="367"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27,258</w:t>
            </w:r>
          </w:p>
        </w:tc>
        <w:tc>
          <w:tcPr>
            <w:tcW w:w="277"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90.8</w:t>
            </w:r>
          </w:p>
        </w:tc>
        <w:tc>
          <w:tcPr>
            <w:tcW w:w="479"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1,567,296</w:t>
            </w:r>
          </w:p>
        </w:tc>
        <w:tc>
          <w:tcPr>
            <w:tcW w:w="277"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91.3</w:t>
            </w:r>
          </w:p>
        </w:tc>
        <w:tc>
          <w:tcPr>
            <w:tcW w:w="367"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30,017</w:t>
            </w:r>
          </w:p>
        </w:tc>
        <w:tc>
          <w:tcPr>
            <w:tcW w:w="322" w:type="pct"/>
            <w:tcBorders>
              <w:top w:val="nil"/>
              <w:left w:val="nil"/>
              <w:bottom w:val="single" w:sz="4" w:space="0" w:color="auto"/>
              <w:right w:val="single" w:sz="4" w:space="0" w:color="auto"/>
            </w:tcBorders>
            <w:shd w:val="clear" w:color="000000" w:fill="FFFFFF"/>
            <w:noWrap/>
            <w:vAlign w:val="center"/>
            <w:hideMark/>
          </w:tcPr>
          <w:p w:rsidR="00952765" w:rsidRPr="00952765" w:rsidRDefault="00952765" w:rsidP="00952765">
            <w:pPr>
              <w:spacing w:after="0" w:line="240" w:lineRule="auto"/>
              <w:jc w:val="center"/>
              <w:rPr>
                <w:rFonts w:ascii="Calibri" w:eastAsia="Times New Roman" w:hAnsi="Calibri" w:cs="Times New Roman"/>
                <w:sz w:val="16"/>
                <w:szCs w:val="16"/>
                <w:lang w:eastAsia="en-GB"/>
              </w:rPr>
            </w:pPr>
            <w:r w:rsidRPr="00952765">
              <w:rPr>
                <w:rFonts w:ascii="Calibri" w:eastAsia="Times New Roman" w:hAnsi="Calibri" w:cs="Times New Roman"/>
                <w:sz w:val="16"/>
                <w:szCs w:val="16"/>
                <w:lang w:eastAsia="en-GB"/>
              </w:rPr>
              <w:t>100.0</w:t>
            </w:r>
          </w:p>
        </w:tc>
        <w:tc>
          <w:tcPr>
            <w:tcW w:w="479"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1,717,120</w:t>
            </w:r>
          </w:p>
        </w:tc>
        <w:tc>
          <w:tcPr>
            <w:tcW w:w="384" w:type="pct"/>
            <w:tcBorders>
              <w:top w:val="nil"/>
              <w:left w:val="nil"/>
              <w:bottom w:val="single" w:sz="4" w:space="0" w:color="auto"/>
              <w:right w:val="single" w:sz="4" w:space="0" w:color="auto"/>
            </w:tcBorders>
            <w:shd w:val="clear" w:color="auto" w:fill="auto"/>
            <w:noWrap/>
            <w:vAlign w:val="center"/>
            <w:hideMark/>
          </w:tcPr>
          <w:p w:rsidR="00952765" w:rsidRPr="00952765" w:rsidRDefault="00952765" w:rsidP="00952765">
            <w:pPr>
              <w:spacing w:after="0" w:line="240" w:lineRule="auto"/>
              <w:jc w:val="center"/>
              <w:rPr>
                <w:rFonts w:ascii="Calibri" w:eastAsia="Times New Roman" w:hAnsi="Calibri" w:cs="Times New Roman"/>
                <w:color w:val="000000"/>
                <w:sz w:val="16"/>
                <w:szCs w:val="16"/>
                <w:lang w:eastAsia="en-GB"/>
              </w:rPr>
            </w:pPr>
            <w:r w:rsidRPr="00952765">
              <w:rPr>
                <w:rFonts w:ascii="Calibri" w:eastAsia="Times New Roman" w:hAnsi="Calibri" w:cs="Times New Roman"/>
                <w:color w:val="000000"/>
                <w:sz w:val="16"/>
                <w:szCs w:val="16"/>
                <w:lang w:eastAsia="en-GB"/>
              </w:rPr>
              <w:t>100.0</w:t>
            </w:r>
          </w:p>
        </w:tc>
      </w:tr>
    </w:tbl>
    <w:p w:rsidR="00952765" w:rsidRDefault="00952765"/>
    <w:p w:rsidR="00952765" w:rsidRDefault="00952765">
      <w:r>
        <w:t xml:space="preserve">The CCG </w:t>
      </w:r>
      <w:r w:rsidR="00F47738">
        <w:t>has</w:t>
      </w:r>
      <w:r>
        <w:t xml:space="preserve"> 5</w:t>
      </w:r>
      <w:r w:rsidR="001C7291">
        <w:t>.0</w:t>
      </w:r>
      <w:r>
        <w:t xml:space="preserve">% more type 1 registrations than that of England, although this percentage has now fallen from 9.5% of the total in 2013-14 to 9.2% of the total in 2014-15. The total number of registrations within the CCG has risen by 3,014 in 2014-15, an increase of 11.2%; nationally, the increase in 2014-15 is 7.2%. </w:t>
      </w:r>
    </w:p>
    <w:p w:rsidR="00250B06" w:rsidRPr="00B57FEB" w:rsidRDefault="00250B06" w:rsidP="00250B06">
      <w:pPr>
        <w:rPr>
          <w:b/>
        </w:rPr>
      </w:pPr>
      <w:r w:rsidRPr="00B57FEB">
        <w:rPr>
          <w:b/>
        </w:rPr>
        <w:t xml:space="preserve">Figure </w:t>
      </w:r>
      <w:r w:rsidR="00121509">
        <w:rPr>
          <w:b/>
        </w:rPr>
        <w:t>4</w:t>
      </w:r>
      <w:r w:rsidRPr="00B57FEB">
        <w:rPr>
          <w:b/>
        </w:rPr>
        <w:t xml:space="preserve">: National Diabetes Audit 2014-15, </w:t>
      </w:r>
      <w:r>
        <w:rPr>
          <w:b/>
        </w:rPr>
        <w:t>Registrations by Sex and Type</w:t>
      </w:r>
    </w:p>
    <w:tbl>
      <w:tblPr>
        <w:tblW w:w="5000" w:type="pct"/>
        <w:tblLook w:val="04A0" w:firstRow="1" w:lastRow="0" w:firstColumn="1" w:lastColumn="0" w:noHBand="0" w:noVBand="1"/>
      </w:tblPr>
      <w:tblGrid>
        <w:gridCol w:w="1072"/>
        <w:gridCol w:w="1407"/>
        <w:gridCol w:w="2747"/>
        <w:gridCol w:w="1360"/>
        <w:gridCol w:w="2656"/>
      </w:tblGrid>
      <w:tr w:rsidR="00250B06" w:rsidRPr="00250B06" w:rsidTr="00250B06">
        <w:trPr>
          <w:trHeight w:val="300"/>
        </w:trPr>
        <w:tc>
          <w:tcPr>
            <w:tcW w:w="580" w:type="pct"/>
            <w:vMerge w:val="restart"/>
            <w:tcBorders>
              <w:top w:val="single" w:sz="4" w:space="0" w:color="auto"/>
              <w:left w:val="single" w:sz="4" w:space="0" w:color="auto"/>
              <w:right w:val="single" w:sz="4" w:space="0" w:color="auto"/>
            </w:tcBorders>
            <w:shd w:val="clear" w:color="000000" w:fill="DDEBF7"/>
            <w:noWrap/>
            <w:vAlign w:val="center"/>
            <w:hideMark/>
          </w:tcPr>
          <w:p w:rsidR="007D7B73" w:rsidRDefault="007D7B73" w:rsidP="00250B06">
            <w:pPr>
              <w:spacing w:after="0" w:line="240" w:lineRule="auto"/>
              <w:jc w:val="center"/>
              <w:rPr>
                <w:rFonts w:ascii="Calibri" w:eastAsia="Times New Roman" w:hAnsi="Calibri" w:cs="Times New Roman"/>
                <w:b/>
                <w:bCs/>
                <w:color w:val="000000"/>
                <w:sz w:val="16"/>
                <w:szCs w:val="16"/>
                <w:lang w:eastAsia="en-GB"/>
              </w:rPr>
            </w:pPr>
          </w:p>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Sex</w:t>
            </w:r>
            <w:r w:rsidRPr="00250B06">
              <w:rPr>
                <w:rFonts w:ascii="Calibri" w:eastAsia="Times New Roman" w:hAnsi="Calibri" w:cs="Times New Roman"/>
                <w:b/>
                <w:bCs/>
                <w:color w:val="000000"/>
                <w:sz w:val="16"/>
                <w:szCs w:val="16"/>
                <w:lang w:eastAsia="en-GB"/>
              </w:rPr>
              <w:t> </w:t>
            </w:r>
          </w:p>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r w:rsidRPr="00250B06">
              <w:rPr>
                <w:rFonts w:ascii="Calibri" w:eastAsia="Times New Roman" w:hAnsi="Calibri" w:cs="Times New Roman"/>
                <w:b/>
                <w:bCs/>
                <w:color w:val="000000"/>
                <w:sz w:val="16"/>
                <w:szCs w:val="16"/>
                <w:lang w:eastAsia="en-GB"/>
              </w:rPr>
              <w:t> </w:t>
            </w:r>
          </w:p>
        </w:tc>
        <w:tc>
          <w:tcPr>
            <w:tcW w:w="2247"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r w:rsidRPr="00250B06">
              <w:rPr>
                <w:rFonts w:ascii="Calibri" w:eastAsia="Times New Roman" w:hAnsi="Calibri" w:cs="Times New Roman"/>
                <w:b/>
                <w:bCs/>
                <w:color w:val="000000"/>
                <w:sz w:val="16"/>
                <w:szCs w:val="16"/>
                <w:lang w:eastAsia="en-GB"/>
              </w:rPr>
              <w:t>C&amp;P CCG</w:t>
            </w:r>
          </w:p>
        </w:tc>
        <w:tc>
          <w:tcPr>
            <w:tcW w:w="2173"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r w:rsidRPr="00250B06">
              <w:rPr>
                <w:rFonts w:ascii="Calibri" w:eastAsia="Times New Roman" w:hAnsi="Calibri" w:cs="Times New Roman"/>
                <w:b/>
                <w:bCs/>
                <w:color w:val="000000"/>
                <w:sz w:val="16"/>
                <w:szCs w:val="16"/>
                <w:lang w:eastAsia="en-GB"/>
              </w:rPr>
              <w:t>England</w:t>
            </w:r>
          </w:p>
        </w:tc>
      </w:tr>
      <w:tr w:rsidR="00250B06" w:rsidRPr="00250B06" w:rsidTr="00250B06">
        <w:trPr>
          <w:trHeight w:val="300"/>
        </w:trPr>
        <w:tc>
          <w:tcPr>
            <w:tcW w:w="580" w:type="pct"/>
            <w:vMerge/>
            <w:tcBorders>
              <w:left w:val="single" w:sz="4" w:space="0" w:color="auto"/>
              <w:bottom w:val="single" w:sz="4" w:space="0" w:color="auto"/>
              <w:right w:val="single" w:sz="4" w:space="0" w:color="auto"/>
            </w:tcBorders>
            <w:shd w:val="clear" w:color="000000" w:fill="DDEBF7"/>
            <w:noWrap/>
            <w:vAlign w:val="center"/>
            <w:hideMark/>
          </w:tcPr>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p>
        </w:tc>
        <w:tc>
          <w:tcPr>
            <w:tcW w:w="761" w:type="pct"/>
            <w:tcBorders>
              <w:top w:val="nil"/>
              <w:left w:val="nil"/>
              <w:bottom w:val="single" w:sz="4" w:space="0" w:color="auto"/>
              <w:right w:val="single" w:sz="4" w:space="0" w:color="auto"/>
            </w:tcBorders>
            <w:shd w:val="clear" w:color="000000" w:fill="DDEBF7"/>
            <w:noWrap/>
            <w:vAlign w:val="center"/>
            <w:hideMark/>
          </w:tcPr>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r w:rsidRPr="00250B06">
              <w:rPr>
                <w:rFonts w:ascii="Calibri" w:eastAsia="Times New Roman" w:hAnsi="Calibri" w:cs="Times New Roman"/>
                <w:b/>
                <w:bCs/>
                <w:color w:val="000000"/>
                <w:sz w:val="16"/>
                <w:szCs w:val="16"/>
                <w:lang w:eastAsia="en-GB"/>
              </w:rPr>
              <w:t>Type 1 (%)</w:t>
            </w:r>
          </w:p>
        </w:tc>
        <w:tc>
          <w:tcPr>
            <w:tcW w:w="1486" w:type="pct"/>
            <w:tcBorders>
              <w:top w:val="nil"/>
              <w:left w:val="nil"/>
              <w:bottom w:val="single" w:sz="4" w:space="0" w:color="auto"/>
              <w:right w:val="single" w:sz="4" w:space="0" w:color="auto"/>
            </w:tcBorders>
            <w:shd w:val="clear" w:color="000000" w:fill="DDEBF7"/>
            <w:noWrap/>
            <w:vAlign w:val="center"/>
            <w:hideMark/>
          </w:tcPr>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r w:rsidRPr="00250B06">
              <w:rPr>
                <w:rFonts w:ascii="Calibri" w:eastAsia="Times New Roman" w:hAnsi="Calibri" w:cs="Times New Roman"/>
                <w:b/>
                <w:bCs/>
                <w:color w:val="000000"/>
                <w:sz w:val="16"/>
                <w:szCs w:val="16"/>
                <w:lang w:eastAsia="en-GB"/>
              </w:rPr>
              <w:t>Type 2 and other (%)</w:t>
            </w:r>
          </w:p>
        </w:tc>
        <w:tc>
          <w:tcPr>
            <w:tcW w:w="736" w:type="pct"/>
            <w:tcBorders>
              <w:top w:val="nil"/>
              <w:left w:val="nil"/>
              <w:bottom w:val="single" w:sz="4" w:space="0" w:color="auto"/>
              <w:right w:val="single" w:sz="4" w:space="0" w:color="auto"/>
            </w:tcBorders>
            <w:shd w:val="clear" w:color="000000" w:fill="DDEBF7"/>
            <w:noWrap/>
            <w:vAlign w:val="center"/>
            <w:hideMark/>
          </w:tcPr>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r w:rsidRPr="00250B06">
              <w:rPr>
                <w:rFonts w:ascii="Calibri" w:eastAsia="Times New Roman" w:hAnsi="Calibri" w:cs="Times New Roman"/>
                <w:b/>
                <w:bCs/>
                <w:color w:val="000000"/>
                <w:sz w:val="16"/>
                <w:szCs w:val="16"/>
                <w:lang w:eastAsia="en-GB"/>
              </w:rPr>
              <w:t>Type 1 (%)</w:t>
            </w:r>
          </w:p>
        </w:tc>
        <w:tc>
          <w:tcPr>
            <w:tcW w:w="1437" w:type="pct"/>
            <w:tcBorders>
              <w:top w:val="nil"/>
              <w:left w:val="nil"/>
              <w:bottom w:val="single" w:sz="4" w:space="0" w:color="auto"/>
              <w:right w:val="single" w:sz="4" w:space="0" w:color="auto"/>
            </w:tcBorders>
            <w:shd w:val="clear" w:color="000000" w:fill="DDEBF7"/>
            <w:noWrap/>
            <w:vAlign w:val="center"/>
            <w:hideMark/>
          </w:tcPr>
          <w:p w:rsidR="00250B06" w:rsidRPr="00250B06" w:rsidRDefault="00250B06" w:rsidP="00250B06">
            <w:pPr>
              <w:spacing w:after="0" w:line="240" w:lineRule="auto"/>
              <w:jc w:val="center"/>
              <w:rPr>
                <w:rFonts w:ascii="Calibri" w:eastAsia="Times New Roman" w:hAnsi="Calibri" w:cs="Times New Roman"/>
                <w:b/>
                <w:bCs/>
                <w:color w:val="000000"/>
                <w:sz w:val="16"/>
                <w:szCs w:val="16"/>
                <w:lang w:eastAsia="en-GB"/>
              </w:rPr>
            </w:pPr>
            <w:r w:rsidRPr="00250B06">
              <w:rPr>
                <w:rFonts w:ascii="Calibri" w:eastAsia="Times New Roman" w:hAnsi="Calibri" w:cs="Times New Roman"/>
                <w:b/>
                <w:bCs/>
                <w:color w:val="000000"/>
                <w:sz w:val="16"/>
                <w:szCs w:val="16"/>
                <w:lang w:eastAsia="en-GB"/>
              </w:rPr>
              <w:t>Type 2 and other (%)</w:t>
            </w:r>
          </w:p>
        </w:tc>
      </w:tr>
      <w:tr w:rsidR="00250B06" w:rsidRPr="00250B06" w:rsidTr="00250B06">
        <w:trPr>
          <w:trHeight w:val="300"/>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Male</w:t>
            </w:r>
          </w:p>
        </w:tc>
        <w:tc>
          <w:tcPr>
            <w:tcW w:w="761" w:type="pct"/>
            <w:tcBorders>
              <w:top w:val="nil"/>
              <w:left w:val="nil"/>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56.8</w:t>
            </w:r>
          </w:p>
        </w:tc>
        <w:tc>
          <w:tcPr>
            <w:tcW w:w="1486" w:type="pct"/>
            <w:tcBorders>
              <w:top w:val="nil"/>
              <w:left w:val="nil"/>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56.4</w:t>
            </w:r>
          </w:p>
        </w:tc>
        <w:tc>
          <w:tcPr>
            <w:tcW w:w="736" w:type="pct"/>
            <w:tcBorders>
              <w:top w:val="nil"/>
              <w:left w:val="nil"/>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56.3</w:t>
            </w:r>
          </w:p>
        </w:tc>
        <w:tc>
          <w:tcPr>
            <w:tcW w:w="1437" w:type="pct"/>
            <w:tcBorders>
              <w:top w:val="nil"/>
              <w:left w:val="nil"/>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55.6</w:t>
            </w:r>
          </w:p>
        </w:tc>
      </w:tr>
      <w:tr w:rsidR="00250B06" w:rsidRPr="00250B06" w:rsidTr="00250B06">
        <w:trPr>
          <w:trHeight w:val="300"/>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Female</w:t>
            </w:r>
          </w:p>
        </w:tc>
        <w:tc>
          <w:tcPr>
            <w:tcW w:w="761" w:type="pct"/>
            <w:tcBorders>
              <w:top w:val="nil"/>
              <w:left w:val="nil"/>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43.2</w:t>
            </w:r>
          </w:p>
        </w:tc>
        <w:tc>
          <w:tcPr>
            <w:tcW w:w="1486" w:type="pct"/>
            <w:tcBorders>
              <w:top w:val="nil"/>
              <w:left w:val="nil"/>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43.6</w:t>
            </w:r>
          </w:p>
        </w:tc>
        <w:tc>
          <w:tcPr>
            <w:tcW w:w="736" w:type="pct"/>
            <w:tcBorders>
              <w:top w:val="nil"/>
              <w:left w:val="nil"/>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43.7</w:t>
            </w:r>
          </w:p>
        </w:tc>
        <w:tc>
          <w:tcPr>
            <w:tcW w:w="1437" w:type="pct"/>
            <w:tcBorders>
              <w:top w:val="nil"/>
              <w:left w:val="nil"/>
              <w:bottom w:val="single" w:sz="4" w:space="0" w:color="auto"/>
              <w:right w:val="single" w:sz="4" w:space="0" w:color="auto"/>
            </w:tcBorders>
            <w:shd w:val="clear" w:color="auto" w:fill="auto"/>
            <w:noWrap/>
            <w:vAlign w:val="center"/>
            <w:hideMark/>
          </w:tcPr>
          <w:p w:rsidR="00250B06" w:rsidRPr="00250B06" w:rsidRDefault="00250B06" w:rsidP="00250B06">
            <w:pPr>
              <w:spacing w:after="0" w:line="240" w:lineRule="auto"/>
              <w:jc w:val="center"/>
              <w:rPr>
                <w:rFonts w:ascii="Calibri" w:eastAsia="Times New Roman" w:hAnsi="Calibri" w:cs="Times New Roman"/>
                <w:color w:val="000000"/>
                <w:sz w:val="16"/>
                <w:szCs w:val="16"/>
                <w:lang w:eastAsia="en-GB"/>
              </w:rPr>
            </w:pPr>
            <w:r w:rsidRPr="00250B06">
              <w:rPr>
                <w:rFonts w:ascii="Calibri" w:eastAsia="Times New Roman" w:hAnsi="Calibri" w:cs="Times New Roman"/>
                <w:color w:val="000000"/>
                <w:sz w:val="16"/>
                <w:szCs w:val="16"/>
                <w:lang w:eastAsia="en-GB"/>
              </w:rPr>
              <w:t>44.4</w:t>
            </w:r>
          </w:p>
        </w:tc>
      </w:tr>
    </w:tbl>
    <w:p w:rsidR="00250B06" w:rsidRDefault="00250B06"/>
    <w:p w:rsidR="00E0166E" w:rsidRDefault="007D7B73">
      <w:r>
        <w:t xml:space="preserve">56.8% of type 1 registrations and 56.4% of type 2 and other registrations within the CCG were male and 43.2% of type 1 and 43.6% of type 2 and other registrations were female. The profile of registrations within the CCG is therefore similar to that observed nationally. </w:t>
      </w:r>
    </w:p>
    <w:p w:rsidR="00C127A0" w:rsidRPr="00B57FEB" w:rsidRDefault="00C127A0" w:rsidP="00C127A0">
      <w:pPr>
        <w:rPr>
          <w:b/>
        </w:rPr>
      </w:pPr>
      <w:r w:rsidRPr="00B57FEB">
        <w:rPr>
          <w:b/>
        </w:rPr>
        <w:t xml:space="preserve">Figure </w:t>
      </w:r>
      <w:r w:rsidR="00121509">
        <w:rPr>
          <w:b/>
        </w:rPr>
        <w:t>5</w:t>
      </w:r>
      <w:r w:rsidRPr="00B57FEB">
        <w:rPr>
          <w:b/>
        </w:rPr>
        <w:t xml:space="preserve">: National Diabetes Audit 2014-15, </w:t>
      </w:r>
      <w:r w:rsidR="00F47738">
        <w:rPr>
          <w:b/>
        </w:rPr>
        <w:t>Registrations by Age</w:t>
      </w:r>
      <w:r>
        <w:rPr>
          <w:b/>
        </w:rPr>
        <w:t xml:space="preserve"> and Type</w:t>
      </w:r>
    </w:p>
    <w:tbl>
      <w:tblPr>
        <w:tblW w:w="5000" w:type="pct"/>
        <w:tblLook w:val="04A0" w:firstRow="1" w:lastRow="0" w:firstColumn="1" w:lastColumn="0" w:noHBand="0" w:noVBand="1"/>
      </w:tblPr>
      <w:tblGrid>
        <w:gridCol w:w="1301"/>
        <w:gridCol w:w="1366"/>
        <w:gridCol w:w="2669"/>
        <w:gridCol w:w="1322"/>
        <w:gridCol w:w="2584"/>
      </w:tblGrid>
      <w:tr w:rsidR="00C127A0" w:rsidRPr="00C127A0" w:rsidTr="00C127A0">
        <w:trPr>
          <w:trHeight w:val="450"/>
        </w:trPr>
        <w:tc>
          <w:tcPr>
            <w:tcW w:w="704"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C127A0" w:rsidRPr="00C127A0" w:rsidRDefault="00C127A0" w:rsidP="00C127A0">
            <w:pPr>
              <w:spacing w:after="0" w:line="240" w:lineRule="auto"/>
              <w:jc w:val="center"/>
              <w:rPr>
                <w:rFonts w:ascii="Calibri" w:eastAsia="Times New Roman" w:hAnsi="Calibri" w:cs="Times New Roman"/>
                <w:b/>
                <w:bCs/>
                <w:color w:val="000000"/>
                <w:sz w:val="16"/>
                <w:szCs w:val="16"/>
                <w:lang w:eastAsia="en-GB"/>
              </w:rPr>
            </w:pPr>
            <w:r w:rsidRPr="00C127A0">
              <w:rPr>
                <w:rFonts w:ascii="Calibri" w:eastAsia="Times New Roman" w:hAnsi="Calibri" w:cs="Times New Roman"/>
                <w:b/>
                <w:bCs/>
                <w:color w:val="000000"/>
                <w:sz w:val="16"/>
                <w:szCs w:val="16"/>
                <w:lang w:eastAsia="en-GB"/>
              </w:rPr>
              <w:t>Age Group</w:t>
            </w:r>
          </w:p>
        </w:tc>
        <w:tc>
          <w:tcPr>
            <w:tcW w:w="2183"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C127A0" w:rsidRPr="00C127A0" w:rsidRDefault="00C127A0" w:rsidP="00C127A0">
            <w:pPr>
              <w:spacing w:after="0" w:line="240" w:lineRule="auto"/>
              <w:jc w:val="center"/>
              <w:rPr>
                <w:rFonts w:ascii="Calibri" w:eastAsia="Times New Roman" w:hAnsi="Calibri" w:cs="Times New Roman"/>
                <w:b/>
                <w:bCs/>
                <w:color w:val="000000"/>
                <w:sz w:val="16"/>
                <w:szCs w:val="16"/>
                <w:lang w:eastAsia="en-GB"/>
              </w:rPr>
            </w:pPr>
            <w:r w:rsidRPr="00C127A0">
              <w:rPr>
                <w:rFonts w:ascii="Calibri" w:eastAsia="Times New Roman" w:hAnsi="Calibri" w:cs="Times New Roman"/>
                <w:b/>
                <w:bCs/>
                <w:color w:val="000000"/>
                <w:sz w:val="16"/>
                <w:szCs w:val="16"/>
                <w:lang w:eastAsia="en-GB"/>
              </w:rPr>
              <w:t>C&amp;P CCG</w:t>
            </w:r>
          </w:p>
        </w:tc>
        <w:tc>
          <w:tcPr>
            <w:tcW w:w="2113"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C127A0" w:rsidRPr="00C127A0" w:rsidRDefault="00C127A0" w:rsidP="00C127A0">
            <w:pPr>
              <w:spacing w:after="0" w:line="240" w:lineRule="auto"/>
              <w:jc w:val="center"/>
              <w:rPr>
                <w:rFonts w:ascii="Calibri" w:eastAsia="Times New Roman" w:hAnsi="Calibri" w:cs="Times New Roman"/>
                <w:b/>
                <w:bCs/>
                <w:color w:val="000000"/>
                <w:sz w:val="16"/>
                <w:szCs w:val="16"/>
                <w:lang w:eastAsia="en-GB"/>
              </w:rPr>
            </w:pPr>
            <w:r w:rsidRPr="00C127A0">
              <w:rPr>
                <w:rFonts w:ascii="Calibri" w:eastAsia="Times New Roman" w:hAnsi="Calibri" w:cs="Times New Roman"/>
                <w:b/>
                <w:bCs/>
                <w:color w:val="000000"/>
                <w:sz w:val="16"/>
                <w:szCs w:val="16"/>
                <w:lang w:eastAsia="en-GB"/>
              </w:rPr>
              <w:t>England</w:t>
            </w:r>
          </w:p>
        </w:tc>
      </w:tr>
      <w:tr w:rsidR="00C127A0" w:rsidRPr="00C127A0" w:rsidTr="00C127A0">
        <w:trPr>
          <w:trHeight w:val="300"/>
        </w:trPr>
        <w:tc>
          <w:tcPr>
            <w:tcW w:w="704" w:type="pct"/>
            <w:vMerge/>
            <w:tcBorders>
              <w:top w:val="single" w:sz="4" w:space="0" w:color="auto"/>
              <w:left w:val="single" w:sz="4" w:space="0" w:color="auto"/>
              <w:bottom w:val="single" w:sz="4" w:space="0" w:color="auto"/>
              <w:right w:val="single" w:sz="4" w:space="0" w:color="auto"/>
            </w:tcBorders>
            <w:vAlign w:val="center"/>
            <w:hideMark/>
          </w:tcPr>
          <w:p w:rsidR="00C127A0" w:rsidRPr="00C127A0" w:rsidRDefault="00C127A0" w:rsidP="00C127A0">
            <w:pPr>
              <w:spacing w:after="0" w:line="240" w:lineRule="auto"/>
              <w:rPr>
                <w:rFonts w:ascii="Calibri" w:eastAsia="Times New Roman" w:hAnsi="Calibri" w:cs="Times New Roman"/>
                <w:b/>
                <w:bCs/>
                <w:color w:val="000000"/>
                <w:sz w:val="16"/>
                <w:szCs w:val="16"/>
                <w:lang w:eastAsia="en-GB"/>
              </w:rPr>
            </w:pPr>
          </w:p>
        </w:tc>
        <w:tc>
          <w:tcPr>
            <w:tcW w:w="739" w:type="pct"/>
            <w:tcBorders>
              <w:top w:val="nil"/>
              <w:left w:val="nil"/>
              <w:bottom w:val="single" w:sz="4" w:space="0" w:color="auto"/>
              <w:right w:val="single" w:sz="4" w:space="0" w:color="auto"/>
            </w:tcBorders>
            <w:shd w:val="clear" w:color="000000" w:fill="DDEBF7"/>
            <w:noWrap/>
            <w:vAlign w:val="center"/>
            <w:hideMark/>
          </w:tcPr>
          <w:p w:rsidR="00C127A0" w:rsidRPr="00C127A0" w:rsidRDefault="00C127A0" w:rsidP="00C127A0">
            <w:pPr>
              <w:spacing w:after="0" w:line="240" w:lineRule="auto"/>
              <w:jc w:val="center"/>
              <w:rPr>
                <w:rFonts w:ascii="Calibri" w:eastAsia="Times New Roman" w:hAnsi="Calibri" w:cs="Times New Roman"/>
                <w:b/>
                <w:bCs/>
                <w:color w:val="000000"/>
                <w:sz w:val="16"/>
                <w:szCs w:val="16"/>
                <w:lang w:eastAsia="en-GB"/>
              </w:rPr>
            </w:pPr>
            <w:r w:rsidRPr="00C127A0">
              <w:rPr>
                <w:rFonts w:ascii="Calibri" w:eastAsia="Times New Roman" w:hAnsi="Calibri" w:cs="Times New Roman"/>
                <w:b/>
                <w:bCs/>
                <w:color w:val="000000"/>
                <w:sz w:val="16"/>
                <w:szCs w:val="16"/>
                <w:lang w:eastAsia="en-GB"/>
              </w:rPr>
              <w:t>Type 1 (%)</w:t>
            </w:r>
          </w:p>
        </w:tc>
        <w:tc>
          <w:tcPr>
            <w:tcW w:w="1444" w:type="pct"/>
            <w:tcBorders>
              <w:top w:val="nil"/>
              <w:left w:val="nil"/>
              <w:bottom w:val="single" w:sz="4" w:space="0" w:color="auto"/>
              <w:right w:val="single" w:sz="4" w:space="0" w:color="auto"/>
            </w:tcBorders>
            <w:shd w:val="clear" w:color="000000" w:fill="DDEBF7"/>
            <w:noWrap/>
            <w:vAlign w:val="center"/>
            <w:hideMark/>
          </w:tcPr>
          <w:p w:rsidR="00C127A0" w:rsidRPr="00C127A0" w:rsidRDefault="00C127A0" w:rsidP="00C127A0">
            <w:pPr>
              <w:spacing w:after="0" w:line="240" w:lineRule="auto"/>
              <w:jc w:val="center"/>
              <w:rPr>
                <w:rFonts w:ascii="Calibri" w:eastAsia="Times New Roman" w:hAnsi="Calibri" w:cs="Times New Roman"/>
                <w:b/>
                <w:bCs/>
                <w:color w:val="000000"/>
                <w:sz w:val="16"/>
                <w:szCs w:val="16"/>
                <w:lang w:eastAsia="en-GB"/>
              </w:rPr>
            </w:pPr>
            <w:r w:rsidRPr="00C127A0">
              <w:rPr>
                <w:rFonts w:ascii="Calibri" w:eastAsia="Times New Roman" w:hAnsi="Calibri" w:cs="Times New Roman"/>
                <w:b/>
                <w:bCs/>
                <w:color w:val="000000"/>
                <w:sz w:val="16"/>
                <w:szCs w:val="16"/>
                <w:lang w:eastAsia="en-GB"/>
              </w:rPr>
              <w:t>Type 2 and other (%)</w:t>
            </w:r>
          </w:p>
        </w:tc>
        <w:tc>
          <w:tcPr>
            <w:tcW w:w="715" w:type="pct"/>
            <w:tcBorders>
              <w:top w:val="nil"/>
              <w:left w:val="nil"/>
              <w:bottom w:val="single" w:sz="4" w:space="0" w:color="auto"/>
              <w:right w:val="single" w:sz="4" w:space="0" w:color="auto"/>
            </w:tcBorders>
            <w:shd w:val="clear" w:color="000000" w:fill="DDEBF7"/>
            <w:noWrap/>
            <w:vAlign w:val="center"/>
            <w:hideMark/>
          </w:tcPr>
          <w:p w:rsidR="00C127A0" w:rsidRPr="00C127A0" w:rsidRDefault="00C127A0" w:rsidP="00C127A0">
            <w:pPr>
              <w:spacing w:after="0" w:line="240" w:lineRule="auto"/>
              <w:jc w:val="center"/>
              <w:rPr>
                <w:rFonts w:ascii="Calibri" w:eastAsia="Times New Roman" w:hAnsi="Calibri" w:cs="Times New Roman"/>
                <w:b/>
                <w:bCs/>
                <w:color w:val="000000"/>
                <w:sz w:val="16"/>
                <w:szCs w:val="16"/>
                <w:lang w:eastAsia="en-GB"/>
              </w:rPr>
            </w:pPr>
            <w:r w:rsidRPr="00C127A0">
              <w:rPr>
                <w:rFonts w:ascii="Calibri" w:eastAsia="Times New Roman" w:hAnsi="Calibri" w:cs="Times New Roman"/>
                <w:b/>
                <w:bCs/>
                <w:color w:val="000000"/>
                <w:sz w:val="16"/>
                <w:szCs w:val="16"/>
                <w:lang w:eastAsia="en-GB"/>
              </w:rPr>
              <w:t>Type 1 (%)</w:t>
            </w:r>
          </w:p>
        </w:tc>
        <w:tc>
          <w:tcPr>
            <w:tcW w:w="1397" w:type="pct"/>
            <w:tcBorders>
              <w:top w:val="nil"/>
              <w:left w:val="nil"/>
              <w:bottom w:val="single" w:sz="4" w:space="0" w:color="auto"/>
              <w:right w:val="single" w:sz="4" w:space="0" w:color="auto"/>
            </w:tcBorders>
            <w:shd w:val="clear" w:color="000000" w:fill="DDEBF7"/>
            <w:noWrap/>
            <w:vAlign w:val="center"/>
            <w:hideMark/>
          </w:tcPr>
          <w:p w:rsidR="00C127A0" w:rsidRPr="00C127A0" w:rsidRDefault="00C127A0" w:rsidP="00C127A0">
            <w:pPr>
              <w:spacing w:after="0" w:line="240" w:lineRule="auto"/>
              <w:jc w:val="center"/>
              <w:rPr>
                <w:rFonts w:ascii="Calibri" w:eastAsia="Times New Roman" w:hAnsi="Calibri" w:cs="Times New Roman"/>
                <w:b/>
                <w:bCs/>
                <w:color w:val="000000"/>
                <w:sz w:val="16"/>
                <w:szCs w:val="16"/>
                <w:lang w:eastAsia="en-GB"/>
              </w:rPr>
            </w:pPr>
            <w:r w:rsidRPr="00C127A0">
              <w:rPr>
                <w:rFonts w:ascii="Calibri" w:eastAsia="Times New Roman" w:hAnsi="Calibri" w:cs="Times New Roman"/>
                <w:b/>
                <w:bCs/>
                <w:color w:val="000000"/>
                <w:sz w:val="16"/>
                <w:szCs w:val="16"/>
                <w:lang w:eastAsia="en-GB"/>
              </w:rPr>
              <w:t>Type 2 and other (%)</w:t>
            </w:r>
          </w:p>
        </w:tc>
      </w:tr>
      <w:tr w:rsidR="00C127A0" w:rsidRPr="00C127A0" w:rsidTr="00C127A0">
        <w:trPr>
          <w:trHeight w:val="300"/>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&lt;40</w:t>
            </w:r>
          </w:p>
        </w:tc>
        <w:tc>
          <w:tcPr>
            <w:tcW w:w="739"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44.2</w:t>
            </w:r>
          </w:p>
        </w:tc>
        <w:tc>
          <w:tcPr>
            <w:tcW w:w="1444"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3.3</w:t>
            </w:r>
          </w:p>
        </w:tc>
        <w:tc>
          <w:tcPr>
            <w:tcW w:w="715"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43.1</w:t>
            </w:r>
          </w:p>
        </w:tc>
        <w:tc>
          <w:tcPr>
            <w:tcW w:w="1397"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3.6</w:t>
            </w:r>
          </w:p>
        </w:tc>
      </w:tr>
      <w:tr w:rsidR="00C127A0" w:rsidRPr="00C127A0" w:rsidTr="00C127A0">
        <w:trPr>
          <w:trHeight w:val="300"/>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40-64</w:t>
            </w:r>
          </w:p>
        </w:tc>
        <w:tc>
          <w:tcPr>
            <w:tcW w:w="739"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42.5</w:t>
            </w:r>
          </w:p>
        </w:tc>
        <w:tc>
          <w:tcPr>
            <w:tcW w:w="1444"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40.9</w:t>
            </w:r>
          </w:p>
        </w:tc>
        <w:tc>
          <w:tcPr>
            <w:tcW w:w="715"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42.5</w:t>
            </w:r>
          </w:p>
        </w:tc>
        <w:tc>
          <w:tcPr>
            <w:tcW w:w="1397"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40.7</w:t>
            </w:r>
          </w:p>
        </w:tc>
      </w:tr>
      <w:tr w:rsidR="00C127A0" w:rsidRPr="00C127A0" w:rsidTr="00C127A0">
        <w:trPr>
          <w:trHeight w:val="300"/>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65-79</w:t>
            </w:r>
          </w:p>
        </w:tc>
        <w:tc>
          <w:tcPr>
            <w:tcW w:w="739"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10.7</w:t>
            </w:r>
          </w:p>
        </w:tc>
        <w:tc>
          <w:tcPr>
            <w:tcW w:w="1444"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40.1</w:t>
            </w:r>
          </w:p>
        </w:tc>
        <w:tc>
          <w:tcPr>
            <w:tcW w:w="715"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11.6</w:t>
            </w:r>
          </w:p>
        </w:tc>
        <w:tc>
          <w:tcPr>
            <w:tcW w:w="1397"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39.8</w:t>
            </w:r>
          </w:p>
        </w:tc>
      </w:tr>
      <w:tr w:rsidR="00C127A0" w:rsidRPr="00C127A0" w:rsidTr="00C127A0">
        <w:trPr>
          <w:trHeight w:val="300"/>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80+</w:t>
            </w:r>
          </w:p>
        </w:tc>
        <w:tc>
          <w:tcPr>
            <w:tcW w:w="739"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2.6</w:t>
            </w:r>
          </w:p>
        </w:tc>
        <w:tc>
          <w:tcPr>
            <w:tcW w:w="1444"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15.7</w:t>
            </w:r>
          </w:p>
        </w:tc>
        <w:tc>
          <w:tcPr>
            <w:tcW w:w="715"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2.5</w:t>
            </w:r>
          </w:p>
        </w:tc>
        <w:tc>
          <w:tcPr>
            <w:tcW w:w="1397"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15.8</w:t>
            </w:r>
          </w:p>
        </w:tc>
      </w:tr>
      <w:tr w:rsidR="00C127A0" w:rsidRPr="00C127A0" w:rsidTr="00C127A0">
        <w:trPr>
          <w:trHeight w:val="300"/>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Unknown</w:t>
            </w:r>
          </w:p>
        </w:tc>
        <w:tc>
          <w:tcPr>
            <w:tcW w:w="739"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w:t>
            </w:r>
          </w:p>
        </w:tc>
        <w:tc>
          <w:tcPr>
            <w:tcW w:w="1444"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w:t>
            </w:r>
          </w:p>
        </w:tc>
        <w:tc>
          <w:tcPr>
            <w:tcW w:w="715"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0.3</w:t>
            </w:r>
          </w:p>
        </w:tc>
        <w:tc>
          <w:tcPr>
            <w:tcW w:w="1397" w:type="pct"/>
            <w:tcBorders>
              <w:top w:val="nil"/>
              <w:left w:val="nil"/>
              <w:bottom w:val="single" w:sz="4" w:space="0" w:color="auto"/>
              <w:right w:val="single" w:sz="4" w:space="0" w:color="auto"/>
            </w:tcBorders>
            <w:shd w:val="clear" w:color="auto" w:fill="auto"/>
            <w:noWrap/>
            <w:vAlign w:val="center"/>
            <w:hideMark/>
          </w:tcPr>
          <w:p w:rsidR="00C127A0" w:rsidRPr="00C127A0" w:rsidRDefault="00C127A0" w:rsidP="00C127A0">
            <w:pPr>
              <w:spacing w:after="0" w:line="240" w:lineRule="auto"/>
              <w:jc w:val="center"/>
              <w:rPr>
                <w:rFonts w:ascii="Calibri" w:eastAsia="Times New Roman" w:hAnsi="Calibri" w:cs="Times New Roman"/>
                <w:color w:val="000000"/>
                <w:sz w:val="16"/>
                <w:szCs w:val="16"/>
                <w:lang w:eastAsia="en-GB"/>
              </w:rPr>
            </w:pPr>
            <w:r w:rsidRPr="00C127A0">
              <w:rPr>
                <w:rFonts w:ascii="Calibri" w:eastAsia="Times New Roman" w:hAnsi="Calibri" w:cs="Times New Roman"/>
                <w:color w:val="000000"/>
                <w:sz w:val="16"/>
                <w:szCs w:val="16"/>
                <w:lang w:eastAsia="en-GB"/>
              </w:rPr>
              <w:t>0.1</w:t>
            </w:r>
          </w:p>
        </w:tc>
      </w:tr>
    </w:tbl>
    <w:p w:rsidR="00B5644A" w:rsidRDefault="00B5644A"/>
    <w:p w:rsidR="00C127A0" w:rsidRDefault="00F208AE">
      <w:r>
        <w:t xml:space="preserve">The CCG has a similar profile to England with regards to the age of registered patients for both type 1 and type 2 and other diabetes, although the CCG has a marginally higher percentage of registrations for type 1 diabetes patients in younger age groups, with 86.7% of type 1 registrations within the CCG for patients aged 64 and under, compared to 85.6% in England. </w:t>
      </w:r>
    </w:p>
    <w:p w:rsidR="00E0166E" w:rsidRDefault="00E0166E"/>
    <w:p w:rsidR="006F4D1A" w:rsidRDefault="006F4D1A"/>
    <w:p w:rsidR="006F4D1A" w:rsidRDefault="006F4D1A"/>
    <w:p w:rsidR="00DE0B36" w:rsidRDefault="00DE0B36"/>
    <w:p w:rsidR="00A403F1" w:rsidRPr="00B57FEB" w:rsidRDefault="00A403F1" w:rsidP="00A403F1">
      <w:pPr>
        <w:rPr>
          <w:b/>
        </w:rPr>
      </w:pPr>
      <w:r w:rsidRPr="00B57FEB">
        <w:rPr>
          <w:b/>
        </w:rPr>
        <w:lastRenderedPageBreak/>
        <w:t xml:space="preserve">Figure </w:t>
      </w:r>
      <w:r w:rsidR="00121509">
        <w:rPr>
          <w:b/>
        </w:rPr>
        <w:t>6</w:t>
      </w:r>
      <w:r w:rsidRPr="00B57FEB">
        <w:rPr>
          <w:b/>
        </w:rPr>
        <w:t xml:space="preserve">: National Diabetes Audit 2014-15, </w:t>
      </w:r>
      <w:r>
        <w:rPr>
          <w:b/>
        </w:rPr>
        <w:t xml:space="preserve">Registrations by </w:t>
      </w:r>
      <w:r w:rsidR="00F47738">
        <w:rPr>
          <w:b/>
        </w:rPr>
        <w:t>Ethnicity</w:t>
      </w:r>
      <w:r>
        <w:rPr>
          <w:b/>
        </w:rPr>
        <w:t xml:space="preserve"> and Type</w:t>
      </w:r>
    </w:p>
    <w:tbl>
      <w:tblPr>
        <w:tblW w:w="5000" w:type="pct"/>
        <w:tblLook w:val="04A0" w:firstRow="1" w:lastRow="0" w:firstColumn="1" w:lastColumn="0" w:noHBand="0" w:noVBand="1"/>
      </w:tblPr>
      <w:tblGrid>
        <w:gridCol w:w="1957"/>
        <w:gridCol w:w="1253"/>
        <w:gridCol w:w="2449"/>
        <w:gridCol w:w="1213"/>
        <w:gridCol w:w="2370"/>
      </w:tblGrid>
      <w:tr w:rsidR="00B5644A" w:rsidRPr="00B5644A" w:rsidTr="00A403F1">
        <w:trPr>
          <w:trHeight w:val="300"/>
        </w:trPr>
        <w:tc>
          <w:tcPr>
            <w:tcW w:w="1059"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5644A" w:rsidRPr="00B5644A" w:rsidRDefault="00B5644A" w:rsidP="00B5644A">
            <w:pPr>
              <w:spacing w:after="0" w:line="240" w:lineRule="auto"/>
              <w:jc w:val="center"/>
              <w:rPr>
                <w:rFonts w:ascii="Calibri" w:eastAsia="Times New Roman" w:hAnsi="Calibri" w:cs="Times New Roman"/>
                <w:b/>
                <w:bCs/>
                <w:color w:val="000000"/>
                <w:sz w:val="16"/>
                <w:szCs w:val="16"/>
                <w:lang w:eastAsia="en-GB"/>
              </w:rPr>
            </w:pPr>
            <w:r w:rsidRPr="00B5644A">
              <w:rPr>
                <w:rFonts w:ascii="Calibri" w:eastAsia="Times New Roman" w:hAnsi="Calibri" w:cs="Times New Roman"/>
                <w:b/>
                <w:bCs/>
                <w:color w:val="000000"/>
                <w:sz w:val="16"/>
                <w:szCs w:val="16"/>
                <w:lang w:eastAsia="en-GB"/>
              </w:rPr>
              <w:t>Ethnicity</w:t>
            </w:r>
          </w:p>
        </w:tc>
        <w:tc>
          <w:tcPr>
            <w:tcW w:w="2003"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B5644A" w:rsidRPr="00B5644A" w:rsidRDefault="00B5644A" w:rsidP="00B5644A">
            <w:pPr>
              <w:spacing w:after="0" w:line="240" w:lineRule="auto"/>
              <w:jc w:val="center"/>
              <w:rPr>
                <w:rFonts w:ascii="Calibri" w:eastAsia="Times New Roman" w:hAnsi="Calibri" w:cs="Times New Roman"/>
                <w:b/>
                <w:bCs/>
                <w:color w:val="000000"/>
                <w:sz w:val="16"/>
                <w:szCs w:val="16"/>
                <w:lang w:eastAsia="en-GB"/>
              </w:rPr>
            </w:pPr>
            <w:r w:rsidRPr="00B5644A">
              <w:rPr>
                <w:rFonts w:ascii="Calibri" w:eastAsia="Times New Roman" w:hAnsi="Calibri" w:cs="Times New Roman"/>
                <w:b/>
                <w:bCs/>
                <w:color w:val="000000"/>
                <w:sz w:val="16"/>
                <w:szCs w:val="16"/>
                <w:lang w:eastAsia="en-GB"/>
              </w:rPr>
              <w:t>C&amp;P CCG</w:t>
            </w:r>
          </w:p>
        </w:tc>
        <w:tc>
          <w:tcPr>
            <w:tcW w:w="1938" w:type="pct"/>
            <w:gridSpan w:val="2"/>
            <w:tcBorders>
              <w:top w:val="single" w:sz="4" w:space="0" w:color="auto"/>
              <w:left w:val="nil"/>
              <w:bottom w:val="single" w:sz="4" w:space="0" w:color="auto"/>
              <w:right w:val="single" w:sz="4" w:space="0" w:color="auto"/>
            </w:tcBorders>
            <w:shd w:val="clear" w:color="000000" w:fill="DDEBF7"/>
            <w:noWrap/>
            <w:vAlign w:val="center"/>
            <w:hideMark/>
          </w:tcPr>
          <w:p w:rsidR="00B5644A" w:rsidRPr="00B5644A" w:rsidRDefault="00B5644A" w:rsidP="00B5644A">
            <w:pPr>
              <w:spacing w:after="0" w:line="240" w:lineRule="auto"/>
              <w:jc w:val="center"/>
              <w:rPr>
                <w:rFonts w:ascii="Calibri" w:eastAsia="Times New Roman" w:hAnsi="Calibri" w:cs="Times New Roman"/>
                <w:b/>
                <w:bCs/>
                <w:color w:val="000000"/>
                <w:sz w:val="16"/>
                <w:szCs w:val="16"/>
                <w:lang w:eastAsia="en-GB"/>
              </w:rPr>
            </w:pPr>
            <w:r w:rsidRPr="00B5644A">
              <w:rPr>
                <w:rFonts w:ascii="Calibri" w:eastAsia="Times New Roman" w:hAnsi="Calibri" w:cs="Times New Roman"/>
                <w:b/>
                <w:bCs/>
                <w:color w:val="000000"/>
                <w:sz w:val="16"/>
                <w:szCs w:val="16"/>
                <w:lang w:eastAsia="en-GB"/>
              </w:rPr>
              <w:t>England</w:t>
            </w:r>
          </w:p>
        </w:tc>
      </w:tr>
      <w:tr w:rsidR="00B5644A" w:rsidRPr="00B5644A" w:rsidTr="00A403F1">
        <w:trPr>
          <w:trHeight w:val="300"/>
        </w:trPr>
        <w:tc>
          <w:tcPr>
            <w:tcW w:w="1059" w:type="pct"/>
            <w:vMerge/>
            <w:tcBorders>
              <w:top w:val="single" w:sz="4" w:space="0" w:color="auto"/>
              <w:left w:val="single" w:sz="4" w:space="0" w:color="auto"/>
              <w:bottom w:val="single" w:sz="4" w:space="0" w:color="auto"/>
              <w:right w:val="single" w:sz="4" w:space="0" w:color="auto"/>
            </w:tcBorders>
            <w:vAlign w:val="center"/>
            <w:hideMark/>
          </w:tcPr>
          <w:p w:rsidR="00B5644A" w:rsidRPr="00B5644A" w:rsidRDefault="00B5644A" w:rsidP="00B5644A">
            <w:pPr>
              <w:spacing w:after="0" w:line="240" w:lineRule="auto"/>
              <w:rPr>
                <w:rFonts w:ascii="Calibri" w:eastAsia="Times New Roman" w:hAnsi="Calibri" w:cs="Times New Roman"/>
                <w:b/>
                <w:bCs/>
                <w:color w:val="000000"/>
                <w:sz w:val="16"/>
                <w:szCs w:val="16"/>
                <w:lang w:eastAsia="en-GB"/>
              </w:rPr>
            </w:pPr>
          </w:p>
        </w:tc>
        <w:tc>
          <w:tcPr>
            <w:tcW w:w="678" w:type="pct"/>
            <w:tcBorders>
              <w:top w:val="nil"/>
              <w:left w:val="nil"/>
              <w:bottom w:val="single" w:sz="4" w:space="0" w:color="auto"/>
              <w:right w:val="single" w:sz="4" w:space="0" w:color="auto"/>
            </w:tcBorders>
            <w:shd w:val="clear" w:color="000000" w:fill="DDEBF7"/>
            <w:noWrap/>
            <w:vAlign w:val="center"/>
            <w:hideMark/>
          </w:tcPr>
          <w:p w:rsidR="00B5644A" w:rsidRPr="00B5644A" w:rsidRDefault="00B5644A" w:rsidP="00B5644A">
            <w:pPr>
              <w:spacing w:after="0" w:line="240" w:lineRule="auto"/>
              <w:jc w:val="center"/>
              <w:rPr>
                <w:rFonts w:ascii="Calibri" w:eastAsia="Times New Roman" w:hAnsi="Calibri" w:cs="Times New Roman"/>
                <w:b/>
                <w:bCs/>
                <w:color w:val="000000"/>
                <w:sz w:val="16"/>
                <w:szCs w:val="16"/>
                <w:lang w:eastAsia="en-GB"/>
              </w:rPr>
            </w:pPr>
            <w:r w:rsidRPr="00B5644A">
              <w:rPr>
                <w:rFonts w:ascii="Calibri" w:eastAsia="Times New Roman" w:hAnsi="Calibri" w:cs="Times New Roman"/>
                <w:b/>
                <w:bCs/>
                <w:color w:val="000000"/>
                <w:sz w:val="16"/>
                <w:szCs w:val="16"/>
                <w:lang w:eastAsia="en-GB"/>
              </w:rPr>
              <w:t>Type 1 (%)</w:t>
            </w:r>
          </w:p>
        </w:tc>
        <w:tc>
          <w:tcPr>
            <w:tcW w:w="1325" w:type="pct"/>
            <w:tcBorders>
              <w:top w:val="nil"/>
              <w:left w:val="nil"/>
              <w:bottom w:val="single" w:sz="4" w:space="0" w:color="auto"/>
              <w:right w:val="single" w:sz="4" w:space="0" w:color="auto"/>
            </w:tcBorders>
            <w:shd w:val="clear" w:color="000000" w:fill="DDEBF7"/>
            <w:noWrap/>
            <w:vAlign w:val="center"/>
            <w:hideMark/>
          </w:tcPr>
          <w:p w:rsidR="00B5644A" w:rsidRPr="00B5644A" w:rsidRDefault="00B5644A" w:rsidP="00B5644A">
            <w:pPr>
              <w:spacing w:after="0" w:line="240" w:lineRule="auto"/>
              <w:jc w:val="center"/>
              <w:rPr>
                <w:rFonts w:ascii="Calibri" w:eastAsia="Times New Roman" w:hAnsi="Calibri" w:cs="Times New Roman"/>
                <w:b/>
                <w:bCs/>
                <w:color w:val="000000"/>
                <w:sz w:val="16"/>
                <w:szCs w:val="16"/>
                <w:lang w:eastAsia="en-GB"/>
              </w:rPr>
            </w:pPr>
            <w:r w:rsidRPr="00B5644A">
              <w:rPr>
                <w:rFonts w:ascii="Calibri" w:eastAsia="Times New Roman" w:hAnsi="Calibri" w:cs="Times New Roman"/>
                <w:b/>
                <w:bCs/>
                <w:color w:val="000000"/>
                <w:sz w:val="16"/>
                <w:szCs w:val="16"/>
                <w:lang w:eastAsia="en-GB"/>
              </w:rPr>
              <w:t>Type 2 and other (%)</w:t>
            </w:r>
          </w:p>
        </w:tc>
        <w:tc>
          <w:tcPr>
            <w:tcW w:w="656" w:type="pct"/>
            <w:tcBorders>
              <w:top w:val="nil"/>
              <w:left w:val="nil"/>
              <w:bottom w:val="single" w:sz="4" w:space="0" w:color="auto"/>
              <w:right w:val="single" w:sz="4" w:space="0" w:color="auto"/>
            </w:tcBorders>
            <w:shd w:val="clear" w:color="000000" w:fill="DDEBF7"/>
            <w:noWrap/>
            <w:vAlign w:val="center"/>
            <w:hideMark/>
          </w:tcPr>
          <w:p w:rsidR="00B5644A" w:rsidRPr="00B5644A" w:rsidRDefault="00B5644A" w:rsidP="00B5644A">
            <w:pPr>
              <w:spacing w:after="0" w:line="240" w:lineRule="auto"/>
              <w:jc w:val="center"/>
              <w:rPr>
                <w:rFonts w:ascii="Calibri" w:eastAsia="Times New Roman" w:hAnsi="Calibri" w:cs="Times New Roman"/>
                <w:b/>
                <w:bCs/>
                <w:color w:val="000000"/>
                <w:sz w:val="16"/>
                <w:szCs w:val="16"/>
                <w:lang w:eastAsia="en-GB"/>
              </w:rPr>
            </w:pPr>
            <w:r w:rsidRPr="00B5644A">
              <w:rPr>
                <w:rFonts w:ascii="Calibri" w:eastAsia="Times New Roman" w:hAnsi="Calibri" w:cs="Times New Roman"/>
                <w:b/>
                <w:bCs/>
                <w:color w:val="000000"/>
                <w:sz w:val="16"/>
                <w:szCs w:val="16"/>
                <w:lang w:eastAsia="en-GB"/>
              </w:rPr>
              <w:t>Type 1 (%)</w:t>
            </w:r>
          </w:p>
        </w:tc>
        <w:tc>
          <w:tcPr>
            <w:tcW w:w="1282" w:type="pct"/>
            <w:tcBorders>
              <w:top w:val="nil"/>
              <w:left w:val="nil"/>
              <w:bottom w:val="single" w:sz="4" w:space="0" w:color="auto"/>
              <w:right w:val="single" w:sz="4" w:space="0" w:color="auto"/>
            </w:tcBorders>
            <w:shd w:val="clear" w:color="000000" w:fill="DDEBF7"/>
            <w:noWrap/>
            <w:vAlign w:val="center"/>
            <w:hideMark/>
          </w:tcPr>
          <w:p w:rsidR="00B5644A" w:rsidRPr="00B5644A" w:rsidRDefault="00B5644A" w:rsidP="00B5644A">
            <w:pPr>
              <w:spacing w:after="0" w:line="240" w:lineRule="auto"/>
              <w:jc w:val="center"/>
              <w:rPr>
                <w:rFonts w:ascii="Calibri" w:eastAsia="Times New Roman" w:hAnsi="Calibri" w:cs="Times New Roman"/>
                <w:b/>
                <w:bCs/>
                <w:color w:val="000000"/>
                <w:sz w:val="16"/>
                <w:szCs w:val="16"/>
                <w:lang w:eastAsia="en-GB"/>
              </w:rPr>
            </w:pPr>
            <w:r w:rsidRPr="00B5644A">
              <w:rPr>
                <w:rFonts w:ascii="Calibri" w:eastAsia="Times New Roman" w:hAnsi="Calibri" w:cs="Times New Roman"/>
                <w:b/>
                <w:bCs/>
                <w:color w:val="000000"/>
                <w:sz w:val="16"/>
                <w:szCs w:val="16"/>
                <w:lang w:eastAsia="en-GB"/>
              </w:rPr>
              <w:t>Type 2 and other (%)</w:t>
            </w:r>
          </w:p>
        </w:tc>
      </w:tr>
      <w:tr w:rsidR="00B5644A" w:rsidRPr="00B5644A" w:rsidTr="00A403F1">
        <w:trPr>
          <w:trHeight w:val="300"/>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White</w:t>
            </w:r>
          </w:p>
        </w:tc>
        <w:tc>
          <w:tcPr>
            <w:tcW w:w="678"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83.7</w:t>
            </w:r>
          </w:p>
        </w:tc>
        <w:tc>
          <w:tcPr>
            <w:tcW w:w="1325"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79.9</w:t>
            </w:r>
          </w:p>
        </w:tc>
        <w:tc>
          <w:tcPr>
            <w:tcW w:w="656"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70.2</w:t>
            </w:r>
          </w:p>
        </w:tc>
        <w:tc>
          <w:tcPr>
            <w:tcW w:w="1282"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63.2</w:t>
            </w:r>
          </w:p>
        </w:tc>
      </w:tr>
      <w:tr w:rsidR="00B5644A" w:rsidRPr="00B5644A" w:rsidTr="00A403F1">
        <w:trPr>
          <w:trHeight w:val="300"/>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Minority Ethnic Origin</w:t>
            </w:r>
          </w:p>
        </w:tc>
        <w:tc>
          <w:tcPr>
            <w:tcW w:w="678"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8.6</w:t>
            </w:r>
          </w:p>
        </w:tc>
        <w:tc>
          <w:tcPr>
            <w:tcW w:w="1325"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11.8</w:t>
            </w:r>
          </w:p>
        </w:tc>
        <w:tc>
          <w:tcPr>
            <w:tcW w:w="656"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9.7</w:t>
            </w:r>
          </w:p>
        </w:tc>
        <w:tc>
          <w:tcPr>
            <w:tcW w:w="1282"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19.1</w:t>
            </w:r>
          </w:p>
        </w:tc>
      </w:tr>
      <w:tr w:rsidR="00B5644A" w:rsidRPr="00B5644A" w:rsidTr="00A403F1">
        <w:trPr>
          <w:trHeight w:val="300"/>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Unknown/Not Stated</w:t>
            </w:r>
          </w:p>
        </w:tc>
        <w:tc>
          <w:tcPr>
            <w:tcW w:w="678"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7.7</w:t>
            </w:r>
          </w:p>
        </w:tc>
        <w:tc>
          <w:tcPr>
            <w:tcW w:w="1325"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8.3</w:t>
            </w:r>
          </w:p>
        </w:tc>
        <w:tc>
          <w:tcPr>
            <w:tcW w:w="656"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20.2</w:t>
            </w:r>
          </w:p>
        </w:tc>
        <w:tc>
          <w:tcPr>
            <w:tcW w:w="1282" w:type="pct"/>
            <w:tcBorders>
              <w:top w:val="nil"/>
              <w:left w:val="nil"/>
              <w:bottom w:val="single" w:sz="4" w:space="0" w:color="auto"/>
              <w:right w:val="single" w:sz="4" w:space="0" w:color="auto"/>
            </w:tcBorders>
            <w:shd w:val="clear" w:color="auto" w:fill="auto"/>
            <w:noWrap/>
            <w:vAlign w:val="center"/>
            <w:hideMark/>
          </w:tcPr>
          <w:p w:rsidR="00B5644A" w:rsidRPr="00B5644A" w:rsidRDefault="00B5644A" w:rsidP="00B5644A">
            <w:pPr>
              <w:spacing w:after="0" w:line="240" w:lineRule="auto"/>
              <w:jc w:val="center"/>
              <w:rPr>
                <w:rFonts w:ascii="Calibri" w:eastAsia="Times New Roman" w:hAnsi="Calibri" w:cs="Times New Roman"/>
                <w:color w:val="000000"/>
                <w:sz w:val="16"/>
                <w:szCs w:val="16"/>
                <w:lang w:eastAsia="en-GB"/>
              </w:rPr>
            </w:pPr>
            <w:r w:rsidRPr="00B5644A">
              <w:rPr>
                <w:rFonts w:ascii="Calibri" w:eastAsia="Times New Roman" w:hAnsi="Calibri" w:cs="Times New Roman"/>
                <w:color w:val="000000"/>
                <w:sz w:val="16"/>
                <w:szCs w:val="16"/>
                <w:lang w:eastAsia="en-GB"/>
              </w:rPr>
              <w:t>17.8</w:t>
            </w:r>
          </w:p>
        </w:tc>
      </w:tr>
    </w:tbl>
    <w:p w:rsidR="00B5644A" w:rsidRDefault="00B5644A"/>
    <w:p w:rsidR="00A403F1" w:rsidRDefault="00A403F1">
      <w:r>
        <w:t xml:space="preserve">Within the CCG, registrations for patients with a ‘White’ ethnicity were higher than for England for both type 1 and type 2 and other diabetes and conversely lower for minority ethnic origin patients; numbers unknown/not stated are also lower than for England. </w:t>
      </w:r>
    </w:p>
    <w:p w:rsidR="00A403F1" w:rsidRPr="00B57FEB" w:rsidRDefault="00A403F1" w:rsidP="00A403F1">
      <w:pPr>
        <w:rPr>
          <w:b/>
        </w:rPr>
      </w:pPr>
      <w:r w:rsidRPr="00B57FEB">
        <w:rPr>
          <w:b/>
        </w:rPr>
        <w:t xml:space="preserve">Figure </w:t>
      </w:r>
      <w:r w:rsidR="00121509">
        <w:rPr>
          <w:b/>
        </w:rPr>
        <w:t>7</w:t>
      </w:r>
      <w:r w:rsidRPr="00B57FEB">
        <w:rPr>
          <w:b/>
        </w:rPr>
        <w:t>: National Diabetes Audit</w:t>
      </w:r>
      <w:r w:rsidR="0035515A">
        <w:rPr>
          <w:b/>
        </w:rPr>
        <w:t xml:space="preserve"> </w:t>
      </w:r>
      <w:r w:rsidR="00DB31A4">
        <w:rPr>
          <w:b/>
        </w:rPr>
        <w:t xml:space="preserve">2013-14 / </w:t>
      </w:r>
      <w:r w:rsidRPr="00B57FEB">
        <w:rPr>
          <w:b/>
        </w:rPr>
        <w:t xml:space="preserve">2014-15, </w:t>
      </w:r>
      <w:r>
        <w:rPr>
          <w:b/>
        </w:rPr>
        <w:t>Care Process Completion for People with Type 1 Diabetes</w:t>
      </w:r>
    </w:p>
    <w:tbl>
      <w:tblPr>
        <w:tblW w:w="5000" w:type="pct"/>
        <w:tblLayout w:type="fixed"/>
        <w:tblLook w:val="04A0" w:firstRow="1" w:lastRow="0" w:firstColumn="1" w:lastColumn="0" w:noHBand="0" w:noVBand="1"/>
      </w:tblPr>
      <w:tblGrid>
        <w:gridCol w:w="1157"/>
        <w:gridCol w:w="1163"/>
        <w:gridCol w:w="1163"/>
        <w:gridCol w:w="1207"/>
        <w:gridCol w:w="1290"/>
        <w:gridCol w:w="1290"/>
        <w:gridCol w:w="1009"/>
        <w:gridCol w:w="963"/>
      </w:tblGrid>
      <w:tr w:rsidR="004964EE" w:rsidRPr="00A403F1" w:rsidTr="000A3A9E">
        <w:trPr>
          <w:trHeight w:val="300"/>
        </w:trPr>
        <w:tc>
          <w:tcPr>
            <w:tcW w:w="626" w:type="pct"/>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Care Process</w:t>
            </w:r>
          </w:p>
        </w:tc>
        <w:tc>
          <w:tcPr>
            <w:tcW w:w="1910" w:type="pct"/>
            <w:gridSpan w:val="3"/>
            <w:tcBorders>
              <w:top w:val="single" w:sz="4" w:space="0" w:color="auto"/>
              <w:left w:val="nil"/>
              <w:bottom w:val="single" w:sz="4" w:space="0" w:color="auto"/>
              <w:right w:val="single" w:sz="4" w:space="0" w:color="auto"/>
            </w:tcBorders>
            <w:shd w:val="clear" w:color="000000" w:fill="DDEBF7"/>
            <w:vAlign w:val="center"/>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C&amp;P </w:t>
            </w:r>
            <w:r w:rsidRPr="00A403F1">
              <w:rPr>
                <w:rFonts w:ascii="Calibri" w:eastAsia="Times New Roman" w:hAnsi="Calibri" w:cs="Times New Roman"/>
                <w:b/>
                <w:bCs/>
                <w:color w:val="000000"/>
                <w:sz w:val="16"/>
                <w:szCs w:val="16"/>
                <w:lang w:eastAsia="en-GB"/>
              </w:rPr>
              <w:t>CCG</w:t>
            </w:r>
          </w:p>
        </w:tc>
        <w:tc>
          <w:tcPr>
            <w:tcW w:w="1942" w:type="pct"/>
            <w:gridSpan w:val="3"/>
            <w:tcBorders>
              <w:top w:val="single" w:sz="4" w:space="0" w:color="auto"/>
              <w:left w:val="nil"/>
              <w:bottom w:val="single" w:sz="4" w:space="0" w:color="auto"/>
              <w:right w:val="single" w:sz="4" w:space="0" w:color="auto"/>
            </w:tcBorders>
            <w:shd w:val="clear" w:color="000000" w:fill="DDEBF7"/>
            <w:vAlign w:val="center"/>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England</w:t>
            </w:r>
          </w:p>
        </w:tc>
        <w:tc>
          <w:tcPr>
            <w:tcW w:w="522" w:type="pct"/>
            <w:vMerge w:val="restart"/>
            <w:tcBorders>
              <w:top w:val="single" w:sz="4" w:space="0" w:color="auto"/>
              <w:left w:val="nil"/>
              <w:right w:val="single" w:sz="4" w:space="0" w:color="auto"/>
            </w:tcBorders>
            <w:shd w:val="clear" w:color="000000" w:fill="DDEBF7"/>
            <w:vAlign w:val="center"/>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CCG </w:t>
            </w:r>
            <w:r w:rsidRPr="00A403F1">
              <w:rPr>
                <w:rFonts w:ascii="Calibri" w:eastAsia="Times New Roman" w:hAnsi="Calibri" w:cs="Times New Roman"/>
                <w:b/>
                <w:bCs/>
                <w:color w:val="000000"/>
                <w:sz w:val="16"/>
                <w:szCs w:val="16"/>
                <w:lang w:eastAsia="en-GB"/>
              </w:rPr>
              <w:t>Banding</w:t>
            </w:r>
          </w:p>
        </w:tc>
      </w:tr>
      <w:tr w:rsidR="004964EE" w:rsidRPr="00A403F1" w:rsidTr="000A3A9E">
        <w:trPr>
          <w:trHeight w:val="300"/>
        </w:trPr>
        <w:tc>
          <w:tcPr>
            <w:tcW w:w="626" w:type="pct"/>
            <w:vMerge/>
            <w:tcBorders>
              <w:top w:val="single" w:sz="4" w:space="0" w:color="auto"/>
              <w:left w:val="single" w:sz="4" w:space="0" w:color="auto"/>
              <w:bottom w:val="single" w:sz="4" w:space="0" w:color="000000"/>
              <w:right w:val="single" w:sz="4" w:space="0" w:color="auto"/>
            </w:tcBorders>
            <w:vAlign w:val="center"/>
            <w:hideMark/>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p>
        </w:tc>
        <w:tc>
          <w:tcPr>
            <w:tcW w:w="629" w:type="pct"/>
            <w:tcBorders>
              <w:top w:val="single" w:sz="4" w:space="0" w:color="auto"/>
              <w:left w:val="nil"/>
              <w:bottom w:val="single" w:sz="4" w:space="0" w:color="auto"/>
              <w:right w:val="single" w:sz="4" w:space="0" w:color="auto"/>
            </w:tcBorders>
            <w:shd w:val="clear" w:color="000000" w:fill="DDEBF7"/>
            <w:vAlign w:val="center"/>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 Completed</w:t>
            </w:r>
            <w:r>
              <w:rPr>
                <w:rFonts w:ascii="Calibri" w:eastAsia="Times New Roman" w:hAnsi="Calibri" w:cs="Times New Roman"/>
                <w:b/>
                <w:bCs/>
                <w:color w:val="000000"/>
                <w:sz w:val="16"/>
                <w:szCs w:val="16"/>
                <w:lang w:eastAsia="en-GB"/>
              </w:rPr>
              <w:t xml:space="preserve"> 2013-14</w:t>
            </w:r>
          </w:p>
        </w:tc>
        <w:tc>
          <w:tcPr>
            <w:tcW w:w="6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 Completed</w:t>
            </w:r>
            <w:r>
              <w:rPr>
                <w:rFonts w:ascii="Calibri" w:eastAsia="Times New Roman" w:hAnsi="Calibri" w:cs="Times New Roman"/>
                <w:b/>
                <w:bCs/>
                <w:color w:val="000000"/>
                <w:sz w:val="16"/>
                <w:szCs w:val="16"/>
                <w:lang w:eastAsia="en-GB"/>
              </w:rPr>
              <w:t xml:space="preserve"> 2014-15</w:t>
            </w:r>
          </w:p>
        </w:tc>
        <w:tc>
          <w:tcPr>
            <w:tcW w:w="653" w:type="pct"/>
            <w:tcBorders>
              <w:top w:val="nil"/>
              <w:left w:val="nil"/>
              <w:bottom w:val="single" w:sz="4" w:space="0" w:color="auto"/>
              <w:right w:val="single" w:sz="4" w:space="0" w:color="auto"/>
            </w:tcBorders>
            <w:shd w:val="clear" w:color="000000" w:fill="DDEBF7"/>
            <w:noWrap/>
            <w:vAlign w:val="center"/>
            <w:hideMark/>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Variance 2013-14 / 2014-15</w:t>
            </w:r>
          </w:p>
        </w:tc>
        <w:tc>
          <w:tcPr>
            <w:tcW w:w="698" w:type="pct"/>
            <w:tcBorders>
              <w:top w:val="single" w:sz="4" w:space="0" w:color="auto"/>
              <w:left w:val="nil"/>
              <w:bottom w:val="single" w:sz="4" w:space="0" w:color="auto"/>
              <w:right w:val="single" w:sz="4" w:space="0" w:color="auto"/>
            </w:tcBorders>
            <w:shd w:val="clear" w:color="000000" w:fill="DDEBF7"/>
            <w:vAlign w:val="center"/>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 Completed</w:t>
            </w:r>
            <w:r>
              <w:rPr>
                <w:rFonts w:ascii="Calibri" w:eastAsia="Times New Roman" w:hAnsi="Calibri" w:cs="Times New Roman"/>
                <w:b/>
                <w:bCs/>
                <w:color w:val="000000"/>
                <w:sz w:val="16"/>
                <w:szCs w:val="16"/>
                <w:lang w:eastAsia="en-GB"/>
              </w:rPr>
              <w:t xml:space="preserve"> 2013-14</w:t>
            </w:r>
          </w:p>
        </w:tc>
        <w:tc>
          <w:tcPr>
            <w:tcW w:w="69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 Completed</w:t>
            </w:r>
            <w:r>
              <w:rPr>
                <w:rFonts w:ascii="Calibri" w:eastAsia="Times New Roman" w:hAnsi="Calibri" w:cs="Times New Roman"/>
                <w:b/>
                <w:bCs/>
                <w:color w:val="000000"/>
                <w:sz w:val="16"/>
                <w:szCs w:val="16"/>
                <w:lang w:eastAsia="en-GB"/>
              </w:rPr>
              <w:t xml:space="preserve"> 2014-15</w:t>
            </w:r>
          </w:p>
        </w:tc>
        <w:tc>
          <w:tcPr>
            <w:tcW w:w="545" w:type="pct"/>
            <w:tcBorders>
              <w:top w:val="single" w:sz="4" w:space="0" w:color="auto"/>
              <w:left w:val="single" w:sz="4" w:space="0" w:color="auto"/>
              <w:bottom w:val="single" w:sz="4" w:space="0" w:color="auto"/>
              <w:right w:val="single" w:sz="4" w:space="0" w:color="auto"/>
            </w:tcBorders>
            <w:shd w:val="clear" w:color="000000" w:fill="DDEBF7"/>
            <w:vAlign w:val="center"/>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Variance 2013-14 / 2014-15</w:t>
            </w:r>
          </w:p>
        </w:tc>
        <w:tc>
          <w:tcPr>
            <w:tcW w:w="522" w:type="pct"/>
            <w:vMerge/>
            <w:tcBorders>
              <w:left w:val="single" w:sz="4" w:space="0" w:color="auto"/>
              <w:bottom w:val="single" w:sz="4" w:space="0" w:color="auto"/>
              <w:right w:val="single" w:sz="4" w:space="0" w:color="auto"/>
            </w:tcBorders>
            <w:shd w:val="clear" w:color="000000" w:fill="DDEBF7"/>
            <w:vAlign w:val="center"/>
          </w:tcPr>
          <w:p w:rsidR="004964EE" w:rsidRPr="00A403F1" w:rsidRDefault="004964EE" w:rsidP="000A3A9E">
            <w:pPr>
              <w:spacing w:after="0" w:line="240" w:lineRule="auto"/>
              <w:jc w:val="center"/>
              <w:rPr>
                <w:rFonts w:ascii="Calibri" w:eastAsia="Times New Roman" w:hAnsi="Calibri" w:cs="Times New Roman"/>
                <w:b/>
                <w:bCs/>
                <w:color w:val="000000"/>
                <w:sz w:val="16"/>
                <w:szCs w:val="16"/>
                <w:lang w:eastAsia="en-GB"/>
              </w:rPr>
            </w:pPr>
          </w:p>
        </w:tc>
      </w:tr>
      <w:tr w:rsidR="000A3A9E" w:rsidRPr="00A403F1" w:rsidTr="000A3A9E">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color w:val="000000"/>
                <w:sz w:val="16"/>
                <w:szCs w:val="16"/>
              </w:rPr>
            </w:pPr>
            <w:r>
              <w:rPr>
                <w:color w:val="000000"/>
                <w:sz w:val="16"/>
                <w:szCs w:val="16"/>
              </w:rPr>
              <w:t>HbA1C</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83.7</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82.4</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-1.3</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81.5</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84.0</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548235"/>
                <w:sz w:val="16"/>
                <w:szCs w:val="16"/>
              </w:rPr>
            </w:pPr>
            <w:r>
              <w:rPr>
                <w:rFonts w:ascii="Calibri" w:hAnsi="Calibri"/>
                <w:color w:val="548235"/>
                <w:sz w:val="16"/>
                <w:szCs w:val="16"/>
              </w:rPr>
              <w:t>2.5</w:t>
            </w:r>
          </w:p>
        </w:tc>
        <w:tc>
          <w:tcPr>
            <w:tcW w:w="522" w:type="pct"/>
            <w:tcBorders>
              <w:top w:val="nil"/>
              <w:left w:val="nil"/>
              <w:bottom w:val="single" w:sz="8" w:space="0" w:color="auto"/>
              <w:right w:val="single" w:sz="8" w:space="0" w:color="auto"/>
            </w:tcBorders>
            <w:shd w:val="clear" w:color="000000" w:fill="FFEB9C"/>
            <w:vAlign w:val="center"/>
          </w:tcPr>
          <w:p w:rsidR="000A3A9E" w:rsidRDefault="000A3A9E" w:rsidP="000A3A9E">
            <w:pPr>
              <w:jc w:val="center"/>
              <w:rPr>
                <w:rFonts w:ascii="Calibri" w:hAnsi="Calibri"/>
                <w:color w:val="9C6500"/>
                <w:sz w:val="16"/>
                <w:szCs w:val="16"/>
              </w:rPr>
            </w:pPr>
            <w:r>
              <w:rPr>
                <w:rFonts w:ascii="Calibri" w:hAnsi="Calibri"/>
                <w:color w:val="9C6500"/>
                <w:sz w:val="16"/>
                <w:szCs w:val="16"/>
              </w:rPr>
              <w:t>As expected</w:t>
            </w:r>
          </w:p>
        </w:tc>
      </w:tr>
      <w:tr w:rsidR="000A3A9E" w:rsidRPr="00A403F1" w:rsidTr="000A3A9E">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rFonts w:ascii="Times New Roman" w:hAnsi="Times New Roman"/>
                <w:color w:val="000000"/>
                <w:sz w:val="16"/>
                <w:szCs w:val="16"/>
              </w:rPr>
            </w:pPr>
            <w:r>
              <w:rPr>
                <w:color w:val="000000"/>
                <w:sz w:val="16"/>
                <w:szCs w:val="16"/>
              </w:rPr>
              <w:t>Blood Pressure</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88.4</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88.6</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548235"/>
                <w:sz w:val="16"/>
                <w:szCs w:val="16"/>
              </w:rPr>
            </w:pPr>
            <w:r>
              <w:rPr>
                <w:rFonts w:ascii="Calibri" w:hAnsi="Calibri"/>
                <w:color w:val="548235"/>
                <w:sz w:val="16"/>
                <w:szCs w:val="16"/>
              </w:rPr>
              <w:t>0.2</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87.2</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89.3</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548235"/>
                <w:sz w:val="16"/>
                <w:szCs w:val="16"/>
              </w:rPr>
            </w:pPr>
            <w:r>
              <w:rPr>
                <w:rFonts w:ascii="Calibri" w:hAnsi="Calibri"/>
                <w:color w:val="548235"/>
                <w:sz w:val="16"/>
                <w:szCs w:val="16"/>
              </w:rPr>
              <w:t>2.1</w:t>
            </w:r>
          </w:p>
        </w:tc>
        <w:tc>
          <w:tcPr>
            <w:tcW w:w="522" w:type="pct"/>
            <w:tcBorders>
              <w:top w:val="nil"/>
              <w:left w:val="nil"/>
              <w:bottom w:val="single" w:sz="8" w:space="0" w:color="auto"/>
              <w:right w:val="single" w:sz="8" w:space="0" w:color="auto"/>
            </w:tcBorders>
            <w:shd w:val="clear" w:color="000000" w:fill="FFEB9C"/>
            <w:vAlign w:val="center"/>
          </w:tcPr>
          <w:p w:rsidR="000A3A9E" w:rsidRDefault="000A3A9E" w:rsidP="000A3A9E">
            <w:pPr>
              <w:jc w:val="center"/>
              <w:rPr>
                <w:rFonts w:ascii="Calibri" w:hAnsi="Calibri"/>
                <w:color w:val="9C6500"/>
                <w:sz w:val="16"/>
                <w:szCs w:val="16"/>
              </w:rPr>
            </w:pPr>
            <w:r>
              <w:rPr>
                <w:rFonts w:ascii="Calibri" w:hAnsi="Calibri"/>
                <w:color w:val="9C6500"/>
                <w:sz w:val="16"/>
                <w:szCs w:val="16"/>
              </w:rPr>
              <w:t>As expected</w:t>
            </w:r>
          </w:p>
        </w:tc>
      </w:tr>
      <w:tr w:rsidR="000A3A9E" w:rsidRPr="00A403F1" w:rsidTr="000A3A9E">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rFonts w:ascii="Times New Roman" w:hAnsi="Times New Roman"/>
                <w:color w:val="000000"/>
                <w:sz w:val="16"/>
                <w:szCs w:val="16"/>
              </w:rPr>
            </w:pPr>
            <w:r>
              <w:rPr>
                <w:color w:val="000000"/>
                <w:sz w:val="16"/>
                <w:szCs w:val="16"/>
              </w:rPr>
              <w:t>Cholesterol</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76.3</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75.4</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-0.9</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77.9</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79.5</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548235"/>
                <w:sz w:val="16"/>
                <w:szCs w:val="16"/>
              </w:rPr>
            </w:pPr>
            <w:r>
              <w:rPr>
                <w:rFonts w:ascii="Calibri" w:hAnsi="Calibri"/>
                <w:color w:val="548235"/>
                <w:sz w:val="16"/>
                <w:szCs w:val="16"/>
              </w:rPr>
              <w:t>1.6</w:t>
            </w:r>
          </w:p>
        </w:tc>
        <w:tc>
          <w:tcPr>
            <w:tcW w:w="522" w:type="pct"/>
            <w:tcBorders>
              <w:top w:val="nil"/>
              <w:left w:val="nil"/>
              <w:bottom w:val="single" w:sz="8" w:space="0" w:color="auto"/>
              <w:right w:val="single" w:sz="8" w:space="0" w:color="auto"/>
            </w:tcBorders>
            <w:shd w:val="clear" w:color="000000" w:fill="FFC7CE"/>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Lower than expected</w:t>
            </w:r>
          </w:p>
        </w:tc>
      </w:tr>
      <w:tr w:rsidR="000A3A9E" w:rsidRPr="00A403F1" w:rsidTr="000A3A9E">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rFonts w:ascii="Times New Roman" w:hAnsi="Times New Roman"/>
                <w:color w:val="000000"/>
                <w:sz w:val="16"/>
                <w:szCs w:val="16"/>
              </w:rPr>
            </w:pPr>
            <w:r>
              <w:rPr>
                <w:color w:val="000000"/>
                <w:sz w:val="16"/>
                <w:szCs w:val="16"/>
              </w:rPr>
              <w:t>Serum Creatinine</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78.7</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77.8</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-0.9</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79.3</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81.1</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548235"/>
                <w:sz w:val="16"/>
                <w:szCs w:val="16"/>
              </w:rPr>
            </w:pPr>
            <w:r>
              <w:rPr>
                <w:rFonts w:ascii="Calibri" w:hAnsi="Calibri"/>
                <w:color w:val="548235"/>
                <w:sz w:val="16"/>
                <w:szCs w:val="16"/>
              </w:rPr>
              <w:t>1.8</w:t>
            </w:r>
          </w:p>
        </w:tc>
        <w:tc>
          <w:tcPr>
            <w:tcW w:w="522" w:type="pct"/>
            <w:tcBorders>
              <w:top w:val="nil"/>
              <w:left w:val="nil"/>
              <w:bottom w:val="single" w:sz="8" w:space="0" w:color="auto"/>
              <w:right w:val="single" w:sz="8" w:space="0" w:color="auto"/>
            </w:tcBorders>
            <w:shd w:val="clear" w:color="000000" w:fill="FFEB9C"/>
            <w:vAlign w:val="center"/>
          </w:tcPr>
          <w:p w:rsidR="000A3A9E" w:rsidRDefault="000A3A9E" w:rsidP="000A3A9E">
            <w:pPr>
              <w:jc w:val="center"/>
              <w:rPr>
                <w:rFonts w:ascii="Calibri" w:hAnsi="Calibri"/>
                <w:color w:val="9C6500"/>
                <w:sz w:val="16"/>
                <w:szCs w:val="16"/>
              </w:rPr>
            </w:pPr>
            <w:r>
              <w:rPr>
                <w:rFonts w:ascii="Calibri" w:hAnsi="Calibri"/>
                <w:color w:val="9C6500"/>
                <w:sz w:val="16"/>
                <w:szCs w:val="16"/>
              </w:rPr>
              <w:t>As expected</w:t>
            </w:r>
          </w:p>
        </w:tc>
      </w:tr>
      <w:tr w:rsidR="000A3A9E" w:rsidRPr="00A403F1" w:rsidTr="000A3A9E">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rFonts w:ascii="Times New Roman" w:hAnsi="Times New Roman"/>
                <w:color w:val="000000"/>
                <w:sz w:val="16"/>
                <w:szCs w:val="16"/>
              </w:rPr>
            </w:pPr>
            <w:r>
              <w:rPr>
                <w:color w:val="000000"/>
                <w:sz w:val="16"/>
                <w:szCs w:val="16"/>
              </w:rPr>
              <w:t>Urine Albumin</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62.0</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53.0</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-9.0</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64.4</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56.7</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-7.7</w:t>
            </w:r>
          </w:p>
        </w:tc>
        <w:tc>
          <w:tcPr>
            <w:tcW w:w="522" w:type="pct"/>
            <w:tcBorders>
              <w:top w:val="nil"/>
              <w:left w:val="nil"/>
              <w:bottom w:val="single" w:sz="8" w:space="0" w:color="auto"/>
              <w:right w:val="single" w:sz="8" w:space="0" w:color="auto"/>
            </w:tcBorders>
            <w:shd w:val="clear" w:color="000000" w:fill="FFC7CE"/>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Lower than expected</w:t>
            </w:r>
          </w:p>
        </w:tc>
      </w:tr>
      <w:tr w:rsidR="000A3A9E" w:rsidRPr="00A403F1" w:rsidTr="000A3A9E">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rFonts w:ascii="Times New Roman" w:hAnsi="Times New Roman"/>
                <w:color w:val="000000"/>
                <w:sz w:val="16"/>
                <w:szCs w:val="16"/>
              </w:rPr>
            </w:pPr>
            <w:r>
              <w:rPr>
                <w:color w:val="000000"/>
                <w:sz w:val="16"/>
                <w:szCs w:val="16"/>
              </w:rPr>
              <w:t>Foot Surveillance</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73.6</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74.9</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548235"/>
                <w:sz w:val="16"/>
                <w:szCs w:val="16"/>
              </w:rPr>
            </w:pPr>
            <w:r>
              <w:rPr>
                <w:rFonts w:ascii="Calibri" w:hAnsi="Calibri"/>
                <w:color w:val="548235"/>
                <w:sz w:val="16"/>
                <w:szCs w:val="16"/>
              </w:rPr>
              <w:t>1.3</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71.4</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73.4</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548235"/>
                <w:sz w:val="16"/>
                <w:szCs w:val="16"/>
              </w:rPr>
            </w:pPr>
            <w:r>
              <w:rPr>
                <w:rFonts w:ascii="Calibri" w:hAnsi="Calibri"/>
                <w:color w:val="548235"/>
                <w:sz w:val="16"/>
                <w:szCs w:val="16"/>
              </w:rPr>
              <w:t>2.0</w:t>
            </w:r>
          </w:p>
        </w:tc>
        <w:tc>
          <w:tcPr>
            <w:tcW w:w="522" w:type="pct"/>
            <w:tcBorders>
              <w:top w:val="nil"/>
              <w:left w:val="nil"/>
              <w:bottom w:val="single" w:sz="8" w:space="0" w:color="auto"/>
              <w:right w:val="single" w:sz="8" w:space="0" w:color="auto"/>
            </w:tcBorders>
            <w:shd w:val="clear" w:color="000000" w:fill="C6EFCE"/>
            <w:vAlign w:val="center"/>
          </w:tcPr>
          <w:p w:rsidR="000A3A9E" w:rsidRDefault="000A3A9E" w:rsidP="000A3A9E">
            <w:pPr>
              <w:jc w:val="center"/>
              <w:rPr>
                <w:rFonts w:ascii="Calibri" w:hAnsi="Calibri"/>
                <w:color w:val="006100"/>
                <w:sz w:val="16"/>
                <w:szCs w:val="16"/>
              </w:rPr>
            </w:pPr>
            <w:r>
              <w:rPr>
                <w:rFonts w:ascii="Calibri" w:hAnsi="Calibri"/>
                <w:color w:val="006100"/>
                <w:sz w:val="16"/>
                <w:szCs w:val="16"/>
              </w:rPr>
              <w:t>Higher than expected</w:t>
            </w:r>
          </w:p>
        </w:tc>
      </w:tr>
      <w:tr w:rsidR="000A3A9E" w:rsidRPr="00A403F1" w:rsidTr="000A3A9E">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rFonts w:ascii="Times New Roman" w:hAnsi="Times New Roman"/>
                <w:color w:val="000000"/>
                <w:sz w:val="16"/>
                <w:szCs w:val="16"/>
              </w:rPr>
            </w:pPr>
            <w:r>
              <w:rPr>
                <w:color w:val="000000"/>
                <w:sz w:val="16"/>
                <w:szCs w:val="16"/>
              </w:rPr>
              <w:t>BMI</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81.2</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79.4</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-1.8</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77.2</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75.4</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-1.8</w:t>
            </w:r>
          </w:p>
        </w:tc>
        <w:tc>
          <w:tcPr>
            <w:tcW w:w="522" w:type="pct"/>
            <w:tcBorders>
              <w:top w:val="nil"/>
              <w:left w:val="nil"/>
              <w:bottom w:val="single" w:sz="8" w:space="0" w:color="auto"/>
              <w:right w:val="single" w:sz="8" w:space="0" w:color="auto"/>
            </w:tcBorders>
            <w:shd w:val="clear" w:color="000000" w:fill="FFEB9C"/>
            <w:vAlign w:val="center"/>
          </w:tcPr>
          <w:p w:rsidR="000A3A9E" w:rsidRDefault="000A3A9E" w:rsidP="000A3A9E">
            <w:pPr>
              <w:jc w:val="center"/>
              <w:rPr>
                <w:rFonts w:ascii="Calibri" w:hAnsi="Calibri"/>
                <w:color w:val="9C6500"/>
                <w:sz w:val="16"/>
                <w:szCs w:val="16"/>
              </w:rPr>
            </w:pPr>
            <w:r>
              <w:rPr>
                <w:rFonts w:ascii="Calibri" w:hAnsi="Calibri"/>
                <w:color w:val="9C6500"/>
                <w:sz w:val="16"/>
                <w:szCs w:val="16"/>
              </w:rPr>
              <w:t>As expected</w:t>
            </w:r>
          </w:p>
        </w:tc>
      </w:tr>
      <w:tr w:rsidR="000A3A9E" w:rsidRPr="00A403F1" w:rsidTr="000A3A9E">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rFonts w:ascii="Times New Roman" w:hAnsi="Times New Roman"/>
                <w:color w:val="000000"/>
                <w:sz w:val="16"/>
                <w:szCs w:val="16"/>
              </w:rPr>
            </w:pPr>
            <w:r>
              <w:rPr>
                <w:color w:val="000000"/>
                <w:sz w:val="16"/>
                <w:szCs w:val="16"/>
              </w:rPr>
              <w:t>Smoking</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80.8</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77.8</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-3.0</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77.9</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78.3</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548235"/>
                <w:sz w:val="16"/>
                <w:szCs w:val="16"/>
              </w:rPr>
            </w:pPr>
            <w:r>
              <w:rPr>
                <w:rFonts w:ascii="Calibri" w:hAnsi="Calibri"/>
                <w:color w:val="548235"/>
                <w:sz w:val="16"/>
                <w:szCs w:val="16"/>
              </w:rPr>
              <w:t>0.4</w:t>
            </w:r>
          </w:p>
        </w:tc>
        <w:tc>
          <w:tcPr>
            <w:tcW w:w="522" w:type="pct"/>
            <w:tcBorders>
              <w:top w:val="nil"/>
              <w:left w:val="nil"/>
              <w:bottom w:val="single" w:sz="8" w:space="0" w:color="auto"/>
              <w:right w:val="single" w:sz="8" w:space="0" w:color="auto"/>
            </w:tcBorders>
            <w:shd w:val="clear" w:color="000000" w:fill="FFEB9C"/>
            <w:vAlign w:val="center"/>
          </w:tcPr>
          <w:p w:rsidR="000A3A9E" w:rsidRDefault="000A3A9E" w:rsidP="000A3A9E">
            <w:pPr>
              <w:jc w:val="center"/>
              <w:rPr>
                <w:rFonts w:ascii="Calibri" w:hAnsi="Calibri"/>
                <w:color w:val="9C6500"/>
                <w:sz w:val="16"/>
                <w:szCs w:val="16"/>
              </w:rPr>
            </w:pPr>
            <w:r>
              <w:rPr>
                <w:rFonts w:ascii="Calibri" w:hAnsi="Calibri"/>
                <w:color w:val="9C6500"/>
                <w:sz w:val="16"/>
                <w:szCs w:val="16"/>
              </w:rPr>
              <w:t>As expected</w:t>
            </w:r>
          </w:p>
        </w:tc>
      </w:tr>
      <w:tr w:rsidR="000A3A9E" w:rsidRPr="00A403F1" w:rsidTr="000A3A9E">
        <w:trPr>
          <w:trHeight w:val="45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0A3A9E" w:rsidRDefault="000A3A9E" w:rsidP="000A3A9E">
            <w:pPr>
              <w:jc w:val="center"/>
              <w:rPr>
                <w:rFonts w:ascii="Times New Roman" w:hAnsi="Times New Roman"/>
                <w:b/>
                <w:bCs/>
                <w:color w:val="000000"/>
                <w:sz w:val="16"/>
                <w:szCs w:val="16"/>
              </w:rPr>
            </w:pPr>
            <w:r>
              <w:rPr>
                <w:b/>
                <w:bCs/>
                <w:color w:val="000000"/>
                <w:sz w:val="16"/>
                <w:szCs w:val="16"/>
              </w:rPr>
              <w:t>All Eight Care Processes</w:t>
            </w:r>
          </w:p>
        </w:tc>
        <w:tc>
          <w:tcPr>
            <w:tcW w:w="629"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47.2</w:t>
            </w:r>
          </w:p>
        </w:tc>
        <w:tc>
          <w:tcPr>
            <w:tcW w:w="629"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40.8</w:t>
            </w:r>
          </w:p>
        </w:tc>
        <w:tc>
          <w:tcPr>
            <w:tcW w:w="653" w:type="pct"/>
            <w:tcBorders>
              <w:top w:val="nil"/>
              <w:left w:val="nil"/>
              <w:bottom w:val="single" w:sz="8" w:space="0" w:color="auto"/>
              <w:right w:val="single" w:sz="8" w:space="0" w:color="auto"/>
            </w:tcBorders>
            <w:shd w:val="clear" w:color="auto" w:fill="auto"/>
            <w:noWrap/>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-6.4</w:t>
            </w:r>
          </w:p>
        </w:tc>
        <w:tc>
          <w:tcPr>
            <w:tcW w:w="698"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000000"/>
                <w:sz w:val="16"/>
                <w:szCs w:val="16"/>
              </w:rPr>
            </w:pPr>
            <w:r>
              <w:rPr>
                <w:rFonts w:ascii="Calibri" w:hAnsi="Calibri"/>
                <w:color w:val="000000"/>
                <w:sz w:val="16"/>
                <w:szCs w:val="16"/>
              </w:rPr>
              <w:t>45.2</w:t>
            </w:r>
          </w:p>
        </w:tc>
        <w:tc>
          <w:tcPr>
            <w:tcW w:w="698" w:type="pct"/>
            <w:tcBorders>
              <w:top w:val="nil"/>
              <w:left w:val="nil"/>
              <w:bottom w:val="single" w:sz="8" w:space="0" w:color="auto"/>
              <w:right w:val="single" w:sz="8" w:space="0" w:color="auto"/>
            </w:tcBorders>
            <w:shd w:val="clear" w:color="auto" w:fill="auto"/>
            <w:noWrap/>
            <w:vAlign w:val="center"/>
            <w:hideMark/>
          </w:tcPr>
          <w:p w:rsidR="000A3A9E" w:rsidRDefault="000A3A9E" w:rsidP="000A3A9E">
            <w:pPr>
              <w:jc w:val="center"/>
              <w:rPr>
                <w:rFonts w:ascii="Calibri" w:hAnsi="Calibri"/>
                <w:color w:val="000000"/>
                <w:sz w:val="16"/>
                <w:szCs w:val="16"/>
              </w:rPr>
            </w:pPr>
            <w:r>
              <w:rPr>
                <w:rFonts w:ascii="Calibri" w:hAnsi="Calibri"/>
                <w:color w:val="000000"/>
                <w:sz w:val="16"/>
                <w:szCs w:val="16"/>
              </w:rPr>
              <w:t>39.6</w:t>
            </w:r>
          </w:p>
        </w:tc>
        <w:tc>
          <w:tcPr>
            <w:tcW w:w="545" w:type="pct"/>
            <w:tcBorders>
              <w:top w:val="nil"/>
              <w:left w:val="nil"/>
              <w:bottom w:val="single" w:sz="8" w:space="0" w:color="auto"/>
              <w:right w:val="single" w:sz="8" w:space="0" w:color="auto"/>
            </w:tcBorders>
            <w:shd w:val="clear" w:color="auto" w:fill="auto"/>
            <w:vAlign w:val="center"/>
          </w:tcPr>
          <w:p w:rsidR="000A3A9E" w:rsidRDefault="000A3A9E" w:rsidP="000A3A9E">
            <w:pPr>
              <w:jc w:val="center"/>
              <w:rPr>
                <w:rFonts w:ascii="Calibri" w:hAnsi="Calibri"/>
                <w:color w:val="9C0006"/>
                <w:sz w:val="16"/>
                <w:szCs w:val="16"/>
              </w:rPr>
            </w:pPr>
            <w:r>
              <w:rPr>
                <w:rFonts w:ascii="Calibri" w:hAnsi="Calibri"/>
                <w:color w:val="9C0006"/>
                <w:sz w:val="16"/>
                <w:szCs w:val="16"/>
              </w:rPr>
              <w:t>-5.6</w:t>
            </w:r>
          </w:p>
        </w:tc>
        <w:tc>
          <w:tcPr>
            <w:tcW w:w="522" w:type="pct"/>
            <w:tcBorders>
              <w:top w:val="nil"/>
              <w:left w:val="nil"/>
              <w:bottom w:val="single" w:sz="8" w:space="0" w:color="auto"/>
              <w:right w:val="single" w:sz="8" w:space="0" w:color="auto"/>
            </w:tcBorders>
            <w:shd w:val="clear" w:color="000000" w:fill="FFEB9C"/>
            <w:vAlign w:val="center"/>
          </w:tcPr>
          <w:p w:rsidR="000A3A9E" w:rsidRDefault="000A3A9E" w:rsidP="000A3A9E">
            <w:pPr>
              <w:jc w:val="center"/>
              <w:rPr>
                <w:rFonts w:ascii="Calibri" w:hAnsi="Calibri"/>
                <w:color w:val="9C6500"/>
                <w:sz w:val="16"/>
                <w:szCs w:val="16"/>
              </w:rPr>
            </w:pPr>
            <w:r>
              <w:rPr>
                <w:rFonts w:ascii="Calibri" w:hAnsi="Calibri"/>
                <w:color w:val="9C6500"/>
                <w:sz w:val="16"/>
                <w:szCs w:val="16"/>
              </w:rPr>
              <w:t>As expected</w:t>
            </w:r>
          </w:p>
        </w:tc>
      </w:tr>
    </w:tbl>
    <w:p w:rsidR="00A403F1" w:rsidRDefault="00A403F1"/>
    <w:p w:rsidR="00FD17B7" w:rsidRDefault="00FD17B7">
      <w:r>
        <w:t>The NDA ‘bandings’ contained within the table above show where the CCG is performing ‘as expected’ (i.e. statistically indistinguishable from peers) based on data provided as part of the NDA that has allowed for modelling of the characteristics of the diabetic population. The statistical models used to predict care process completion are calculated to take into account characteristics including age, sex, ethnicity, Indices of</w:t>
      </w:r>
      <w:r w:rsidR="00801CF9">
        <w:t xml:space="preserve"> Multiple Deprivation (IMD),</w:t>
      </w:r>
      <w:r>
        <w:t xml:space="preserve"> smoking status and Body Mass Index (BMI) of the person with diabetes. This allows for a degree of ‘correction’ for factors that </w:t>
      </w:r>
      <w:r w:rsidR="008307A3">
        <w:t xml:space="preserve">are </w:t>
      </w:r>
      <w:r>
        <w:t xml:space="preserve">outside of the control of the GP. The models are sufficient to predict whether further investigation of ‘higher than expected’ or ‘lower than expected’ </w:t>
      </w:r>
      <w:r w:rsidR="00C06D1C">
        <w:t xml:space="preserve">outcomes </w:t>
      </w:r>
      <w:r>
        <w:t xml:space="preserve">could be beneficial, but do not </w:t>
      </w:r>
      <w:r>
        <w:lastRenderedPageBreak/>
        <w:t xml:space="preserve">‘perfectly’ predict every outcome. The </w:t>
      </w:r>
      <w:r w:rsidR="002E1803">
        <w:t xml:space="preserve">assigned </w:t>
      </w:r>
      <w:r>
        <w:t>band</w:t>
      </w:r>
      <w:r w:rsidR="002E1803">
        <w:t>ings</w:t>
      </w:r>
      <w:r>
        <w:t xml:space="preserve"> should not be treated as an absolute assessment of performance, but rather as a tool to aid local investigation. </w:t>
      </w:r>
    </w:p>
    <w:p w:rsidR="00FD17B7" w:rsidRDefault="002E1803">
      <w:r>
        <w:t>If a general practice</w:t>
      </w:r>
      <w:r w:rsidR="00FD17B7">
        <w:t xml:space="preserve"> has a banding of ‘lower than expected’, this means that, taking into account all available data and within the context of the methodology outlined above, the practice is not achieving as high a rate of completion for the process as would be expected based on the national rate. This does not necessarily mean that the practice is underperforming, but may indicate that further investigation could be beneficial. Conversely, if a banding is ‘higher than expected’, this means that achievement is above what would be expected based on the national rate. </w:t>
      </w:r>
    </w:p>
    <w:p w:rsidR="00FD17B7" w:rsidRDefault="00FD17B7">
      <w:r>
        <w:t>C&amp;P CCG is ‘as expected’ for five of the eight care processes for people with ty</w:t>
      </w:r>
      <w:r w:rsidR="00C83059">
        <w:t xml:space="preserve">pe 1 diabetes in </w:t>
      </w:r>
      <w:r w:rsidR="000959AD">
        <w:t>figure 7</w:t>
      </w:r>
      <w:r w:rsidR="00C83059">
        <w:t xml:space="preserve"> above and for the sum total of all eight care processes combined. The CCG performs higher than expected for foot surveillance and lower than expected for cholesterol and urine albumin.</w:t>
      </w:r>
      <w:r w:rsidR="000A3A9E">
        <w:t xml:space="preserve"> </w:t>
      </w:r>
    </w:p>
    <w:p w:rsidR="00DB31A4" w:rsidRDefault="00DB31A4">
      <w:r>
        <w:t xml:space="preserve">An LCG-level breakdown of all available care process data is provided below. Within these data, it should be noted that, due to small numbers, data for Cambridge Access Surgery and Parnwell Medical Centre have been suppressed as part of the NDA data release. It is, however, possible to infer from released practice data the contribution towards CCG totals from these practices and these data are are included in row ‘Data Suppressed’ in the tables below. </w:t>
      </w:r>
    </w:p>
    <w:p w:rsidR="00DB31A4" w:rsidRPr="00B57FEB" w:rsidRDefault="00DB31A4" w:rsidP="00DB31A4">
      <w:pPr>
        <w:rPr>
          <w:b/>
        </w:rPr>
      </w:pPr>
      <w:r w:rsidRPr="00B57FEB">
        <w:rPr>
          <w:b/>
        </w:rPr>
        <w:t xml:space="preserve">Figure </w:t>
      </w:r>
      <w:r>
        <w:rPr>
          <w:b/>
        </w:rPr>
        <w:t>8</w:t>
      </w:r>
      <w:r w:rsidRPr="00B57FEB">
        <w:rPr>
          <w:b/>
        </w:rPr>
        <w:t>: National Diabetes Audit</w:t>
      </w:r>
      <w:r>
        <w:rPr>
          <w:b/>
        </w:rPr>
        <w:t xml:space="preserve"> 2013-14 / </w:t>
      </w:r>
      <w:r w:rsidRPr="00B57FEB">
        <w:rPr>
          <w:b/>
        </w:rPr>
        <w:t xml:space="preserve">2014-15, </w:t>
      </w:r>
      <w:r>
        <w:rPr>
          <w:b/>
        </w:rPr>
        <w:t xml:space="preserve">Care Process Completion for People with Type 1 Diabetes – C&amp;P CCG LCGs, HbA1c </w:t>
      </w:r>
    </w:p>
    <w:tbl>
      <w:tblPr>
        <w:tblW w:w="5000" w:type="pct"/>
        <w:tblLayout w:type="fixed"/>
        <w:tblLook w:val="04A0" w:firstRow="1" w:lastRow="0" w:firstColumn="1" w:lastColumn="0" w:noHBand="0" w:noVBand="1"/>
      </w:tblPr>
      <w:tblGrid>
        <w:gridCol w:w="1448"/>
        <w:gridCol w:w="1017"/>
        <w:gridCol w:w="1163"/>
        <w:gridCol w:w="1161"/>
        <w:gridCol w:w="1018"/>
        <w:gridCol w:w="1163"/>
        <w:gridCol w:w="1161"/>
        <w:gridCol w:w="1111"/>
      </w:tblGrid>
      <w:tr w:rsidR="00DB31A4" w:rsidRPr="00DB31A4" w:rsidTr="00DB31A4">
        <w:trPr>
          <w:trHeight w:val="300"/>
        </w:trPr>
        <w:tc>
          <w:tcPr>
            <w:tcW w:w="784" w:type="pct"/>
            <w:vMerge w:val="restart"/>
            <w:tcBorders>
              <w:top w:val="single" w:sz="4" w:space="0" w:color="auto"/>
              <w:left w:val="single" w:sz="4" w:space="0" w:color="auto"/>
              <w:bottom w:val="single" w:sz="4" w:space="0" w:color="000000"/>
              <w:right w:val="single" w:sz="4" w:space="0" w:color="auto"/>
            </w:tcBorders>
            <w:shd w:val="clear" w:color="000000" w:fill="DDEBF7"/>
            <w:noWrap/>
            <w:vAlign w:val="bottom"/>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LCG</w:t>
            </w:r>
          </w:p>
        </w:tc>
        <w:tc>
          <w:tcPr>
            <w:tcW w:w="1807"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000000"/>
              <w:right w:val="single" w:sz="4" w:space="0" w:color="auto"/>
            </w:tcBorders>
            <w:shd w:val="clear" w:color="000000" w:fill="DDEBF7"/>
            <w:noWrap/>
            <w:vAlign w:val="bottom"/>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Change in % Completed 2013/14 - 2014/15</w:t>
            </w:r>
          </w:p>
        </w:tc>
      </w:tr>
      <w:tr w:rsidR="00DB31A4" w:rsidRPr="00DB31A4" w:rsidTr="00DB31A4">
        <w:trPr>
          <w:trHeight w:val="225"/>
        </w:trPr>
        <w:tc>
          <w:tcPr>
            <w:tcW w:w="784" w:type="pct"/>
            <w:vMerge/>
            <w:tcBorders>
              <w:top w:val="single" w:sz="4" w:space="0" w:color="auto"/>
              <w:left w:val="single" w:sz="4" w:space="0" w:color="auto"/>
              <w:bottom w:val="single" w:sz="4" w:space="0" w:color="000000"/>
              <w:right w:val="single" w:sz="4" w:space="0" w:color="auto"/>
            </w:tcBorders>
            <w:vAlign w:val="center"/>
            <w:hideMark/>
          </w:tcPr>
          <w:p w:rsidR="00DB31A4" w:rsidRPr="00DB31A4" w:rsidRDefault="00DB31A4" w:rsidP="00DB31A4">
            <w:pPr>
              <w:spacing w:after="0" w:line="240" w:lineRule="auto"/>
              <w:rPr>
                <w:rFonts w:ascii="Calibri" w:eastAsia="Times New Roman" w:hAnsi="Calibri" w:cs="Times New Roman"/>
                <w:b/>
                <w:bCs/>
                <w:color w:val="000000"/>
                <w:sz w:val="16"/>
                <w:szCs w:val="16"/>
                <w:lang w:eastAsia="en-GB"/>
              </w:rPr>
            </w:pPr>
          </w:p>
        </w:tc>
        <w:tc>
          <w:tcPr>
            <w:tcW w:w="550" w:type="pct"/>
            <w:tcBorders>
              <w:top w:val="nil"/>
              <w:left w:val="nil"/>
              <w:bottom w:val="single" w:sz="4" w:space="0" w:color="auto"/>
              <w:right w:val="single" w:sz="4" w:space="0" w:color="auto"/>
            </w:tcBorders>
            <w:shd w:val="clear" w:color="000000" w:fill="DDEBF7"/>
            <w:noWrap/>
            <w:vAlign w:val="center"/>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 Completed</w:t>
            </w:r>
          </w:p>
        </w:tc>
        <w:tc>
          <w:tcPr>
            <w:tcW w:w="551" w:type="pct"/>
            <w:tcBorders>
              <w:top w:val="nil"/>
              <w:left w:val="nil"/>
              <w:bottom w:val="single" w:sz="4" w:space="0" w:color="auto"/>
              <w:right w:val="single" w:sz="4" w:space="0" w:color="auto"/>
            </w:tcBorders>
            <w:shd w:val="clear" w:color="000000" w:fill="DDEBF7"/>
            <w:noWrap/>
            <w:vAlign w:val="center"/>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DB31A4" w:rsidRPr="00DB31A4" w:rsidRDefault="00DB31A4" w:rsidP="00DB31A4">
            <w:pPr>
              <w:spacing w:after="0" w:line="240" w:lineRule="auto"/>
              <w:rPr>
                <w:rFonts w:ascii="Calibri" w:eastAsia="Times New Roman" w:hAnsi="Calibri" w:cs="Times New Roman"/>
                <w:b/>
                <w:bCs/>
                <w:color w:val="000000"/>
                <w:sz w:val="16"/>
                <w:szCs w:val="16"/>
                <w:lang w:eastAsia="en-GB"/>
              </w:rPr>
            </w:pP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BORDERLINE</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358</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405</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88.4%</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331</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391</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84.7%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9C0006"/>
                <w:sz w:val="16"/>
                <w:szCs w:val="16"/>
                <w:lang w:eastAsia="en-GB"/>
              </w:rPr>
            </w:pPr>
            <w:r w:rsidRPr="00DB31A4">
              <w:rPr>
                <w:rFonts w:ascii="Calibri" w:eastAsia="Times New Roman" w:hAnsi="Calibri" w:cs="Times New Roman"/>
                <w:color w:val="9C0006"/>
                <w:sz w:val="16"/>
                <w:szCs w:val="16"/>
                <w:lang w:eastAsia="en-GB"/>
              </w:rPr>
              <w:t>-3.7%</w:t>
            </w: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CAM HEALTH</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99</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123</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80.5%</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116</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152</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76.3%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9C0006"/>
                <w:sz w:val="16"/>
                <w:szCs w:val="16"/>
                <w:lang w:eastAsia="en-GB"/>
              </w:rPr>
            </w:pPr>
            <w:r w:rsidRPr="00DB31A4">
              <w:rPr>
                <w:rFonts w:ascii="Calibri" w:eastAsia="Times New Roman" w:hAnsi="Calibri" w:cs="Times New Roman"/>
                <w:color w:val="9C0006"/>
                <w:sz w:val="16"/>
                <w:szCs w:val="16"/>
                <w:lang w:eastAsia="en-GB"/>
              </w:rPr>
              <w:t>-4.2%</w:t>
            </w: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CATCH</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501</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619</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80.9%</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497</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642</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77.4%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9C0006"/>
                <w:sz w:val="16"/>
                <w:szCs w:val="16"/>
                <w:lang w:eastAsia="en-GB"/>
              </w:rPr>
            </w:pPr>
            <w:r w:rsidRPr="00DB31A4">
              <w:rPr>
                <w:rFonts w:ascii="Calibri" w:eastAsia="Times New Roman" w:hAnsi="Calibri" w:cs="Times New Roman"/>
                <w:color w:val="9C0006"/>
                <w:sz w:val="16"/>
                <w:szCs w:val="16"/>
                <w:lang w:eastAsia="en-GB"/>
              </w:rPr>
              <w:t>-3.5%</w:t>
            </w: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HUNTS CARE PARTNERS</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207</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260</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79.6%</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231</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284</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81.3%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548235"/>
                <w:sz w:val="16"/>
                <w:szCs w:val="16"/>
                <w:lang w:eastAsia="en-GB"/>
              </w:rPr>
            </w:pPr>
            <w:r w:rsidRPr="00DB31A4">
              <w:rPr>
                <w:rFonts w:ascii="Calibri" w:eastAsia="Times New Roman" w:hAnsi="Calibri" w:cs="Times New Roman"/>
                <w:color w:val="548235"/>
                <w:sz w:val="16"/>
                <w:szCs w:val="16"/>
                <w:lang w:eastAsia="en-GB"/>
              </w:rPr>
              <w:t>1.7%</w:t>
            </w: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HUNTS HEALTH</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98</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118</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83.1%</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185</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217</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85.3%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548235"/>
                <w:sz w:val="16"/>
                <w:szCs w:val="16"/>
                <w:lang w:eastAsia="en-GB"/>
              </w:rPr>
            </w:pPr>
            <w:r w:rsidRPr="00DB31A4">
              <w:rPr>
                <w:rFonts w:ascii="Calibri" w:eastAsia="Times New Roman" w:hAnsi="Calibri" w:cs="Times New Roman"/>
                <w:color w:val="548235"/>
                <w:sz w:val="16"/>
                <w:szCs w:val="16"/>
                <w:lang w:eastAsia="en-GB"/>
              </w:rPr>
              <w:t>2.2%</w:t>
            </w: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ISLE OF ELY</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285</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338</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84.3%</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334</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392</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85.2%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548235"/>
                <w:sz w:val="16"/>
                <w:szCs w:val="16"/>
                <w:lang w:eastAsia="en-GB"/>
              </w:rPr>
            </w:pPr>
            <w:r w:rsidRPr="00DB31A4">
              <w:rPr>
                <w:rFonts w:ascii="Calibri" w:eastAsia="Times New Roman" w:hAnsi="Calibri" w:cs="Times New Roman"/>
                <w:color w:val="548235"/>
                <w:sz w:val="16"/>
                <w:szCs w:val="16"/>
                <w:lang w:eastAsia="en-GB"/>
              </w:rPr>
              <w:t>0.9%</w:t>
            </w: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PETERBOROUGH</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446</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518</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86.1%</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436</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503</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86.7%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548235"/>
                <w:sz w:val="16"/>
                <w:szCs w:val="16"/>
                <w:lang w:eastAsia="en-GB"/>
              </w:rPr>
            </w:pPr>
            <w:r w:rsidRPr="00DB31A4">
              <w:rPr>
                <w:rFonts w:ascii="Calibri" w:eastAsia="Times New Roman" w:hAnsi="Calibri" w:cs="Times New Roman"/>
                <w:color w:val="548235"/>
                <w:sz w:val="16"/>
                <w:szCs w:val="16"/>
                <w:lang w:eastAsia="en-GB"/>
              </w:rPr>
              <w:t>0.6%</w:t>
            </w: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WISBECH</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140</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170</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82.4%</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135</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169</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79.9%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9C0006"/>
                <w:sz w:val="16"/>
                <w:szCs w:val="16"/>
                <w:lang w:eastAsia="en-GB"/>
              </w:rPr>
            </w:pPr>
            <w:r w:rsidRPr="00DB31A4">
              <w:rPr>
                <w:rFonts w:ascii="Calibri" w:eastAsia="Times New Roman" w:hAnsi="Calibri" w:cs="Times New Roman"/>
                <w:color w:val="9C0006"/>
                <w:sz w:val="16"/>
                <w:szCs w:val="16"/>
                <w:lang w:eastAsia="en-GB"/>
              </w:rPr>
              <w:t>-2.5%</w:t>
            </w:r>
          </w:p>
        </w:tc>
      </w:tr>
      <w:tr w:rsidR="00DB31A4" w:rsidRPr="00DB31A4" w:rsidTr="00DB31A4">
        <w:trPr>
          <w:trHeight w:val="225"/>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DATA SUPPRESSED</w:t>
            </w:r>
          </w:p>
        </w:tc>
        <w:tc>
          <w:tcPr>
            <w:tcW w:w="550"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100.0%</w:t>
            </w:r>
          </w:p>
        </w:tc>
        <w:tc>
          <w:tcPr>
            <w:tcW w:w="551"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w:t>
            </w:r>
          </w:p>
        </w:tc>
        <w:tc>
          <w:tcPr>
            <w:tcW w:w="629"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9</w:t>
            </w:r>
          </w:p>
        </w:tc>
        <w:tc>
          <w:tcPr>
            <w:tcW w:w="628" w:type="pct"/>
            <w:tcBorders>
              <w:top w:val="nil"/>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88.9%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9C0006"/>
                <w:sz w:val="16"/>
                <w:szCs w:val="16"/>
                <w:lang w:eastAsia="en-GB"/>
              </w:rPr>
            </w:pPr>
            <w:r w:rsidRPr="00DB31A4">
              <w:rPr>
                <w:rFonts w:ascii="Calibri" w:eastAsia="Times New Roman" w:hAnsi="Calibri" w:cs="Times New Roman"/>
                <w:color w:val="9C0006"/>
                <w:sz w:val="16"/>
                <w:szCs w:val="16"/>
                <w:lang w:eastAsia="en-GB"/>
              </w:rPr>
              <w:t>-11.1%</w:t>
            </w:r>
          </w:p>
        </w:tc>
      </w:tr>
      <w:tr w:rsidR="00DB31A4" w:rsidRPr="00DB31A4" w:rsidTr="00DB31A4">
        <w:trPr>
          <w:trHeight w:val="225"/>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1A4" w:rsidRPr="00DB31A4" w:rsidRDefault="00DB31A4" w:rsidP="00DB31A4">
            <w:pPr>
              <w:spacing w:after="0" w:line="240" w:lineRule="auto"/>
              <w:jc w:val="center"/>
              <w:rPr>
                <w:rFonts w:ascii="Calibri" w:eastAsia="Times New Roman" w:hAnsi="Calibri" w:cs="Times New Roman"/>
                <w:b/>
                <w:bCs/>
                <w:color w:val="000000"/>
                <w:sz w:val="16"/>
                <w:szCs w:val="16"/>
                <w:lang w:eastAsia="en-GB"/>
              </w:rPr>
            </w:pPr>
            <w:r w:rsidRPr="00DB31A4">
              <w:rPr>
                <w:rFonts w:ascii="Calibri" w:eastAsia="Times New Roman" w:hAnsi="Calibri" w:cs="Times New Roman"/>
                <w:b/>
                <w:bCs/>
                <w:color w:val="000000"/>
                <w:sz w:val="16"/>
                <w:szCs w:val="16"/>
                <w:lang w:eastAsia="en-GB"/>
              </w:rPr>
              <w:t>CCG</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2,142</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2,559</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83.7%</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2,273</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2,759</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DB31A4" w:rsidRPr="00DB31A4" w:rsidRDefault="00DB31A4" w:rsidP="00DB31A4">
            <w:pPr>
              <w:spacing w:after="0" w:line="240" w:lineRule="auto"/>
              <w:jc w:val="center"/>
              <w:rPr>
                <w:rFonts w:ascii="Calibri" w:eastAsia="Times New Roman" w:hAnsi="Calibri" w:cs="Times New Roman"/>
                <w:color w:val="000000"/>
                <w:sz w:val="16"/>
                <w:szCs w:val="16"/>
                <w:lang w:eastAsia="en-GB"/>
              </w:rPr>
            </w:pPr>
            <w:r w:rsidRPr="00DB31A4">
              <w:rPr>
                <w:rFonts w:ascii="Calibri" w:eastAsia="Times New Roman" w:hAnsi="Calibri" w:cs="Times New Roman"/>
                <w:color w:val="000000"/>
                <w:sz w:val="16"/>
                <w:szCs w:val="16"/>
                <w:lang w:eastAsia="en-GB"/>
              </w:rPr>
              <w:t>82.4%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31A4" w:rsidRPr="00DB31A4" w:rsidRDefault="00DB31A4" w:rsidP="00DB31A4">
            <w:pPr>
              <w:spacing w:after="0" w:line="240" w:lineRule="auto"/>
              <w:jc w:val="center"/>
              <w:rPr>
                <w:rFonts w:ascii="Calibri" w:eastAsia="Times New Roman" w:hAnsi="Calibri" w:cs="Times New Roman"/>
                <w:color w:val="9C0006"/>
                <w:sz w:val="16"/>
                <w:szCs w:val="16"/>
                <w:lang w:eastAsia="en-GB"/>
              </w:rPr>
            </w:pPr>
            <w:r w:rsidRPr="00DB31A4">
              <w:rPr>
                <w:rFonts w:ascii="Calibri" w:eastAsia="Times New Roman" w:hAnsi="Calibri" w:cs="Times New Roman"/>
                <w:color w:val="9C0006"/>
                <w:sz w:val="16"/>
                <w:szCs w:val="16"/>
                <w:lang w:eastAsia="en-GB"/>
              </w:rPr>
              <w:t>-1.3%</w:t>
            </w:r>
          </w:p>
        </w:tc>
      </w:tr>
      <w:tr w:rsidR="007C00A4" w:rsidRPr="00DB31A4" w:rsidTr="00BF7DB7">
        <w:trPr>
          <w:trHeight w:val="225"/>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7C00A4" w:rsidRDefault="007C00A4" w:rsidP="007C00A4">
            <w:pPr>
              <w:jc w:val="center"/>
              <w:rPr>
                <w:rFonts w:ascii="Calibri" w:hAnsi="Calibri"/>
                <w:b/>
                <w:bCs/>
                <w:color w:val="000000"/>
                <w:sz w:val="16"/>
                <w:szCs w:val="16"/>
              </w:rPr>
            </w:pPr>
            <w:r>
              <w:rPr>
                <w:rFonts w:ascii="Calibri" w:hAnsi="Calibri"/>
                <w:b/>
                <w:bCs/>
                <w:color w:val="000000"/>
                <w:sz w:val="16"/>
                <w:szCs w:val="16"/>
              </w:rPr>
              <w:t>England</w:t>
            </w:r>
          </w:p>
        </w:tc>
        <w:tc>
          <w:tcPr>
            <w:tcW w:w="550" w:type="pct"/>
            <w:tcBorders>
              <w:top w:val="single" w:sz="4" w:space="0" w:color="auto"/>
              <w:left w:val="nil"/>
              <w:bottom w:val="single" w:sz="4" w:space="0" w:color="auto"/>
              <w:right w:val="single" w:sz="4" w:space="0" w:color="auto"/>
            </w:tcBorders>
            <w:shd w:val="clear" w:color="auto" w:fill="auto"/>
            <w:noWrap/>
            <w:vAlign w:val="bottom"/>
          </w:tcPr>
          <w:p w:rsidR="007C00A4" w:rsidRDefault="007C00A4" w:rsidP="007C00A4">
            <w:pPr>
              <w:jc w:val="center"/>
              <w:rPr>
                <w:rFonts w:ascii="Calibri" w:hAnsi="Calibri"/>
                <w:color w:val="000000"/>
                <w:sz w:val="16"/>
                <w:szCs w:val="16"/>
              </w:rPr>
            </w:pPr>
            <w:r>
              <w:rPr>
                <w:rFonts w:ascii="Calibri" w:hAnsi="Calibri"/>
                <w:color w:val="000000"/>
                <w:sz w:val="16"/>
                <w:szCs w:val="16"/>
              </w:rPr>
              <w:t>102,036</w:t>
            </w:r>
          </w:p>
        </w:tc>
        <w:tc>
          <w:tcPr>
            <w:tcW w:w="629" w:type="pct"/>
            <w:tcBorders>
              <w:top w:val="single" w:sz="4" w:space="0" w:color="auto"/>
              <w:left w:val="nil"/>
              <w:bottom w:val="single" w:sz="4" w:space="0" w:color="auto"/>
              <w:right w:val="single" w:sz="4" w:space="0" w:color="auto"/>
            </w:tcBorders>
            <w:shd w:val="clear" w:color="auto" w:fill="auto"/>
            <w:noWrap/>
            <w:vAlign w:val="bottom"/>
          </w:tcPr>
          <w:p w:rsidR="007C00A4" w:rsidRDefault="007C00A4" w:rsidP="007C00A4">
            <w:pPr>
              <w:jc w:val="center"/>
              <w:rPr>
                <w:rFonts w:ascii="Calibri" w:hAnsi="Calibri"/>
                <w:color w:val="000000"/>
                <w:sz w:val="16"/>
                <w:szCs w:val="16"/>
              </w:rPr>
            </w:pPr>
            <w:r>
              <w:rPr>
                <w:rFonts w:ascii="Calibri" w:hAnsi="Calibri"/>
                <w:color w:val="000000"/>
                <w:sz w:val="16"/>
                <w:szCs w:val="16"/>
              </w:rPr>
              <w:t>125,217</w:t>
            </w:r>
          </w:p>
        </w:tc>
        <w:tc>
          <w:tcPr>
            <w:tcW w:w="628" w:type="pct"/>
            <w:tcBorders>
              <w:top w:val="single" w:sz="4" w:space="0" w:color="auto"/>
              <w:left w:val="nil"/>
              <w:bottom w:val="single" w:sz="4" w:space="0" w:color="auto"/>
              <w:right w:val="single" w:sz="4" w:space="0" w:color="auto"/>
            </w:tcBorders>
            <w:shd w:val="clear" w:color="auto" w:fill="auto"/>
            <w:noWrap/>
            <w:vAlign w:val="bottom"/>
          </w:tcPr>
          <w:p w:rsidR="007C00A4" w:rsidRDefault="007C00A4" w:rsidP="007C00A4">
            <w:pPr>
              <w:jc w:val="center"/>
              <w:rPr>
                <w:rFonts w:ascii="Calibri" w:hAnsi="Calibri"/>
                <w:color w:val="000000"/>
                <w:sz w:val="16"/>
                <w:szCs w:val="16"/>
              </w:rPr>
            </w:pPr>
            <w:r>
              <w:rPr>
                <w:rFonts w:ascii="Calibri" w:hAnsi="Calibri"/>
                <w:color w:val="000000"/>
                <w:sz w:val="16"/>
                <w:szCs w:val="16"/>
              </w:rPr>
              <w:t>81.5%</w:t>
            </w:r>
          </w:p>
        </w:tc>
        <w:tc>
          <w:tcPr>
            <w:tcW w:w="551" w:type="pct"/>
            <w:tcBorders>
              <w:top w:val="single" w:sz="4" w:space="0" w:color="auto"/>
              <w:left w:val="nil"/>
              <w:bottom w:val="single" w:sz="4" w:space="0" w:color="auto"/>
              <w:right w:val="single" w:sz="4" w:space="0" w:color="auto"/>
            </w:tcBorders>
            <w:shd w:val="clear" w:color="auto" w:fill="auto"/>
            <w:noWrap/>
            <w:vAlign w:val="bottom"/>
          </w:tcPr>
          <w:p w:rsidR="007C00A4" w:rsidRDefault="007C00A4" w:rsidP="007C00A4">
            <w:pPr>
              <w:jc w:val="center"/>
              <w:rPr>
                <w:rFonts w:ascii="Calibri" w:hAnsi="Calibri"/>
                <w:color w:val="000000"/>
                <w:sz w:val="16"/>
                <w:szCs w:val="16"/>
              </w:rPr>
            </w:pPr>
            <w:r>
              <w:rPr>
                <w:rFonts w:ascii="Calibri" w:hAnsi="Calibri"/>
                <w:color w:val="000000"/>
                <w:sz w:val="16"/>
                <w:szCs w:val="16"/>
              </w:rPr>
              <w:t>109,776</w:t>
            </w:r>
          </w:p>
        </w:tc>
        <w:tc>
          <w:tcPr>
            <w:tcW w:w="629" w:type="pct"/>
            <w:tcBorders>
              <w:top w:val="single" w:sz="4" w:space="0" w:color="auto"/>
              <w:left w:val="nil"/>
              <w:bottom w:val="single" w:sz="4" w:space="0" w:color="auto"/>
              <w:right w:val="single" w:sz="4" w:space="0" w:color="auto"/>
            </w:tcBorders>
            <w:shd w:val="clear" w:color="auto" w:fill="auto"/>
            <w:noWrap/>
            <w:vAlign w:val="bottom"/>
          </w:tcPr>
          <w:p w:rsidR="007C00A4" w:rsidRDefault="007C00A4" w:rsidP="007C00A4">
            <w:pPr>
              <w:jc w:val="center"/>
              <w:rPr>
                <w:rFonts w:ascii="Calibri" w:hAnsi="Calibri"/>
                <w:color w:val="000000"/>
                <w:sz w:val="16"/>
                <w:szCs w:val="16"/>
              </w:rPr>
            </w:pPr>
            <w:r>
              <w:rPr>
                <w:rFonts w:ascii="Calibri" w:hAnsi="Calibri"/>
                <w:color w:val="000000"/>
                <w:sz w:val="16"/>
                <w:szCs w:val="16"/>
              </w:rPr>
              <w:t>130,750</w:t>
            </w:r>
          </w:p>
        </w:tc>
        <w:tc>
          <w:tcPr>
            <w:tcW w:w="628" w:type="pct"/>
            <w:tcBorders>
              <w:top w:val="single" w:sz="4" w:space="0" w:color="auto"/>
              <w:left w:val="nil"/>
              <w:bottom w:val="single" w:sz="4" w:space="0" w:color="auto"/>
              <w:right w:val="single" w:sz="4" w:space="0" w:color="auto"/>
            </w:tcBorders>
            <w:shd w:val="clear" w:color="auto" w:fill="auto"/>
            <w:noWrap/>
            <w:vAlign w:val="bottom"/>
          </w:tcPr>
          <w:p w:rsidR="007C00A4" w:rsidRDefault="007C00A4" w:rsidP="007C00A4">
            <w:pPr>
              <w:jc w:val="center"/>
              <w:rPr>
                <w:rFonts w:ascii="Calibri" w:hAnsi="Calibri"/>
                <w:color w:val="000000"/>
                <w:sz w:val="16"/>
                <w:szCs w:val="16"/>
              </w:rPr>
            </w:pPr>
            <w:r>
              <w:rPr>
                <w:rFonts w:ascii="Calibri" w:hAnsi="Calibri"/>
                <w:color w:val="000000"/>
                <w:sz w:val="16"/>
                <w:szCs w:val="16"/>
              </w:rPr>
              <w:t>84.0%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7C00A4" w:rsidRDefault="007C00A4" w:rsidP="007C00A4">
            <w:pPr>
              <w:jc w:val="center"/>
              <w:rPr>
                <w:rFonts w:ascii="Calibri" w:hAnsi="Calibri"/>
                <w:color w:val="548235"/>
                <w:sz w:val="16"/>
                <w:szCs w:val="16"/>
              </w:rPr>
            </w:pPr>
            <w:r>
              <w:rPr>
                <w:rFonts w:ascii="Calibri" w:hAnsi="Calibri"/>
                <w:color w:val="548235"/>
                <w:sz w:val="16"/>
                <w:szCs w:val="16"/>
              </w:rPr>
              <w:t>2.5%</w:t>
            </w:r>
          </w:p>
        </w:tc>
      </w:tr>
    </w:tbl>
    <w:p w:rsidR="00DB31A4" w:rsidRDefault="00DB31A4"/>
    <w:p w:rsidR="00DB31A4" w:rsidRDefault="00DB31A4">
      <w:r>
        <w:t>HbA1c completion has fallen by 1.3% across the CCG between 2013/14 and 2014/15</w:t>
      </w:r>
      <w:r w:rsidR="007C00A4">
        <w:t>, whilst completion in England has risen 2.5%</w:t>
      </w:r>
      <w:r>
        <w:t>. Among LCGs, completion percentage has fallen most in Cam Health (</w:t>
      </w:r>
      <w:r w:rsidR="001C7291">
        <w:t>-</w:t>
      </w:r>
      <w:r>
        <w:t>4.2%), Borderline</w:t>
      </w:r>
      <w:r w:rsidR="00B57505">
        <w:t xml:space="preserve"> (</w:t>
      </w:r>
      <w:r w:rsidR="001C7291">
        <w:t>-</w:t>
      </w:r>
      <w:r w:rsidR="00B57505">
        <w:t>3.7%) and Catch</w:t>
      </w:r>
      <w:r>
        <w:t xml:space="preserve"> (</w:t>
      </w:r>
      <w:r w:rsidR="001C7291">
        <w:t>-</w:t>
      </w:r>
      <w:r>
        <w:t xml:space="preserve">3.5%). </w:t>
      </w:r>
    </w:p>
    <w:p w:rsidR="007C00A4" w:rsidRDefault="007C00A4"/>
    <w:p w:rsidR="007C00A4" w:rsidRDefault="007C00A4"/>
    <w:p w:rsidR="007C00A4" w:rsidRDefault="007C00A4"/>
    <w:p w:rsidR="0098772D" w:rsidRDefault="0098772D"/>
    <w:p w:rsidR="0098772D" w:rsidRDefault="0098772D"/>
    <w:p w:rsidR="0098772D" w:rsidRDefault="0098772D"/>
    <w:p w:rsidR="0098772D" w:rsidRDefault="0098772D" w:rsidP="0098772D">
      <w:pPr>
        <w:rPr>
          <w:b/>
        </w:rPr>
      </w:pPr>
      <w:r w:rsidRPr="00B57FEB">
        <w:rPr>
          <w:b/>
        </w:rPr>
        <w:lastRenderedPageBreak/>
        <w:t xml:space="preserve">Figure </w:t>
      </w:r>
      <w:r w:rsidR="00B57505">
        <w:rPr>
          <w:b/>
        </w:rPr>
        <w:t>9</w:t>
      </w:r>
      <w:r w:rsidRPr="00B57FEB">
        <w:rPr>
          <w:b/>
        </w:rPr>
        <w:t>: National Diabetes Audit</w:t>
      </w:r>
      <w:r>
        <w:rPr>
          <w:b/>
        </w:rPr>
        <w:t xml:space="preserve"> 2013-14 / </w:t>
      </w:r>
      <w:r w:rsidRPr="00B57FEB">
        <w:rPr>
          <w:b/>
        </w:rPr>
        <w:t xml:space="preserve">2014-15, </w:t>
      </w:r>
      <w:r>
        <w:rPr>
          <w:b/>
        </w:rPr>
        <w:t>Care Process Completion for People with Type 1 Diabetes – C&amp;P CCG LCGs, Blood Pressure</w:t>
      </w:r>
    </w:p>
    <w:tbl>
      <w:tblPr>
        <w:tblW w:w="5000" w:type="pct"/>
        <w:tblLayout w:type="fixed"/>
        <w:tblLook w:val="04A0" w:firstRow="1" w:lastRow="0" w:firstColumn="1" w:lastColumn="0" w:noHBand="0" w:noVBand="1"/>
      </w:tblPr>
      <w:tblGrid>
        <w:gridCol w:w="1454"/>
        <w:gridCol w:w="1011"/>
        <w:gridCol w:w="1161"/>
        <w:gridCol w:w="1163"/>
        <w:gridCol w:w="1018"/>
        <w:gridCol w:w="1163"/>
        <w:gridCol w:w="1161"/>
        <w:gridCol w:w="1111"/>
      </w:tblGrid>
      <w:tr w:rsidR="0098772D" w:rsidRPr="0098772D" w:rsidTr="0098772D">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LCG</w:t>
            </w:r>
          </w:p>
        </w:tc>
        <w:tc>
          <w:tcPr>
            <w:tcW w:w="1804"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2013/14</w:t>
            </w:r>
          </w:p>
        </w:tc>
        <w:tc>
          <w:tcPr>
            <w:tcW w:w="1807"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Change in % Completed 2013/14 - 2014/15</w:t>
            </w:r>
          </w:p>
        </w:tc>
      </w:tr>
      <w:tr w:rsidR="0098772D" w:rsidRPr="0098772D" w:rsidTr="0098772D">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98772D" w:rsidRPr="0098772D" w:rsidRDefault="0098772D" w:rsidP="0098772D">
            <w:pPr>
              <w:spacing w:after="0" w:line="240" w:lineRule="auto"/>
              <w:rPr>
                <w:rFonts w:ascii="Calibri" w:eastAsia="Times New Roman" w:hAnsi="Calibri" w:cs="Times New Roman"/>
                <w:b/>
                <w:bCs/>
                <w:color w:val="000000"/>
                <w:sz w:val="16"/>
                <w:szCs w:val="16"/>
                <w:lang w:eastAsia="en-GB"/>
              </w:rPr>
            </w:pPr>
          </w:p>
        </w:tc>
        <w:tc>
          <w:tcPr>
            <w:tcW w:w="547" w:type="pct"/>
            <w:tcBorders>
              <w:top w:val="nil"/>
              <w:left w:val="nil"/>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 Completed</w:t>
            </w:r>
          </w:p>
        </w:tc>
        <w:tc>
          <w:tcPr>
            <w:tcW w:w="551" w:type="pct"/>
            <w:tcBorders>
              <w:top w:val="nil"/>
              <w:left w:val="nil"/>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98772D" w:rsidRPr="0098772D" w:rsidRDefault="0098772D" w:rsidP="0098772D">
            <w:pPr>
              <w:spacing w:after="0" w:line="240" w:lineRule="auto"/>
              <w:rPr>
                <w:rFonts w:ascii="Calibri" w:eastAsia="Times New Roman" w:hAnsi="Calibri" w:cs="Times New Roman"/>
                <w:b/>
                <w:bCs/>
                <w:color w:val="000000"/>
                <w:sz w:val="16"/>
                <w:szCs w:val="16"/>
                <w:lang w:eastAsia="en-GB"/>
              </w:rPr>
            </w:pP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BORDERLINE</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354</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390</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90.8%</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335</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370</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90.5%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9C0006"/>
                <w:sz w:val="16"/>
                <w:szCs w:val="16"/>
                <w:lang w:eastAsia="en-GB"/>
              </w:rPr>
            </w:pPr>
            <w:r w:rsidRPr="0098772D">
              <w:rPr>
                <w:rFonts w:ascii="Calibri" w:eastAsia="Times New Roman" w:hAnsi="Calibri" w:cs="Times New Roman"/>
                <w:color w:val="9C0006"/>
                <w:sz w:val="16"/>
                <w:szCs w:val="16"/>
                <w:lang w:eastAsia="en-GB"/>
              </w:rPr>
              <w:t>-0.2%</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CAM HEALTH</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101</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119</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84.9%</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121</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147</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82.3%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9C0006"/>
                <w:sz w:val="16"/>
                <w:szCs w:val="16"/>
                <w:lang w:eastAsia="en-GB"/>
              </w:rPr>
            </w:pPr>
            <w:r w:rsidRPr="0098772D">
              <w:rPr>
                <w:rFonts w:ascii="Calibri" w:eastAsia="Times New Roman" w:hAnsi="Calibri" w:cs="Times New Roman"/>
                <w:color w:val="9C0006"/>
                <w:sz w:val="16"/>
                <w:szCs w:val="16"/>
                <w:lang w:eastAsia="en-GB"/>
              </w:rPr>
              <w:t>-2.6%</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CATCH</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523</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598</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87.5%</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536</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619</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86.6%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9C0006"/>
                <w:sz w:val="16"/>
                <w:szCs w:val="16"/>
                <w:lang w:eastAsia="en-GB"/>
              </w:rPr>
            </w:pPr>
            <w:r w:rsidRPr="0098772D">
              <w:rPr>
                <w:rFonts w:ascii="Calibri" w:eastAsia="Times New Roman" w:hAnsi="Calibri" w:cs="Times New Roman"/>
                <w:color w:val="9C0006"/>
                <w:sz w:val="16"/>
                <w:szCs w:val="16"/>
                <w:lang w:eastAsia="en-GB"/>
              </w:rPr>
              <w:t>-0.9%</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HUNTS CARE PARTNERS</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208</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253</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82.2%</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234</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275</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85.1%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548235"/>
                <w:sz w:val="16"/>
                <w:szCs w:val="16"/>
                <w:lang w:eastAsia="en-GB"/>
              </w:rPr>
            </w:pPr>
            <w:r w:rsidRPr="0098772D">
              <w:rPr>
                <w:rFonts w:ascii="Calibri" w:eastAsia="Times New Roman" w:hAnsi="Calibri" w:cs="Times New Roman"/>
                <w:color w:val="548235"/>
                <w:sz w:val="16"/>
                <w:szCs w:val="16"/>
                <w:lang w:eastAsia="en-GB"/>
              </w:rPr>
              <w:t>2.9%</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HUNTS HEALTH</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99</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114</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86.8%</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188</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212</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88.7%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548235"/>
                <w:sz w:val="16"/>
                <w:szCs w:val="16"/>
                <w:lang w:eastAsia="en-GB"/>
              </w:rPr>
            </w:pPr>
            <w:r w:rsidRPr="0098772D">
              <w:rPr>
                <w:rFonts w:ascii="Calibri" w:eastAsia="Times New Roman" w:hAnsi="Calibri" w:cs="Times New Roman"/>
                <w:color w:val="548235"/>
                <w:sz w:val="16"/>
                <w:szCs w:val="16"/>
                <w:lang w:eastAsia="en-GB"/>
              </w:rPr>
              <w:t>1.8%</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ISLE OF ELY</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292</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321</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91.0%</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341</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373</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91.4%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548235"/>
                <w:sz w:val="16"/>
                <w:szCs w:val="16"/>
                <w:lang w:eastAsia="en-GB"/>
              </w:rPr>
            </w:pPr>
            <w:r w:rsidRPr="0098772D">
              <w:rPr>
                <w:rFonts w:ascii="Calibri" w:eastAsia="Times New Roman" w:hAnsi="Calibri" w:cs="Times New Roman"/>
                <w:color w:val="548235"/>
                <w:sz w:val="16"/>
                <w:szCs w:val="16"/>
                <w:lang w:eastAsia="en-GB"/>
              </w:rPr>
              <w:t>0.5%</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PETERBOROUGH</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438</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493</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88.8%</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426</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479</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88.9%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548235"/>
                <w:sz w:val="16"/>
                <w:szCs w:val="16"/>
                <w:lang w:eastAsia="en-GB"/>
              </w:rPr>
            </w:pPr>
            <w:r w:rsidRPr="0098772D">
              <w:rPr>
                <w:rFonts w:ascii="Calibri" w:eastAsia="Times New Roman" w:hAnsi="Calibri" w:cs="Times New Roman"/>
                <w:color w:val="548235"/>
                <w:sz w:val="16"/>
                <w:szCs w:val="16"/>
                <w:lang w:eastAsia="en-GB"/>
              </w:rPr>
              <w:t>0.1%</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WISBECH</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152</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165</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92.1%</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156</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163</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95.7%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548235"/>
                <w:sz w:val="16"/>
                <w:szCs w:val="16"/>
                <w:lang w:eastAsia="en-GB"/>
              </w:rPr>
            </w:pPr>
            <w:r w:rsidRPr="0098772D">
              <w:rPr>
                <w:rFonts w:ascii="Calibri" w:eastAsia="Times New Roman" w:hAnsi="Calibri" w:cs="Times New Roman"/>
                <w:color w:val="548235"/>
                <w:sz w:val="16"/>
                <w:szCs w:val="16"/>
                <w:lang w:eastAsia="en-GB"/>
              </w:rPr>
              <w:t>3.6%</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DATA SUPPRESSED</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100.0%</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9</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88.9%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9C0006"/>
                <w:sz w:val="16"/>
                <w:szCs w:val="16"/>
                <w:lang w:eastAsia="en-GB"/>
              </w:rPr>
            </w:pPr>
            <w:r w:rsidRPr="0098772D">
              <w:rPr>
                <w:rFonts w:ascii="Calibri" w:eastAsia="Times New Roman" w:hAnsi="Calibri" w:cs="Times New Roman"/>
                <w:color w:val="9C0006"/>
                <w:sz w:val="16"/>
                <w:szCs w:val="16"/>
                <w:lang w:eastAsia="en-GB"/>
              </w:rPr>
              <w:t>-11.1%</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CCG</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2,175</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2,461</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88.4%</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2,345</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2,647</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88.6%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548235"/>
                <w:sz w:val="16"/>
                <w:szCs w:val="16"/>
                <w:lang w:eastAsia="en-GB"/>
              </w:rPr>
            </w:pPr>
            <w:r w:rsidRPr="0098772D">
              <w:rPr>
                <w:rFonts w:ascii="Calibri" w:eastAsia="Times New Roman" w:hAnsi="Calibri" w:cs="Times New Roman"/>
                <w:color w:val="548235"/>
                <w:sz w:val="16"/>
                <w:szCs w:val="16"/>
                <w:lang w:eastAsia="en-GB"/>
              </w:rPr>
              <w:t>0.2%</w:t>
            </w:r>
          </w:p>
        </w:tc>
      </w:tr>
      <w:tr w:rsidR="0098772D" w:rsidRPr="0098772D" w:rsidTr="0098772D">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b/>
                <w:bCs/>
                <w:color w:val="000000"/>
                <w:sz w:val="16"/>
                <w:szCs w:val="16"/>
                <w:lang w:eastAsia="en-GB"/>
              </w:rPr>
            </w:pPr>
            <w:r w:rsidRPr="0098772D">
              <w:rPr>
                <w:rFonts w:ascii="Calibri" w:eastAsia="Times New Roman" w:hAnsi="Calibri" w:cs="Times New Roman"/>
                <w:b/>
                <w:bCs/>
                <w:color w:val="000000"/>
                <w:sz w:val="16"/>
                <w:szCs w:val="16"/>
                <w:lang w:eastAsia="en-GB"/>
              </w:rPr>
              <w:t>England</w:t>
            </w:r>
          </w:p>
        </w:tc>
        <w:tc>
          <w:tcPr>
            <w:tcW w:w="547"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104,955</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120,306</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87.2%</w:t>
            </w:r>
          </w:p>
        </w:tc>
        <w:tc>
          <w:tcPr>
            <w:tcW w:w="551"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112,150</w:t>
            </w:r>
          </w:p>
        </w:tc>
        <w:tc>
          <w:tcPr>
            <w:tcW w:w="629"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125,624</w:t>
            </w:r>
          </w:p>
        </w:tc>
        <w:tc>
          <w:tcPr>
            <w:tcW w:w="628" w:type="pct"/>
            <w:tcBorders>
              <w:top w:val="nil"/>
              <w:left w:val="nil"/>
              <w:bottom w:val="single" w:sz="4" w:space="0" w:color="auto"/>
              <w:right w:val="single" w:sz="4" w:space="0" w:color="auto"/>
            </w:tcBorders>
            <w:shd w:val="clear" w:color="auto" w:fill="auto"/>
            <w:noWrap/>
            <w:vAlign w:val="bottom"/>
            <w:hideMark/>
          </w:tcPr>
          <w:p w:rsidR="0098772D" w:rsidRPr="0098772D" w:rsidRDefault="0098772D" w:rsidP="0098772D">
            <w:pPr>
              <w:spacing w:after="0" w:line="240" w:lineRule="auto"/>
              <w:jc w:val="center"/>
              <w:rPr>
                <w:rFonts w:ascii="Calibri" w:eastAsia="Times New Roman" w:hAnsi="Calibri" w:cs="Times New Roman"/>
                <w:color w:val="000000"/>
                <w:sz w:val="16"/>
                <w:szCs w:val="16"/>
                <w:lang w:eastAsia="en-GB"/>
              </w:rPr>
            </w:pPr>
            <w:r w:rsidRPr="0098772D">
              <w:rPr>
                <w:rFonts w:ascii="Calibri" w:eastAsia="Times New Roman" w:hAnsi="Calibri" w:cs="Times New Roman"/>
                <w:color w:val="000000"/>
                <w:sz w:val="16"/>
                <w:szCs w:val="16"/>
                <w:lang w:eastAsia="en-GB"/>
              </w:rPr>
              <w:t>89.3%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72D" w:rsidRPr="0098772D" w:rsidRDefault="0098772D" w:rsidP="0098772D">
            <w:pPr>
              <w:spacing w:after="0" w:line="240" w:lineRule="auto"/>
              <w:jc w:val="center"/>
              <w:rPr>
                <w:rFonts w:ascii="Calibri" w:eastAsia="Times New Roman" w:hAnsi="Calibri" w:cs="Times New Roman"/>
                <w:color w:val="548235"/>
                <w:sz w:val="16"/>
                <w:szCs w:val="16"/>
                <w:lang w:eastAsia="en-GB"/>
              </w:rPr>
            </w:pPr>
            <w:r w:rsidRPr="0098772D">
              <w:rPr>
                <w:rFonts w:ascii="Calibri" w:eastAsia="Times New Roman" w:hAnsi="Calibri" w:cs="Times New Roman"/>
                <w:color w:val="548235"/>
                <w:sz w:val="16"/>
                <w:szCs w:val="16"/>
                <w:lang w:eastAsia="en-GB"/>
              </w:rPr>
              <w:t>2.0%</w:t>
            </w:r>
          </w:p>
        </w:tc>
      </w:tr>
    </w:tbl>
    <w:p w:rsidR="0098772D" w:rsidRPr="00B57FEB" w:rsidRDefault="0098772D" w:rsidP="0098772D">
      <w:pPr>
        <w:rPr>
          <w:b/>
        </w:rPr>
      </w:pPr>
      <w:r>
        <w:rPr>
          <w:b/>
        </w:rPr>
        <w:t xml:space="preserve"> </w:t>
      </w:r>
    </w:p>
    <w:p w:rsidR="0098772D" w:rsidRDefault="0098772D">
      <w:r>
        <w:t>CCG completion percentage for blood pressure increased 0.2% between 2013/14 – 2014/15, wher</w:t>
      </w:r>
      <w:r w:rsidR="00B57505">
        <w:t>eas in England it increase</w:t>
      </w:r>
      <w:r w:rsidR="009F4B25">
        <w:t>d</w:t>
      </w:r>
      <w:r w:rsidR="00B57505">
        <w:t xml:space="preserve"> 2.0% and the England completion percentage of 89.3% is now above the CCG percentage of 88.6%. </w:t>
      </w:r>
    </w:p>
    <w:p w:rsidR="0098772D" w:rsidRPr="00B57FEB" w:rsidRDefault="0098772D" w:rsidP="0098772D">
      <w:pPr>
        <w:rPr>
          <w:b/>
        </w:rPr>
      </w:pPr>
      <w:r w:rsidRPr="00B57FEB">
        <w:rPr>
          <w:b/>
        </w:rPr>
        <w:t xml:space="preserve">Figure </w:t>
      </w:r>
      <w:r w:rsidR="00B57505">
        <w:rPr>
          <w:b/>
        </w:rPr>
        <w:t>10</w:t>
      </w:r>
      <w:r w:rsidRPr="00B57FEB">
        <w:rPr>
          <w:b/>
        </w:rPr>
        <w:t>: National Diabetes Audit</w:t>
      </w:r>
      <w:r>
        <w:rPr>
          <w:b/>
        </w:rPr>
        <w:t xml:space="preserve"> 2013-14 / </w:t>
      </w:r>
      <w:r w:rsidRPr="00B57FEB">
        <w:rPr>
          <w:b/>
        </w:rPr>
        <w:t xml:space="preserve">2014-15, </w:t>
      </w:r>
      <w:r>
        <w:rPr>
          <w:b/>
        </w:rPr>
        <w:t xml:space="preserve">Care Process Completion for People with Type 1 Diabetes – C&amp;P CCG LCGs, </w:t>
      </w:r>
      <w:r w:rsidR="00B57505">
        <w:rPr>
          <w:b/>
        </w:rPr>
        <w:t>Cholesterol</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B57505" w:rsidRPr="00B57505" w:rsidTr="00B57505">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Change in % Completed 2013/14 - 2014/15</w:t>
            </w:r>
          </w:p>
        </w:tc>
      </w:tr>
      <w:tr w:rsidR="00B57505" w:rsidRPr="00B57505" w:rsidTr="00B57505">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B57505" w:rsidRPr="00B57505" w:rsidRDefault="00B57505" w:rsidP="00B57505">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B57505" w:rsidRPr="00B57505" w:rsidRDefault="00B57505" w:rsidP="00B57505">
            <w:pPr>
              <w:spacing w:after="0" w:line="240" w:lineRule="auto"/>
              <w:rPr>
                <w:rFonts w:ascii="Calibri" w:eastAsia="Times New Roman" w:hAnsi="Calibri" w:cs="Times New Roman"/>
                <w:b/>
                <w:bCs/>
                <w:color w:val="000000"/>
                <w:sz w:val="16"/>
                <w:szCs w:val="16"/>
                <w:lang w:eastAsia="en-GB"/>
              </w:rPr>
            </w:pP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294</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390</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75.4%</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276</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370</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74.6%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9C0006"/>
                <w:sz w:val="16"/>
                <w:szCs w:val="16"/>
                <w:lang w:eastAsia="en-GB"/>
              </w:rPr>
            </w:pPr>
            <w:r w:rsidRPr="00B57505">
              <w:rPr>
                <w:rFonts w:ascii="Calibri" w:eastAsia="Times New Roman" w:hAnsi="Calibri" w:cs="Times New Roman"/>
                <w:color w:val="9C0006"/>
                <w:sz w:val="16"/>
                <w:szCs w:val="16"/>
                <w:lang w:eastAsia="en-GB"/>
              </w:rPr>
              <w:t>-0.8%</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84</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119</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70.6%</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94</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147</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63.9%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9C0006"/>
                <w:sz w:val="16"/>
                <w:szCs w:val="16"/>
                <w:lang w:eastAsia="en-GB"/>
              </w:rPr>
            </w:pPr>
            <w:r w:rsidRPr="00B57505">
              <w:rPr>
                <w:rFonts w:ascii="Calibri" w:eastAsia="Times New Roman" w:hAnsi="Calibri" w:cs="Times New Roman"/>
                <w:color w:val="9C0006"/>
                <w:sz w:val="16"/>
                <w:szCs w:val="16"/>
                <w:lang w:eastAsia="en-GB"/>
              </w:rPr>
              <w:t>-6.6%</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440</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598</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73.6%</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429</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619</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69.3%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9C0006"/>
                <w:sz w:val="16"/>
                <w:szCs w:val="16"/>
                <w:lang w:eastAsia="en-GB"/>
              </w:rPr>
            </w:pPr>
            <w:r w:rsidRPr="00B57505">
              <w:rPr>
                <w:rFonts w:ascii="Calibri" w:eastAsia="Times New Roman" w:hAnsi="Calibri" w:cs="Times New Roman"/>
                <w:color w:val="9C0006"/>
                <w:sz w:val="16"/>
                <w:szCs w:val="16"/>
                <w:lang w:eastAsia="en-GB"/>
              </w:rPr>
              <w:t>-4.3%</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193</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253</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76.3%</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225</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275</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81.8%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548235"/>
                <w:sz w:val="16"/>
                <w:szCs w:val="16"/>
                <w:lang w:eastAsia="en-GB"/>
              </w:rPr>
            </w:pPr>
            <w:r w:rsidRPr="00B57505">
              <w:rPr>
                <w:rFonts w:ascii="Calibri" w:eastAsia="Times New Roman" w:hAnsi="Calibri" w:cs="Times New Roman"/>
                <w:color w:val="548235"/>
                <w:sz w:val="16"/>
                <w:szCs w:val="16"/>
                <w:lang w:eastAsia="en-GB"/>
              </w:rPr>
              <w:t>5.5%</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90</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114</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78.9%</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174</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212</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82.1%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548235"/>
                <w:sz w:val="16"/>
                <w:szCs w:val="16"/>
                <w:lang w:eastAsia="en-GB"/>
              </w:rPr>
            </w:pPr>
            <w:r w:rsidRPr="00B57505">
              <w:rPr>
                <w:rFonts w:ascii="Calibri" w:eastAsia="Times New Roman" w:hAnsi="Calibri" w:cs="Times New Roman"/>
                <w:color w:val="548235"/>
                <w:sz w:val="16"/>
                <w:szCs w:val="16"/>
                <w:lang w:eastAsia="en-GB"/>
              </w:rPr>
              <w:t>3.1%</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257</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321</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80.1%</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287</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373</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76.9%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9C0006"/>
                <w:sz w:val="16"/>
                <w:szCs w:val="16"/>
                <w:lang w:eastAsia="en-GB"/>
              </w:rPr>
            </w:pPr>
            <w:r w:rsidRPr="00B57505">
              <w:rPr>
                <w:rFonts w:ascii="Calibri" w:eastAsia="Times New Roman" w:hAnsi="Calibri" w:cs="Times New Roman"/>
                <w:color w:val="9C0006"/>
                <w:sz w:val="16"/>
                <w:szCs w:val="16"/>
                <w:lang w:eastAsia="en-GB"/>
              </w:rPr>
              <w:t>-3.1%</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380</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493</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77.1%</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366</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479</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76.4%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9C0006"/>
                <w:sz w:val="16"/>
                <w:szCs w:val="16"/>
                <w:lang w:eastAsia="en-GB"/>
              </w:rPr>
            </w:pPr>
            <w:r w:rsidRPr="00B57505">
              <w:rPr>
                <w:rFonts w:ascii="Calibri" w:eastAsia="Times New Roman" w:hAnsi="Calibri" w:cs="Times New Roman"/>
                <w:color w:val="9C0006"/>
                <w:sz w:val="16"/>
                <w:szCs w:val="16"/>
                <w:lang w:eastAsia="en-GB"/>
              </w:rPr>
              <w:t>-0.7%</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132</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165</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80.0%</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135</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163</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82.8%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548235"/>
                <w:sz w:val="16"/>
                <w:szCs w:val="16"/>
                <w:lang w:eastAsia="en-GB"/>
              </w:rPr>
            </w:pPr>
            <w:r w:rsidRPr="00B57505">
              <w:rPr>
                <w:rFonts w:ascii="Calibri" w:eastAsia="Times New Roman" w:hAnsi="Calibri" w:cs="Times New Roman"/>
                <w:color w:val="548235"/>
                <w:sz w:val="16"/>
                <w:szCs w:val="16"/>
                <w:lang w:eastAsia="en-GB"/>
              </w:rPr>
              <w:t>2.8%</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8</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100.0%</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9</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9</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100.0%</w:t>
            </w:r>
          </w:p>
        </w:tc>
        <w:tc>
          <w:tcPr>
            <w:tcW w:w="601" w:type="pct"/>
            <w:tcBorders>
              <w:top w:val="nil"/>
              <w:left w:val="nil"/>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0.0%</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1,878</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2,461</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76.3%</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1,995</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2,647</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75.4%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9C0006"/>
                <w:sz w:val="16"/>
                <w:szCs w:val="16"/>
                <w:lang w:eastAsia="en-GB"/>
              </w:rPr>
            </w:pPr>
            <w:r w:rsidRPr="00B57505">
              <w:rPr>
                <w:rFonts w:ascii="Calibri" w:eastAsia="Times New Roman" w:hAnsi="Calibri" w:cs="Times New Roman"/>
                <w:color w:val="9C0006"/>
                <w:sz w:val="16"/>
                <w:szCs w:val="16"/>
                <w:lang w:eastAsia="en-GB"/>
              </w:rPr>
              <w:t>-0.9%</w:t>
            </w:r>
          </w:p>
        </w:tc>
      </w:tr>
      <w:tr w:rsidR="00B57505" w:rsidRPr="00B57505" w:rsidTr="00B57505">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b/>
                <w:bCs/>
                <w:color w:val="000000"/>
                <w:sz w:val="16"/>
                <w:szCs w:val="16"/>
                <w:lang w:eastAsia="en-GB"/>
              </w:rPr>
            </w:pPr>
            <w:r w:rsidRPr="00B57505">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93,740</w:t>
            </w:r>
          </w:p>
        </w:tc>
        <w:tc>
          <w:tcPr>
            <w:tcW w:w="629"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120,306</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77.9%</w:t>
            </w:r>
          </w:p>
        </w:tc>
        <w:tc>
          <w:tcPr>
            <w:tcW w:w="55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99,904</w:t>
            </w:r>
          </w:p>
        </w:tc>
        <w:tc>
          <w:tcPr>
            <w:tcW w:w="628"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125,624</w:t>
            </w:r>
          </w:p>
        </w:tc>
        <w:tc>
          <w:tcPr>
            <w:tcW w:w="630" w:type="pct"/>
            <w:tcBorders>
              <w:top w:val="nil"/>
              <w:left w:val="nil"/>
              <w:bottom w:val="single" w:sz="4" w:space="0" w:color="auto"/>
              <w:right w:val="single" w:sz="4" w:space="0" w:color="auto"/>
            </w:tcBorders>
            <w:shd w:val="clear" w:color="auto" w:fill="auto"/>
            <w:noWrap/>
            <w:vAlign w:val="bottom"/>
            <w:hideMark/>
          </w:tcPr>
          <w:p w:rsidR="00B57505" w:rsidRPr="00B57505" w:rsidRDefault="00B57505" w:rsidP="00B57505">
            <w:pPr>
              <w:spacing w:after="0" w:line="240" w:lineRule="auto"/>
              <w:jc w:val="center"/>
              <w:rPr>
                <w:rFonts w:ascii="Calibri" w:eastAsia="Times New Roman" w:hAnsi="Calibri" w:cs="Times New Roman"/>
                <w:color w:val="000000"/>
                <w:sz w:val="16"/>
                <w:szCs w:val="16"/>
                <w:lang w:eastAsia="en-GB"/>
              </w:rPr>
            </w:pPr>
            <w:r w:rsidRPr="00B57505">
              <w:rPr>
                <w:rFonts w:ascii="Calibri" w:eastAsia="Times New Roman" w:hAnsi="Calibri" w:cs="Times New Roman"/>
                <w:color w:val="000000"/>
                <w:sz w:val="16"/>
                <w:szCs w:val="16"/>
                <w:lang w:eastAsia="en-GB"/>
              </w:rPr>
              <w:t>79.5%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7505" w:rsidRPr="00B57505" w:rsidRDefault="00B57505" w:rsidP="00B57505">
            <w:pPr>
              <w:spacing w:after="0" w:line="240" w:lineRule="auto"/>
              <w:jc w:val="center"/>
              <w:rPr>
                <w:rFonts w:ascii="Calibri" w:eastAsia="Times New Roman" w:hAnsi="Calibri" w:cs="Times New Roman"/>
                <w:color w:val="548235"/>
                <w:sz w:val="16"/>
                <w:szCs w:val="16"/>
                <w:lang w:eastAsia="en-GB"/>
              </w:rPr>
            </w:pPr>
            <w:r w:rsidRPr="00B57505">
              <w:rPr>
                <w:rFonts w:ascii="Calibri" w:eastAsia="Times New Roman" w:hAnsi="Calibri" w:cs="Times New Roman"/>
                <w:color w:val="548235"/>
                <w:sz w:val="16"/>
                <w:szCs w:val="16"/>
                <w:lang w:eastAsia="en-GB"/>
              </w:rPr>
              <w:t>1.6%</w:t>
            </w:r>
          </w:p>
        </w:tc>
      </w:tr>
    </w:tbl>
    <w:p w:rsidR="0098772D" w:rsidRDefault="0098772D"/>
    <w:p w:rsidR="00B57505" w:rsidRDefault="00B57505">
      <w:r>
        <w:t xml:space="preserve">CCG completion for cholesterol has fallen 0.9% between 2013/14 and 2014/15 whereas in England it has increased by 1.6%. Completion in England is now 4.1% higher than the CCG at 79.5% nationally compared to 75.4% in the CCG. Disparity between completion percentages among LCGs is relatively wide for this indicator, ranging from 82.8% in Wisbech to 63.9% in Cam Health.  </w:t>
      </w:r>
    </w:p>
    <w:p w:rsidR="00BF7DB7" w:rsidRDefault="00BF7DB7"/>
    <w:p w:rsidR="00BF7DB7" w:rsidRDefault="00BF7DB7"/>
    <w:p w:rsidR="00BF7DB7" w:rsidRDefault="00BF7DB7"/>
    <w:p w:rsidR="001722A8" w:rsidRDefault="001722A8" w:rsidP="0098772D">
      <w:pPr>
        <w:rPr>
          <w:b/>
        </w:rPr>
      </w:pPr>
    </w:p>
    <w:p w:rsidR="0098772D" w:rsidRPr="00B57FEB" w:rsidRDefault="0098772D" w:rsidP="0098772D">
      <w:pPr>
        <w:rPr>
          <w:b/>
        </w:rPr>
      </w:pPr>
      <w:r w:rsidRPr="00B57FEB">
        <w:rPr>
          <w:b/>
        </w:rPr>
        <w:lastRenderedPageBreak/>
        <w:t xml:space="preserve">Figure </w:t>
      </w:r>
      <w:r w:rsidR="00B57505">
        <w:rPr>
          <w:b/>
        </w:rPr>
        <w:t>11</w:t>
      </w:r>
      <w:r w:rsidRPr="00B57FEB">
        <w:rPr>
          <w:b/>
        </w:rPr>
        <w:t>: National Diabetes Audit</w:t>
      </w:r>
      <w:r>
        <w:rPr>
          <w:b/>
        </w:rPr>
        <w:t xml:space="preserve"> 2013-14 / </w:t>
      </w:r>
      <w:r w:rsidRPr="00B57FEB">
        <w:rPr>
          <w:b/>
        </w:rPr>
        <w:t xml:space="preserve">2014-15, </w:t>
      </w:r>
      <w:r>
        <w:rPr>
          <w:b/>
        </w:rPr>
        <w:t xml:space="preserve">Care Process Completion for People with Type 1 Diabetes – C&amp;P CCG LCGs, </w:t>
      </w:r>
      <w:r w:rsidR="00B57505">
        <w:rPr>
          <w:b/>
        </w:rPr>
        <w:t>Serum Creatine</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BF7DB7" w:rsidRPr="00BF7DB7" w:rsidTr="00056A9A">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Change in % Completed 2013/14 - 2014/15</w:t>
            </w:r>
          </w:p>
        </w:tc>
      </w:tr>
      <w:tr w:rsidR="00BF7DB7" w:rsidRPr="00BF7DB7" w:rsidTr="00056A9A">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BF7DB7" w:rsidRPr="00BF7DB7" w:rsidRDefault="00BF7DB7" w:rsidP="00BF7DB7">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BF7DB7" w:rsidRPr="00BF7DB7" w:rsidRDefault="00BF7DB7" w:rsidP="00BF7DB7">
            <w:pPr>
              <w:spacing w:after="0" w:line="240" w:lineRule="auto"/>
              <w:rPr>
                <w:rFonts w:ascii="Calibri" w:eastAsia="Times New Roman" w:hAnsi="Calibri" w:cs="Times New Roman"/>
                <w:b/>
                <w:bCs/>
                <w:color w:val="000000"/>
                <w:sz w:val="16"/>
                <w:szCs w:val="16"/>
                <w:lang w:eastAsia="en-GB"/>
              </w:rPr>
            </w:pP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307</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390</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78.7%</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292</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370</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78.9%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548235"/>
                <w:sz w:val="16"/>
                <w:szCs w:val="16"/>
                <w:lang w:eastAsia="en-GB"/>
              </w:rPr>
            </w:pPr>
            <w:r w:rsidRPr="00BF7DB7">
              <w:rPr>
                <w:rFonts w:ascii="Calibri" w:eastAsia="Times New Roman" w:hAnsi="Calibri" w:cs="Times New Roman"/>
                <w:color w:val="548235"/>
                <w:sz w:val="16"/>
                <w:szCs w:val="16"/>
                <w:lang w:eastAsia="en-GB"/>
              </w:rPr>
              <w:t>0.2%</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88</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119</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73.9%</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101</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147</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68.7%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9C0006"/>
                <w:sz w:val="16"/>
                <w:szCs w:val="16"/>
                <w:lang w:eastAsia="en-GB"/>
              </w:rPr>
            </w:pPr>
            <w:r w:rsidRPr="00BF7DB7">
              <w:rPr>
                <w:rFonts w:ascii="Calibri" w:eastAsia="Times New Roman" w:hAnsi="Calibri" w:cs="Times New Roman"/>
                <w:color w:val="9C0006"/>
                <w:sz w:val="16"/>
                <w:szCs w:val="16"/>
                <w:lang w:eastAsia="en-GB"/>
              </w:rPr>
              <w:t>-5.2%</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436</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598</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72.9%</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427</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619</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69.0%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9C0006"/>
                <w:sz w:val="16"/>
                <w:szCs w:val="16"/>
                <w:lang w:eastAsia="en-GB"/>
              </w:rPr>
            </w:pPr>
            <w:r w:rsidRPr="00BF7DB7">
              <w:rPr>
                <w:rFonts w:ascii="Calibri" w:eastAsia="Times New Roman" w:hAnsi="Calibri" w:cs="Times New Roman"/>
                <w:color w:val="9C0006"/>
                <w:sz w:val="16"/>
                <w:szCs w:val="16"/>
                <w:lang w:eastAsia="en-GB"/>
              </w:rPr>
              <w:t>-3.9%</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207</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253</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81.8%</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225</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275</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81.8%</w:t>
            </w:r>
          </w:p>
        </w:tc>
        <w:tc>
          <w:tcPr>
            <w:tcW w:w="601" w:type="pct"/>
            <w:tcBorders>
              <w:top w:val="nil"/>
              <w:left w:val="nil"/>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0.0%</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92</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114</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80.7%</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178</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212</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84.0%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548235"/>
                <w:sz w:val="16"/>
                <w:szCs w:val="16"/>
                <w:lang w:eastAsia="en-GB"/>
              </w:rPr>
            </w:pPr>
            <w:r w:rsidRPr="00BF7DB7">
              <w:rPr>
                <w:rFonts w:ascii="Calibri" w:eastAsia="Times New Roman" w:hAnsi="Calibri" w:cs="Times New Roman"/>
                <w:color w:val="548235"/>
                <w:sz w:val="16"/>
                <w:szCs w:val="16"/>
                <w:lang w:eastAsia="en-GB"/>
              </w:rPr>
              <w:t>3.3%</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264</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321</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82.2%</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306</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373</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82.0%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9C0006"/>
                <w:sz w:val="16"/>
                <w:szCs w:val="16"/>
                <w:lang w:eastAsia="en-GB"/>
              </w:rPr>
            </w:pPr>
            <w:r w:rsidRPr="00BF7DB7">
              <w:rPr>
                <w:rFonts w:ascii="Calibri" w:eastAsia="Times New Roman" w:hAnsi="Calibri" w:cs="Times New Roman"/>
                <w:color w:val="9C0006"/>
                <w:sz w:val="16"/>
                <w:szCs w:val="16"/>
                <w:lang w:eastAsia="en-GB"/>
              </w:rPr>
              <w:t>-0.2%</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397</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493</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80.5%</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383</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479</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80.0%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9C0006"/>
                <w:sz w:val="16"/>
                <w:szCs w:val="16"/>
                <w:lang w:eastAsia="en-GB"/>
              </w:rPr>
            </w:pPr>
            <w:r w:rsidRPr="00BF7DB7">
              <w:rPr>
                <w:rFonts w:ascii="Calibri" w:eastAsia="Times New Roman" w:hAnsi="Calibri" w:cs="Times New Roman"/>
                <w:color w:val="9C0006"/>
                <w:sz w:val="16"/>
                <w:szCs w:val="16"/>
                <w:lang w:eastAsia="en-GB"/>
              </w:rPr>
              <w:t>-0.6%</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139</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165</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84.2%</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138</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163</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84.7%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548235"/>
                <w:sz w:val="16"/>
                <w:szCs w:val="16"/>
                <w:lang w:eastAsia="en-GB"/>
              </w:rPr>
            </w:pPr>
            <w:r w:rsidRPr="00BF7DB7">
              <w:rPr>
                <w:rFonts w:ascii="Calibri" w:eastAsia="Times New Roman" w:hAnsi="Calibri" w:cs="Times New Roman"/>
                <w:color w:val="548235"/>
                <w:sz w:val="16"/>
                <w:szCs w:val="16"/>
                <w:lang w:eastAsia="en-GB"/>
              </w:rPr>
              <w:t>0.4%</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100.0%</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9</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9</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100.0%</w:t>
            </w:r>
          </w:p>
        </w:tc>
        <w:tc>
          <w:tcPr>
            <w:tcW w:w="601" w:type="pct"/>
            <w:tcBorders>
              <w:top w:val="nil"/>
              <w:left w:val="nil"/>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0.0%</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1,938</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2,461</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78.7%</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2,059</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2,647</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77.8%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9C0006"/>
                <w:sz w:val="16"/>
                <w:szCs w:val="16"/>
                <w:lang w:eastAsia="en-GB"/>
              </w:rPr>
            </w:pPr>
            <w:r w:rsidRPr="00BF7DB7">
              <w:rPr>
                <w:rFonts w:ascii="Calibri" w:eastAsia="Times New Roman" w:hAnsi="Calibri" w:cs="Times New Roman"/>
                <w:color w:val="9C0006"/>
                <w:sz w:val="16"/>
                <w:szCs w:val="16"/>
                <w:lang w:eastAsia="en-GB"/>
              </w:rPr>
              <w:t>-1.0%</w:t>
            </w:r>
          </w:p>
        </w:tc>
      </w:tr>
      <w:tr w:rsidR="00BF7DB7" w:rsidRPr="00BF7DB7"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b/>
                <w:bCs/>
                <w:color w:val="000000"/>
                <w:sz w:val="16"/>
                <w:szCs w:val="16"/>
                <w:lang w:eastAsia="en-GB"/>
              </w:rPr>
            </w:pPr>
            <w:r w:rsidRPr="00BF7DB7">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95,430</w:t>
            </w:r>
          </w:p>
        </w:tc>
        <w:tc>
          <w:tcPr>
            <w:tcW w:w="629"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120,306</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79.3%</w:t>
            </w:r>
          </w:p>
        </w:tc>
        <w:tc>
          <w:tcPr>
            <w:tcW w:w="55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101,848</w:t>
            </w:r>
          </w:p>
        </w:tc>
        <w:tc>
          <w:tcPr>
            <w:tcW w:w="628"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125,624</w:t>
            </w:r>
          </w:p>
        </w:tc>
        <w:tc>
          <w:tcPr>
            <w:tcW w:w="630" w:type="pct"/>
            <w:tcBorders>
              <w:top w:val="nil"/>
              <w:left w:val="nil"/>
              <w:bottom w:val="single" w:sz="4" w:space="0" w:color="auto"/>
              <w:right w:val="single" w:sz="4" w:space="0" w:color="auto"/>
            </w:tcBorders>
            <w:shd w:val="clear" w:color="auto" w:fill="auto"/>
            <w:noWrap/>
            <w:vAlign w:val="bottom"/>
            <w:hideMark/>
          </w:tcPr>
          <w:p w:rsidR="00BF7DB7" w:rsidRPr="00BF7DB7" w:rsidRDefault="00BF7DB7" w:rsidP="00BF7DB7">
            <w:pPr>
              <w:spacing w:after="0" w:line="240" w:lineRule="auto"/>
              <w:jc w:val="center"/>
              <w:rPr>
                <w:rFonts w:ascii="Calibri" w:eastAsia="Times New Roman" w:hAnsi="Calibri" w:cs="Times New Roman"/>
                <w:color w:val="000000"/>
                <w:sz w:val="16"/>
                <w:szCs w:val="16"/>
                <w:lang w:eastAsia="en-GB"/>
              </w:rPr>
            </w:pPr>
            <w:r w:rsidRPr="00BF7DB7">
              <w:rPr>
                <w:rFonts w:ascii="Calibri" w:eastAsia="Times New Roman" w:hAnsi="Calibri" w:cs="Times New Roman"/>
                <w:color w:val="000000"/>
                <w:sz w:val="16"/>
                <w:szCs w:val="16"/>
                <w:lang w:eastAsia="en-GB"/>
              </w:rPr>
              <w:t>81.1%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7DB7" w:rsidRPr="00BF7DB7" w:rsidRDefault="00BF7DB7" w:rsidP="00BF7DB7">
            <w:pPr>
              <w:spacing w:after="0" w:line="240" w:lineRule="auto"/>
              <w:jc w:val="center"/>
              <w:rPr>
                <w:rFonts w:ascii="Calibri" w:eastAsia="Times New Roman" w:hAnsi="Calibri" w:cs="Times New Roman"/>
                <w:color w:val="548235"/>
                <w:sz w:val="16"/>
                <w:szCs w:val="16"/>
                <w:lang w:eastAsia="en-GB"/>
              </w:rPr>
            </w:pPr>
            <w:r w:rsidRPr="00BF7DB7">
              <w:rPr>
                <w:rFonts w:ascii="Calibri" w:eastAsia="Times New Roman" w:hAnsi="Calibri" w:cs="Times New Roman"/>
                <w:color w:val="548235"/>
                <w:sz w:val="16"/>
                <w:szCs w:val="16"/>
                <w:lang w:eastAsia="en-GB"/>
              </w:rPr>
              <w:t>1.8%</w:t>
            </w:r>
          </w:p>
        </w:tc>
      </w:tr>
    </w:tbl>
    <w:p w:rsidR="0098772D" w:rsidRDefault="0098772D"/>
    <w:p w:rsidR="00056A9A" w:rsidRDefault="00056A9A">
      <w:r>
        <w:t xml:space="preserve">CCG completion percentage for serum creatine remains below England in 2014/15; in 2013/14 CCG completion was 0.6% below England but this has now increased to 3.3% below England. </w:t>
      </w:r>
    </w:p>
    <w:p w:rsidR="0098772D" w:rsidRPr="00B57FEB" w:rsidRDefault="0098772D" w:rsidP="0098772D">
      <w:pPr>
        <w:rPr>
          <w:b/>
        </w:rPr>
      </w:pPr>
      <w:r w:rsidRPr="00B57FEB">
        <w:rPr>
          <w:b/>
        </w:rPr>
        <w:t xml:space="preserve">Figure </w:t>
      </w:r>
      <w:r w:rsidR="00B57505">
        <w:rPr>
          <w:b/>
        </w:rPr>
        <w:t>12</w:t>
      </w:r>
      <w:r w:rsidRPr="00B57FEB">
        <w:rPr>
          <w:b/>
        </w:rPr>
        <w:t>: National Diabetes Audit</w:t>
      </w:r>
      <w:r>
        <w:rPr>
          <w:b/>
        </w:rPr>
        <w:t xml:space="preserve"> 2013-14 / </w:t>
      </w:r>
      <w:r w:rsidRPr="00B57FEB">
        <w:rPr>
          <w:b/>
        </w:rPr>
        <w:t xml:space="preserve">2014-15, </w:t>
      </w:r>
      <w:r>
        <w:rPr>
          <w:b/>
        </w:rPr>
        <w:t xml:space="preserve">Care Process Completion for People with Type 1 Diabetes – C&amp;P CCG LCGs, </w:t>
      </w:r>
      <w:r w:rsidR="00056A9A">
        <w:rPr>
          <w:b/>
        </w:rPr>
        <w:t>Urine Albumin</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056A9A" w:rsidRPr="00056A9A" w:rsidTr="00056A9A">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Change in % Completed 2013/14 - 2014/15</w:t>
            </w:r>
          </w:p>
        </w:tc>
      </w:tr>
      <w:tr w:rsidR="00056A9A" w:rsidRPr="00056A9A" w:rsidTr="00056A9A">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056A9A" w:rsidRPr="00056A9A" w:rsidRDefault="00056A9A" w:rsidP="00056A9A">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056A9A" w:rsidRPr="00056A9A" w:rsidRDefault="00056A9A" w:rsidP="00056A9A">
            <w:pPr>
              <w:spacing w:after="0" w:line="240" w:lineRule="auto"/>
              <w:rPr>
                <w:rFonts w:ascii="Calibri" w:eastAsia="Times New Roman" w:hAnsi="Calibri" w:cs="Times New Roman"/>
                <w:b/>
                <w:bCs/>
                <w:color w:val="000000"/>
                <w:sz w:val="16"/>
                <w:szCs w:val="16"/>
                <w:lang w:eastAsia="en-GB"/>
              </w:rPr>
            </w:pP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219</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390</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56.2%</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209</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370</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56.5%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0.3%</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68</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119</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57.1%</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64</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147</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43.5%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-13.6%</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390</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598</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65.2%</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323</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619</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52.2%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-13.0%</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152</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253</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60.1%</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145</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275</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52.7%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-7.4%</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70</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114</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61.4%</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114</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212</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53.8%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-7.6%</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227</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321</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70.7%</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208</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373</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55.8%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-15.0%</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312</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493</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63.3%</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263</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479</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54.9%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-8.4%</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80</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165</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48.5%</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73</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163</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44.8%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-3.7%</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100.0%</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9</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55.6%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-44.4%</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1,526</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2,461</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62.0%</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1,404</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2,647</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53.0%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-9.0%</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77,478</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120,306</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64.4%</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71,194</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125,624</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56.7%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-7.7%</w:t>
            </w:r>
          </w:p>
        </w:tc>
      </w:tr>
    </w:tbl>
    <w:p w:rsidR="0098772D" w:rsidRDefault="0098772D"/>
    <w:p w:rsidR="00056A9A" w:rsidRDefault="00056A9A">
      <w:r>
        <w:t xml:space="preserve">Completion percentage for urine albumin has fallen 7.7% nationally between 2013/14 and 2014/15 and 9.0% across the CCG. All LCGs show a fall in completion with the exception of Borderline, within which there has been a modest rise of 0.3%. </w:t>
      </w:r>
    </w:p>
    <w:p w:rsidR="00056A9A" w:rsidRDefault="00056A9A"/>
    <w:p w:rsidR="00056A9A" w:rsidRDefault="00056A9A"/>
    <w:p w:rsidR="00056A9A" w:rsidRDefault="00056A9A"/>
    <w:p w:rsidR="00056A9A" w:rsidRDefault="00056A9A"/>
    <w:p w:rsidR="00056A9A" w:rsidRDefault="00056A9A"/>
    <w:p w:rsidR="0098772D" w:rsidRPr="00B57FEB" w:rsidRDefault="0098772D" w:rsidP="0098772D">
      <w:pPr>
        <w:rPr>
          <w:b/>
        </w:rPr>
      </w:pPr>
      <w:r w:rsidRPr="00B57FEB">
        <w:rPr>
          <w:b/>
        </w:rPr>
        <w:lastRenderedPageBreak/>
        <w:t xml:space="preserve">Figure </w:t>
      </w:r>
      <w:r w:rsidR="00B57505">
        <w:rPr>
          <w:b/>
        </w:rPr>
        <w:t>13</w:t>
      </w:r>
      <w:r w:rsidRPr="00B57FEB">
        <w:rPr>
          <w:b/>
        </w:rPr>
        <w:t>: National Diabetes Audit</w:t>
      </w:r>
      <w:r>
        <w:rPr>
          <w:b/>
        </w:rPr>
        <w:t xml:space="preserve"> 2013-14 / </w:t>
      </w:r>
      <w:r w:rsidRPr="00B57FEB">
        <w:rPr>
          <w:b/>
        </w:rPr>
        <w:t xml:space="preserve">2014-15, </w:t>
      </w:r>
      <w:r>
        <w:rPr>
          <w:b/>
        </w:rPr>
        <w:t>Care Process Completion for People with Type 1</w:t>
      </w:r>
      <w:r w:rsidR="00056A9A">
        <w:rPr>
          <w:b/>
        </w:rPr>
        <w:t xml:space="preserve"> Diabetes – C&amp;P CCG LCGs, Foot Surveillance</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056A9A" w:rsidRPr="00056A9A" w:rsidTr="00056A9A">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Change in % Completed 2013/14 - 2014/15</w:t>
            </w:r>
          </w:p>
        </w:tc>
      </w:tr>
      <w:tr w:rsidR="00056A9A" w:rsidRPr="00056A9A" w:rsidTr="00056A9A">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056A9A" w:rsidRPr="00056A9A" w:rsidRDefault="00056A9A" w:rsidP="00056A9A">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056A9A" w:rsidRPr="00056A9A" w:rsidRDefault="00056A9A" w:rsidP="00056A9A">
            <w:pPr>
              <w:spacing w:after="0" w:line="240" w:lineRule="auto"/>
              <w:rPr>
                <w:rFonts w:ascii="Calibri" w:eastAsia="Times New Roman" w:hAnsi="Calibri" w:cs="Times New Roman"/>
                <w:b/>
                <w:bCs/>
                <w:color w:val="000000"/>
                <w:sz w:val="16"/>
                <w:szCs w:val="16"/>
                <w:lang w:eastAsia="en-GB"/>
              </w:rPr>
            </w:pP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285</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390</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73.1%</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268</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370</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72.4%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-0.6%</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88</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119</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73.9%</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105</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147</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71.4%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-2.5%</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440</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598</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73.6%</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454</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619</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73.3%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-0.2%</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183</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253</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72.3%</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206</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275</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74.9%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2.6%</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89</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114</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78.1%</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166</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212</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78.3%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0.2%</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247</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321</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76.9%</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290</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373</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77.7%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0.8%</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352</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493</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71.4%</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354</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479</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73.9%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2.5%</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120</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165</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72.7%</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130</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163</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79.8%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7.0%</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100.0%</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9</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9</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100.0%</w:t>
            </w:r>
          </w:p>
        </w:tc>
        <w:tc>
          <w:tcPr>
            <w:tcW w:w="601" w:type="pct"/>
            <w:tcBorders>
              <w:top w:val="nil"/>
              <w:left w:val="nil"/>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0.0%</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1,812</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2,461</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73.6%</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2,647</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74.9%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1.2%</w:t>
            </w:r>
          </w:p>
        </w:tc>
      </w:tr>
      <w:tr w:rsidR="00056A9A" w:rsidRPr="00056A9A" w:rsidTr="00056A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85,945</w:t>
            </w:r>
          </w:p>
        </w:tc>
        <w:tc>
          <w:tcPr>
            <w:tcW w:w="629"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120,306</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71.4%</w:t>
            </w:r>
          </w:p>
        </w:tc>
        <w:tc>
          <w:tcPr>
            <w:tcW w:w="55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92,148</w:t>
            </w:r>
          </w:p>
        </w:tc>
        <w:tc>
          <w:tcPr>
            <w:tcW w:w="628"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125,624</w:t>
            </w:r>
          </w:p>
        </w:tc>
        <w:tc>
          <w:tcPr>
            <w:tcW w:w="630" w:type="pct"/>
            <w:tcBorders>
              <w:top w:val="nil"/>
              <w:left w:val="nil"/>
              <w:bottom w:val="single" w:sz="4" w:space="0" w:color="auto"/>
              <w:right w:val="single" w:sz="4" w:space="0" w:color="auto"/>
            </w:tcBorders>
            <w:shd w:val="clear" w:color="auto" w:fill="auto"/>
            <w:noWrap/>
            <w:vAlign w:val="bottom"/>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73.4%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1.9%</w:t>
            </w:r>
          </w:p>
        </w:tc>
      </w:tr>
    </w:tbl>
    <w:p w:rsidR="0098772D" w:rsidRDefault="0098772D"/>
    <w:p w:rsidR="00056A9A" w:rsidRDefault="00056A9A">
      <w:r>
        <w:t>Foot surveillance completion has increased 1.2% in the CCG between 2014/15 and 2013/14 (although a fall in completion is observed in Cam Health, Borderline and Catch) and completion percentage is now 74.9%</w:t>
      </w:r>
      <w:r w:rsidR="009F4B25">
        <w:t>,</w:t>
      </w:r>
      <w:r>
        <w:t xml:space="preserve"> which remains above the England value of 73.4%. </w:t>
      </w:r>
    </w:p>
    <w:p w:rsidR="0098772D" w:rsidRDefault="0098772D" w:rsidP="0098772D">
      <w:pPr>
        <w:rPr>
          <w:b/>
        </w:rPr>
      </w:pPr>
      <w:r w:rsidRPr="00B57FEB">
        <w:rPr>
          <w:b/>
        </w:rPr>
        <w:t xml:space="preserve">Figure </w:t>
      </w:r>
      <w:r w:rsidR="00B57505">
        <w:rPr>
          <w:b/>
        </w:rPr>
        <w:t>14</w:t>
      </w:r>
      <w:r w:rsidRPr="00B57FEB">
        <w:rPr>
          <w:b/>
        </w:rPr>
        <w:t>: National Diabetes Audit</w:t>
      </w:r>
      <w:r>
        <w:rPr>
          <w:b/>
        </w:rPr>
        <w:t xml:space="preserve"> 2013-14 / </w:t>
      </w:r>
      <w:r w:rsidRPr="00B57FEB">
        <w:rPr>
          <w:b/>
        </w:rPr>
        <w:t xml:space="preserve">2014-15, </w:t>
      </w:r>
      <w:r>
        <w:rPr>
          <w:b/>
        </w:rPr>
        <w:t>Care Process Completion for People with Type 1</w:t>
      </w:r>
      <w:r w:rsidR="00056A9A">
        <w:rPr>
          <w:b/>
        </w:rPr>
        <w:t xml:space="preserve"> Diabetes – C&amp;P CCG LCGs, BMI</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056A9A" w:rsidRPr="00056A9A" w:rsidTr="00056A9A">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Change in % Completed 2013/14 - 2014/15</w:t>
            </w:r>
          </w:p>
        </w:tc>
      </w:tr>
      <w:tr w:rsidR="00056A9A" w:rsidRPr="00056A9A" w:rsidTr="00E66766">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056A9A" w:rsidRPr="00056A9A" w:rsidRDefault="00056A9A" w:rsidP="00056A9A">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056A9A" w:rsidRPr="00056A9A" w:rsidRDefault="00056A9A" w:rsidP="00056A9A">
            <w:pPr>
              <w:spacing w:after="0" w:line="240" w:lineRule="auto"/>
              <w:rPr>
                <w:rFonts w:ascii="Calibri" w:eastAsia="Times New Roman" w:hAnsi="Calibri" w:cs="Times New Roman"/>
                <w:b/>
                <w:bCs/>
                <w:color w:val="000000"/>
                <w:sz w:val="16"/>
                <w:szCs w:val="16"/>
                <w:lang w:eastAsia="en-GB"/>
              </w:rPr>
            </w:pP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328</w:t>
            </w:r>
          </w:p>
        </w:tc>
        <w:tc>
          <w:tcPr>
            <w:tcW w:w="629"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390</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84.1%</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313</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370</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84.6%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0.5%</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93</w:t>
            </w:r>
          </w:p>
        </w:tc>
        <w:tc>
          <w:tcPr>
            <w:tcW w:w="629"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119</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78.2%</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104</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147</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70.7%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-7.4%</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489</w:t>
            </w:r>
          </w:p>
        </w:tc>
        <w:tc>
          <w:tcPr>
            <w:tcW w:w="629"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598</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81.8%</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472</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619</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76.3%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-5.5%</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201</w:t>
            </w:r>
          </w:p>
        </w:tc>
        <w:tc>
          <w:tcPr>
            <w:tcW w:w="629"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253</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79.4%</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208</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275</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75.6%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-3.8%</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85</w:t>
            </w:r>
          </w:p>
        </w:tc>
        <w:tc>
          <w:tcPr>
            <w:tcW w:w="629"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114</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74.6%</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157</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212</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74.1%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-0.5%</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267</w:t>
            </w:r>
          </w:p>
        </w:tc>
        <w:tc>
          <w:tcPr>
            <w:tcW w:w="629"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321</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83.2%</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309</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373</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82.8%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-0.3%</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397</w:t>
            </w:r>
          </w:p>
        </w:tc>
        <w:tc>
          <w:tcPr>
            <w:tcW w:w="629" w:type="pct"/>
            <w:tcBorders>
              <w:top w:val="nil"/>
              <w:left w:val="nil"/>
              <w:bottom w:val="single" w:sz="4" w:space="0" w:color="auto"/>
              <w:right w:val="nil"/>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493</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80.5%</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393</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479</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82.0%</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1.5%</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132</w:t>
            </w:r>
          </w:p>
        </w:tc>
        <w:tc>
          <w:tcPr>
            <w:tcW w:w="629" w:type="pct"/>
            <w:tcBorders>
              <w:top w:val="nil"/>
              <w:left w:val="nil"/>
              <w:bottom w:val="single" w:sz="4" w:space="0" w:color="auto"/>
              <w:right w:val="nil"/>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165</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80.0%</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139</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163</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85.3%</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548235"/>
                <w:sz w:val="16"/>
                <w:szCs w:val="16"/>
                <w:lang w:eastAsia="en-GB"/>
              </w:rPr>
            </w:pPr>
            <w:r w:rsidRPr="00056A9A">
              <w:rPr>
                <w:rFonts w:ascii="Calibri" w:eastAsia="Times New Roman" w:hAnsi="Calibri" w:cs="Times New Roman"/>
                <w:color w:val="548235"/>
                <w:sz w:val="16"/>
                <w:szCs w:val="16"/>
                <w:lang w:eastAsia="en-GB"/>
              </w:rPr>
              <w:t>5.3%</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w:t>
            </w:r>
          </w:p>
        </w:tc>
        <w:tc>
          <w:tcPr>
            <w:tcW w:w="629" w:type="pct"/>
            <w:tcBorders>
              <w:top w:val="nil"/>
              <w:left w:val="nil"/>
              <w:bottom w:val="single" w:sz="4" w:space="0" w:color="auto"/>
              <w:right w:val="nil"/>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87.5%</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9</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66.7%</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-20.8%</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1,999</w:t>
            </w:r>
          </w:p>
        </w:tc>
        <w:tc>
          <w:tcPr>
            <w:tcW w:w="629" w:type="pct"/>
            <w:tcBorders>
              <w:top w:val="nil"/>
              <w:left w:val="nil"/>
              <w:bottom w:val="single" w:sz="4" w:space="0" w:color="auto"/>
              <w:right w:val="nil"/>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2,461</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81.2%</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2,101</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2,647</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79.4%</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-1.9%</w:t>
            </w:r>
          </w:p>
        </w:tc>
      </w:tr>
      <w:tr w:rsidR="00056A9A" w:rsidRPr="00056A9A"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b/>
                <w:bCs/>
                <w:color w:val="000000"/>
                <w:sz w:val="16"/>
                <w:szCs w:val="16"/>
                <w:lang w:eastAsia="en-GB"/>
              </w:rPr>
            </w:pPr>
            <w:r w:rsidRPr="00056A9A">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92,917</w:t>
            </w:r>
          </w:p>
        </w:tc>
        <w:tc>
          <w:tcPr>
            <w:tcW w:w="629" w:type="pct"/>
            <w:tcBorders>
              <w:top w:val="nil"/>
              <w:left w:val="nil"/>
              <w:bottom w:val="single" w:sz="4" w:space="0" w:color="auto"/>
              <w:right w:val="nil"/>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120,306</w:t>
            </w:r>
          </w:p>
        </w:tc>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77.2%</w:t>
            </w:r>
          </w:p>
        </w:tc>
        <w:tc>
          <w:tcPr>
            <w:tcW w:w="55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94,698</w:t>
            </w:r>
          </w:p>
        </w:tc>
        <w:tc>
          <w:tcPr>
            <w:tcW w:w="628"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125,624</w:t>
            </w:r>
          </w:p>
        </w:tc>
        <w:tc>
          <w:tcPr>
            <w:tcW w:w="630" w:type="pct"/>
            <w:tcBorders>
              <w:top w:val="nil"/>
              <w:left w:val="nil"/>
              <w:bottom w:val="single" w:sz="4" w:space="0" w:color="auto"/>
              <w:right w:val="single" w:sz="4" w:space="0" w:color="auto"/>
            </w:tcBorders>
            <w:shd w:val="clear" w:color="auto" w:fill="auto"/>
            <w:noWrap/>
            <w:vAlign w:val="center"/>
            <w:hideMark/>
          </w:tcPr>
          <w:p w:rsidR="00056A9A" w:rsidRPr="00056A9A" w:rsidRDefault="00056A9A" w:rsidP="00056A9A">
            <w:pPr>
              <w:spacing w:after="0" w:line="240" w:lineRule="auto"/>
              <w:jc w:val="center"/>
              <w:rPr>
                <w:rFonts w:ascii="Calibri" w:eastAsia="Times New Roman" w:hAnsi="Calibri" w:cs="Times New Roman"/>
                <w:color w:val="000000"/>
                <w:sz w:val="16"/>
                <w:szCs w:val="16"/>
                <w:lang w:eastAsia="en-GB"/>
              </w:rPr>
            </w:pPr>
            <w:r w:rsidRPr="00056A9A">
              <w:rPr>
                <w:rFonts w:ascii="Calibri" w:eastAsia="Times New Roman" w:hAnsi="Calibri" w:cs="Times New Roman"/>
                <w:color w:val="000000"/>
                <w:sz w:val="16"/>
                <w:szCs w:val="16"/>
                <w:lang w:eastAsia="en-GB"/>
              </w:rPr>
              <w:t>75.4%</w:t>
            </w:r>
          </w:p>
        </w:tc>
        <w:tc>
          <w:tcPr>
            <w:tcW w:w="601" w:type="pct"/>
            <w:tcBorders>
              <w:top w:val="single" w:sz="4" w:space="0" w:color="auto"/>
              <w:left w:val="nil"/>
              <w:bottom w:val="single" w:sz="4" w:space="0" w:color="auto"/>
              <w:right w:val="single" w:sz="4" w:space="0" w:color="auto"/>
            </w:tcBorders>
            <w:shd w:val="clear" w:color="000000" w:fill="FFFFFF"/>
            <w:noWrap/>
            <w:vAlign w:val="center"/>
            <w:hideMark/>
          </w:tcPr>
          <w:p w:rsidR="00056A9A" w:rsidRPr="00056A9A" w:rsidRDefault="00056A9A" w:rsidP="00056A9A">
            <w:pPr>
              <w:spacing w:after="0" w:line="240" w:lineRule="auto"/>
              <w:jc w:val="center"/>
              <w:rPr>
                <w:rFonts w:ascii="Calibri" w:eastAsia="Times New Roman" w:hAnsi="Calibri" w:cs="Times New Roman"/>
                <w:color w:val="9C0006"/>
                <w:sz w:val="16"/>
                <w:szCs w:val="16"/>
                <w:lang w:eastAsia="en-GB"/>
              </w:rPr>
            </w:pPr>
            <w:r w:rsidRPr="00056A9A">
              <w:rPr>
                <w:rFonts w:ascii="Calibri" w:eastAsia="Times New Roman" w:hAnsi="Calibri" w:cs="Times New Roman"/>
                <w:color w:val="9C0006"/>
                <w:sz w:val="16"/>
                <w:szCs w:val="16"/>
                <w:lang w:eastAsia="en-GB"/>
              </w:rPr>
              <w:t>-1.9%</w:t>
            </w:r>
          </w:p>
        </w:tc>
      </w:tr>
    </w:tbl>
    <w:p w:rsidR="00056A9A" w:rsidRPr="00B57FEB" w:rsidRDefault="00056A9A" w:rsidP="0098772D">
      <w:pPr>
        <w:rPr>
          <w:b/>
        </w:rPr>
      </w:pPr>
    </w:p>
    <w:p w:rsidR="0098772D" w:rsidRDefault="00E66766">
      <w:r>
        <w:t xml:space="preserve">CCG completion for BMI fell by 1.9% between 2013/14 and 2014/15 but remains 4.0% above that of England, which </w:t>
      </w:r>
      <w:r w:rsidR="009F4B25">
        <w:t>also fell by 1.9%</w:t>
      </w:r>
      <w:r>
        <w:t xml:space="preserve"> across this time period. Completion percentage increase</w:t>
      </w:r>
      <w:r w:rsidR="0000456E">
        <w:t>d</w:t>
      </w:r>
      <w:r>
        <w:t xml:space="preserve"> in three LCGs; Wisbech, Peterborough and Borderline. </w:t>
      </w:r>
    </w:p>
    <w:p w:rsidR="00E66766" w:rsidRDefault="00E66766"/>
    <w:p w:rsidR="00E66766" w:rsidRDefault="00E66766"/>
    <w:p w:rsidR="00E66766" w:rsidRDefault="00E66766"/>
    <w:p w:rsidR="00E66766" w:rsidRDefault="00E66766"/>
    <w:p w:rsidR="001722A8" w:rsidRDefault="001722A8" w:rsidP="0098772D">
      <w:pPr>
        <w:rPr>
          <w:b/>
        </w:rPr>
      </w:pPr>
    </w:p>
    <w:p w:rsidR="0098772D" w:rsidRPr="00B57FEB" w:rsidRDefault="0098772D" w:rsidP="0098772D">
      <w:pPr>
        <w:rPr>
          <w:b/>
        </w:rPr>
      </w:pPr>
      <w:r w:rsidRPr="00B57FEB">
        <w:rPr>
          <w:b/>
        </w:rPr>
        <w:lastRenderedPageBreak/>
        <w:t xml:space="preserve">Figure </w:t>
      </w:r>
      <w:r w:rsidR="00B57505">
        <w:rPr>
          <w:b/>
        </w:rPr>
        <w:t>15</w:t>
      </w:r>
      <w:r w:rsidRPr="00B57FEB">
        <w:rPr>
          <w:b/>
        </w:rPr>
        <w:t>: National Diabetes Audit</w:t>
      </w:r>
      <w:r>
        <w:rPr>
          <w:b/>
        </w:rPr>
        <w:t xml:space="preserve"> 2013-14 / </w:t>
      </w:r>
      <w:r w:rsidRPr="00B57FEB">
        <w:rPr>
          <w:b/>
        </w:rPr>
        <w:t xml:space="preserve">2014-15, </w:t>
      </w:r>
      <w:r>
        <w:rPr>
          <w:b/>
        </w:rPr>
        <w:t xml:space="preserve">Care Process Completion for People with Type 1 Diabetes – C&amp;P CCG LCGs, </w:t>
      </w:r>
      <w:r w:rsidR="00E66766">
        <w:rPr>
          <w:b/>
        </w:rPr>
        <w:t>Smoking</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E66766" w:rsidRPr="00E66766" w:rsidTr="00E66766">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Change in % Completed 2013/14 - 2014/15</w:t>
            </w:r>
          </w:p>
        </w:tc>
      </w:tr>
      <w:tr w:rsidR="00E66766" w:rsidRPr="00E66766" w:rsidTr="00E66766">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E66766" w:rsidRPr="00E66766" w:rsidRDefault="00E66766" w:rsidP="00E66766">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E66766" w:rsidRPr="00E66766" w:rsidRDefault="00E66766" w:rsidP="00E66766">
            <w:pPr>
              <w:spacing w:after="0" w:line="240" w:lineRule="auto"/>
              <w:rPr>
                <w:rFonts w:ascii="Calibri" w:eastAsia="Times New Roman" w:hAnsi="Calibri" w:cs="Times New Roman"/>
                <w:b/>
                <w:bCs/>
                <w:color w:val="000000"/>
                <w:sz w:val="16"/>
                <w:szCs w:val="16"/>
                <w:lang w:eastAsia="en-GB"/>
              </w:rPr>
            </w:pP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325</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390</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83.3%</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298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370</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80.5%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-2.8%</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99</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119</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83.2%</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98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147</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66.7%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-16.5%</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466</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598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77.9%</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471</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619</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76.1%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-1.8%</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196</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253</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77.5%</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205</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275</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74.5%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-2.9%</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94</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114</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82.5%</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164</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212</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77.4%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-5.1%</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262</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321</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81.6%</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294</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373</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78.8%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-2.8%</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410</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493</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83.2%</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395</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479</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82.5%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-0.7%</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129</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165</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78.2%</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128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163</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78.5%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548235"/>
                <w:sz w:val="16"/>
                <w:szCs w:val="16"/>
                <w:lang w:eastAsia="en-GB"/>
              </w:rPr>
            </w:pPr>
            <w:r w:rsidRPr="00E66766">
              <w:rPr>
                <w:rFonts w:ascii="Calibri" w:eastAsia="Times New Roman" w:hAnsi="Calibri" w:cs="Times New Roman"/>
                <w:color w:val="548235"/>
                <w:sz w:val="16"/>
                <w:szCs w:val="16"/>
                <w:lang w:eastAsia="en-GB"/>
              </w:rPr>
              <w:t>0.3%</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100.0%</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9</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77.8%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-22.2%</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1,989</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2,461</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80.8%</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2,060</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2,647</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77.8%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-3.0%</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93,694</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120,306</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77.9%</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98,410</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125,624</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78.3%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548235"/>
                <w:sz w:val="16"/>
                <w:szCs w:val="16"/>
                <w:lang w:eastAsia="en-GB"/>
              </w:rPr>
            </w:pPr>
            <w:r w:rsidRPr="00E66766">
              <w:rPr>
                <w:rFonts w:ascii="Calibri" w:eastAsia="Times New Roman" w:hAnsi="Calibri" w:cs="Times New Roman"/>
                <w:color w:val="548235"/>
                <w:sz w:val="16"/>
                <w:szCs w:val="16"/>
                <w:lang w:eastAsia="en-GB"/>
              </w:rPr>
              <w:t>0.</w:t>
            </w:r>
            <w:r>
              <w:rPr>
                <w:rFonts w:ascii="Calibri" w:eastAsia="Times New Roman" w:hAnsi="Calibri" w:cs="Times New Roman"/>
                <w:color w:val="548235"/>
                <w:sz w:val="16"/>
                <w:szCs w:val="16"/>
                <w:lang w:eastAsia="en-GB"/>
              </w:rPr>
              <w:t>4</w:t>
            </w:r>
            <w:r w:rsidRPr="00E66766">
              <w:rPr>
                <w:rFonts w:ascii="Calibri" w:eastAsia="Times New Roman" w:hAnsi="Calibri" w:cs="Times New Roman"/>
                <w:color w:val="548235"/>
                <w:sz w:val="16"/>
                <w:szCs w:val="16"/>
                <w:lang w:eastAsia="en-GB"/>
              </w:rPr>
              <w:t>%</w:t>
            </w:r>
          </w:p>
        </w:tc>
      </w:tr>
    </w:tbl>
    <w:p w:rsidR="0098772D" w:rsidRDefault="0098772D"/>
    <w:p w:rsidR="00E66766" w:rsidRDefault="00E66766">
      <w:r>
        <w:t xml:space="preserve">CCG completion for smoking was above the national percentage in 2013/14 (80.8% compared to 77.9%) but has now fallen 3.0% to 77.8% and is therefore below the national value which has increased 0.4% to 78.3%. All LCGs other than Wisbech show an observed year-on-year fall, with the decline highest in Cam Health (16.5%). </w:t>
      </w:r>
    </w:p>
    <w:p w:rsidR="00E66766" w:rsidRDefault="00E66766"/>
    <w:p w:rsidR="0098772D" w:rsidRDefault="0098772D" w:rsidP="0098772D">
      <w:pPr>
        <w:rPr>
          <w:b/>
        </w:rPr>
      </w:pPr>
      <w:r w:rsidRPr="00B57FEB">
        <w:rPr>
          <w:b/>
        </w:rPr>
        <w:t xml:space="preserve">Figure </w:t>
      </w:r>
      <w:r w:rsidR="00B57505">
        <w:rPr>
          <w:b/>
        </w:rPr>
        <w:t>16</w:t>
      </w:r>
      <w:r w:rsidRPr="00B57FEB">
        <w:rPr>
          <w:b/>
        </w:rPr>
        <w:t>: National Diabetes Audit</w:t>
      </w:r>
      <w:r>
        <w:rPr>
          <w:b/>
        </w:rPr>
        <w:t xml:space="preserve"> 2013-14 / </w:t>
      </w:r>
      <w:r w:rsidRPr="00B57FEB">
        <w:rPr>
          <w:b/>
        </w:rPr>
        <w:t xml:space="preserve">2014-15, </w:t>
      </w:r>
      <w:r>
        <w:rPr>
          <w:b/>
        </w:rPr>
        <w:t xml:space="preserve">Care Process Completion for People with Type 1 Diabetes – C&amp;P CCG LCGs, </w:t>
      </w:r>
      <w:r w:rsidR="00E66766">
        <w:rPr>
          <w:b/>
        </w:rPr>
        <w:t>All Eight Outcomes</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E66766" w:rsidRPr="00E66766" w:rsidTr="00E66766">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Change in % Completed 2013/14 - 2014/15</w:t>
            </w:r>
          </w:p>
        </w:tc>
      </w:tr>
      <w:tr w:rsidR="00E66766" w:rsidRPr="00E66766" w:rsidTr="00E66766">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E66766" w:rsidRPr="00E66766" w:rsidRDefault="00E66766" w:rsidP="00E66766">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E66766" w:rsidRPr="00E66766" w:rsidRDefault="00E66766" w:rsidP="00E66766">
            <w:pPr>
              <w:spacing w:after="0" w:line="240" w:lineRule="auto"/>
              <w:rPr>
                <w:rFonts w:ascii="Calibri" w:eastAsia="Times New Roman" w:hAnsi="Calibri" w:cs="Times New Roman"/>
                <w:b/>
                <w:bCs/>
                <w:color w:val="000000"/>
                <w:sz w:val="16"/>
                <w:szCs w:val="16"/>
                <w:lang w:eastAsia="en-GB"/>
              </w:rPr>
            </w:pP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203</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405</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50.1%</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205</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391</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52.4%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548235"/>
                <w:sz w:val="16"/>
                <w:szCs w:val="16"/>
                <w:lang w:eastAsia="en-GB"/>
              </w:rPr>
            </w:pPr>
            <w:r w:rsidRPr="00E66766">
              <w:rPr>
                <w:rFonts w:ascii="Calibri" w:eastAsia="Times New Roman" w:hAnsi="Calibri" w:cs="Times New Roman"/>
                <w:color w:val="548235"/>
                <w:sz w:val="16"/>
                <w:szCs w:val="16"/>
                <w:lang w:eastAsia="en-GB"/>
              </w:rPr>
              <w:t>2.3%</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49</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123</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39.8%</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37</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152</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24.3%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-15.5%</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279</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619</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45.1%</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237</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642</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36.9%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-8.2%</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121</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260</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46.5%</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110</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284</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38.7%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-7.8%</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62</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118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52.5%</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217</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40.6%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-12.0%</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152</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338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45.0%</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155</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392</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39.5%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-5.4%</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267</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518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51.5%</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227</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503</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45.1%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-6.4%</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68</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170</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40.0%</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63</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169</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37.3%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-2.7%</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7</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87.5%</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C953BF" w:rsidP="00E66766">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&lt;5</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9</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44.4%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-43.1%</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1,208</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2,559</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47.2%</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1,126</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2,759</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40.8%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-6.4%</w:t>
            </w:r>
          </w:p>
        </w:tc>
      </w:tr>
      <w:tr w:rsidR="00E66766" w:rsidRPr="00E66766" w:rsidTr="00E66766">
        <w:trPr>
          <w:trHeight w:val="225"/>
        </w:trPr>
        <w:tc>
          <w:tcPr>
            <w:tcW w:w="787" w:type="pct"/>
            <w:tcBorders>
              <w:top w:val="nil"/>
              <w:left w:val="single" w:sz="4" w:space="0" w:color="auto"/>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b/>
                <w:bCs/>
                <w:color w:val="000000"/>
                <w:sz w:val="16"/>
                <w:szCs w:val="16"/>
                <w:lang w:eastAsia="en-GB"/>
              </w:rPr>
            </w:pPr>
            <w:r w:rsidRPr="00E66766">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56,588</w:t>
            </w:r>
          </w:p>
        </w:tc>
        <w:tc>
          <w:tcPr>
            <w:tcW w:w="629"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125,217</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45.2%</w:t>
            </w:r>
          </w:p>
        </w:tc>
        <w:tc>
          <w:tcPr>
            <w:tcW w:w="55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51,752</w:t>
            </w:r>
          </w:p>
        </w:tc>
        <w:tc>
          <w:tcPr>
            <w:tcW w:w="628"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130,750</w:t>
            </w:r>
          </w:p>
        </w:tc>
        <w:tc>
          <w:tcPr>
            <w:tcW w:w="630" w:type="pct"/>
            <w:tcBorders>
              <w:top w:val="nil"/>
              <w:left w:val="nil"/>
              <w:bottom w:val="single" w:sz="4" w:space="0" w:color="auto"/>
              <w:right w:val="single" w:sz="4" w:space="0" w:color="auto"/>
            </w:tcBorders>
            <w:shd w:val="clear" w:color="auto" w:fill="auto"/>
            <w:noWrap/>
            <w:vAlign w:val="bottom"/>
            <w:hideMark/>
          </w:tcPr>
          <w:p w:rsidR="00E66766" w:rsidRPr="00E66766" w:rsidRDefault="00E66766" w:rsidP="00E66766">
            <w:pPr>
              <w:spacing w:after="0" w:line="240" w:lineRule="auto"/>
              <w:jc w:val="center"/>
              <w:rPr>
                <w:rFonts w:ascii="Calibri" w:eastAsia="Times New Roman" w:hAnsi="Calibri" w:cs="Times New Roman"/>
                <w:color w:val="000000"/>
                <w:sz w:val="16"/>
                <w:szCs w:val="16"/>
                <w:lang w:eastAsia="en-GB"/>
              </w:rPr>
            </w:pPr>
            <w:r w:rsidRPr="00E66766">
              <w:rPr>
                <w:rFonts w:ascii="Calibri" w:eastAsia="Times New Roman" w:hAnsi="Calibri" w:cs="Times New Roman"/>
                <w:color w:val="000000"/>
                <w:sz w:val="16"/>
                <w:szCs w:val="16"/>
                <w:lang w:eastAsia="en-GB"/>
              </w:rPr>
              <w:t>39.6%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766" w:rsidRPr="00E66766" w:rsidRDefault="00E66766" w:rsidP="00E66766">
            <w:pPr>
              <w:spacing w:after="0" w:line="240" w:lineRule="auto"/>
              <w:jc w:val="center"/>
              <w:rPr>
                <w:rFonts w:ascii="Calibri" w:eastAsia="Times New Roman" w:hAnsi="Calibri" w:cs="Times New Roman"/>
                <w:color w:val="9C0006"/>
                <w:sz w:val="16"/>
                <w:szCs w:val="16"/>
                <w:lang w:eastAsia="en-GB"/>
              </w:rPr>
            </w:pPr>
            <w:r w:rsidRPr="00E66766">
              <w:rPr>
                <w:rFonts w:ascii="Calibri" w:eastAsia="Times New Roman" w:hAnsi="Calibri" w:cs="Times New Roman"/>
                <w:color w:val="9C0006"/>
                <w:sz w:val="16"/>
                <w:szCs w:val="16"/>
                <w:lang w:eastAsia="en-GB"/>
              </w:rPr>
              <w:t>-5.6%</w:t>
            </w:r>
          </w:p>
        </w:tc>
      </w:tr>
    </w:tbl>
    <w:p w:rsidR="00E66766" w:rsidRDefault="00E66766" w:rsidP="0098772D">
      <w:pPr>
        <w:rPr>
          <w:b/>
        </w:rPr>
      </w:pPr>
    </w:p>
    <w:p w:rsidR="00E66766" w:rsidRPr="00E66766" w:rsidRDefault="00E66766" w:rsidP="0098772D">
      <w:r>
        <w:t xml:space="preserve">The CCG remains above England for completion percentage with regards to all eight outcomes in 2014/15 (40.8% compared to 39.6%), although the 6.4% fall from 2013/14 within the CCG is higher than the 5.6% fall observed nationally. Within the Borderline LCG, completion percentage increased between 2013/14 and 2014/15 by 2.3%; completion percentage fell for all other LCGs. </w:t>
      </w:r>
    </w:p>
    <w:p w:rsidR="0098772D" w:rsidRDefault="0098772D"/>
    <w:p w:rsidR="0098772D" w:rsidRDefault="0098772D"/>
    <w:p w:rsidR="00C83059" w:rsidRDefault="00C83059">
      <w:r w:rsidRPr="00B57FEB">
        <w:rPr>
          <w:b/>
        </w:rPr>
        <w:lastRenderedPageBreak/>
        <w:t xml:space="preserve">Figure </w:t>
      </w:r>
      <w:r w:rsidR="00C54CDB">
        <w:rPr>
          <w:b/>
        </w:rPr>
        <w:t>17</w:t>
      </w:r>
      <w:r w:rsidRPr="00B57FEB">
        <w:rPr>
          <w:b/>
        </w:rPr>
        <w:t xml:space="preserve">: National Diabetes Audit 2014-15, </w:t>
      </w:r>
      <w:r>
        <w:rPr>
          <w:b/>
        </w:rPr>
        <w:t>Care Process Completion for People with Type 2 Diabetes</w:t>
      </w:r>
    </w:p>
    <w:tbl>
      <w:tblPr>
        <w:tblW w:w="5000" w:type="pct"/>
        <w:tblLayout w:type="fixed"/>
        <w:tblLook w:val="04A0" w:firstRow="1" w:lastRow="0" w:firstColumn="1" w:lastColumn="0" w:noHBand="0" w:noVBand="1"/>
      </w:tblPr>
      <w:tblGrid>
        <w:gridCol w:w="1157"/>
        <w:gridCol w:w="1163"/>
        <w:gridCol w:w="1163"/>
        <w:gridCol w:w="1207"/>
        <w:gridCol w:w="1290"/>
        <w:gridCol w:w="1290"/>
        <w:gridCol w:w="1011"/>
        <w:gridCol w:w="961"/>
      </w:tblGrid>
      <w:tr w:rsidR="009C6871" w:rsidRPr="00A403F1" w:rsidTr="009C6871">
        <w:trPr>
          <w:trHeight w:val="300"/>
        </w:trPr>
        <w:tc>
          <w:tcPr>
            <w:tcW w:w="626" w:type="pct"/>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Care Process</w:t>
            </w:r>
          </w:p>
        </w:tc>
        <w:tc>
          <w:tcPr>
            <w:tcW w:w="1910" w:type="pct"/>
            <w:gridSpan w:val="3"/>
            <w:tcBorders>
              <w:top w:val="single" w:sz="4" w:space="0" w:color="auto"/>
              <w:left w:val="nil"/>
              <w:bottom w:val="single" w:sz="4" w:space="0" w:color="auto"/>
              <w:right w:val="single" w:sz="4" w:space="0" w:color="auto"/>
            </w:tcBorders>
            <w:shd w:val="clear" w:color="000000" w:fill="DDEBF7"/>
            <w:vAlign w:val="center"/>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C&amp;P </w:t>
            </w:r>
            <w:r w:rsidRPr="00A403F1">
              <w:rPr>
                <w:rFonts w:ascii="Calibri" w:eastAsia="Times New Roman" w:hAnsi="Calibri" w:cs="Times New Roman"/>
                <w:b/>
                <w:bCs/>
                <w:color w:val="000000"/>
                <w:sz w:val="16"/>
                <w:szCs w:val="16"/>
                <w:lang w:eastAsia="en-GB"/>
              </w:rPr>
              <w:t>CCG</w:t>
            </w:r>
          </w:p>
        </w:tc>
        <w:tc>
          <w:tcPr>
            <w:tcW w:w="1943" w:type="pct"/>
            <w:gridSpan w:val="3"/>
            <w:tcBorders>
              <w:top w:val="single" w:sz="4" w:space="0" w:color="auto"/>
              <w:left w:val="nil"/>
              <w:bottom w:val="single" w:sz="4" w:space="0" w:color="auto"/>
              <w:right w:val="single" w:sz="4" w:space="0" w:color="auto"/>
            </w:tcBorders>
            <w:shd w:val="clear" w:color="000000" w:fill="DDEBF7"/>
            <w:vAlign w:val="center"/>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England</w:t>
            </w:r>
          </w:p>
        </w:tc>
        <w:tc>
          <w:tcPr>
            <w:tcW w:w="520" w:type="pct"/>
            <w:vMerge w:val="restart"/>
            <w:tcBorders>
              <w:top w:val="single" w:sz="4" w:space="0" w:color="auto"/>
              <w:left w:val="nil"/>
              <w:right w:val="single" w:sz="4" w:space="0" w:color="auto"/>
            </w:tcBorders>
            <w:shd w:val="clear" w:color="000000" w:fill="DDEBF7"/>
            <w:vAlign w:val="center"/>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CCG </w:t>
            </w:r>
            <w:r w:rsidRPr="00A403F1">
              <w:rPr>
                <w:rFonts w:ascii="Calibri" w:eastAsia="Times New Roman" w:hAnsi="Calibri" w:cs="Times New Roman"/>
                <w:b/>
                <w:bCs/>
                <w:color w:val="000000"/>
                <w:sz w:val="16"/>
                <w:szCs w:val="16"/>
                <w:lang w:eastAsia="en-GB"/>
              </w:rPr>
              <w:t>Banding</w:t>
            </w:r>
          </w:p>
        </w:tc>
      </w:tr>
      <w:tr w:rsidR="009C6871" w:rsidRPr="00A403F1" w:rsidTr="009C6871">
        <w:trPr>
          <w:trHeight w:val="300"/>
        </w:trPr>
        <w:tc>
          <w:tcPr>
            <w:tcW w:w="626" w:type="pct"/>
            <w:vMerge/>
            <w:tcBorders>
              <w:top w:val="single" w:sz="4" w:space="0" w:color="auto"/>
              <w:left w:val="single" w:sz="4" w:space="0" w:color="auto"/>
              <w:bottom w:val="single" w:sz="4" w:space="0" w:color="000000"/>
              <w:right w:val="single" w:sz="4" w:space="0" w:color="auto"/>
            </w:tcBorders>
            <w:vAlign w:val="center"/>
            <w:hideMark/>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p>
        </w:tc>
        <w:tc>
          <w:tcPr>
            <w:tcW w:w="629" w:type="pct"/>
            <w:tcBorders>
              <w:top w:val="single" w:sz="4" w:space="0" w:color="auto"/>
              <w:left w:val="nil"/>
              <w:bottom w:val="single" w:sz="4" w:space="0" w:color="auto"/>
              <w:right w:val="single" w:sz="4" w:space="0" w:color="auto"/>
            </w:tcBorders>
            <w:shd w:val="clear" w:color="000000" w:fill="DDEBF7"/>
            <w:vAlign w:val="center"/>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 Completed</w:t>
            </w:r>
            <w:r>
              <w:rPr>
                <w:rFonts w:ascii="Calibri" w:eastAsia="Times New Roman" w:hAnsi="Calibri" w:cs="Times New Roman"/>
                <w:b/>
                <w:bCs/>
                <w:color w:val="000000"/>
                <w:sz w:val="16"/>
                <w:szCs w:val="16"/>
                <w:lang w:eastAsia="en-GB"/>
              </w:rPr>
              <w:t xml:space="preserve"> 2013-14</w:t>
            </w:r>
          </w:p>
        </w:tc>
        <w:tc>
          <w:tcPr>
            <w:tcW w:w="6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 Completed</w:t>
            </w:r>
            <w:r>
              <w:rPr>
                <w:rFonts w:ascii="Calibri" w:eastAsia="Times New Roman" w:hAnsi="Calibri" w:cs="Times New Roman"/>
                <w:b/>
                <w:bCs/>
                <w:color w:val="000000"/>
                <w:sz w:val="16"/>
                <w:szCs w:val="16"/>
                <w:lang w:eastAsia="en-GB"/>
              </w:rPr>
              <w:t xml:space="preserve"> 2014-15</w:t>
            </w:r>
          </w:p>
        </w:tc>
        <w:tc>
          <w:tcPr>
            <w:tcW w:w="653" w:type="pct"/>
            <w:tcBorders>
              <w:top w:val="nil"/>
              <w:left w:val="nil"/>
              <w:bottom w:val="single" w:sz="4" w:space="0" w:color="auto"/>
              <w:right w:val="single" w:sz="4" w:space="0" w:color="auto"/>
            </w:tcBorders>
            <w:shd w:val="clear" w:color="000000" w:fill="DDEBF7"/>
            <w:noWrap/>
            <w:vAlign w:val="center"/>
            <w:hideMark/>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Variance 2013-14 / 2014-15</w:t>
            </w:r>
          </w:p>
        </w:tc>
        <w:tc>
          <w:tcPr>
            <w:tcW w:w="698" w:type="pct"/>
            <w:tcBorders>
              <w:top w:val="single" w:sz="4" w:space="0" w:color="auto"/>
              <w:left w:val="nil"/>
              <w:bottom w:val="single" w:sz="4" w:space="0" w:color="auto"/>
              <w:right w:val="single" w:sz="4" w:space="0" w:color="auto"/>
            </w:tcBorders>
            <w:shd w:val="clear" w:color="000000" w:fill="DDEBF7"/>
            <w:vAlign w:val="center"/>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 Completed</w:t>
            </w:r>
            <w:r>
              <w:rPr>
                <w:rFonts w:ascii="Calibri" w:eastAsia="Times New Roman" w:hAnsi="Calibri" w:cs="Times New Roman"/>
                <w:b/>
                <w:bCs/>
                <w:color w:val="000000"/>
                <w:sz w:val="16"/>
                <w:szCs w:val="16"/>
                <w:lang w:eastAsia="en-GB"/>
              </w:rPr>
              <w:t xml:space="preserve"> 2013-14</w:t>
            </w:r>
          </w:p>
        </w:tc>
        <w:tc>
          <w:tcPr>
            <w:tcW w:w="69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sidRPr="00A403F1">
              <w:rPr>
                <w:rFonts w:ascii="Calibri" w:eastAsia="Times New Roman" w:hAnsi="Calibri" w:cs="Times New Roman"/>
                <w:b/>
                <w:bCs/>
                <w:color w:val="000000"/>
                <w:sz w:val="16"/>
                <w:szCs w:val="16"/>
                <w:lang w:eastAsia="en-GB"/>
              </w:rPr>
              <w:t>% Completed</w:t>
            </w:r>
            <w:r>
              <w:rPr>
                <w:rFonts w:ascii="Calibri" w:eastAsia="Times New Roman" w:hAnsi="Calibri" w:cs="Times New Roman"/>
                <w:b/>
                <w:bCs/>
                <w:color w:val="000000"/>
                <w:sz w:val="16"/>
                <w:szCs w:val="16"/>
                <w:lang w:eastAsia="en-GB"/>
              </w:rPr>
              <w:t xml:space="preserve"> 2014-15</w:t>
            </w:r>
          </w:p>
        </w:tc>
        <w:tc>
          <w:tcPr>
            <w:tcW w:w="547" w:type="pct"/>
            <w:tcBorders>
              <w:top w:val="single" w:sz="4" w:space="0" w:color="auto"/>
              <w:left w:val="single" w:sz="4" w:space="0" w:color="auto"/>
              <w:bottom w:val="single" w:sz="4" w:space="0" w:color="auto"/>
              <w:right w:val="single" w:sz="4" w:space="0" w:color="auto"/>
            </w:tcBorders>
            <w:shd w:val="clear" w:color="000000" w:fill="DDEBF7"/>
            <w:vAlign w:val="center"/>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Variance 2013-14 / 2014-15</w:t>
            </w:r>
          </w:p>
        </w:tc>
        <w:tc>
          <w:tcPr>
            <w:tcW w:w="520" w:type="pct"/>
            <w:vMerge/>
            <w:tcBorders>
              <w:left w:val="single" w:sz="4" w:space="0" w:color="auto"/>
              <w:bottom w:val="single" w:sz="4" w:space="0" w:color="auto"/>
              <w:right w:val="single" w:sz="4" w:space="0" w:color="auto"/>
            </w:tcBorders>
            <w:shd w:val="clear" w:color="000000" w:fill="DDEBF7"/>
            <w:vAlign w:val="center"/>
          </w:tcPr>
          <w:p w:rsidR="009C6871" w:rsidRPr="00A403F1" w:rsidRDefault="009C6871" w:rsidP="00FC5C0F">
            <w:pPr>
              <w:spacing w:after="0" w:line="240" w:lineRule="auto"/>
              <w:jc w:val="center"/>
              <w:rPr>
                <w:rFonts w:ascii="Calibri" w:eastAsia="Times New Roman" w:hAnsi="Calibri" w:cs="Times New Roman"/>
                <w:b/>
                <w:bCs/>
                <w:color w:val="000000"/>
                <w:sz w:val="16"/>
                <w:szCs w:val="16"/>
                <w:lang w:eastAsia="en-GB"/>
              </w:rPr>
            </w:pPr>
          </w:p>
        </w:tc>
      </w:tr>
      <w:tr w:rsidR="009C6871" w:rsidRPr="00A403F1" w:rsidTr="00FC5C0F">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color w:val="000000"/>
                <w:sz w:val="16"/>
                <w:szCs w:val="16"/>
              </w:rPr>
            </w:pPr>
            <w:r>
              <w:rPr>
                <w:color w:val="000000"/>
                <w:sz w:val="16"/>
                <w:szCs w:val="16"/>
              </w:rPr>
              <w:t>HbA1C</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94.5</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95.1</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0.6</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93.7</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94.9</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1.2</w:t>
            </w:r>
          </w:p>
        </w:tc>
        <w:tc>
          <w:tcPr>
            <w:tcW w:w="520" w:type="pct"/>
            <w:tcBorders>
              <w:top w:val="nil"/>
              <w:left w:val="nil"/>
              <w:bottom w:val="single" w:sz="8" w:space="0" w:color="auto"/>
              <w:right w:val="single" w:sz="8" w:space="0" w:color="auto"/>
            </w:tcBorders>
            <w:shd w:val="clear" w:color="000000" w:fill="FFEB9C"/>
            <w:vAlign w:val="center"/>
          </w:tcPr>
          <w:p w:rsidR="009C6871" w:rsidRDefault="009C6871" w:rsidP="009C6871">
            <w:pPr>
              <w:jc w:val="center"/>
              <w:rPr>
                <w:rFonts w:ascii="Calibri" w:hAnsi="Calibri"/>
                <w:color w:val="9C6500"/>
                <w:sz w:val="16"/>
                <w:szCs w:val="16"/>
              </w:rPr>
            </w:pPr>
            <w:r>
              <w:rPr>
                <w:rFonts w:ascii="Calibri" w:hAnsi="Calibri"/>
                <w:color w:val="9C6500"/>
                <w:sz w:val="16"/>
                <w:szCs w:val="16"/>
              </w:rPr>
              <w:t>As expected</w:t>
            </w:r>
          </w:p>
        </w:tc>
      </w:tr>
      <w:tr w:rsidR="009C6871" w:rsidRPr="00A403F1" w:rsidTr="00FC5C0F">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rFonts w:ascii="Times New Roman" w:hAnsi="Times New Roman"/>
                <w:color w:val="000000"/>
                <w:sz w:val="16"/>
                <w:szCs w:val="16"/>
              </w:rPr>
            </w:pPr>
            <w:r>
              <w:rPr>
                <w:color w:val="000000"/>
                <w:sz w:val="16"/>
                <w:szCs w:val="16"/>
              </w:rPr>
              <w:t>Blood Pressure</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95.5</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96.2</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0.7</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95.0</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96.2</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1.2</w:t>
            </w:r>
          </w:p>
        </w:tc>
        <w:tc>
          <w:tcPr>
            <w:tcW w:w="520" w:type="pct"/>
            <w:tcBorders>
              <w:top w:val="nil"/>
              <w:left w:val="nil"/>
              <w:bottom w:val="single" w:sz="8" w:space="0" w:color="auto"/>
              <w:right w:val="single" w:sz="8" w:space="0" w:color="auto"/>
            </w:tcBorders>
            <w:shd w:val="clear" w:color="000000" w:fill="FFEB9C"/>
            <w:vAlign w:val="center"/>
          </w:tcPr>
          <w:p w:rsidR="009C6871" w:rsidRDefault="009C6871" w:rsidP="009C6871">
            <w:pPr>
              <w:jc w:val="center"/>
              <w:rPr>
                <w:rFonts w:ascii="Calibri" w:hAnsi="Calibri"/>
                <w:color w:val="9C6500"/>
                <w:sz w:val="16"/>
                <w:szCs w:val="16"/>
              </w:rPr>
            </w:pPr>
            <w:r>
              <w:rPr>
                <w:rFonts w:ascii="Calibri" w:hAnsi="Calibri"/>
                <w:color w:val="9C6500"/>
                <w:sz w:val="16"/>
                <w:szCs w:val="16"/>
              </w:rPr>
              <w:t>As expected</w:t>
            </w:r>
          </w:p>
        </w:tc>
      </w:tr>
      <w:tr w:rsidR="009C6871" w:rsidRPr="00A403F1" w:rsidTr="00FC5C0F">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rFonts w:ascii="Times New Roman" w:hAnsi="Times New Roman"/>
                <w:color w:val="000000"/>
                <w:sz w:val="16"/>
                <w:szCs w:val="16"/>
              </w:rPr>
            </w:pPr>
            <w:r>
              <w:rPr>
                <w:color w:val="000000"/>
                <w:sz w:val="16"/>
                <w:szCs w:val="16"/>
              </w:rPr>
              <w:t>Cholesterol</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92.5</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92.2</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-0.3</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92.5</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93.2</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0.7</w:t>
            </w:r>
          </w:p>
        </w:tc>
        <w:tc>
          <w:tcPr>
            <w:tcW w:w="520" w:type="pct"/>
            <w:tcBorders>
              <w:top w:val="nil"/>
              <w:left w:val="nil"/>
              <w:bottom w:val="single" w:sz="8" w:space="0" w:color="auto"/>
              <w:right w:val="single" w:sz="8" w:space="0" w:color="auto"/>
            </w:tcBorders>
            <w:shd w:val="clear" w:color="000000" w:fill="FFEB9C"/>
            <w:vAlign w:val="center"/>
          </w:tcPr>
          <w:p w:rsidR="009C6871" w:rsidRDefault="009C6871" w:rsidP="009C6871">
            <w:pPr>
              <w:jc w:val="center"/>
              <w:rPr>
                <w:rFonts w:ascii="Calibri" w:hAnsi="Calibri"/>
                <w:color w:val="9C6500"/>
                <w:sz w:val="16"/>
                <w:szCs w:val="16"/>
              </w:rPr>
            </w:pPr>
            <w:r>
              <w:rPr>
                <w:rFonts w:ascii="Calibri" w:hAnsi="Calibri"/>
                <w:color w:val="9C6500"/>
                <w:sz w:val="16"/>
                <w:szCs w:val="16"/>
              </w:rPr>
              <w:t>As expected</w:t>
            </w:r>
          </w:p>
        </w:tc>
      </w:tr>
      <w:tr w:rsidR="009C6871" w:rsidRPr="00A403F1" w:rsidTr="00FC5C0F">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rFonts w:ascii="Times New Roman" w:hAnsi="Times New Roman"/>
                <w:color w:val="000000"/>
                <w:sz w:val="16"/>
                <w:szCs w:val="16"/>
              </w:rPr>
            </w:pPr>
            <w:r>
              <w:rPr>
                <w:color w:val="000000"/>
                <w:sz w:val="16"/>
                <w:szCs w:val="16"/>
              </w:rPr>
              <w:t>Serum Creatinine</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94.4</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95.0</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0.6</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93.5</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94.6</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1.1</w:t>
            </w:r>
          </w:p>
        </w:tc>
        <w:tc>
          <w:tcPr>
            <w:tcW w:w="520" w:type="pct"/>
            <w:tcBorders>
              <w:top w:val="nil"/>
              <w:left w:val="nil"/>
              <w:bottom w:val="single" w:sz="8" w:space="0" w:color="auto"/>
              <w:right w:val="single" w:sz="8" w:space="0" w:color="auto"/>
            </w:tcBorders>
            <w:shd w:val="clear" w:color="000000" w:fill="FFEB9C"/>
            <w:vAlign w:val="center"/>
          </w:tcPr>
          <w:p w:rsidR="009C6871" w:rsidRDefault="009C6871" w:rsidP="009C6871">
            <w:pPr>
              <w:jc w:val="center"/>
              <w:rPr>
                <w:rFonts w:ascii="Calibri" w:hAnsi="Calibri"/>
                <w:color w:val="9C6500"/>
                <w:sz w:val="16"/>
                <w:szCs w:val="16"/>
              </w:rPr>
            </w:pPr>
            <w:r>
              <w:rPr>
                <w:rFonts w:ascii="Calibri" w:hAnsi="Calibri"/>
                <w:color w:val="9C6500"/>
                <w:sz w:val="16"/>
                <w:szCs w:val="16"/>
              </w:rPr>
              <w:t>As expected</w:t>
            </w:r>
          </w:p>
        </w:tc>
      </w:tr>
      <w:tr w:rsidR="009C6871" w:rsidRPr="00A403F1" w:rsidTr="00FC5C0F">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rFonts w:ascii="Times New Roman" w:hAnsi="Times New Roman"/>
                <w:color w:val="000000"/>
                <w:sz w:val="16"/>
                <w:szCs w:val="16"/>
              </w:rPr>
            </w:pPr>
            <w:r>
              <w:rPr>
                <w:color w:val="000000"/>
                <w:sz w:val="16"/>
                <w:szCs w:val="16"/>
              </w:rPr>
              <w:t>Urine Albumin</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83.1</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75.6</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-7.5</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84.6</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74.9</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-9.7</w:t>
            </w:r>
          </w:p>
        </w:tc>
        <w:tc>
          <w:tcPr>
            <w:tcW w:w="520" w:type="pct"/>
            <w:tcBorders>
              <w:top w:val="nil"/>
              <w:left w:val="nil"/>
              <w:bottom w:val="single" w:sz="8" w:space="0" w:color="auto"/>
              <w:right w:val="single" w:sz="8" w:space="0" w:color="auto"/>
            </w:tcBorders>
            <w:shd w:val="clear" w:color="000000" w:fill="FFEB9C"/>
            <w:vAlign w:val="center"/>
          </w:tcPr>
          <w:p w:rsidR="009C6871" w:rsidRDefault="009C6871" w:rsidP="009C6871">
            <w:pPr>
              <w:jc w:val="center"/>
              <w:rPr>
                <w:rFonts w:ascii="Calibri" w:hAnsi="Calibri"/>
                <w:color w:val="9C6500"/>
                <w:sz w:val="16"/>
                <w:szCs w:val="16"/>
              </w:rPr>
            </w:pPr>
            <w:r>
              <w:rPr>
                <w:rFonts w:ascii="Calibri" w:hAnsi="Calibri"/>
                <w:color w:val="9C6500"/>
                <w:sz w:val="16"/>
                <w:szCs w:val="16"/>
              </w:rPr>
              <w:t>As expected</w:t>
            </w:r>
          </w:p>
        </w:tc>
      </w:tr>
      <w:tr w:rsidR="009C6871" w:rsidRPr="00A403F1" w:rsidTr="00FC5C0F">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rFonts w:ascii="Times New Roman" w:hAnsi="Times New Roman"/>
                <w:color w:val="000000"/>
                <w:sz w:val="16"/>
                <w:szCs w:val="16"/>
              </w:rPr>
            </w:pPr>
            <w:r>
              <w:rPr>
                <w:color w:val="000000"/>
                <w:sz w:val="16"/>
                <w:szCs w:val="16"/>
              </w:rPr>
              <w:t>Foot Surveillance</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88.0</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88.5</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0.5</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86.5</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87.2</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548235"/>
                <w:sz w:val="16"/>
                <w:szCs w:val="16"/>
              </w:rPr>
            </w:pPr>
            <w:r>
              <w:rPr>
                <w:rFonts w:ascii="Calibri" w:hAnsi="Calibri"/>
                <w:color w:val="548235"/>
                <w:sz w:val="16"/>
                <w:szCs w:val="16"/>
              </w:rPr>
              <w:t>0.7</w:t>
            </w:r>
          </w:p>
        </w:tc>
        <w:tc>
          <w:tcPr>
            <w:tcW w:w="520" w:type="pct"/>
            <w:tcBorders>
              <w:top w:val="nil"/>
              <w:left w:val="nil"/>
              <w:bottom w:val="single" w:sz="8" w:space="0" w:color="auto"/>
              <w:right w:val="single" w:sz="8" w:space="0" w:color="auto"/>
            </w:tcBorders>
            <w:shd w:val="clear" w:color="000000" w:fill="C6EFCE"/>
            <w:vAlign w:val="center"/>
          </w:tcPr>
          <w:p w:rsidR="009C6871" w:rsidRDefault="009C6871" w:rsidP="009C6871">
            <w:pPr>
              <w:jc w:val="center"/>
              <w:rPr>
                <w:rFonts w:ascii="Calibri" w:hAnsi="Calibri"/>
                <w:color w:val="006100"/>
                <w:sz w:val="16"/>
                <w:szCs w:val="16"/>
              </w:rPr>
            </w:pPr>
            <w:r>
              <w:rPr>
                <w:rFonts w:ascii="Calibri" w:hAnsi="Calibri"/>
                <w:color w:val="006100"/>
                <w:sz w:val="16"/>
                <w:szCs w:val="16"/>
              </w:rPr>
              <w:t>Higher than expected</w:t>
            </w:r>
          </w:p>
        </w:tc>
      </w:tr>
      <w:tr w:rsidR="009C6871" w:rsidRPr="00A403F1" w:rsidTr="00FC5C0F">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rFonts w:ascii="Times New Roman" w:hAnsi="Times New Roman"/>
                <w:color w:val="000000"/>
                <w:sz w:val="16"/>
                <w:szCs w:val="16"/>
              </w:rPr>
            </w:pPr>
            <w:r>
              <w:rPr>
                <w:color w:val="000000"/>
                <w:sz w:val="16"/>
                <w:szCs w:val="16"/>
              </w:rPr>
              <w:t>BMI</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88.5</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88.1</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-0.4</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85.9</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83.2</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-2.7</w:t>
            </w:r>
          </w:p>
        </w:tc>
        <w:tc>
          <w:tcPr>
            <w:tcW w:w="520" w:type="pct"/>
            <w:tcBorders>
              <w:top w:val="nil"/>
              <w:left w:val="nil"/>
              <w:bottom w:val="single" w:sz="8" w:space="0" w:color="auto"/>
              <w:right w:val="single" w:sz="8" w:space="0" w:color="auto"/>
            </w:tcBorders>
            <w:shd w:val="clear" w:color="000000" w:fill="C6EFCE"/>
            <w:vAlign w:val="center"/>
          </w:tcPr>
          <w:p w:rsidR="009C6871" w:rsidRDefault="009C6871" w:rsidP="009C6871">
            <w:pPr>
              <w:jc w:val="center"/>
              <w:rPr>
                <w:rFonts w:ascii="Calibri" w:hAnsi="Calibri"/>
                <w:color w:val="006100"/>
                <w:sz w:val="16"/>
                <w:szCs w:val="16"/>
              </w:rPr>
            </w:pPr>
            <w:r>
              <w:rPr>
                <w:rFonts w:ascii="Calibri" w:hAnsi="Calibri"/>
                <w:color w:val="006100"/>
                <w:sz w:val="16"/>
                <w:szCs w:val="16"/>
              </w:rPr>
              <w:t>Higher than expected</w:t>
            </w:r>
          </w:p>
        </w:tc>
      </w:tr>
      <w:tr w:rsidR="009C6871" w:rsidRPr="00A403F1" w:rsidTr="00FC5C0F">
        <w:trPr>
          <w:trHeight w:val="30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rFonts w:ascii="Times New Roman" w:hAnsi="Times New Roman"/>
                <w:color w:val="000000"/>
                <w:sz w:val="16"/>
                <w:szCs w:val="16"/>
              </w:rPr>
            </w:pPr>
            <w:r>
              <w:rPr>
                <w:color w:val="000000"/>
                <w:sz w:val="16"/>
                <w:szCs w:val="16"/>
              </w:rPr>
              <w:t>Smoking</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89.6</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87.0</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-2.6</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85.7</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85.3</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-0.4</w:t>
            </w:r>
          </w:p>
        </w:tc>
        <w:tc>
          <w:tcPr>
            <w:tcW w:w="520" w:type="pct"/>
            <w:tcBorders>
              <w:top w:val="nil"/>
              <w:left w:val="nil"/>
              <w:bottom w:val="single" w:sz="8" w:space="0" w:color="auto"/>
              <w:right w:val="single" w:sz="8" w:space="0" w:color="auto"/>
            </w:tcBorders>
            <w:shd w:val="clear" w:color="000000" w:fill="FFEB9C"/>
            <w:vAlign w:val="center"/>
          </w:tcPr>
          <w:p w:rsidR="009C6871" w:rsidRDefault="009C6871" w:rsidP="009C6871">
            <w:pPr>
              <w:jc w:val="center"/>
              <w:rPr>
                <w:rFonts w:ascii="Calibri" w:hAnsi="Calibri"/>
                <w:color w:val="9C6500"/>
                <w:sz w:val="16"/>
                <w:szCs w:val="16"/>
              </w:rPr>
            </w:pPr>
            <w:r>
              <w:rPr>
                <w:rFonts w:ascii="Calibri" w:hAnsi="Calibri"/>
                <w:color w:val="9C6500"/>
                <w:sz w:val="16"/>
                <w:szCs w:val="16"/>
              </w:rPr>
              <w:t>As expected</w:t>
            </w:r>
          </w:p>
        </w:tc>
      </w:tr>
      <w:tr w:rsidR="009C6871" w:rsidRPr="00A403F1" w:rsidTr="00FC5C0F">
        <w:trPr>
          <w:trHeight w:val="450"/>
        </w:trPr>
        <w:tc>
          <w:tcPr>
            <w:tcW w:w="626" w:type="pct"/>
            <w:tcBorders>
              <w:top w:val="nil"/>
              <w:left w:val="single" w:sz="8" w:space="0" w:color="auto"/>
              <w:bottom w:val="single" w:sz="8" w:space="0" w:color="auto"/>
              <w:right w:val="single" w:sz="8" w:space="0" w:color="auto"/>
            </w:tcBorders>
            <w:shd w:val="clear" w:color="000000" w:fill="FFFFFF"/>
            <w:vAlign w:val="center"/>
            <w:hideMark/>
          </w:tcPr>
          <w:p w:rsidR="009C6871" w:rsidRDefault="009C6871" w:rsidP="009C6871">
            <w:pPr>
              <w:jc w:val="center"/>
              <w:rPr>
                <w:rFonts w:ascii="Times New Roman" w:hAnsi="Times New Roman"/>
                <w:b/>
                <w:bCs/>
                <w:color w:val="000000"/>
                <w:sz w:val="16"/>
                <w:szCs w:val="16"/>
              </w:rPr>
            </w:pPr>
            <w:r>
              <w:rPr>
                <w:b/>
                <w:bCs/>
                <w:color w:val="000000"/>
                <w:sz w:val="16"/>
                <w:szCs w:val="16"/>
              </w:rPr>
              <w:t>All Eight Care Processes</w:t>
            </w:r>
          </w:p>
        </w:tc>
        <w:tc>
          <w:tcPr>
            <w:tcW w:w="629"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71.3</w:t>
            </w:r>
          </w:p>
        </w:tc>
        <w:tc>
          <w:tcPr>
            <w:tcW w:w="629"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63.4</w:t>
            </w:r>
          </w:p>
        </w:tc>
        <w:tc>
          <w:tcPr>
            <w:tcW w:w="653"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-7.9</w:t>
            </w:r>
          </w:p>
        </w:tc>
        <w:tc>
          <w:tcPr>
            <w:tcW w:w="698"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67.9</w:t>
            </w:r>
          </w:p>
        </w:tc>
        <w:tc>
          <w:tcPr>
            <w:tcW w:w="698" w:type="pct"/>
            <w:tcBorders>
              <w:top w:val="nil"/>
              <w:left w:val="nil"/>
              <w:bottom w:val="single" w:sz="8" w:space="0" w:color="auto"/>
              <w:right w:val="single" w:sz="8" w:space="0" w:color="auto"/>
            </w:tcBorders>
            <w:shd w:val="clear" w:color="auto" w:fill="auto"/>
            <w:noWrap/>
            <w:vAlign w:val="center"/>
          </w:tcPr>
          <w:p w:rsidR="009C6871" w:rsidRDefault="009C6871" w:rsidP="009C6871">
            <w:pPr>
              <w:jc w:val="center"/>
              <w:rPr>
                <w:rFonts w:ascii="Calibri" w:hAnsi="Calibri"/>
                <w:color w:val="000000"/>
                <w:sz w:val="16"/>
                <w:szCs w:val="16"/>
              </w:rPr>
            </w:pPr>
            <w:r>
              <w:rPr>
                <w:rFonts w:ascii="Calibri" w:hAnsi="Calibri"/>
                <w:color w:val="000000"/>
                <w:sz w:val="16"/>
                <w:szCs w:val="16"/>
              </w:rPr>
              <w:t>59.0</w:t>
            </w:r>
          </w:p>
        </w:tc>
        <w:tc>
          <w:tcPr>
            <w:tcW w:w="547" w:type="pct"/>
            <w:tcBorders>
              <w:top w:val="nil"/>
              <w:left w:val="nil"/>
              <w:bottom w:val="single" w:sz="8" w:space="0" w:color="auto"/>
              <w:right w:val="single" w:sz="8" w:space="0" w:color="auto"/>
            </w:tcBorders>
            <w:shd w:val="clear" w:color="auto" w:fill="auto"/>
            <w:vAlign w:val="center"/>
          </w:tcPr>
          <w:p w:rsidR="009C6871" w:rsidRDefault="009C6871" w:rsidP="009C6871">
            <w:pPr>
              <w:jc w:val="center"/>
              <w:rPr>
                <w:rFonts w:ascii="Calibri" w:hAnsi="Calibri"/>
                <w:color w:val="9C0006"/>
                <w:sz w:val="16"/>
                <w:szCs w:val="16"/>
              </w:rPr>
            </w:pPr>
            <w:r>
              <w:rPr>
                <w:rFonts w:ascii="Calibri" w:hAnsi="Calibri"/>
                <w:color w:val="9C0006"/>
                <w:sz w:val="16"/>
                <w:szCs w:val="16"/>
              </w:rPr>
              <w:t>-8.9</w:t>
            </w:r>
          </w:p>
        </w:tc>
        <w:tc>
          <w:tcPr>
            <w:tcW w:w="520" w:type="pct"/>
            <w:tcBorders>
              <w:top w:val="nil"/>
              <w:left w:val="nil"/>
              <w:bottom w:val="single" w:sz="8" w:space="0" w:color="auto"/>
              <w:right w:val="single" w:sz="8" w:space="0" w:color="auto"/>
            </w:tcBorders>
            <w:shd w:val="clear" w:color="000000" w:fill="C6EFCE"/>
            <w:vAlign w:val="center"/>
          </w:tcPr>
          <w:p w:rsidR="009C6871" w:rsidRDefault="009C6871" w:rsidP="009C6871">
            <w:pPr>
              <w:jc w:val="center"/>
              <w:rPr>
                <w:rFonts w:ascii="Calibri" w:hAnsi="Calibri"/>
                <w:color w:val="006100"/>
                <w:sz w:val="16"/>
                <w:szCs w:val="16"/>
              </w:rPr>
            </w:pPr>
            <w:r>
              <w:rPr>
                <w:rFonts w:ascii="Calibri" w:hAnsi="Calibri"/>
                <w:color w:val="006100"/>
                <w:sz w:val="16"/>
                <w:szCs w:val="16"/>
              </w:rPr>
              <w:t>Higher than expected</w:t>
            </w:r>
          </w:p>
        </w:tc>
      </w:tr>
    </w:tbl>
    <w:p w:rsidR="00C83059" w:rsidRDefault="00C83059"/>
    <w:p w:rsidR="00C83059" w:rsidRDefault="00C83059">
      <w:r>
        <w:t xml:space="preserve">The CCG’s completion percentage for care processes for people with type 2 diabetes is </w:t>
      </w:r>
      <w:r w:rsidR="009C6871">
        <w:t xml:space="preserve">higher than expected for foot surveillance, BMI and for all eight care processes in total and ‘as expected’ for six other individual care processes. </w:t>
      </w:r>
      <w:r>
        <w:t xml:space="preserve"> </w:t>
      </w:r>
    </w:p>
    <w:p w:rsidR="00E66766" w:rsidRDefault="00E66766" w:rsidP="00E66766">
      <w:pPr>
        <w:rPr>
          <w:b/>
        </w:rPr>
      </w:pPr>
      <w:r w:rsidRPr="00B57FEB">
        <w:rPr>
          <w:b/>
        </w:rPr>
        <w:t xml:space="preserve">Figure </w:t>
      </w:r>
      <w:r>
        <w:rPr>
          <w:b/>
        </w:rPr>
        <w:t>1</w:t>
      </w:r>
      <w:r w:rsidR="00C54CDB">
        <w:rPr>
          <w:b/>
        </w:rPr>
        <w:t>8</w:t>
      </w:r>
      <w:r w:rsidRPr="00B57FEB">
        <w:rPr>
          <w:b/>
        </w:rPr>
        <w:t>: National Diabetes Audit</w:t>
      </w:r>
      <w:r>
        <w:rPr>
          <w:b/>
        </w:rPr>
        <w:t xml:space="preserve"> 2013-14 / </w:t>
      </w:r>
      <w:r w:rsidRPr="00B57FEB">
        <w:rPr>
          <w:b/>
        </w:rPr>
        <w:t xml:space="preserve">2014-15, </w:t>
      </w:r>
      <w:r>
        <w:rPr>
          <w:b/>
        </w:rPr>
        <w:t xml:space="preserve">Care Process Completion for People with Type </w:t>
      </w:r>
      <w:r w:rsidR="0072748E">
        <w:rPr>
          <w:b/>
        </w:rPr>
        <w:t>2 Diabetes – C&amp;P CCG LCGs, HbA1c</w:t>
      </w:r>
    </w:p>
    <w:tbl>
      <w:tblPr>
        <w:tblW w:w="5000" w:type="pct"/>
        <w:tblLayout w:type="fixed"/>
        <w:tblLook w:val="04A0" w:firstRow="1" w:lastRow="0" w:firstColumn="1" w:lastColumn="0" w:noHBand="0" w:noVBand="1"/>
      </w:tblPr>
      <w:tblGrid>
        <w:gridCol w:w="1448"/>
        <w:gridCol w:w="1017"/>
        <w:gridCol w:w="1163"/>
        <w:gridCol w:w="1163"/>
        <w:gridCol w:w="1017"/>
        <w:gridCol w:w="1161"/>
        <w:gridCol w:w="1164"/>
        <w:gridCol w:w="1109"/>
      </w:tblGrid>
      <w:tr w:rsidR="0072748E" w:rsidRPr="0072748E" w:rsidTr="0072748E">
        <w:trPr>
          <w:trHeight w:val="300"/>
        </w:trPr>
        <w:tc>
          <w:tcPr>
            <w:tcW w:w="784"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LCG</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2014/15</w:t>
            </w:r>
          </w:p>
        </w:tc>
        <w:tc>
          <w:tcPr>
            <w:tcW w:w="600"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Change in % Completed 2013/14 - 2014/15</w:t>
            </w:r>
          </w:p>
        </w:tc>
      </w:tr>
      <w:tr w:rsidR="0072748E" w:rsidRPr="0072748E" w:rsidTr="0072748E">
        <w:trPr>
          <w:trHeight w:val="225"/>
        </w:trPr>
        <w:tc>
          <w:tcPr>
            <w:tcW w:w="784" w:type="pct"/>
            <w:vMerge/>
            <w:tcBorders>
              <w:top w:val="single" w:sz="4" w:space="0" w:color="auto"/>
              <w:left w:val="single" w:sz="4" w:space="0" w:color="auto"/>
              <w:bottom w:val="single" w:sz="4" w:space="0" w:color="auto"/>
              <w:right w:val="single" w:sz="4" w:space="0" w:color="auto"/>
            </w:tcBorders>
            <w:vAlign w:val="center"/>
            <w:hideMark/>
          </w:tcPr>
          <w:p w:rsidR="0072748E" w:rsidRPr="0072748E" w:rsidRDefault="0072748E" w:rsidP="0072748E">
            <w:pPr>
              <w:spacing w:after="0" w:line="240" w:lineRule="auto"/>
              <w:rPr>
                <w:rFonts w:ascii="Calibri" w:eastAsia="Times New Roman" w:hAnsi="Calibri" w:cs="Times New Roman"/>
                <w:b/>
                <w:bCs/>
                <w:color w:val="000000"/>
                <w:sz w:val="16"/>
                <w:szCs w:val="16"/>
                <w:lang w:eastAsia="en-GB"/>
              </w:rPr>
            </w:pPr>
          </w:p>
        </w:tc>
        <w:tc>
          <w:tcPr>
            <w:tcW w:w="550"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Denominator</w:t>
            </w:r>
          </w:p>
        </w:tc>
        <w:tc>
          <w:tcPr>
            <w:tcW w:w="629"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 Completed</w:t>
            </w: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72748E" w:rsidRPr="0072748E" w:rsidRDefault="0072748E" w:rsidP="0072748E">
            <w:pPr>
              <w:spacing w:after="0" w:line="240" w:lineRule="auto"/>
              <w:rPr>
                <w:rFonts w:ascii="Calibri" w:eastAsia="Times New Roman" w:hAnsi="Calibri" w:cs="Times New Roman"/>
                <w:b/>
                <w:bCs/>
                <w:color w:val="000000"/>
                <w:sz w:val="16"/>
                <w:szCs w:val="16"/>
                <w:lang w:eastAsia="en-GB"/>
              </w:rPr>
            </w:pP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BORDERLINE</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3,857</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4,107</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93.9%</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3,850</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95.0%</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1.1%</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CAM HEALTH</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940</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980</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95.9%</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1,199</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96.9%</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1.0%</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CATCH</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4,208</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4,432</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94.9%</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4,555</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95.3%</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0.4%</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HUNTS CARE PARTNERS</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2,765</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2,934</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94.2%</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3,064</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94.5%</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0.2%</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HUNTS HEALTH</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1,023</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1,110</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92.2%</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2,013</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2,122</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94.9%</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2.7%</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ISLE OF ELY</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3,519</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3,668</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95.9%</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4,153</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97.0%</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1.0%</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PETERBOROUGH</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4,850</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5,179</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93.6%</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5,088</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5,440</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93.5%</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-0.1%</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WISBECH</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1,890</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1,982</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95.4%</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1,959</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95.7%</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0.3%</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DATA SUPPRESSED</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50</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52</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96.2%</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94.5%</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-1.6%</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CCG</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23,102</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24,444</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94.5%</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25,933</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27,258</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95.1%</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0.6%</w:t>
            </w:r>
          </w:p>
        </w:tc>
      </w:tr>
      <w:tr w:rsidR="0072748E" w:rsidRPr="0072748E" w:rsidTr="0072748E">
        <w:trPr>
          <w:trHeight w:val="225"/>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England</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1,308,066</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1,396,414</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93.7%</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1,426,977</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1,503,034</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94.9%</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1.3%</w:t>
            </w:r>
          </w:p>
        </w:tc>
      </w:tr>
    </w:tbl>
    <w:p w:rsidR="009C6871" w:rsidRDefault="009C6871"/>
    <w:p w:rsidR="0072748E" w:rsidRDefault="0072748E">
      <w:r>
        <w:lastRenderedPageBreak/>
        <w:t xml:space="preserve">Completion for HbA1c has increased within the CCG by 0.6% between 2013/14 and 2014/15 and remains above the completion percentage for England (95.1% compared to 94.9%). </w:t>
      </w:r>
    </w:p>
    <w:p w:rsidR="00E66766" w:rsidRDefault="00E66766" w:rsidP="00E66766">
      <w:pPr>
        <w:rPr>
          <w:b/>
        </w:rPr>
      </w:pPr>
      <w:r w:rsidRPr="00B57FEB">
        <w:rPr>
          <w:b/>
        </w:rPr>
        <w:t xml:space="preserve">Figure </w:t>
      </w:r>
      <w:r>
        <w:rPr>
          <w:b/>
        </w:rPr>
        <w:t>1</w:t>
      </w:r>
      <w:r w:rsidR="00C54CDB">
        <w:rPr>
          <w:b/>
        </w:rPr>
        <w:t>9</w:t>
      </w:r>
      <w:r w:rsidRPr="00B57FEB">
        <w:rPr>
          <w:b/>
        </w:rPr>
        <w:t>: National Diabetes Audit</w:t>
      </w:r>
      <w:r>
        <w:rPr>
          <w:b/>
        </w:rPr>
        <w:t xml:space="preserve"> 2013-14 / </w:t>
      </w:r>
      <w:r w:rsidRPr="00B57FEB">
        <w:rPr>
          <w:b/>
        </w:rPr>
        <w:t xml:space="preserve">2014-15, </w:t>
      </w:r>
      <w:r>
        <w:rPr>
          <w:b/>
        </w:rPr>
        <w:t>Care Process Completion for People with Type 2 Diabetes – C&amp;P CCG LCGs, Blood Pressure</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72748E" w:rsidRPr="0072748E" w:rsidTr="0072748E">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Change in % Completed 2013/14 - 2014/15</w:t>
            </w:r>
          </w:p>
        </w:tc>
      </w:tr>
      <w:tr w:rsidR="0072748E" w:rsidRPr="0072748E" w:rsidTr="0072748E">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72748E" w:rsidRPr="0072748E" w:rsidRDefault="0072748E" w:rsidP="0072748E">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72748E" w:rsidRPr="0072748E" w:rsidRDefault="0072748E" w:rsidP="0072748E">
            <w:pPr>
              <w:spacing w:after="0" w:line="240" w:lineRule="auto"/>
              <w:rPr>
                <w:rFonts w:ascii="Calibri" w:eastAsia="Times New Roman" w:hAnsi="Calibri" w:cs="Times New Roman"/>
                <w:b/>
                <w:bCs/>
                <w:color w:val="000000"/>
                <w:sz w:val="16"/>
                <w:szCs w:val="16"/>
                <w:lang w:eastAsia="en-GB"/>
              </w:rPr>
            </w:pP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3,926</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4,107</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95.6%</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3,895</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0.6%</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945</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980</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96.4%</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1,203</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97.3%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0.8%</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4,244</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4,432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95.8%</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4,603</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0.6%</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2,782</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2,932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94.9%</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3,100</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0.7%</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1,038</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1,108</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93.7%</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2,053</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2,120</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3.2%</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3,529</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3,668</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96.2%</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4,170</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97.4%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1.2%</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4,921</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5,179</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95.0%</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5,176</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5,438</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0.2%</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1,908</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96.3%</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1,974</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0.1%</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51</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98.1%</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-3.5%</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23,344</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24,440</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95.5%</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26,226</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27,254</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0.7%</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1,326,075</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1,396,229</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95.0%</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1,445,734</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1,502,807</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96.2%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1.2%</w:t>
            </w:r>
          </w:p>
        </w:tc>
      </w:tr>
    </w:tbl>
    <w:p w:rsidR="00E66766" w:rsidRDefault="00E66766" w:rsidP="00E66766">
      <w:pPr>
        <w:rPr>
          <w:b/>
        </w:rPr>
      </w:pPr>
    </w:p>
    <w:p w:rsidR="0072748E" w:rsidRPr="0072748E" w:rsidRDefault="0072748E" w:rsidP="00E66766">
      <w:r>
        <w:t xml:space="preserve">Blood pressure completion has increased across the CCG by 0.7% to 96.2% in 2014/15 which is now equivalent to the completion percentage for England, which rose by 1.2% in the same period. </w:t>
      </w:r>
    </w:p>
    <w:p w:rsidR="00E66766" w:rsidRDefault="00E66766" w:rsidP="00E66766">
      <w:pPr>
        <w:rPr>
          <w:b/>
        </w:rPr>
      </w:pPr>
      <w:r w:rsidRPr="00B57FEB">
        <w:rPr>
          <w:b/>
        </w:rPr>
        <w:t xml:space="preserve">Figure </w:t>
      </w:r>
      <w:r w:rsidR="00C54CDB">
        <w:rPr>
          <w:b/>
        </w:rPr>
        <w:t>20</w:t>
      </w:r>
      <w:r w:rsidRPr="00B57FEB">
        <w:rPr>
          <w:b/>
        </w:rPr>
        <w:t>: National Diabetes Audit</w:t>
      </w:r>
      <w:r>
        <w:rPr>
          <w:b/>
        </w:rPr>
        <w:t xml:space="preserve"> 2013-14 / </w:t>
      </w:r>
      <w:r w:rsidRPr="00B57FEB">
        <w:rPr>
          <w:b/>
        </w:rPr>
        <w:t xml:space="preserve">2014-15, </w:t>
      </w:r>
      <w:r>
        <w:rPr>
          <w:b/>
        </w:rPr>
        <w:t>Care Process Completion for People with Type 2 Diabetes – C&amp;P CCG LCGs, Cholesterol</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72748E" w:rsidRPr="0072748E" w:rsidTr="0072748E">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Change in % Completed 2013/14 - 2014/15</w:t>
            </w:r>
          </w:p>
        </w:tc>
      </w:tr>
      <w:tr w:rsidR="0072748E" w:rsidRPr="0072748E" w:rsidTr="0072748E">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72748E" w:rsidRPr="0072748E" w:rsidRDefault="0072748E" w:rsidP="0072748E">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72748E" w:rsidRPr="0072748E" w:rsidRDefault="0072748E" w:rsidP="0072748E">
            <w:pPr>
              <w:spacing w:after="0" w:line="240" w:lineRule="auto"/>
              <w:rPr>
                <w:rFonts w:ascii="Calibri" w:eastAsia="Times New Roman" w:hAnsi="Calibri" w:cs="Times New Roman"/>
                <w:b/>
                <w:bCs/>
                <w:color w:val="000000"/>
                <w:sz w:val="16"/>
                <w:szCs w:val="16"/>
                <w:lang w:eastAsia="en-GB"/>
              </w:rPr>
            </w:pP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3,810</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4,107</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92.8%</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3,736</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-0.5%</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925</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980</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94.4%</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1,167</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0.0%</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4,096</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4,432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92.4%</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4,378</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91.6%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-0.8%</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2,688</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2,932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91.7%</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2,992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0.6%</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1,001</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1,108</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90.3%</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1,949</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2,120</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91.9%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1.6%</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3,455</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3,668</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94.2%</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3,990</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93.2%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-1.0%</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4,787</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5,179</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92.4%</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4,953</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5,438</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91.1%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-1.3%</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1,800</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90.8%</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1,911</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93.3%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2.5%</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49</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94.2%</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51</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-1.5%</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22,611</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24,440</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92.5%</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25,127</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27,254</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9C0006"/>
                <w:sz w:val="16"/>
                <w:szCs w:val="16"/>
                <w:lang w:eastAsia="en-GB"/>
              </w:rPr>
            </w:pPr>
            <w:r w:rsidRPr="0072748E">
              <w:rPr>
                <w:rFonts w:ascii="Calibri" w:eastAsia="Times New Roman" w:hAnsi="Calibri" w:cs="Times New Roman"/>
                <w:color w:val="9C0006"/>
                <w:sz w:val="16"/>
                <w:szCs w:val="16"/>
                <w:lang w:eastAsia="en-GB"/>
              </w:rPr>
              <w:t>-0.3%</w:t>
            </w:r>
          </w:p>
        </w:tc>
      </w:tr>
      <w:tr w:rsidR="0072748E" w:rsidRPr="0072748E" w:rsidTr="0072748E">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b/>
                <w:bCs/>
                <w:color w:val="000000"/>
                <w:sz w:val="16"/>
                <w:szCs w:val="16"/>
                <w:lang w:eastAsia="en-GB"/>
              </w:rPr>
            </w:pPr>
            <w:r w:rsidRPr="0072748E">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1,292,056</w:t>
            </w:r>
          </w:p>
        </w:tc>
        <w:tc>
          <w:tcPr>
            <w:tcW w:w="629"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1,396,229</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92.5%</w:t>
            </w:r>
          </w:p>
        </w:tc>
        <w:tc>
          <w:tcPr>
            <w:tcW w:w="55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1,400,161</w:t>
            </w:r>
          </w:p>
        </w:tc>
        <w:tc>
          <w:tcPr>
            <w:tcW w:w="628"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1,502,807</w:t>
            </w:r>
          </w:p>
        </w:tc>
        <w:tc>
          <w:tcPr>
            <w:tcW w:w="630" w:type="pct"/>
            <w:tcBorders>
              <w:top w:val="nil"/>
              <w:left w:val="nil"/>
              <w:bottom w:val="single" w:sz="4" w:space="0" w:color="auto"/>
              <w:right w:val="single" w:sz="4" w:space="0" w:color="auto"/>
            </w:tcBorders>
            <w:shd w:val="clear" w:color="auto" w:fill="auto"/>
            <w:noWrap/>
            <w:vAlign w:val="center"/>
            <w:hideMark/>
          </w:tcPr>
          <w:p w:rsidR="0072748E" w:rsidRPr="0072748E" w:rsidRDefault="0072748E" w:rsidP="0072748E">
            <w:pPr>
              <w:spacing w:after="0" w:line="240" w:lineRule="auto"/>
              <w:jc w:val="center"/>
              <w:rPr>
                <w:rFonts w:ascii="Calibri" w:eastAsia="Times New Roman" w:hAnsi="Calibri" w:cs="Times New Roman"/>
                <w:color w:val="000000"/>
                <w:sz w:val="16"/>
                <w:szCs w:val="16"/>
                <w:lang w:eastAsia="en-GB"/>
              </w:rPr>
            </w:pPr>
            <w:r w:rsidRPr="0072748E">
              <w:rPr>
                <w:rFonts w:ascii="Calibri" w:eastAsia="Times New Roman" w:hAnsi="Calibri" w:cs="Times New Roman"/>
                <w:color w:val="000000"/>
                <w:sz w:val="16"/>
                <w:szCs w:val="16"/>
                <w:lang w:eastAsia="en-GB"/>
              </w:rPr>
              <w:t>93.2%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48E" w:rsidRPr="0072748E" w:rsidRDefault="0072748E" w:rsidP="0072748E">
            <w:pPr>
              <w:spacing w:after="0" w:line="240" w:lineRule="auto"/>
              <w:jc w:val="center"/>
              <w:rPr>
                <w:rFonts w:ascii="Calibri" w:eastAsia="Times New Roman" w:hAnsi="Calibri" w:cs="Times New Roman"/>
                <w:color w:val="548235"/>
                <w:sz w:val="16"/>
                <w:szCs w:val="16"/>
                <w:lang w:eastAsia="en-GB"/>
              </w:rPr>
            </w:pPr>
            <w:r w:rsidRPr="0072748E">
              <w:rPr>
                <w:rFonts w:ascii="Calibri" w:eastAsia="Times New Roman" w:hAnsi="Calibri" w:cs="Times New Roman"/>
                <w:color w:val="548235"/>
                <w:sz w:val="16"/>
                <w:szCs w:val="16"/>
                <w:lang w:eastAsia="en-GB"/>
              </w:rPr>
              <w:t>0.6%</w:t>
            </w:r>
          </w:p>
        </w:tc>
      </w:tr>
    </w:tbl>
    <w:p w:rsidR="00E66766" w:rsidRDefault="00E66766" w:rsidP="00E66766">
      <w:pPr>
        <w:rPr>
          <w:b/>
        </w:rPr>
      </w:pPr>
    </w:p>
    <w:p w:rsidR="0072748E" w:rsidRPr="0072748E" w:rsidRDefault="0072748E" w:rsidP="00E66766">
      <w:r>
        <w:t xml:space="preserve">The CCG completion percentage for cholesterol has fallen 0.3% between 2013/14 and 2014/15, from 92.5% to 92.2%. During this period the completion percentage in England rose 0.6% to 93.2%. </w:t>
      </w:r>
    </w:p>
    <w:p w:rsidR="00E66766" w:rsidRDefault="00E66766" w:rsidP="00E66766">
      <w:pPr>
        <w:rPr>
          <w:b/>
        </w:rPr>
      </w:pPr>
    </w:p>
    <w:p w:rsidR="00FC5C0F" w:rsidRDefault="00FC5C0F"/>
    <w:p w:rsidR="00FC5C0F" w:rsidRDefault="00FC5C0F"/>
    <w:p w:rsidR="0072748E" w:rsidRDefault="0072748E"/>
    <w:p w:rsidR="0072748E" w:rsidRDefault="0072748E" w:rsidP="0072748E">
      <w:pPr>
        <w:rPr>
          <w:b/>
        </w:rPr>
      </w:pPr>
      <w:r w:rsidRPr="00B57FEB">
        <w:rPr>
          <w:b/>
        </w:rPr>
        <w:lastRenderedPageBreak/>
        <w:t xml:space="preserve">Figure </w:t>
      </w:r>
      <w:r>
        <w:rPr>
          <w:b/>
        </w:rPr>
        <w:t>2</w:t>
      </w:r>
      <w:r w:rsidR="00C54CDB">
        <w:rPr>
          <w:b/>
        </w:rPr>
        <w:t>1</w:t>
      </w:r>
      <w:r w:rsidRPr="00B57FEB">
        <w:rPr>
          <w:b/>
        </w:rPr>
        <w:t>: National Diabetes Audit</w:t>
      </w:r>
      <w:r>
        <w:rPr>
          <w:b/>
        </w:rPr>
        <w:t xml:space="preserve"> 2013-14 / </w:t>
      </w:r>
      <w:r w:rsidRPr="00B57FEB">
        <w:rPr>
          <w:b/>
        </w:rPr>
        <w:t xml:space="preserve">2014-15, </w:t>
      </w:r>
      <w:r>
        <w:rPr>
          <w:b/>
        </w:rPr>
        <w:t>Care Process Completion for People with Type 2 Diabetes – C&amp;P CCG LCGs, Serum Creatine</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727885" w:rsidRPr="00727885" w:rsidTr="00727885">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Change in % Completed 2013/14 - 2014/15</w:t>
            </w:r>
          </w:p>
        </w:tc>
      </w:tr>
      <w:tr w:rsidR="00727885" w:rsidRPr="00727885" w:rsidTr="00727885">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727885" w:rsidRPr="00727885" w:rsidRDefault="00727885" w:rsidP="00727885">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727885" w:rsidRPr="00727885" w:rsidRDefault="00727885" w:rsidP="00727885">
            <w:pPr>
              <w:spacing w:after="0" w:line="240" w:lineRule="auto"/>
              <w:rPr>
                <w:rFonts w:ascii="Calibri" w:eastAsia="Times New Roman" w:hAnsi="Calibri" w:cs="Times New Roman"/>
                <w:b/>
                <w:bCs/>
                <w:color w:val="000000"/>
                <w:sz w:val="16"/>
                <w:szCs w:val="16"/>
                <w:lang w:eastAsia="en-GB"/>
              </w:rPr>
            </w:pP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3,863</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4,107</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94.1%</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3,850</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95.0%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1.0%</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938</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980</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95.7%</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1,191</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96.3%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0.6%</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4,183</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4,432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94.4%</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4,524</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0.3%</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2,743</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2,932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93.6%</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3,080</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95.0%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1.4%</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1,022</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1,108</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92.2%</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1,998</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2,120</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2.0%</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3,518</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3,668</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95.9%</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4,143</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96.7%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0.8%</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4,883</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5,179</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94.3%</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5,111</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5,438</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-0.3%</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1,875</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94.6%</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1,956</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95.5%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0.9%</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46</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88.5%</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51</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92.7%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4.3%</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23,071</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24,440</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94.4%</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25,904</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27,254</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95.0%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0.6%</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1,305,807</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1,396,229</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93.5%</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1,421,987</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1,502,807</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94.6%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548235"/>
                <w:sz w:val="16"/>
                <w:szCs w:val="16"/>
                <w:lang w:eastAsia="en-GB"/>
              </w:rPr>
            </w:pPr>
            <w:r w:rsidRPr="00727885">
              <w:rPr>
                <w:rFonts w:ascii="Calibri" w:eastAsia="Times New Roman" w:hAnsi="Calibri" w:cs="Times New Roman"/>
                <w:color w:val="548235"/>
                <w:sz w:val="16"/>
                <w:szCs w:val="16"/>
                <w:lang w:eastAsia="en-GB"/>
              </w:rPr>
              <w:t>1.1%</w:t>
            </w:r>
          </w:p>
        </w:tc>
      </w:tr>
    </w:tbl>
    <w:p w:rsidR="0072748E" w:rsidRDefault="0072748E" w:rsidP="0072748E">
      <w:pPr>
        <w:rPr>
          <w:b/>
        </w:rPr>
      </w:pPr>
    </w:p>
    <w:p w:rsidR="00727885" w:rsidRPr="00727885" w:rsidRDefault="00727885" w:rsidP="0072748E">
      <w:r>
        <w:t xml:space="preserve">Serum creatine completion increased by 0.6% across the CCG between 2013/14 and 2014/15 and rose in all LCGs with the exception of Peterborough. </w:t>
      </w:r>
    </w:p>
    <w:p w:rsidR="0072748E" w:rsidRDefault="0072748E" w:rsidP="0072748E">
      <w:pPr>
        <w:rPr>
          <w:b/>
        </w:rPr>
      </w:pPr>
      <w:r w:rsidRPr="00B57FEB">
        <w:rPr>
          <w:b/>
        </w:rPr>
        <w:t xml:space="preserve">Figure </w:t>
      </w:r>
      <w:r>
        <w:rPr>
          <w:b/>
        </w:rPr>
        <w:t>2</w:t>
      </w:r>
      <w:r w:rsidR="00C54CDB">
        <w:rPr>
          <w:b/>
        </w:rPr>
        <w:t>2</w:t>
      </w:r>
      <w:r w:rsidRPr="00B57FEB">
        <w:rPr>
          <w:b/>
        </w:rPr>
        <w:t>: National Diabetes Audit</w:t>
      </w:r>
      <w:r>
        <w:rPr>
          <w:b/>
        </w:rPr>
        <w:t xml:space="preserve"> 2013-14 / </w:t>
      </w:r>
      <w:r w:rsidRPr="00B57FEB">
        <w:rPr>
          <w:b/>
        </w:rPr>
        <w:t xml:space="preserve">2014-15, </w:t>
      </w:r>
      <w:r>
        <w:rPr>
          <w:b/>
        </w:rPr>
        <w:t>Care Process Completion for People with Type 2 Diabetes – C&amp;P CCG LCGs, Urine Albumin</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727885" w:rsidRPr="00727885" w:rsidTr="00727885">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Change in % Completed 2013/14 - 2014/15</w:t>
            </w:r>
          </w:p>
        </w:tc>
      </w:tr>
      <w:tr w:rsidR="00727885" w:rsidRPr="00727885" w:rsidTr="00727885">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727885" w:rsidRPr="00727885" w:rsidRDefault="00727885" w:rsidP="00727885">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727885" w:rsidRPr="00727885" w:rsidRDefault="00727885" w:rsidP="00727885">
            <w:pPr>
              <w:spacing w:after="0" w:line="240" w:lineRule="auto"/>
              <w:rPr>
                <w:rFonts w:ascii="Calibri" w:eastAsia="Times New Roman" w:hAnsi="Calibri" w:cs="Times New Roman"/>
                <w:b/>
                <w:bCs/>
                <w:color w:val="000000"/>
                <w:sz w:val="16"/>
                <w:szCs w:val="16"/>
                <w:lang w:eastAsia="en-GB"/>
              </w:rPr>
            </w:pP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3,370</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4,107</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82.1%</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3,205</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79.1%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-2.9%</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842</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980</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85.9%</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896</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72.4%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-13.5%</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3,825</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4,432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86.3%</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3,807</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79.7%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-6.6%</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2,392</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2,932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81.6%</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2,412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74.4%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-7.2%</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925</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1,108</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83.5%</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1,549</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2,120</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73.1%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-10.4%</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3,178</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3,668</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86.6%</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3,373</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78.8%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-7.9%</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4,258</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5,179</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82.2%</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3,903</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5,438</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71.8%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-10.4%</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1,484</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74.9%</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1,423</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69.5%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-5.4%</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46</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88.5%</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40</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72.7%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-15.7%</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20,320</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24,440</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83.1%</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20,608</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27,254</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75.6%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-7.5%</w:t>
            </w:r>
          </w:p>
        </w:tc>
      </w:tr>
      <w:tr w:rsidR="00727885" w:rsidRPr="00727885" w:rsidTr="00727885">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b/>
                <w:bCs/>
                <w:color w:val="000000"/>
                <w:sz w:val="16"/>
                <w:szCs w:val="16"/>
                <w:lang w:eastAsia="en-GB"/>
              </w:rPr>
            </w:pPr>
            <w:r w:rsidRPr="00727885">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1,181,108</w:t>
            </w:r>
          </w:p>
        </w:tc>
        <w:tc>
          <w:tcPr>
            <w:tcW w:w="629"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1,396,229</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84.6%</w:t>
            </w:r>
          </w:p>
        </w:tc>
        <w:tc>
          <w:tcPr>
            <w:tcW w:w="55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1,125,696</w:t>
            </w:r>
          </w:p>
        </w:tc>
        <w:tc>
          <w:tcPr>
            <w:tcW w:w="628"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1,502,807</w:t>
            </w:r>
          </w:p>
        </w:tc>
        <w:tc>
          <w:tcPr>
            <w:tcW w:w="630" w:type="pct"/>
            <w:tcBorders>
              <w:top w:val="nil"/>
              <w:left w:val="nil"/>
              <w:bottom w:val="single" w:sz="4" w:space="0" w:color="auto"/>
              <w:right w:val="single" w:sz="4" w:space="0" w:color="auto"/>
            </w:tcBorders>
            <w:shd w:val="clear" w:color="auto" w:fill="auto"/>
            <w:noWrap/>
            <w:vAlign w:val="center"/>
            <w:hideMark/>
          </w:tcPr>
          <w:p w:rsidR="00727885" w:rsidRPr="00727885" w:rsidRDefault="00727885" w:rsidP="00727885">
            <w:pPr>
              <w:spacing w:after="0" w:line="240" w:lineRule="auto"/>
              <w:jc w:val="center"/>
              <w:rPr>
                <w:rFonts w:ascii="Calibri" w:eastAsia="Times New Roman" w:hAnsi="Calibri" w:cs="Times New Roman"/>
                <w:color w:val="000000"/>
                <w:sz w:val="16"/>
                <w:szCs w:val="16"/>
                <w:lang w:eastAsia="en-GB"/>
              </w:rPr>
            </w:pPr>
            <w:r w:rsidRPr="00727885">
              <w:rPr>
                <w:rFonts w:ascii="Calibri" w:eastAsia="Times New Roman" w:hAnsi="Calibri" w:cs="Times New Roman"/>
                <w:color w:val="000000"/>
                <w:sz w:val="16"/>
                <w:szCs w:val="16"/>
                <w:lang w:eastAsia="en-GB"/>
              </w:rPr>
              <w:t>74.9%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885" w:rsidRPr="00727885" w:rsidRDefault="00727885" w:rsidP="00727885">
            <w:pPr>
              <w:spacing w:after="0" w:line="240" w:lineRule="auto"/>
              <w:jc w:val="center"/>
              <w:rPr>
                <w:rFonts w:ascii="Calibri" w:eastAsia="Times New Roman" w:hAnsi="Calibri" w:cs="Times New Roman"/>
                <w:color w:val="9C0006"/>
                <w:sz w:val="16"/>
                <w:szCs w:val="16"/>
                <w:lang w:eastAsia="en-GB"/>
              </w:rPr>
            </w:pPr>
            <w:r w:rsidRPr="00727885">
              <w:rPr>
                <w:rFonts w:ascii="Calibri" w:eastAsia="Times New Roman" w:hAnsi="Calibri" w:cs="Times New Roman"/>
                <w:color w:val="9C0006"/>
                <w:sz w:val="16"/>
                <w:szCs w:val="16"/>
                <w:lang w:eastAsia="en-GB"/>
              </w:rPr>
              <w:t>-9.7%</w:t>
            </w:r>
          </w:p>
        </w:tc>
      </w:tr>
    </w:tbl>
    <w:p w:rsidR="00FC5C0F" w:rsidRDefault="00FC5C0F"/>
    <w:p w:rsidR="00727885" w:rsidRDefault="00727885">
      <w:r>
        <w:t xml:space="preserve">Nationally, the completion percentage for urine albumin fell 9.7% between 2013/14 and 2014/15, from 84.6% to 74.9%. The CCG’s completion percentage of 75.6% is therefore now higher than that of England, although the CCG also saw an observed fall of 7.5% over this time period. </w:t>
      </w:r>
    </w:p>
    <w:p w:rsidR="007A039A" w:rsidRDefault="007A039A"/>
    <w:p w:rsidR="007A039A" w:rsidRDefault="007A039A"/>
    <w:p w:rsidR="007A039A" w:rsidRDefault="007A039A"/>
    <w:p w:rsidR="007A039A" w:rsidRDefault="007A039A"/>
    <w:p w:rsidR="007A039A" w:rsidRDefault="007A039A"/>
    <w:p w:rsidR="0072748E" w:rsidRDefault="0072748E" w:rsidP="0072748E">
      <w:pPr>
        <w:rPr>
          <w:b/>
        </w:rPr>
      </w:pPr>
      <w:r w:rsidRPr="00B57FEB">
        <w:rPr>
          <w:b/>
        </w:rPr>
        <w:lastRenderedPageBreak/>
        <w:t xml:space="preserve">Figure </w:t>
      </w:r>
      <w:r>
        <w:rPr>
          <w:b/>
        </w:rPr>
        <w:t>2</w:t>
      </w:r>
      <w:r w:rsidR="00C54CDB">
        <w:rPr>
          <w:b/>
        </w:rPr>
        <w:t>3</w:t>
      </w:r>
      <w:r w:rsidRPr="00B57FEB">
        <w:rPr>
          <w:b/>
        </w:rPr>
        <w:t>: National Diabetes Audit</w:t>
      </w:r>
      <w:r>
        <w:rPr>
          <w:b/>
        </w:rPr>
        <w:t xml:space="preserve"> 2013-14 / </w:t>
      </w:r>
      <w:r w:rsidRPr="00B57FEB">
        <w:rPr>
          <w:b/>
        </w:rPr>
        <w:t xml:space="preserve">2014-15, </w:t>
      </w:r>
      <w:r>
        <w:rPr>
          <w:b/>
        </w:rPr>
        <w:t>Care Process Completion for People with Type 2 Diabetes – C&amp;P CCG LCGs, Foot Surveillance</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7A039A" w:rsidRPr="007A039A" w:rsidTr="007A039A">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Change in % Completed 2013/14 - 2014/15</w:t>
            </w:r>
          </w:p>
        </w:tc>
      </w:tr>
      <w:tr w:rsidR="007A039A" w:rsidRPr="007A039A" w:rsidTr="007A039A">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7A039A" w:rsidRPr="007A039A" w:rsidRDefault="007A039A" w:rsidP="007A039A">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7A039A" w:rsidRPr="007A039A" w:rsidRDefault="007A039A" w:rsidP="007A039A">
            <w:pPr>
              <w:spacing w:after="0" w:line="240" w:lineRule="auto"/>
              <w:rPr>
                <w:rFonts w:ascii="Calibri" w:eastAsia="Times New Roman" w:hAnsi="Calibri" w:cs="Times New Roman"/>
                <w:b/>
                <w:bCs/>
                <w:color w:val="000000"/>
                <w:sz w:val="16"/>
                <w:szCs w:val="16"/>
                <w:lang w:eastAsia="en-GB"/>
              </w:rPr>
            </w:pP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3,635</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4,107</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88.5%</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3,616</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0.8%</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868</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980</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88.6%</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1,121</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90.6%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2.1%</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3,934</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4,432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88.8%</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4,246</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0.1%</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2,611</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2,932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89.1%</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2,876</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-0.4%</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965</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1,108</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87.1%</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1,906</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2,120</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2.8%</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3,236</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3,668</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88.2%</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3,859</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90.1%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1.9%</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4,442</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5,179</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85.8%</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4,672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5,438</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85.9%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0.1%</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1,767</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89.2%</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1,762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86.0%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-3.1%</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46</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88.5%</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49</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0.6%</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21,504</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24,440</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88.0%</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24,107</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27,254</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0.5%</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1,208,272</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1,396,229</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86.5%</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1,310,545</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1,502,807</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87.2%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0.7%</w:t>
            </w:r>
          </w:p>
        </w:tc>
      </w:tr>
    </w:tbl>
    <w:p w:rsidR="0072748E" w:rsidRDefault="0072748E"/>
    <w:p w:rsidR="007A039A" w:rsidRDefault="007A039A">
      <w:r>
        <w:t xml:space="preserve">CCG completion percentage for foot surveillance remains above that of England at 88.5% in comparison to 87.2%, although England’s completion percentage has increased by 0.7% between 2013/14 and 2014/15 in comparison to a 0.5% rise within the CCG. </w:t>
      </w:r>
    </w:p>
    <w:p w:rsidR="0072748E" w:rsidRDefault="0072748E" w:rsidP="0072748E">
      <w:pPr>
        <w:rPr>
          <w:b/>
        </w:rPr>
      </w:pPr>
      <w:r w:rsidRPr="00B57FEB">
        <w:rPr>
          <w:b/>
        </w:rPr>
        <w:t xml:space="preserve">Figure </w:t>
      </w:r>
      <w:r>
        <w:rPr>
          <w:b/>
        </w:rPr>
        <w:t>2</w:t>
      </w:r>
      <w:r w:rsidR="00C54CDB">
        <w:rPr>
          <w:b/>
        </w:rPr>
        <w:t>4</w:t>
      </w:r>
      <w:r w:rsidRPr="00B57FEB">
        <w:rPr>
          <w:b/>
        </w:rPr>
        <w:t>: National Diabetes Audit</w:t>
      </w:r>
      <w:r>
        <w:rPr>
          <w:b/>
        </w:rPr>
        <w:t xml:space="preserve"> 2013-14 / </w:t>
      </w:r>
      <w:r w:rsidRPr="00B57FEB">
        <w:rPr>
          <w:b/>
        </w:rPr>
        <w:t xml:space="preserve">2014-15, </w:t>
      </w:r>
      <w:r>
        <w:rPr>
          <w:b/>
        </w:rPr>
        <w:t>Care Process Completion for People with Type 2 Diabetes – C&amp;P CCG LCGs, BMI</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7A039A" w:rsidRPr="007A039A" w:rsidTr="007A039A">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Change in % Completed 2013/14 - 2014/15</w:t>
            </w:r>
          </w:p>
        </w:tc>
      </w:tr>
      <w:tr w:rsidR="007A039A" w:rsidRPr="007A039A" w:rsidTr="007A039A">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7A039A" w:rsidRPr="007A039A" w:rsidRDefault="007A039A" w:rsidP="007A039A">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7A039A" w:rsidRPr="007A039A" w:rsidRDefault="007A039A" w:rsidP="007A039A">
            <w:pPr>
              <w:spacing w:after="0" w:line="240" w:lineRule="auto"/>
              <w:rPr>
                <w:rFonts w:ascii="Calibri" w:eastAsia="Times New Roman" w:hAnsi="Calibri" w:cs="Times New Roman"/>
                <w:b/>
                <w:bCs/>
                <w:color w:val="000000"/>
                <w:sz w:val="16"/>
                <w:szCs w:val="16"/>
                <w:lang w:eastAsia="en-GB"/>
              </w:rPr>
            </w:pP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3,669</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4,107</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89.3%</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3,693</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91.2%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1.8%</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873</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980</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89.1%</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1,074</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86.8%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-2.3%</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3,917</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4,432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88.4%</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4,236</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0.3%</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2,609</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2,932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89.0%</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2,827</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87.2%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-1.8%</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992</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1,108</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89.5%</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1,792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2,120</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84.5%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-5.0%</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3,211</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3,668</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87.5%</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3,805</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548235"/>
                <w:sz w:val="16"/>
                <w:szCs w:val="16"/>
                <w:lang w:eastAsia="en-GB"/>
              </w:rPr>
            </w:pPr>
            <w:r w:rsidRPr="007A039A">
              <w:rPr>
                <w:rFonts w:ascii="Calibri" w:eastAsia="Times New Roman" w:hAnsi="Calibri" w:cs="Times New Roman"/>
                <w:color w:val="548235"/>
                <w:sz w:val="16"/>
                <w:szCs w:val="16"/>
                <w:lang w:eastAsia="en-GB"/>
              </w:rPr>
              <w:t>1.3%</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4,534</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5,179</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87.5%</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4,702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5,438</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86.5%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-1.1%</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1,790</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90.3%</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1,836</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89.6%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-0.7%</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42</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80.8%</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36</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65.5%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-15.3%</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21,637</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24,440</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88.5%</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24,001</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27,254</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88.1%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-0.5%</w:t>
            </w:r>
          </w:p>
        </w:tc>
      </w:tr>
      <w:tr w:rsidR="007A039A" w:rsidRPr="007A039A" w:rsidTr="007A039A">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b/>
                <w:bCs/>
                <w:color w:val="000000"/>
                <w:sz w:val="16"/>
                <w:szCs w:val="16"/>
                <w:lang w:eastAsia="en-GB"/>
              </w:rPr>
            </w:pPr>
            <w:r w:rsidRPr="007A039A">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1,199,038</w:t>
            </w:r>
          </w:p>
        </w:tc>
        <w:tc>
          <w:tcPr>
            <w:tcW w:w="629"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1,396,229</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85.9%</w:t>
            </w:r>
          </w:p>
        </w:tc>
        <w:tc>
          <w:tcPr>
            <w:tcW w:w="55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1,250,720</w:t>
            </w:r>
          </w:p>
        </w:tc>
        <w:tc>
          <w:tcPr>
            <w:tcW w:w="628"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1,502,807</w:t>
            </w:r>
          </w:p>
        </w:tc>
        <w:tc>
          <w:tcPr>
            <w:tcW w:w="630" w:type="pct"/>
            <w:tcBorders>
              <w:top w:val="nil"/>
              <w:left w:val="nil"/>
              <w:bottom w:val="single" w:sz="4" w:space="0" w:color="auto"/>
              <w:right w:val="single" w:sz="4" w:space="0" w:color="auto"/>
            </w:tcBorders>
            <w:shd w:val="clear" w:color="auto" w:fill="auto"/>
            <w:noWrap/>
            <w:vAlign w:val="center"/>
            <w:hideMark/>
          </w:tcPr>
          <w:p w:rsidR="007A039A" w:rsidRPr="007A039A" w:rsidRDefault="007A039A" w:rsidP="007A039A">
            <w:pPr>
              <w:spacing w:after="0" w:line="240" w:lineRule="auto"/>
              <w:jc w:val="center"/>
              <w:rPr>
                <w:rFonts w:ascii="Calibri" w:eastAsia="Times New Roman" w:hAnsi="Calibri" w:cs="Times New Roman"/>
                <w:color w:val="000000"/>
                <w:sz w:val="16"/>
                <w:szCs w:val="16"/>
                <w:lang w:eastAsia="en-GB"/>
              </w:rPr>
            </w:pPr>
            <w:r w:rsidRPr="007A039A">
              <w:rPr>
                <w:rFonts w:ascii="Calibri" w:eastAsia="Times New Roman" w:hAnsi="Calibri" w:cs="Times New Roman"/>
                <w:color w:val="000000"/>
                <w:sz w:val="16"/>
                <w:szCs w:val="16"/>
                <w:lang w:eastAsia="en-GB"/>
              </w:rPr>
              <w:t>83.2%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039A" w:rsidRPr="007A039A" w:rsidRDefault="007A039A" w:rsidP="007A039A">
            <w:pPr>
              <w:spacing w:after="0" w:line="240" w:lineRule="auto"/>
              <w:jc w:val="center"/>
              <w:rPr>
                <w:rFonts w:ascii="Calibri" w:eastAsia="Times New Roman" w:hAnsi="Calibri" w:cs="Times New Roman"/>
                <w:color w:val="9C0006"/>
                <w:sz w:val="16"/>
                <w:szCs w:val="16"/>
                <w:lang w:eastAsia="en-GB"/>
              </w:rPr>
            </w:pPr>
            <w:r w:rsidRPr="007A039A">
              <w:rPr>
                <w:rFonts w:ascii="Calibri" w:eastAsia="Times New Roman" w:hAnsi="Calibri" w:cs="Times New Roman"/>
                <w:color w:val="9C0006"/>
                <w:sz w:val="16"/>
                <w:szCs w:val="16"/>
                <w:lang w:eastAsia="en-GB"/>
              </w:rPr>
              <w:t>-2.7%</w:t>
            </w:r>
          </w:p>
        </w:tc>
      </w:tr>
    </w:tbl>
    <w:p w:rsidR="0072748E" w:rsidRDefault="0072748E"/>
    <w:p w:rsidR="007A039A" w:rsidRDefault="007A039A">
      <w:r>
        <w:t xml:space="preserve">CCG completion percentage for BMI is now 4.9% higher than England at 88.1% compared to 83.2% as completion fell 2.7% between 2013/14 and 2014/15 in England whereas </w:t>
      </w:r>
      <w:r w:rsidR="00437431">
        <w:t xml:space="preserve">the fall across the CCG was 0.5%; increases in completion percentage are observed in the Borderline, Isle of Ely and Catch LCGs. </w:t>
      </w:r>
    </w:p>
    <w:p w:rsidR="00437431" w:rsidRDefault="00437431"/>
    <w:p w:rsidR="00437431" w:rsidRDefault="00437431"/>
    <w:p w:rsidR="00437431" w:rsidRDefault="00437431"/>
    <w:p w:rsidR="00437431" w:rsidRDefault="00437431"/>
    <w:p w:rsidR="0072748E" w:rsidRDefault="0072748E" w:rsidP="0072748E">
      <w:pPr>
        <w:rPr>
          <w:b/>
        </w:rPr>
      </w:pPr>
      <w:r w:rsidRPr="00B57FEB">
        <w:rPr>
          <w:b/>
        </w:rPr>
        <w:lastRenderedPageBreak/>
        <w:t xml:space="preserve">Figure </w:t>
      </w:r>
      <w:r>
        <w:rPr>
          <w:b/>
        </w:rPr>
        <w:t>2</w:t>
      </w:r>
      <w:r w:rsidR="00C54CDB">
        <w:rPr>
          <w:b/>
        </w:rPr>
        <w:t>5</w:t>
      </w:r>
      <w:r w:rsidRPr="00B57FEB">
        <w:rPr>
          <w:b/>
        </w:rPr>
        <w:t>: National Diabetes Audit</w:t>
      </w:r>
      <w:r>
        <w:rPr>
          <w:b/>
        </w:rPr>
        <w:t xml:space="preserve"> 2013-14 / </w:t>
      </w:r>
      <w:r w:rsidRPr="00B57FEB">
        <w:rPr>
          <w:b/>
        </w:rPr>
        <w:t xml:space="preserve">2014-15, </w:t>
      </w:r>
      <w:r>
        <w:rPr>
          <w:b/>
        </w:rPr>
        <w:t>Care Process Completion for People with Type 2 Diabetes – C&amp;P CCG LCGs, Smoking</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437431" w:rsidRPr="00437431" w:rsidTr="00437431">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Change in % Completed 2013/14 - 2014/15</w:t>
            </w:r>
          </w:p>
        </w:tc>
      </w:tr>
      <w:tr w:rsidR="00437431" w:rsidRPr="00437431" w:rsidTr="00437431">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437431" w:rsidRPr="00437431" w:rsidRDefault="00437431" w:rsidP="00437431">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437431" w:rsidRPr="00437431" w:rsidRDefault="00437431" w:rsidP="00437431">
            <w:pPr>
              <w:spacing w:after="0" w:line="240" w:lineRule="auto"/>
              <w:rPr>
                <w:rFonts w:ascii="Calibri" w:eastAsia="Times New Roman" w:hAnsi="Calibri" w:cs="Times New Roman"/>
                <w:b/>
                <w:bCs/>
                <w:color w:val="000000"/>
                <w:sz w:val="16"/>
                <w:szCs w:val="16"/>
                <w:lang w:eastAsia="en-GB"/>
              </w:rPr>
            </w:pP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3,795</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4,107</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92.4%</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3,671</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90.6%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-1.8%</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897</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980</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91.5%</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1,134</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91.7%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548235"/>
                <w:sz w:val="16"/>
                <w:szCs w:val="16"/>
                <w:lang w:eastAsia="en-GB"/>
              </w:rPr>
            </w:pPr>
            <w:r w:rsidRPr="00437431">
              <w:rPr>
                <w:rFonts w:ascii="Calibri" w:eastAsia="Times New Roman" w:hAnsi="Calibri" w:cs="Times New Roman"/>
                <w:color w:val="548235"/>
                <w:sz w:val="16"/>
                <w:szCs w:val="16"/>
                <w:lang w:eastAsia="en-GB"/>
              </w:rPr>
              <w:t>0.1%</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3,996</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4,432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90.2%</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4,319</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90.4%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548235"/>
                <w:sz w:val="16"/>
                <w:szCs w:val="16"/>
                <w:lang w:eastAsia="en-GB"/>
              </w:rPr>
            </w:pPr>
            <w:r w:rsidRPr="00437431">
              <w:rPr>
                <w:rFonts w:ascii="Calibri" w:eastAsia="Times New Roman" w:hAnsi="Calibri" w:cs="Times New Roman"/>
                <w:color w:val="548235"/>
                <w:sz w:val="16"/>
                <w:szCs w:val="16"/>
                <w:lang w:eastAsia="en-GB"/>
              </w:rPr>
              <w:t>0.2%</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2,580</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2,932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88.0%</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2,598</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80.1%</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-7.9%</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991</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1,108</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89.4%</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1,747</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2,120</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82.4%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-7.0%</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3,014</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3,668</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82.2%</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3,503</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81.8%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-0.4%</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4,751</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5,179</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91.7%</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4,825</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5,438</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88.7%</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-3.0%</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1,836</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92.6%</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1,867</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91.2%</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-1.5%</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49</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94.2%</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48</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87.3%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-7.0%</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21,909</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24,440</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89.6%</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23,712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27,254</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87.0%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-2.6%</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1,196,361</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1,396,229</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85.7%</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1,282,244</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1,502,807</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85.3%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-0.4%</w:t>
            </w:r>
          </w:p>
        </w:tc>
      </w:tr>
    </w:tbl>
    <w:p w:rsidR="0072748E" w:rsidRDefault="0072748E"/>
    <w:p w:rsidR="00437431" w:rsidRDefault="00437431">
      <w:r>
        <w:t xml:space="preserve">Smoking completion within the CCG remains above the national value for 2014/15 (87.0% compared to 85.3%), although within the CCG completion percentage fell by 2.6% compared to only 0.4% across England. </w:t>
      </w:r>
    </w:p>
    <w:p w:rsidR="0072748E" w:rsidRDefault="0072748E" w:rsidP="0072748E">
      <w:pPr>
        <w:rPr>
          <w:b/>
        </w:rPr>
      </w:pPr>
      <w:r w:rsidRPr="00B57FEB">
        <w:rPr>
          <w:b/>
        </w:rPr>
        <w:t xml:space="preserve">Figure </w:t>
      </w:r>
      <w:r>
        <w:rPr>
          <w:b/>
        </w:rPr>
        <w:t>2</w:t>
      </w:r>
      <w:r w:rsidR="00C54CDB">
        <w:rPr>
          <w:b/>
        </w:rPr>
        <w:t>6</w:t>
      </w:r>
      <w:r w:rsidRPr="00B57FEB">
        <w:rPr>
          <w:b/>
        </w:rPr>
        <w:t>: National Diabetes Audit</w:t>
      </w:r>
      <w:r>
        <w:rPr>
          <w:b/>
        </w:rPr>
        <w:t xml:space="preserve"> 2013-14 / </w:t>
      </w:r>
      <w:r w:rsidRPr="00B57FEB">
        <w:rPr>
          <w:b/>
        </w:rPr>
        <w:t xml:space="preserve">2014-15, </w:t>
      </w:r>
      <w:r>
        <w:rPr>
          <w:b/>
        </w:rPr>
        <w:t>Care Process Completion for People with Type 2 Diabetes – C&amp;P CCG LCGs, All Eight Outcomes</w:t>
      </w:r>
    </w:p>
    <w:tbl>
      <w:tblPr>
        <w:tblW w:w="5000" w:type="pct"/>
        <w:tblLayout w:type="fixed"/>
        <w:tblLook w:val="04A0" w:firstRow="1" w:lastRow="0" w:firstColumn="1" w:lastColumn="0" w:noHBand="0" w:noVBand="1"/>
      </w:tblPr>
      <w:tblGrid>
        <w:gridCol w:w="1456"/>
        <w:gridCol w:w="1009"/>
        <w:gridCol w:w="1163"/>
        <w:gridCol w:w="1161"/>
        <w:gridCol w:w="1017"/>
        <w:gridCol w:w="1161"/>
        <w:gridCol w:w="1164"/>
        <w:gridCol w:w="1111"/>
      </w:tblGrid>
      <w:tr w:rsidR="00437431" w:rsidRPr="00437431" w:rsidTr="00437431">
        <w:trPr>
          <w:trHeight w:val="300"/>
        </w:trPr>
        <w:tc>
          <w:tcPr>
            <w:tcW w:w="787"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LCG</w:t>
            </w:r>
          </w:p>
        </w:tc>
        <w:tc>
          <w:tcPr>
            <w:tcW w:w="1803"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2013/14</w:t>
            </w:r>
          </w:p>
        </w:tc>
        <w:tc>
          <w:tcPr>
            <w:tcW w:w="1808" w:type="pct"/>
            <w:gridSpan w:val="3"/>
            <w:tcBorders>
              <w:top w:val="single" w:sz="4" w:space="0" w:color="auto"/>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2014/15</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Change in % Completed 2013/14 - 2014/15</w:t>
            </w:r>
          </w:p>
        </w:tc>
      </w:tr>
      <w:tr w:rsidR="00437431" w:rsidRPr="00437431" w:rsidTr="00437431">
        <w:trPr>
          <w:trHeight w:val="225"/>
        </w:trPr>
        <w:tc>
          <w:tcPr>
            <w:tcW w:w="787" w:type="pct"/>
            <w:vMerge/>
            <w:tcBorders>
              <w:top w:val="single" w:sz="4" w:space="0" w:color="auto"/>
              <w:left w:val="single" w:sz="4" w:space="0" w:color="auto"/>
              <w:bottom w:val="single" w:sz="4" w:space="0" w:color="auto"/>
              <w:right w:val="single" w:sz="4" w:space="0" w:color="auto"/>
            </w:tcBorders>
            <w:vAlign w:val="center"/>
            <w:hideMark/>
          </w:tcPr>
          <w:p w:rsidR="00437431" w:rsidRPr="00437431" w:rsidRDefault="00437431" w:rsidP="00437431">
            <w:pPr>
              <w:spacing w:after="0" w:line="240" w:lineRule="auto"/>
              <w:rPr>
                <w:rFonts w:ascii="Calibri" w:eastAsia="Times New Roman" w:hAnsi="Calibri" w:cs="Times New Roman"/>
                <w:b/>
                <w:bCs/>
                <w:color w:val="000000"/>
                <w:sz w:val="16"/>
                <w:szCs w:val="16"/>
                <w:lang w:eastAsia="en-GB"/>
              </w:rPr>
            </w:pPr>
          </w:p>
        </w:tc>
        <w:tc>
          <w:tcPr>
            <w:tcW w:w="546"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Numerator</w:t>
            </w:r>
          </w:p>
        </w:tc>
        <w:tc>
          <w:tcPr>
            <w:tcW w:w="629"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Denominator</w:t>
            </w:r>
          </w:p>
        </w:tc>
        <w:tc>
          <w:tcPr>
            <w:tcW w:w="628"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 Completed</w:t>
            </w:r>
          </w:p>
        </w:tc>
        <w:tc>
          <w:tcPr>
            <w:tcW w:w="550"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Numerator</w:t>
            </w:r>
          </w:p>
        </w:tc>
        <w:tc>
          <w:tcPr>
            <w:tcW w:w="628"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Denominator</w:t>
            </w:r>
          </w:p>
        </w:tc>
        <w:tc>
          <w:tcPr>
            <w:tcW w:w="630" w:type="pct"/>
            <w:tcBorders>
              <w:top w:val="nil"/>
              <w:left w:val="nil"/>
              <w:bottom w:val="single" w:sz="4" w:space="0" w:color="auto"/>
              <w:right w:val="single" w:sz="4" w:space="0" w:color="auto"/>
            </w:tcBorders>
            <w:shd w:val="clear" w:color="000000" w:fill="DDEBF7"/>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 Completed</w:t>
            </w: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437431" w:rsidRPr="00437431" w:rsidRDefault="00437431" w:rsidP="00437431">
            <w:pPr>
              <w:spacing w:after="0" w:line="240" w:lineRule="auto"/>
              <w:rPr>
                <w:rFonts w:ascii="Calibri" w:eastAsia="Times New Roman" w:hAnsi="Calibri" w:cs="Times New Roman"/>
                <w:b/>
                <w:bCs/>
                <w:color w:val="000000"/>
                <w:sz w:val="16"/>
                <w:szCs w:val="16"/>
                <w:lang w:eastAsia="en-GB"/>
              </w:rPr>
            </w:pP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BORDERLINE</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3,029</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4,107</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73.8%</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2,899</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4,051</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71.6%</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-2.2%</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CAM HEALTH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748</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980</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76.3%</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779</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1,237</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63.0%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-13.4%</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CATCH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3,279</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4,432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74.0%</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3,299</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4,779</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69.0%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-5.0%</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HUNTS CARE PARTNERS</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2,059</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2,934</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70.2%</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1,907</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3,243</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58.8%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-11.4%</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HUNTS HEALTH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841</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1,110</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75.8%</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1,242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2,122</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58.5%</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-17.2%</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ISLE OF ELY</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2,421</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3,668</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66.0%</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2,568</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4,283</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60.0%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-6.0%</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PETERBOROUGH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3,695</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5,179</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71.3%</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3,313</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5,440</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60.9%</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-10.4%</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WISBECH</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1,317</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1,982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66.4%</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1,246</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2,048</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60.8%</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-5.6%</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DATA SUPPRESSED</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34</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52</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65.4%</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26</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55</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47.3%</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-18.1%</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CCG</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17,423</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24,444</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71.3%</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17,279</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27,258</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63.4%</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-7.9%</w:t>
            </w:r>
          </w:p>
        </w:tc>
      </w:tr>
      <w:tr w:rsidR="00437431" w:rsidRPr="00437431" w:rsidTr="00437431">
        <w:trPr>
          <w:trHeight w:val="22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b/>
                <w:bCs/>
                <w:color w:val="000000"/>
                <w:sz w:val="16"/>
                <w:szCs w:val="16"/>
                <w:lang w:eastAsia="en-GB"/>
              </w:rPr>
            </w:pPr>
            <w:r w:rsidRPr="00437431">
              <w:rPr>
                <w:rFonts w:ascii="Calibri" w:eastAsia="Times New Roman" w:hAnsi="Calibri" w:cs="Times New Roman"/>
                <w:b/>
                <w:bCs/>
                <w:color w:val="000000"/>
                <w:sz w:val="16"/>
                <w:szCs w:val="16"/>
                <w:lang w:eastAsia="en-GB"/>
              </w:rPr>
              <w:t>England</w:t>
            </w:r>
          </w:p>
        </w:tc>
        <w:tc>
          <w:tcPr>
            <w:tcW w:w="546"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948,040</w:t>
            </w:r>
          </w:p>
        </w:tc>
        <w:tc>
          <w:tcPr>
            <w:tcW w:w="629"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1,396,414</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67.9%</w:t>
            </w:r>
          </w:p>
        </w:tc>
        <w:tc>
          <w:tcPr>
            <w:tcW w:w="55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887,337</w:t>
            </w:r>
          </w:p>
        </w:tc>
        <w:tc>
          <w:tcPr>
            <w:tcW w:w="628"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1,503,034</w:t>
            </w:r>
          </w:p>
        </w:tc>
        <w:tc>
          <w:tcPr>
            <w:tcW w:w="630" w:type="pct"/>
            <w:tcBorders>
              <w:top w:val="nil"/>
              <w:left w:val="nil"/>
              <w:bottom w:val="single" w:sz="4" w:space="0" w:color="auto"/>
              <w:right w:val="single" w:sz="4" w:space="0" w:color="auto"/>
            </w:tcBorders>
            <w:shd w:val="clear" w:color="auto" w:fill="auto"/>
            <w:noWrap/>
            <w:vAlign w:val="center"/>
            <w:hideMark/>
          </w:tcPr>
          <w:p w:rsidR="00437431" w:rsidRPr="00437431" w:rsidRDefault="00437431" w:rsidP="00437431">
            <w:pPr>
              <w:spacing w:after="0" w:line="240" w:lineRule="auto"/>
              <w:jc w:val="center"/>
              <w:rPr>
                <w:rFonts w:ascii="Calibri" w:eastAsia="Times New Roman" w:hAnsi="Calibri" w:cs="Times New Roman"/>
                <w:color w:val="000000"/>
                <w:sz w:val="16"/>
                <w:szCs w:val="16"/>
                <w:lang w:eastAsia="en-GB"/>
              </w:rPr>
            </w:pPr>
            <w:r w:rsidRPr="00437431">
              <w:rPr>
                <w:rFonts w:ascii="Calibri" w:eastAsia="Times New Roman" w:hAnsi="Calibri" w:cs="Times New Roman"/>
                <w:color w:val="000000"/>
                <w:sz w:val="16"/>
                <w:szCs w:val="16"/>
                <w:lang w:eastAsia="en-GB"/>
              </w:rPr>
              <w:t>59.0%</w:t>
            </w:r>
          </w:p>
        </w:tc>
        <w:tc>
          <w:tcPr>
            <w:tcW w:w="6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31" w:rsidRPr="00437431" w:rsidRDefault="00437431" w:rsidP="00437431">
            <w:pPr>
              <w:spacing w:after="0" w:line="240" w:lineRule="auto"/>
              <w:jc w:val="center"/>
              <w:rPr>
                <w:rFonts w:ascii="Calibri" w:eastAsia="Times New Roman" w:hAnsi="Calibri" w:cs="Times New Roman"/>
                <w:color w:val="9C0006"/>
                <w:sz w:val="16"/>
                <w:szCs w:val="16"/>
                <w:lang w:eastAsia="en-GB"/>
              </w:rPr>
            </w:pPr>
            <w:r w:rsidRPr="00437431">
              <w:rPr>
                <w:rFonts w:ascii="Calibri" w:eastAsia="Times New Roman" w:hAnsi="Calibri" w:cs="Times New Roman"/>
                <w:color w:val="9C0006"/>
                <w:sz w:val="16"/>
                <w:szCs w:val="16"/>
                <w:lang w:eastAsia="en-GB"/>
              </w:rPr>
              <w:t>-8.9%</w:t>
            </w:r>
          </w:p>
        </w:tc>
      </w:tr>
    </w:tbl>
    <w:p w:rsidR="0072748E" w:rsidRDefault="0072748E"/>
    <w:p w:rsidR="00437431" w:rsidRDefault="00437431">
      <w:r>
        <w:t xml:space="preserve">Completion percentages for all eight outcomes for the CCG is 63.4% for 2014/15 which, as in 2013/14, is higher than the national completion percentage (59.0%). The percentage has, however, fallen by 7.9%, whereas in England it has fallen 8.9%. </w:t>
      </w:r>
    </w:p>
    <w:p w:rsidR="0072748E" w:rsidRDefault="0072748E"/>
    <w:p w:rsidR="00057C2E" w:rsidRDefault="00057C2E"/>
    <w:p w:rsidR="00057C2E" w:rsidRDefault="00057C2E"/>
    <w:p w:rsidR="0072748E" w:rsidRDefault="0072748E"/>
    <w:p w:rsidR="001722A8" w:rsidRDefault="001722A8">
      <w:pPr>
        <w:rPr>
          <w:b/>
        </w:rPr>
      </w:pPr>
    </w:p>
    <w:p w:rsidR="004664B3" w:rsidRDefault="00ED5457">
      <w:r w:rsidRPr="00B57FEB">
        <w:rPr>
          <w:b/>
        </w:rPr>
        <w:lastRenderedPageBreak/>
        <w:t xml:space="preserve">Figure </w:t>
      </w:r>
      <w:r w:rsidR="00C54CDB">
        <w:rPr>
          <w:b/>
        </w:rPr>
        <w:t>27</w:t>
      </w:r>
      <w:r w:rsidRPr="00B57FEB">
        <w:rPr>
          <w:b/>
        </w:rPr>
        <w:t xml:space="preserve">: National Diabetes Audit 2014-15, </w:t>
      </w:r>
      <w:r>
        <w:rPr>
          <w:b/>
        </w:rPr>
        <w:t>Percentage of newly diagnosed people with type 1 diabetes recorded as being offered a structured education programme</w:t>
      </w:r>
    </w:p>
    <w:p w:rsidR="004664B3" w:rsidRDefault="00ED5457">
      <w:r>
        <w:rPr>
          <w:noProof/>
          <w:lang w:eastAsia="en-GB"/>
        </w:rPr>
        <w:drawing>
          <wp:inline distT="0" distB="0" distL="0" distR="0" wp14:anchorId="5302F3F2" wp14:editId="70517766">
            <wp:extent cx="57626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5457" w:rsidRDefault="00ED5457">
      <w:r>
        <w:t xml:space="preserve">The percentage of newly diagnosed people with type 1 diabetes recorded as being offered a structured education programme has fallen across the CCG from 39.6% in 2013-14 to 28.9% in 2014-15; this contrasts with a rise observed nationally over this time period from 30.9% to 32.8%. </w:t>
      </w:r>
    </w:p>
    <w:p w:rsidR="00ED5457" w:rsidRDefault="00ED5457"/>
    <w:p w:rsidR="00ED5457" w:rsidRDefault="00ED5457"/>
    <w:p w:rsidR="00ED5457" w:rsidRDefault="00ED5457" w:rsidP="00ED5457">
      <w:r w:rsidRPr="00B57FEB">
        <w:rPr>
          <w:b/>
        </w:rPr>
        <w:t xml:space="preserve">Figure </w:t>
      </w:r>
      <w:r w:rsidR="00C54CDB">
        <w:rPr>
          <w:b/>
        </w:rPr>
        <w:t>28</w:t>
      </w:r>
      <w:r w:rsidRPr="00B57FEB">
        <w:rPr>
          <w:b/>
        </w:rPr>
        <w:t xml:space="preserve">: National Diabetes Audit 2014-15, </w:t>
      </w:r>
      <w:r>
        <w:rPr>
          <w:b/>
        </w:rPr>
        <w:t>Percentage of newly diagnosed people with type 1 diabetes recorded as having attended a structured education programme</w:t>
      </w:r>
    </w:p>
    <w:p w:rsidR="00ED5457" w:rsidRDefault="00ED5457">
      <w:r>
        <w:rPr>
          <w:noProof/>
          <w:lang w:eastAsia="en-GB"/>
        </w:rPr>
        <w:drawing>
          <wp:inline distT="0" distB="0" distL="0" distR="0" wp14:anchorId="578B56E6" wp14:editId="47AF766C">
            <wp:extent cx="570547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5457" w:rsidRDefault="00ED5457">
      <w:r>
        <w:t xml:space="preserve">The percentage of newly diagnosed people with type 1 diabetes recorded as having attended a structure education programme across the CCG has fallen from 4.0% to 0.9% between 2013-14 and 2014-15; across England the percentage remained consistent at 1.9% over this period. </w:t>
      </w:r>
    </w:p>
    <w:p w:rsidR="00A37CA5" w:rsidRDefault="00A37CA5" w:rsidP="00A37CA5">
      <w:r w:rsidRPr="00B57FEB">
        <w:rPr>
          <w:b/>
        </w:rPr>
        <w:lastRenderedPageBreak/>
        <w:t xml:space="preserve">Figure </w:t>
      </w:r>
      <w:r w:rsidR="00C54CDB">
        <w:rPr>
          <w:b/>
        </w:rPr>
        <w:t>29</w:t>
      </w:r>
      <w:r w:rsidRPr="00B57FEB">
        <w:rPr>
          <w:b/>
        </w:rPr>
        <w:t xml:space="preserve">: National Diabetes Audit 2014-15, </w:t>
      </w:r>
      <w:r>
        <w:rPr>
          <w:b/>
        </w:rPr>
        <w:t>Percentage of newly diagnosed people with type 2 diabetes recorded as being offered a structured education programme</w:t>
      </w:r>
    </w:p>
    <w:p w:rsidR="00ED5457" w:rsidRDefault="00A37CA5">
      <w:r>
        <w:rPr>
          <w:noProof/>
          <w:lang w:eastAsia="en-GB"/>
        </w:rPr>
        <w:drawing>
          <wp:inline distT="0" distB="0" distL="0" distR="0" wp14:anchorId="18B845D0" wp14:editId="6B27C7C5">
            <wp:extent cx="5715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7CA5" w:rsidRDefault="00A37CA5">
      <w:r>
        <w:t xml:space="preserve">As with England, the CCG has seen its percentage of newly diagnosed people with type 2 diabetes increase between 2013-14 and 2014-15, by 8.8% to 80.5%. </w:t>
      </w:r>
    </w:p>
    <w:p w:rsidR="00A37CA5" w:rsidRDefault="00A37CA5"/>
    <w:p w:rsidR="00A37CA5" w:rsidRDefault="00A37CA5"/>
    <w:p w:rsidR="00A37CA5" w:rsidRDefault="00A37CA5"/>
    <w:p w:rsidR="00A37CA5" w:rsidRDefault="00A37CA5"/>
    <w:p w:rsidR="00A37CA5" w:rsidRDefault="00A37CA5" w:rsidP="00A37CA5">
      <w:r w:rsidRPr="00B57FEB">
        <w:rPr>
          <w:b/>
        </w:rPr>
        <w:t xml:space="preserve">Figure </w:t>
      </w:r>
      <w:r w:rsidR="00C54CDB">
        <w:rPr>
          <w:b/>
        </w:rPr>
        <w:t>30</w:t>
      </w:r>
      <w:r w:rsidRPr="00B57FEB">
        <w:rPr>
          <w:b/>
        </w:rPr>
        <w:t xml:space="preserve">: National Diabetes Audit 2014-15, </w:t>
      </w:r>
      <w:r>
        <w:rPr>
          <w:b/>
        </w:rPr>
        <w:t>Percentage of newly diagnosed people with type 2 diabetes recorded as having attended a structured education programme</w:t>
      </w:r>
    </w:p>
    <w:p w:rsidR="00A37CA5" w:rsidRDefault="00A37CA5">
      <w:r>
        <w:rPr>
          <w:noProof/>
          <w:lang w:eastAsia="en-GB"/>
        </w:rPr>
        <w:drawing>
          <wp:inline distT="0" distB="0" distL="0" distR="0" wp14:anchorId="215655A5" wp14:editId="5D868CD9">
            <wp:extent cx="56769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7CA5" w:rsidRDefault="00A37CA5">
      <w:r>
        <w:t xml:space="preserve">The percentage of newly diagnosed people with type 2 diabetes recorded as having attended a structured education programme has fallen between 2013-14 and 2014-15 across the CCG </w:t>
      </w:r>
      <w:r w:rsidR="008448A6">
        <w:t xml:space="preserve">by </w:t>
      </w:r>
      <w:r w:rsidR="00D062BD">
        <w:t>almost half (</w:t>
      </w:r>
      <w:r w:rsidR="008448A6">
        <w:t>49.4%</w:t>
      </w:r>
      <w:r w:rsidR="00D062BD">
        <w:t>)</w:t>
      </w:r>
      <w:r w:rsidR="008448A6">
        <w:t>, from 8.9% to 4.5</w:t>
      </w:r>
      <w:r>
        <w:t xml:space="preserve">%. </w:t>
      </w:r>
      <w:r w:rsidR="008448A6">
        <w:t>Nationally it has risen from 5.8</w:t>
      </w:r>
      <w:r>
        <w:t xml:space="preserve">% to 5.9%. </w:t>
      </w:r>
    </w:p>
    <w:p w:rsidR="00A37CA5" w:rsidRDefault="00A37CA5" w:rsidP="00A37CA5">
      <w:pPr>
        <w:rPr>
          <w:b/>
        </w:rPr>
      </w:pPr>
      <w:r w:rsidRPr="00B57FEB">
        <w:rPr>
          <w:b/>
        </w:rPr>
        <w:lastRenderedPageBreak/>
        <w:t xml:space="preserve">Figure </w:t>
      </w:r>
      <w:r w:rsidR="00C54CDB">
        <w:rPr>
          <w:b/>
        </w:rPr>
        <w:t>31</w:t>
      </w:r>
      <w:r w:rsidRPr="00B57FEB">
        <w:rPr>
          <w:b/>
        </w:rPr>
        <w:t>: National Diabetes Audit</w:t>
      </w:r>
      <w:r w:rsidR="001F550B">
        <w:rPr>
          <w:b/>
        </w:rPr>
        <w:t xml:space="preserve"> 2013-14 /</w:t>
      </w:r>
      <w:r w:rsidRPr="00B57FEB">
        <w:rPr>
          <w:b/>
        </w:rPr>
        <w:t xml:space="preserve"> 2014-15, </w:t>
      </w:r>
      <w:r>
        <w:rPr>
          <w:b/>
        </w:rPr>
        <w:t>T</w:t>
      </w:r>
      <w:r w:rsidR="00746166">
        <w:rPr>
          <w:b/>
        </w:rPr>
        <w:t>reatment target achievement for people with type 1 diabetes</w:t>
      </w:r>
    </w:p>
    <w:tbl>
      <w:tblPr>
        <w:tblW w:w="5000" w:type="pct"/>
        <w:tblLayout w:type="fixed"/>
        <w:tblLook w:val="04A0" w:firstRow="1" w:lastRow="0" w:firstColumn="1" w:lastColumn="0" w:noHBand="0" w:noVBand="1"/>
      </w:tblPr>
      <w:tblGrid>
        <w:gridCol w:w="1325"/>
        <w:gridCol w:w="989"/>
        <w:gridCol w:w="1527"/>
        <w:gridCol w:w="1821"/>
        <w:gridCol w:w="1201"/>
        <w:gridCol w:w="1418"/>
        <w:gridCol w:w="961"/>
      </w:tblGrid>
      <w:tr w:rsidR="001F550B" w:rsidRPr="001F550B" w:rsidTr="00E84E26">
        <w:trPr>
          <w:trHeight w:val="315"/>
        </w:trPr>
        <w:tc>
          <w:tcPr>
            <w:tcW w:w="717" w:type="pct"/>
            <w:vMerge w:val="restart"/>
            <w:tcBorders>
              <w:top w:val="single" w:sz="8" w:space="0" w:color="auto"/>
              <w:left w:val="single" w:sz="8" w:space="0" w:color="auto"/>
              <w:bottom w:val="single" w:sz="8" w:space="0" w:color="000000"/>
              <w:right w:val="single" w:sz="8" w:space="0" w:color="auto"/>
            </w:tcBorders>
            <w:shd w:val="clear" w:color="000000" w:fill="DDEBF7"/>
            <w:noWrap/>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Treatment Target</w:t>
            </w:r>
          </w:p>
        </w:tc>
        <w:tc>
          <w:tcPr>
            <w:tcW w:w="2346" w:type="pct"/>
            <w:gridSpan w:val="3"/>
            <w:tcBorders>
              <w:top w:val="single" w:sz="8" w:space="0" w:color="auto"/>
              <w:left w:val="nil"/>
              <w:bottom w:val="single" w:sz="8" w:space="0" w:color="auto"/>
              <w:right w:val="single" w:sz="8" w:space="0" w:color="000000"/>
            </w:tcBorders>
            <w:shd w:val="clear" w:color="000000" w:fill="DDEBF7"/>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C&amp;P CCG</w:t>
            </w:r>
          </w:p>
        </w:tc>
        <w:tc>
          <w:tcPr>
            <w:tcW w:w="1936" w:type="pct"/>
            <w:gridSpan w:val="3"/>
            <w:tcBorders>
              <w:top w:val="single" w:sz="8" w:space="0" w:color="auto"/>
              <w:left w:val="nil"/>
              <w:bottom w:val="single" w:sz="8" w:space="0" w:color="auto"/>
              <w:right w:val="single" w:sz="8" w:space="0" w:color="000000"/>
            </w:tcBorders>
            <w:shd w:val="clear" w:color="000000" w:fill="DDEBF7"/>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England</w:t>
            </w:r>
          </w:p>
        </w:tc>
      </w:tr>
      <w:tr w:rsidR="001F550B" w:rsidRPr="001F550B" w:rsidTr="00E84E26">
        <w:trPr>
          <w:trHeight w:val="690"/>
        </w:trPr>
        <w:tc>
          <w:tcPr>
            <w:tcW w:w="717" w:type="pct"/>
            <w:vMerge/>
            <w:tcBorders>
              <w:top w:val="single" w:sz="8" w:space="0" w:color="auto"/>
              <w:left w:val="single" w:sz="8" w:space="0" w:color="auto"/>
              <w:bottom w:val="single" w:sz="8" w:space="0" w:color="000000"/>
              <w:right w:val="single" w:sz="8" w:space="0" w:color="auto"/>
            </w:tcBorders>
            <w:vAlign w:val="center"/>
            <w:hideMark/>
          </w:tcPr>
          <w:p w:rsidR="001F550B" w:rsidRPr="001722A8" w:rsidRDefault="001F550B" w:rsidP="001F550B">
            <w:pPr>
              <w:spacing w:after="0" w:line="240" w:lineRule="auto"/>
              <w:rPr>
                <w:rFonts w:eastAsia="Times New Roman" w:cs="Times New Roman"/>
                <w:b/>
                <w:bCs/>
                <w:color w:val="000000"/>
                <w:sz w:val="16"/>
                <w:szCs w:val="16"/>
                <w:lang w:eastAsia="en-GB"/>
              </w:rPr>
            </w:pPr>
          </w:p>
        </w:tc>
        <w:tc>
          <w:tcPr>
            <w:tcW w:w="535" w:type="pct"/>
            <w:tcBorders>
              <w:top w:val="nil"/>
              <w:left w:val="nil"/>
              <w:bottom w:val="single" w:sz="8" w:space="0" w:color="auto"/>
              <w:right w:val="single" w:sz="8" w:space="0" w:color="auto"/>
            </w:tcBorders>
            <w:shd w:val="clear" w:color="000000" w:fill="DDEBF7"/>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Completed 2013-14</w:t>
            </w:r>
          </w:p>
        </w:tc>
        <w:tc>
          <w:tcPr>
            <w:tcW w:w="826" w:type="pct"/>
            <w:tcBorders>
              <w:top w:val="nil"/>
              <w:left w:val="nil"/>
              <w:bottom w:val="single" w:sz="8" w:space="0" w:color="auto"/>
              <w:right w:val="single" w:sz="8" w:space="0" w:color="auto"/>
            </w:tcBorders>
            <w:shd w:val="clear" w:color="000000" w:fill="DDEBF7"/>
            <w:noWrap/>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Completed 2014-15</w:t>
            </w:r>
          </w:p>
        </w:tc>
        <w:tc>
          <w:tcPr>
            <w:tcW w:w="985" w:type="pct"/>
            <w:tcBorders>
              <w:top w:val="nil"/>
              <w:left w:val="nil"/>
              <w:bottom w:val="single" w:sz="8" w:space="0" w:color="auto"/>
              <w:right w:val="single" w:sz="8" w:space="0" w:color="auto"/>
            </w:tcBorders>
            <w:shd w:val="clear" w:color="000000" w:fill="DDEBF7"/>
            <w:noWrap/>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Variance 2013-14 / 2014-15</w:t>
            </w:r>
          </w:p>
        </w:tc>
        <w:tc>
          <w:tcPr>
            <w:tcW w:w="650" w:type="pct"/>
            <w:tcBorders>
              <w:top w:val="nil"/>
              <w:left w:val="nil"/>
              <w:bottom w:val="single" w:sz="8" w:space="0" w:color="auto"/>
              <w:right w:val="single" w:sz="8" w:space="0" w:color="auto"/>
            </w:tcBorders>
            <w:shd w:val="clear" w:color="000000" w:fill="DDEBF7"/>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Completed 2013-14</w:t>
            </w:r>
          </w:p>
        </w:tc>
        <w:tc>
          <w:tcPr>
            <w:tcW w:w="767" w:type="pct"/>
            <w:tcBorders>
              <w:top w:val="nil"/>
              <w:left w:val="nil"/>
              <w:bottom w:val="single" w:sz="8" w:space="0" w:color="auto"/>
              <w:right w:val="single" w:sz="8" w:space="0" w:color="auto"/>
            </w:tcBorders>
            <w:shd w:val="clear" w:color="000000" w:fill="DDEBF7"/>
            <w:noWrap/>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Completed 2014-15</w:t>
            </w:r>
          </w:p>
        </w:tc>
        <w:tc>
          <w:tcPr>
            <w:tcW w:w="520" w:type="pct"/>
            <w:tcBorders>
              <w:top w:val="nil"/>
              <w:left w:val="nil"/>
              <w:bottom w:val="single" w:sz="8" w:space="0" w:color="auto"/>
              <w:right w:val="single" w:sz="8" w:space="0" w:color="auto"/>
            </w:tcBorders>
            <w:shd w:val="clear" w:color="000000" w:fill="DDEBF7"/>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Variance 2013-14 / 2014-15</w:t>
            </w:r>
          </w:p>
        </w:tc>
      </w:tr>
      <w:tr w:rsidR="001F550B" w:rsidRPr="001F550B" w:rsidTr="00E84E26">
        <w:trPr>
          <w:trHeight w:val="465"/>
        </w:trPr>
        <w:tc>
          <w:tcPr>
            <w:tcW w:w="717"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HbA1c &lt; 48 mmol/mol</w:t>
            </w:r>
          </w:p>
        </w:tc>
        <w:tc>
          <w:tcPr>
            <w:tcW w:w="535"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9.3</w:t>
            </w:r>
          </w:p>
        </w:tc>
        <w:tc>
          <w:tcPr>
            <w:tcW w:w="82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10.5</w:t>
            </w:r>
          </w:p>
        </w:tc>
        <w:tc>
          <w:tcPr>
            <w:tcW w:w="985"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1.2</w:t>
            </w:r>
          </w:p>
        </w:tc>
        <w:tc>
          <w:tcPr>
            <w:tcW w:w="650"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8.6</w:t>
            </w:r>
          </w:p>
        </w:tc>
        <w:tc>
          <w:tcPr>
            <w:tcW w:w="7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8.9</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0.3</w:t>
            </w:r>
          </w:p>
        </w:tc>
      </w:tr>
      <w:tr w:rsidR="001F550B" w:rsidRPr="001F550B" w:rsidTr="00E84E26">
        <w:trPr>
          <w:trHeight w:val="690"/>
        </w:trPr>
        <w:tc>
          <w:tcPr>
            <w:tcW w:w="717"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HbA1c &lt;= 58 mmol/mol</w:t>
            </w:r>
          </w:p>
        </w:tc>
        <w:tc>
          <w:tcPr>
            <w:tcW w:w="535"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28.6</w:t>
            </w:r>
          </w:p>
        </w:tc>
        <w:tc>
          <w:tcPr>
            <w:tcW w:w="82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30.3</w:t>
            </w:r>
          </w:p>
        </w:tc>
        <w:tc>
          <w:tcPr>
            <w:tcW w:w="985"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1.7</w:t>
            </w:r>
          </w:p>
        </w:tc>
        <w:tc>
          <w:tcPr>
            <w:tcW w:w="650"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30.0</w:t>
            </w:r>
          </w:p>
        </w:tc>
        <w:tc>
          <w:tcPr>
            <w:tcW w:w="7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30.5</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0.5</w:t>
            </w:r>
          </w:p>
        </w:tc>
      </w:tr>
      <w:tr w:rsidR="001F550B" w:rsidRPr="001F550B" w:rsidTr="00E84E26">
        <w:trPr>
          <w:trHeight w:val="690"/>
        </w:trPr>
        <w:tc>
          <w:tcPr>
            <w:tcW w:w="717"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HbA1c &lt;= 86 mmol/mol</w:t>
            </w:r>
          </w:p>
        </w:tc>
        <w:tc>
          <w:tcPr>
            <w:tcW w:w="535"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85.0</w:t>
            </w:r>
          </w:p>
        </w:tc>
        <w:tc>
          <w:tcPr>
            <w:tcW w:w="82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85.8</w:t>
            </w:r>
          </w:p>
        </w:tc>
        <w:tc>
          <w:tcPr>
            <w:tcW w:w="985"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0.8</w:t>
            </w:r>
          </w:p>
        </w:tc>
        <w:tc>
          <w:tcPr>
            <w:tcW w:w="650"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85.0</w:t>
            </w:r>
          </w:p>
        </w:tc>
        <w:tc>
          <w:tcPr>
            <w:tcW w:w="7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84.7</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9C0006"/>
                <w:sz w:val="16"/>
                <w:szCs w:val="16"/>
                <w:lang w:eastAsia="en-GB"/>
              </w:rPr>
            </w:pPr>
            <w:r w:rsidRPr="001722A8">
              <w:rPr>
                <w:rFonts w:eastAsia="Times New Roman" w:cs="Times New Roman"/>
                <w:color w:val="9C0006"/>
                <w:sz w:val="16"/>
                <w:szCs w:val="16"/>
                <w:lang w:eastAsia="en-GB"/>
              </w:rPr>
              <w:t>-0.3</w:t>
            </w:r>
          </w:p>
        </w:tc>
      </w:tr>
      <w:tr w:rsidR="001F550B" w:rsidRPr="001F550B" w:rsidTr="00E84E26">
        <w:trPr>
          <w:trHeight w:val="690"/>
        </w:trPr>
        <w:tc>
          <w:tcPr>
            <w:tcW w:w="717"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Blood pressure &lt;= 140/80</w:t>
            </w:r>
          </w:p>
        </w:tc>
        <w:tc>
          <w:tcPr>
            <w:tcW w:w="535"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72.6</w:t>
            </w:r>
          </w:p>
        </w:tc>
        <w:tc>
          <w:tcPr>
            <w:tcW w:w="82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76.1</w:t>
            </w:r>
          </w:p>
        </w:tc>
        <w:tc>
          <w:tcPr>
            <w:tcW w:w="985"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3.5</w:t>
            </w:r>
          </w:p>
        </w:tc>
        <w:tc>
          <w:tcPr>
            <w:tcW w:w="650"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76.3</w:t>
            </w:r>
          </w:p>
        </w:tc>
        <w:tc>
          <w:tcPr>
            <w:tcW w:w="7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76.5</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0.2</w:t>
            </w:r>
          </w:p>
        </w:tc>
      </w:tr>
      <w:tr w:rsidR="001F550B" w:rsidRPr="001F550B" w:rsidTr="00E84E26">
        <w:trPr>
          <w:trHeight w:val="465"/>
        </w:trPr>
        <w:tc>
          <w:tcPr>
            <w:tcW w:w="717"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Cholesterol &lt; 4 mmol/L</w:t>
            </w:r>
          </w:p>
        </w:tc>
        <w:tc>
          <w:tcPr>
            <w:tcW w:w="535"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27.4</w:t>
            </w:r>
          </w:p>
        </w:tc>
        <w:tc>
          <w:tcPr>
            <w:tcW w:w="82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29.2</w:t>
            </w:r>
          </w:p>
        </w:tc>
        <w:tc>
          <w:tcPr>
            <w:tcW w:w="985"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1.8</w:t>
            </w:r>
          </w:p>
        </w:tc>
        <w:tc>
          <w:tcPr>
            <w:tcW w:w="650"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30.1</w:t>
            </w:r>
          </w:p>
        </w:tc>
        <w:tc>
          <w:tcPr>
            <w:tcW w:w="7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30.1</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0.0</w:t>
            </w:r>
          </w:p>
        </w:tc>
      </w:tr>
      <w:tr w:rsidR="001F550B" w:rsidRPr="001F550B" w:rsidTr="00E84E26">
        <w:trPr>
          <w:trHeight w:val="690"/>
        </w:trPr>
        <w:tc>
          <w:tcPr>
            <w:tcW w:w="717"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Cholesterol &lt; 5 mmol/L</w:t>
            </w:r>
          </w:p>
        </w:tc>
        <w:tc>
          <w:tcPr>
            <w:tcW w:w="535"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69.2</w:t>
            </w:r>
          </w:p>
        </w:tc>
        <w:tc>
          <w:tcPr>
            <w:tcW w:w="82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72.2</w:t>
            </w:r>
          </w:p>
        </w:tc>
        <w:tc>
          <w:tcPr>
            <w:tcW w:w="985"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3.0</w:t>
            </w:r>
          </w:p>
        </w:tc>
        <w:tc>
          <w:tcPr>
            <w:tcW w:w="650"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71.6</w:t>
            </w:r>
          </w:p>
        </w:tc>
        <w:tc>
          <w:tcPr>
            <w:tcW w:w="7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71.4</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9C0006"/>
                <w:sz w:val="16"/>
                <w:szCs w:val="16"/>
                <w:lang w:eastAsia="en-GB"/>
              </w:rPr>
            </w:pPr>
            <w:r w:rsidRPr="001722A8">
              <w:rPr>
                <w:rFonts w:eastAsia="Times New Roman" w:cs="Times New Roman"/>
                <w:color w:val="9C0006"/>
                <w:sz w:val="16"/>
                <w:szCs w:val="16"/>
                <w:lang w:eastAsia="en-GB"/>
              </w:rPr>
              <w:t>-0.2</w:t>
            </w:r>
          </w:p>
        </w:tc>
      </w:tr>
      <w:tr w:rsidR="001F550B" w:rsidRPr="001F550B" w:rsidTr="00E84E26">
        <w:trPr>
          <w:trHeight w:val="645"/>
        </w:trPr>
        <w:tc>
          <w:tcPr>
            <w:tcW w:w="717"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All Three Treatment Targets</w:t>
            </w:r>
          </w:p>
        </w:tc>
        <w:tc>
          <w:tcPr>
            <w:tcW w:w="535"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16.1</w:t>
            </w:r>
          </w:p>
        </w:tc>
        <w:tc>
          <w:tcPr>
            <w:tcW w:w="82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17.9</w:t>
            </w:r>
          </w:p>
        </w:tc>
        <w:tc>
          <w:tcPr>
            <w:tcW w:w="985"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1.8</w:t>
            </w:r>
          </w:p>
        </w:tc>
        <w:tc>
          <w:tcPr>
            <w:tcW w:w="650"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18.9</w:t>
            </w:r>
          </w:p>
        </w:tc>
        <w:tc>
          <w:tcPr>
            <w:tcW w:w="7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19.3</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spacing w:after="0" w:line="240" w:lineRule="auto"/>
              <w:jc w:val="center"/>
              <w:rPr>
                <w:rFonts w:eastAsia="Times New Roman" w:cs="Times New Roman"/>
                <w:color w:val="548235"/>
                <w:sz w:val="16"/>
                <w:szCs w:val="16"/>
                <w:lang w:eastAsia="en-GB"/>
              </w:rPr>
            </w:pPr>
            <w:r w:rsidRPr="001722A8">
              <w:rPr>
                <w:rFonts w:eastAsia="Times New Roman" w:cs="Times New Roman"/>
                <w:color w:val="548235"/>
                <w:sz w:val="16"/>
                <w:szCs w:val="16"/>
                <w:lang w:eastAsia="en-GB"/>
              </w:rPr>
              <w:t>0.4</w:t>
            </w:r>
          </w:p>
        </w:tc>
      </w:tr>
    </w:tbl>
    <w:p w:rsidR="00A37CA5" w:rsidRDefault="00A37CA5"/>
    <w:p w:rsidR="00A644F6" w:rsidRDefault="00A644F6">
      <w:r>
        <w:t>Banding is not provided for treatment target achievement as it was deemed inappropriate when investigated as part of the NDA. The statistical models used, which take in to account characteristics including age, sex, ethnicity, Indices of Multiple Deprivation (IMD), smoking status and Body Mass Index did not predict with sufficient certainty whether an individual was likely to achieve the treatment target. According, it is considered likely that achievement of treatment targets is largely driven by factors other than the patient characteristics captured in the ND</w:t>
      </w:r>
      <w:r w:rsidR="001F550B">
        <w:t xml:space="preserve">A. </w:t>
      </w:r>
      <w:r>
        <w:t xml:space="preserve"> </w:t>
      </w:r>
    </w:p>
    <w:p w:rsidR="00746166" w:rsidRDefault="00746166">
      <w:r>
        <w:t xml:space="preserve">The table above provides percentages completed for both the CCG and England and shows the CCG to have a lower completion percentage for all three treatment targets than England (17.9% compared to 19.3%). However, the CCG does have a higher completion percentage for HbA1c &lt; 48 mmol/mol, HbA1c  &lt;= 86 </w:t>
      </w:r>
      <w:r w:rsidR="00B41822">
        <w:t>and cholesterol &lt; 5 mmol/L.</w:t>
      </w:r>
      <w:r w:rsidR="001F550B">
        <w:t xml:space="preserve"> The CCG has also seen a rise in completion percentage of all treatment target indicators between 2013/14 and 2014/15 and an increase in completion of all three treatment targets of 1.8% compared to an increase of 0.4% nationally, suggesting the meeting of completion treatment targets is improving faster within the CCG than nationally. </w:t>
      </w:r>
      <w:r w:rsidR="00B41822">
        <w:t xml:space="preserve"> </w:t>
      </w:r>
    </w:p>
    <w:p w:rsidR="001F550B" w:rsidRDefault="001F550B"/>
    <w:p w:rsidR="001F550B" w:rsidRDefault="001F550B"/>
    <w:p w:rsidR="001F550B" w:rsidRDefault="001F550B"/>
    <w:p w:rsidR="001F550B" w:rsidRDefault="001F550B"/>
    <w:p w:rsidR="001F550B" w:rsidRDefault="001F550B"/>
    <w:p w:rsidR="00B41822" w:rsidRDefault="00B41822"/>
    <w:p w:rsidR="001F550B" w:rsidRDefault="001F550B" w:rsidP="001F550B">
      <w:pPr>
        <w:rPr>
          <w:b/>
        </w:rPr>
      </w:pPr>
      <w:r w:rsidRPr="00B57FEB">
        <w:rPr>
          <w:b/>
        </w:rPr>
        <w:lastRenderedPageBreak/>
        <w:t xml:space="preserve">Figure </w:t>
      </w:r>
      <w:r w:rsidR="00C54CDB">
        <w:rPr>
          <w:b/>
        </w:rPr>
        <w:t>32</w:t>
      </w:r>
      <w:r w:rsidRPr="00B57FEB">
        <w:rPr>
          <w:b/>
        </w:rPr>
        <w:t>: National Diabetes Audit</w:t>
      </w:r>
      <w:r>
        <w:rPr>
          <w:b/>
        </w:rPr>
        <w:t xml:space="preserve"> 2013-14 /</w:t>
      </w:r>
      <w:r w:rsidRPr="00B57FEB">
        <w:rPr>
          <w:b/>
        </w:rPr>
        <w:t xml:space="preserve"> 2014-15, </w:t>
      </w:r>
      <w:r>
        <w:rPr>
          <w:b/>
        </w:rPr>
        <w:t>Treatment target achievement for people with type 2 diabetes</w:t>
      </w:r>
    </w:p>
    <w:tbl>
      <w:tblPr>
        <w:tblW w:w="5000" w:type="pct"/>
        <w:tblLayout w:type="fixed"/>
        <w:tblLook w:val="04A0" w:firstRow="1" w:lastRow="0" w:firstColumn="1" w:lastColumn="0" w:noHBand="0" w:noVBand="1"/>
      </w:tblPr>
      <w:tblGrid>
        <w:gridCol w:w="1151"/>
        <w:gridCol w:w="1086"/>
        <w:gridCol w:w="1603"/>
        <w:gridCol w:w="1823"/>
        <w:gridCol w:w="1198"/>
        <w:gridCol w:w="1420"/>
        <w:gridCol w:w="961"/>
      </w:tblGrid>
      <w:tr w:rsidR="001F550B" w:rsidRPr="001F550B" w:rsidTr="00E84E26">
        <w:trPr>
          <w:trHeight w:val="315"/>
        </w:trPr>
        <w:tc>
          <w:tcPr>
            <w:tcW w:w="623" w:type="pct"/>
            <w:vMerge w:val="restart"/>
            <w:tcBorders>
              <w:top w:val="single" w:sz="8" w:space="0" w:color="auto"/>
              <w:left w:val="single" w:sz="8" w:space="0" w:color="auto"/>
              <w:bottom w:val="single" w:sz="8" w:space="0" w:color="000000"/>
              <w:right w:val="single" w:sz="8" w:space="0" w:color="auto"/>
            </w:tcBorders>
            <w:shd w:val="clear" w:color="000000" w:fill="DDEBF7"/>
            <w:noWrap/>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Treatment Target</w:t>
            </w:r>
          </w:p>
        </w:tc>
        <w:tc>
          <w:tcPr>
            <w:tcW w:w="2441" w:type="pct"/>
            <w:gridSpan w:val="3"/>
            <w:tcBorders>
              <w:top w:val="single" w:sz="8" w:space="0" w:color="auto"/>
              <w:left w:val="nil"/>
              <w:bottom w:val="single" w:sz="8" w:space="0" w:color="auto"/>
              <w:right w:val="single" w:sz="8" w:space="0" w:color="000000"/>
            </w:tcBorders>
            <w:shd w:val="clear" w:color="000000" w:fill="DDEBF7"/>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C&amp;P CCG</w:t>
            </w:r>
          </w:p>
        </w:tc>
        <w:tc>
          <w:tcPr>
            <w:tcW w:w="1936" w:type="pct"/>
            <w:gridSpan w:val="3"/>
            <w:tcBorders>
              <w:top w:val="single" w:sz="8" w:space="0" w:color="auto"/>
              <w:left w:val="nil"/>
              <w:bottom w:val="single" w:sz="8" w:space="0" w:color="auto"/>
              <w:right w:val="single" w:sz="8" w:space="0" w:color="000000"/>
            </w:tcBorders>
            <w:shd w:val="clear" w:color="000000" w:fill="DDEBF7"/>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England</w:t>
            </w:r>
          </w:p>
        </w:tc>
      </w:tr>
      <w:tr w:rsidR="001F550B" w:rsidRPr="001F550B" w:rsidTr="00E84E26">
        <w:trPr>
          <w:trHeight w:val="690"/>
        </w:trPr>
        <w:tc>
          <w:tcPr>
            <w:tcW w:w="623" w:type="pct"/>
            <w:vMerge/>
            <w:tcBorders>
              <w:top w:val="single" w:sz="8" w:space="0" w:color="auto"/>
              <w:left w:val="single" w:sz="8" w:space="0" w:color="auto"/>
              <w:bottom w:val="single" w:sz="8" w:space="0" w:color="000000"/>
              <w:right w:val="single" w:sz="8" w:space="0" w:color="auto"/>
            </w:tcBorders>
            <w:vAlign w:val="center"/>
            <w:hideMark/>
          </w:tcPr>
          <w:p w:rsidR="001F550B" w:rsidRPr="001722A8" w:rsidRDefault="001F550B" w:rsidP="001C7291">
            <w:pPr>
              <w:spacing w:after="0" w:line="240" w:lineRule="auto"/>
              <w:rPr>
                <w:rFonts w:eastAsia="Times New Roman" w:cs="Times New Roman"/>
                <w:b/>
                <w:bCs/>
                <w:color w:val="000000"/>
                <w:sz w:val="16"/>
                <w:szCs w:val="16"/>
                <w:lang w:eastAsia="en-GB"/>
              </w:rPr>
            </w:pPr>
          </w:p>
        </w:tc>
        <w:tc>
          <w:tcPr>
            <w:tcW w:w="588" w:type="pct"/>
            <w:tcBorders>
              <w:top w:val="nil"/>
              <w:left w:val="nil"/>
              <w:bottom w:val="single" w:sz="8" w:space="0" w:color="auto"/>
              <w:right w:val="single" w:sz="8" w:space="0" w:color="auto"/>
            </w:tcBorders>
            <w:shd w:val="clear" w:color="000000" w:fill="DDEBF7"/>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Completed 2013-14</w:t>
            </w:r>
          </w:p>
        </w:tc>
        <w:tc>
          <w:tcPr>
            <w:tcW w:w="867" w:type="pct"/>
            <w:tcBorders>
              <w:top w:val="nil"/>
              <w:left w:val="nil"/>
              <w:bottom w:val="single" w:sz="8" w:space="0" w:color="auto"/>
              <w:right w:val="single" w:sz="8" w:space="0" w:color="auto"/>
            </w:tcBorders>
            <w:shd w:val="clear" w:color="000000" w:fill="DDEBF7"/>
            <w:noWrap/>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Completed 2014-15</w:t>
            </w:r>
          </w:p>
        </w:tc>
        <w:tc>
          <w:tcPr>
            <w:tcW w:w="986" w:type="pct"/>
            <w:tcBorders>
              <w:top w:val="nil"/>
              <w:left w:val="nil"/>
              <w:bottom w:val="single" w:sz="8" w:space="0" w:color="auto"/>
              <w:right w:val="single" w:sz="8" w:space="0" w:color="auto"/>
            </w:tcBorders>
            <w:shd w:val="clear" w:color="000000" w:fill="DDEBF7"/>
            <w:noWrap/>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Variance 2013-14 / 2014-15</w:t>
            </w:r>
          </w:p>
        </w:tc>
        <w:tc>
          <w:tcPr>
            <w:tcW w:w="648" w:type="pct"/>
            <w:tcBorders>
              <w:top w:val="nil"/>
              <w:left w:val="nil"/>
              <w:bottom w:val="single" w:sz="8" w:space="0" w:color="auto"/>
              <w:right w:val="single" w:sz="8" w:space="0" w:color="auto"/>
            </w:tcBorders>
            <w:shd w:val="clear" w:color="000000" w:fill="DDEBF7"/>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Completed 2013-14</w:t>
            </w:r>
          </w:p>
        </w:tc>
        <w:tc>
          <w:tcPr>
            <w:tcW w:w="768" w:type="pct"/>
            <w:tcBorders>
              <w:top w:val="nil"/>
              <w:left w:val="nil"/>
              <w:bottom w:val="single" w:sz="8" w:space="0" w:color="auto"/>
              <w:right w:val="single" w:sz="8" w:space="0" w:color="auto"/>
            </w:tcBorders>
            <w:shd w:val="clear" w:color="000000" w:fill="DDEBF7"/>
            <w:noWrap/>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Completed 2014-15</w:t>
            </w:r>
          </w:p>
        </w:tc>
        <w:tc>
          <w:tcPr>
            <w:tcW w:w="520" w:type="pct"/>
            <w:tcBorders>
              <w:top w:val="nil"/>
              <w:left w:val="nil"/>
              <w:bottom w:val="single" w:sz="8" w:space="0" w:color="auto"/>
              <w:right w:val="single" w:sz="8" w:space="0" w:color="auto"/>
            </w:tcBorders>
            <w:shd w:val="clear" w:color="000000" w:fill="DDEBF7"/>
            <w:vAlign w:val="center"/>
            <w:hideMark/>
          </w:tcPr>
          <w:p w:rsidR="001F550B" w:rsidRPr="001722A8" w:rsidRDefault="001F550B" w:rsidP="001C7291">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 Variance 2013-14 / 2014-15</w:t>
            </w:r>
          </w:p>
        </w:tc>
      </w:tr>
      <w:tr w:rsidR="001F550B" w:rsidRPr="001F550B" w:rsidTr="00E84E26">
        <w:trPr>
          <w:trHeight w:val="465"/>
        </w:trPr>
        <w:tc>
          <w:tcPr>
            <w:tcW w:w="623"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HbA1c &lt; 48 mmol/mol</w:t>
            </w:r>
          </w:p>
        </w:tc>
        <w:tc>
          <w:tcPr>
            <w:tcW w:w="58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22.7</w:t>
            </w:r>
          </w:p>
        </w:tc>
        <w:tc>
          <w:tcPr>
            <w:tcW w:w="8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24.9</w:t>
            </w:r>
          </w:p>
        </w:tc>
        <w:tc>
          <w:tcPr>
            <w:tcW w:w="98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2.2</w:t>
            </w:r>
          </w:p>
        </w:tc>
        <w:tc>
          <w:tcPr>
            <w:tcW w:w="64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29.3</w:t>
            </w:r>
          </w:p>
        </w:tc>
        <w:tc>
          <w:tcPr>
            <w:tcW w:w="768"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29.5</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0.2</w:t>
            </w:r>
          </w:p>
        </w:tc>
      </w:tr>
      <w:tr w:rsidR="001F550B" w:rsidRPr="001F550B" w:rsidTr="00E84E26">
        <w:trPr>
          <w:trHeight w:val="690"/>
        </w:trPr>
        <w:tc>
          <w:tcPr>
            <w:tcW w:w="623"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HbA1c &lt;= 58 mmol/mol</w:t>
            </w:r>
          </w:p>
        </w:tc>
        <w:tc>
          <w:tcPr>
            <w:tcW w:w="58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61.1</w:t>
            </w:r>
          </w:p>
        </w:tc>
        <w:tc>
          <w:tcPr>
            <w:tcW w:w="8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62.2</w:t>
            </w:r>
          </w:p>
        </w:tc>
        <w:tc>
          <w:tcPr>
            <w:tcW w:w="98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1.1</w:t>
            </w:r>
          </w:p>
        </w:tc>
        <w:tc>
          <w:tcPr>
            <w:tcW w:w="64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67.1</w:t>
            </w:r>
          </w:p>
        </w:tc>
        <w:tc>
          <w:tcPr>
            <w:tcW w:w="768"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66.5</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9C0006"/>
                <w:sz w:val="16"/>
                <w:szCs w:val="16"/>
              </w:rPr>
            </w:pPr>
            <w:r w:rsidRPr="001722A8">
              <w:rPr>
                <w:color w:val="9C0006"/>
                <w:sz w:val="16"/>
                <w:szCs w:val="16"/>
              </w:rPr>
              <w:t>-0.6</w:t>
            </w:r>
          </w:p>
        </w:tc>
      </w:tr>
      <w:tr w:rsidR="001F550B" w:rsidRPr="001F550B" w:rsidTr="00E84E26">
        <w:trPr>
          <w:trHeight w:val="690"/>
        </w:trPr>
        <w:tc>
          <w:tcPr>
            <w:tcW w:w="623"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HbA1c &lt;= 86 mmol/mol</w:t>
            </w:r>
          </w:p>
        </w:tc>
        <w:tc>
          <w:tcPr>
            <w:tcW w:w="58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93.5</w:t>
            </w:r>
          </w:p>
        </w:tc>
        <w:tc>
          <w:tcPr>
            <w:tcW w:w="8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93.4</w:t>
            </w:r>
          </w:p>
        </w:tc>
        <w:tc>
          <w:tcPr>
            <w:tcW w:w="98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9C0006"/>
                <w:sz w:val="16"/>
                <w:szCs w:val="16"/>
              </w:rPr>
            </w:pPr>
            <w:r w:rsidRPr="001722A8">
              <w:rPr>
                <w:color w:val="9C0006"/>
                <w:sz w:val="16"/>
                <w:szCs w:val="16"/>
              </w:rPr>
              <w:t>-0.1</w:t>
            </w:r>
          </w:p>
        </w:tc>
        <w:tc>
          <w:tcPr>
            <w:tcW w:w="64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93.8</w:t>
            </w:r>
          </w:p>
        </w:tc>
        <w:tc>
          <w:tcPr>
            <w:tcW w:w="768"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93.5</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9C0006"/>
                <w:sz w:val="16"/>
                <w:szCs w:val="16"/>
              </w:rPr>
            </w:pPr>
            <w:r w:rsidRPr="001722A8">
              <w:rPr>
                <w:color w:val="9C0006"/>
                <w:sz w:val="16"/>
                <w:szCs w:val="16"/>
              </w:rPr>
              <w:t>-0.3</w:t>
            </w:r>
          </w:p>
        </w:tc>
      </w:tr>
      <w:tr w:rsidR="001F550B" w:rsidRPr="001F550B" w:rsidTr="00E84E26">
        <w:trPr>
          <w:trHeight w:val="690"/>
        </w:trPr>
        <w:tc>
          <w:tcPr>
            <w:tcW w:w="623"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Blood pressure &lt;= 140/80</w:t>
            </w:r>
          </w:p>
        </w:tc>
        <w:tc>
          <w:tcPr>
            <w:tcW w:w="58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68.2</w:t>
            </w:r>
          </w:p>
        </w:tc>
        <w:tc>
          <w:tcPr>
            <w:tcW w:w="8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69.9</w:t>
            </w:r>
          </w:p>
        </w:tc>
        <w:tc>
          <w:tcPr>
            <w:tcW w:w="98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1.7</w:t>
            </w:r>
          </w:p>
        </w:tc>
        <w:tc>
          <w:tcPr>
            <w:tcW w:w="64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73.5</w:t>
            </w:r>
          </w:p>
        </w:tc>
        <w:tc>
          <w:tcPr>
            <w:tcW w:w="768"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74.3</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0.8</w:t>
            </w:r>
          </w:p>
        </w:tc>
      </w:tr>
      <w:tr w:rsidR="001F550B" w:rsidRPr="001F550B" w:rsidTr="00E84E26">
        <w:trPr>
          <w:trHeight w:val="465"/>
        </w:trPr>
        <w:tc>
          <w:tcPr>
            <w:tcW w:w="623"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Cholesterol &lt; 4 mmol/L</w:t>
            </w:r>
          </w:p>
        </w:tc>
        <w:tc>
          <w:tcPr>
            <w:tcW w:w="58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40.5</w:t>
            </w:r>
          </w:p>
        </w:tc>
        <w:tc>
          <w:tcPr>
            <w:tcW w:w="8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41.3</w:t>
            </w:r>
          </w:p>
        </w:tc>
        <w:tc>
          <w:tcPr>
            <w:tcW w:w="98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0.8</w:t>
            </w:r>
          </w:p>
        </w:tc>
        <w:tc>
          <w:tcPr>
            <w:tcW w:w="64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42.0</w:t>
            </w:r>
          </w:p>
        </w:tc>
        <w:tc>
          <w:tcPr>
            <w:tcW w:w="768"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42.2</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0.2</w:t>
            </w:r>
          </w:p>
        </w:tc>
      </w:tr>
      <w:tr w:rsidR="001F550B" w:rsidRPr="001F550B" w:rsidTr="00E84E26">
        <w:trPr>
          <w:trHeight w:val="690"/>
        </w:trPr>
        <w:tc>
          <w:tcPr>
            <w:tcW w:w="623"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color w:val="000000"/>
                <w:sz w:val="16"/>
                <w:szCs w:val="16"/>
                <w:lang w:eastAsia="en-GB"/>
              </w:rPr>
            </w:pPr>
            <w:r w:rsidRPr="001722A8">
              <w:rPr>
                <w:rFonts w:eastAsia="Times New Roman" w:cs="Times New Roman"/>
                <w:color w:val="000000"/>
                <w:sz w:val="16"/>
                <w:szCs w:val="16"/>
                <w:lang w:eastAsia="en-GB"/>
              </w:rPr>
              <w:t>Cholesterol &lt; 5 mmol/L</w:t>
            </w:r>
          </w:p>
        </w:tc>
        <w:tc>
          <w:tcPr>
            <w:tcW w:w="58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76.2</w:t>
            </w:r>
          </w:p>
        </w:tc>
        <w:tc>
          <w:tcPr>
            <w:tcW w:w="8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77.3</w:t>
            </w:r>
          </w:p>
        </w:tc>
        <w:tc>
          <w:tcPr>
            <w:tcW w:w="98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1.1</w:t>
            </w:r>
          </w:p>
        </w:tc>
        <w:tc>
          <w:tcPr>
            <w:tcW w:w="64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77.9</w:t>
            </w:r>
          </w:p>
        </w:tc>
        <w:tc>
          <w:tcPr>
            <w:tcW w:w="768"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000000"/>
                <w:sz w:val="16"/>
                <w:szCs w:val="16"/>
              </w:rPr>
            </w:pPr>
            <w:r w:rsidRPr="001722A8">
              <w:rPr>
                <w:color w:val="000000"/>
                <w:sz w:val="16"/>
                <w:szCs w:val="16"/>
              </w:rPr>
              <w:t>77.6</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9C0006"/>
                <w:sz w:val="16"/>
                <w:szCs w:val="16"/>
              </w:rPr>
            </w:pPr>
            <w:r w:rsidRPr="001722A8">
              <w:rPr>
                <w:color w:val="9C0006"/>
                <w:sz w:val="16"/>
                <w:szCs w:val="16"/>
              </w:rPr>
              <w:t>-0.3</w:t>
            </w:r>
          </w:p>
        </w:tc>
      </w:tr>
      <w:tr w:rsidR="001F550B" w:rsidRPr="001F550B" w:rsidTr="00E84E26">
        <w:trPr>
          <w:trHeight w:val="645"/>
        </w:trPr>
        <w:tc>
          <w:tcPr>
            <w:tcW w:w="623" w:type="pct"/>
            <w:tcBorders>
              <w:top w:val="nil"/>
              <w:left w:val="single" w:sz="8" w:space="0" w:color="auto"/>
              <w:bottom w:val="single" w:sz="8" w:space="0" w:color="auto"/>
              <w:right w:val="single" w:sz="8" w:space="0" w:color="auto"/>
            </w:tcBorders>
            <w:shd w:val="clear" w:color="000000" w:fill="FFFFFF"/>
            <w:vAlign w:val="center"/>
            <w:hideMark/>
          </w:tcPr>
          <w:p w:rsidR="001F550B" w:rsidRPr="001722A8" w:rsidRDefault="001F550B" w:rsidP="001F550B">
            <w:pPr>
              <w:spacing w:after="0" w:line="240" w:lineRule="auto"/>
              <w:jc w:val="center"/>
              <w:rPr>
                <w:rFonts w:eastAsia="Times New Roman" w:cs="Times New Roman"/>
                <w:b/>
                <w:bCs/>
                <w:color w:val="000000"/>
                <w:sz w:val="16"/>
                <w:szCs w:val="16"/>
                <w:lang w:eastAsia="en-GB"/>
              </w:rPr>
            </w:pPr>
            <w:r w:rsidRPr="001722A8">
              <w:rPr>
                <w:rFonts w:eastAsia="Times New Roman" w:cs="Times New Roman"/>
                <w:b/>
                <w:bCs/>
                <w:color w:val="000000"/>
                <w:sz w:val="16"/>
                <w:szCs w:val="16"/>
                <w:lang w:eastAsia="en-GB"/>
              </w:rPr>
              <w:t>All Three Treatment Targets</w:t>
            </w:r>
          </w:p>
        </w:tc>
        <w:tc>
          <w:tcPr>
            <w:tcW w:w="58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34.5</w:t>
            </w:r>
          </w:p>
        </w:tc>
        <w:tc>
          <w:tcPr>
            <w:tcW w:w="867"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b/>
                <w:bCs/>
                <w:color w:val="000000"/>
                <w:sz w:val="16"/>
                <w:szCs w:val="16"/>
              </w:rPr>
            </w:pPr>
            <w:r w:rsidRPr="001722A8">
              <w:rPr>
                <w:b/>
                <w:bCs/>
                <w:color w:val="000000"/>
                <w:sz w:val="16"/>
                <w:szCs w:val="16"/>
              </w:rPr>
              <w:t>36.2</w:t>
            </w:r>
          </w:p>
        </w:tc>
        <w:tc>
          <w:tcPr>
            <w:tcW w:w="986"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548235"/>
                <w:sz w:val="16"/>
                <w:szCs w:val="16"/>
              </w:rPr>
            </w:pPr>
            <w:r w:rsidRPr="001722A8">
              <w:rPr>
                <w:color w:val="548235"/>
                <w:sz w:val="16"/>
                <w:szCs w:val="16"/>
              </w:rPr>
              <w:t>1.7</w:t>
            </w:r>
          </w:p>
        </w:tc>
        <w:tc>
          <w:tcPr>
            <w:tcW w:w="648" w:type="pct"/>
            <w:tcBorders>
              <w:top w:val="nil"/>
              <w:left w:val="nil"/>
              <w:bottom w:val="single" w:sz="8" w:space="0" w:color="auto"/>
              <w:right w:val="single" w:sz="8" w:space="0" w:color="auto"/>
            </w:tcBorders>
            <w:shd w:val="clear" w:color="auto" w:fill="auto"/>
            <w:vAlign w:val="center"/>
            <w:hideMark/>
          </w:tcPr>
          <w:p w:rsidR="001F550B" w:rsidRPr="001722A8" w:rsidRDefault="001F550B" w:rsidP="001F550B">
            <w:pPr>
              <w:jc w:val="center"/>
              <w:rPr>
                <w:color w:val="000000"/>
                <w:sz w:val="16"/>
                <w:szCs w:val="16"/>
              </w:rPr>
            </w:pPr>
            <w:r w:rsidRPr="001722A8">
              <w:rPr>
                <w:color w:val="000000"/>
                <w:sz w:val="16"/>
                <w:szCs w:val="16"/>
              </w:rPr>
              <w:t>41.5</w:t>
            </w:r>
          </w:p>
        </w:tc>
        <w:tc>
          <w:tcPr>
            <w:tcW w:w="768"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b/>
                <w:bCs/>
                <w:color w:val="000000"/>
                <w:sz w:val="16"/>
                <w:szCs w:val="16"/>
              </w:rPr>
            </w:pPr>
            <w:r w:rsidRPr="001722A8">
              <w:rPr>
                <w:b/>
                <w:bCs/>
                <w:color w:val="000000"/>
                <w:sz w:val="16"/>
                <w:szCs w:val="16"/>
              </w:rPr>
              <w:t>41.3</w:t>
            </w:r>
          </w:p>
        </w:tc>
        <w:tc>
          <w:tcPr>
            <w:tcW w:w="520" w:type="pct"/>
            <w:tcBorders>
              <w:top w:val="nil"/>
              <w:left w:val="nil"/>
              <w:bottom w:val="single" w:sz="8" w:space="0" w:color="auto"/>
              <w:right w:val="single" w:sz="8" w:space="0" w:color="auto"/>
            </w:tcBorders>
            <w:shd w:val="clear" w:color="auto" w:fill="auto"/>
            <w:noWrap/>
            <w:vAlign w:val="center"/>
            <w:hideMark/>
          </w:tcPr>
          <w:p w:rsidR="001F550B" w:rsidRPr="001722A8" w:rsidRDefault="001F550B" w:rsidP="001F550B">
            <w:pPr>
              <w:jc w:val="center"/>
              <w:rPr>
                <w:color w:val="9C0006"/>
                <w:sz w:val="16"/>
                <w:szCs w:val="16"/>
              </w:rPr>
            </w:pPr>
            <w:r w:rsidRPr="001722A8">
              <w:rPr>
                <w:color w:val="9C0006"/>
                <w:sz w:val="16"/>
                <w:szCs w:val="16"/>
              </w:rPr>
              <w:t>-0.2</w:t>
            </w:r>
          </w:p>
        </w:tc>
      </w:tr>
    </w:tbl>
    <w:p w:rsidR="001F550B" w:rsidRDefault="001F550B"/>
    <w:p w:rsidR="00B41822" w:rsidRDefault="00B41822">
      <w:r>
        <w:t>C&amp;P CCG has a completion percentage for all three treatment targets of 36.2%, lower than the England percentage of 41.3%. The CCG has a lower completion percentage than England for each of the six individual target indicators within the table above</w:t>
      </w:r>
      <w:r w:rsidR="001F550B">
        <w:t>, however completion percentages have increased for five of six individual measures in 2014/15 compared to 2013/14</w:t>
      </w:r>
      <w:r>
        <w:t xml:space="preserve">. </w:t>
      </w:r>
    </w:p>
    <w:p w:rsidR="00A60376" w:rsidRDefault="00A60376">
      <w:r>
        <w:br w:type="page"/>
      </w:r>
    </w:p>
    <w:p w:rsidR="00A60376" w:rsidRPr="00A60376" w:rsidRDefault="00A60376" w:rsidP="00A60376">
      <w:pPr>
        <w:spacing w:after="0" w:line="240" w:lineRule="auto"/>
        <w:rPr>
          <w:b/>
        </w:rPr>
      </w:pPr>
      <w:r w:rsidRPr="00A60376">
        <w:rPr>
          <w:b/>
        </w:rPr>
        <w:lastRenderedPageBreak/>
        <w:t>Further sources of diabetes information.</w:t>
      </w:r>
    </w:p>
    <w:p w:rsidR="0072516B" w:rsidRDefault="00E12343" w:rsidP="00A60376">
      <w:pPr>
        <w:spacing w:after="0" w:line="240" w:lineRule="auto"/>
      </w:pPr>
      <w:r>
        <w:t>Further data that may be of use in relation to diabetes within Cambridgeshire &amp; Peterborough CCG and associated localities are available via the links</w:t>
      </w:r>
      <w:r w:rsidR="00A60376">
        <w:t xml:space="preserve"> below</w:t>
      </w:r>
      <w:r>
        <w:t>:</w:t>
      </w:r>
    </w:p>
    <w:p w:rsidR="00A60376" w:rsidRDefault="00A60376" w:rsidP="00A60376">
      <w:pPr>
        <w:spacing w:after="0" w:line="240" w:lineRule="auto"/>
      </w:pPr>
    </w:p>
    <w:p w:rsidR="00E12343" w:rsidRDefault="00E12343" w:rsidP="00E12343">
      <w:pPr>
        <w:pStyle w:val="ListParagraph"/>
        <w:numPr>
          <w:ilvl w:val="0"/>
          <w:numId w:val="8"/>
        </w:numPr>
      </w:pPr>
      <w:r>
        <w:t xml:space="preserve">Public Health England National General Practice Profiles – C&amp;P CCG URL: </w:t>
      </w:r>
      <w:hyperlink r:id="rId16" w:anchor="mod,6,pyr,2015,pat,19,par,E38000026,are,-,sid1,2000005,ind1,-,sid2,-,ind2,-" w:history="1">
        <w:r w:rsidRPr="00895E82">
          <w:rPr>
            <w:rStyle w:val="Hyperlink"/>
          </w:rPr>
          <w:t>http://fingertips.phe.org.uk/profile/general-practice/data#mod,6,pyr,2015,pat,19,par,E38000026,are,-,sid1,2000005,ind1,-,sid2,-,ind2,-</w:t>
        </w:r>
      </w:hyperlink>
    </w:p>
    <w:p w:rsidR="00E12343" w:rsidRDefault="00E12343" w:rsidP="00E12343">
      <w:pPr>
        <w:pStyle w:val="ListParagraph"/>
        <w:numPr>
          <w:ilvl w:val="0"/>
          <w:numId w:val="8"/>
        </w:numPr>
      </w:pPr>
      <w:r>
        <w:t xml:space="preserve">Public Health England Healthier Lives – Diabetes URL: </w:t>
      </w:r>
      <w:hyperlink r:id="rId17" w:history="1">
        <w:r w:rsidRPr="00895E82">
          <w:rPr>
            <w:rStyle w:val="Hyperlink"/>
          </w:rPr>
          <w:t>http://healthierlives.phe.org.uk/topic/diabetes</w:t>
        </w:r>
      </w:hyperlink>
      <w:r>
        <w:t xml:space="preserve"> </w:t>
      </w:r>
    </w:p>
    <w:p w:rsidR="00E12343" w:rsidRDefault="003C17D6" w:rsidP="003C17D6">
      <w:pPr>
        <w:pStyle w:val="ListParagraph"/>
        <w:numPr>
          <w:ilvl w:val="0"/>
          <w:numId w:val="8"/>
        </w:numPr>
      </w:pPr>
      <w:r>
        <w:t xml:space="preserve">Public Health England Cardiovascular Disease Profiles URL: </w:t>
      </w:r>
      <w:hyperlink r:id="rId18" w:history="1">
        <w:r w:rsidRPr="00895E82">
          <w:rPr>
            <w:rStyle w:val="Hyperlink"/>
          </w:rPr>
          <w:t>http://fingertips.phe.org.uk/profile/cardiovascular</w:t>
        </w:r>
      </w:hyperlink>
    </w:p>
    <w:p w:rsidR="003C17D6" w:rsidRDefault="003C17D6" w:rsidP="003C17D6">
      <w:pPr>
        <w:pStyle w:val="ListParagraph"/>
        <w:numPr>
          <w:ilvl w:val="0"/>
          <w:numId w:val="8"/>
        </w:numPr>
      </w:pPr>
      <w:r>
        <w:t xml:space="preserve">NHS Atlas of Variation in Healthcare for People with Diabetes: </w:t>
      </w:r>
      <w:hyperlink r:id="rId19" w:history="1">
        <w:r w:rsidRPr="00895E82">
          <w:rPr>
            <w:rStyle w:val="Hyperlink"/>
          </w:rPr>
          <w:t>http://www.rightcare.nhs.uk/index.php/atlas/diabetes</w:t>
        </w:r>
      </w:hyperlink>
      <w:r>
        <w:t xml:space="preserve"> </w:t>
      </w:r>
    </w:p>
    <w:p w:rsidR="00E84E26" w:rsidRPr="001722A8" w:rsidRDefault="00E84E26" w:rsidP="002D67A2">
      <w:pPr>
        <w:pStyle w:val="ListParagraph"/>
        <w:numPr>
          <w:ilvl w:val="0"/>
          <w:numId w:val="8"/>
        </w:numPr>
        <w:rPr>
          <w:rStyle w:val="Hyperlink"/>
          <w:color w:val="auto"/>
          <w:u w:val="none"/>
        </w:rPr>
      </w:pPr>
      <w:r>
        <w:t xml:space="preserve">Appendix 1 below provides an overview of diabetes-related indicators at LCG/CCG level as contained within the 2014/15 Quality Outcomes Framework data release available at: </w:t>
      </w:r>
      <w:hyperlink r:id="rId20" w:history="1">
        <w:r w:rsidRPr="003B73DB">
          <w:rPr>
            <w:rStyle w:val="Hyperlink"/>
          </w:rPr>
          <w:t>http://www.hscic.gov.uk/catalogue/PUB18887</w:t>
        </w:r>
      </w:hyperlink>
    </w:p>
    <w:p w:rsidR="001722A8" w:rsidRDefault="001722A8" w:rsidP="002D67A2">
      <w:pPr>
        <w:pStyle w:val="ListParagraph"/>
        <w:numPr>
          <w:ilvl w:val="0"/>
          <w:numId w:val="8"/>
        </w:numPr>
        <w:rPr>
          <w:rStyle w:val="Hyperlink"/>
          <w:color w:val="auto"/>
          <w:u w:val="none"/>
        </w:rPr>
      </w:pPr>
      <w:r>
        <w:rPr>
          <w:rStyle w:val="Hyperlink"/>
          <w:color w:val="auto"/>
          <w:u w:val="none"/>
        </w:rPr>
        <w:t>Cambridgeshire County Council Long Term Conditions JSNA and Data Supplements:</w:t>
      </w:r>
    </w:p>
    <w:p w:rsidR="001722A8" w:rsidRDefault="00083586" w:rsidP="001722A8">
      <w:pPr>
        <w:pStyle w:val="ListParagraph"/>
      </w:pPr>
      <w:hyperlink r:id="rId21" w:history="1">
        <w:r w:rsidR="001722A8" w:rsidRPr="00CC1780">
          <w:rPr>
            <w:rStyle w:val="Hyperlink"/>
          </w:rPr>
          <w:t>http://www.cambridgeshireinsight.org.uk/JSNA/LTCs-across-the-lifecourse-2015</w:t>
        </w:r>
      </w:hyperlink>
      <w:r w:rsidR="001722A8">
        <w:t xml:space="preserve"> </w:t>
      </w:r>
    </w:p>
    <w:p w:rsidR="00A60376" w:rsidRDefault="00A60376"/>
    <w:p w:rsidR="00A60376" w:rsidRPr="00A60376" w:rsidRDefault="00A60376" w:rsidP="00A60376">
      <w:pPr>
        <w:spacing w:after="0" w:line="240" w:lineRule="auto"/>
        <w:rPr>
          <w:b/>
        </w:rPr>
      </w:pPr>
      <w:r w:rsidRPr="00A60376">
        <w:rPr>
          <w:b/>
        </w:rPr>
        <w:t>Produced by:</w:t>
      </w:r>
    </w:p>
    <w:p w:rsidR="0072516B" w:rsidRDefault="0072516B" w:rsidP="00A60376">
      <w:pPr>
        <w:spacing w:after="0" w:line="240" w:lineRule="auto"/>
      </w:pPr>
      <w:r>
        <w:t>Ryan O’Neill</w:t>
      </w:r>
    </w:p>
    <w:p w:rsidR="0072516B" w:rsidRDefault="0072516B" w:rsidP="00A60376">
      <w:pPr>
        <w:spacing w:after="0" w:line="240" w:lineRule="auto"/>
      </w:pPr>
      <w:r>
        <w:t>Advanced Public Health Analyst</w:t>
      </w:r>
      <w:r w:rsidR="00627259">
        <w:t xml:space="preserve">, </w:t>
      </w:r>
      <w:r>
        <w:t>Peterborough City Council</w:t>
      </w:r>
    </w:p>
    <w:p w:rsidR="00A60376" w:rsidRDefault="0072516B" w:rsidP="00A60376">
      <w:pPr>
        <w:spacing w:after="0" w:line="240" w:lineRule="auto"/>
        <w:rPr>
          <w:color w:val="2E74B5" w:themeColor="accent1" w:themeShade="BF"/>
        </w:rPr>
      </w:pPr>
      <w:r w:rsidRPr="0072516B">
        <w:rPr>
          <w:color w:val="2E74B5" w:themeColor="accent1" w:themeShade="BF"/>
        </w:rPr>
        <w:t>ryan.o’neill@peterborough.gov.uk</w:t>
      </w:r>
      <w:r w:rsidR="00A60376">
        <w:rPr>
          <w:color w:val="2E74B5" w:themeColor="accent1" w:themeShade="BF"/>
        </w:rPr>
        <w:t xml:space="preserve"> </w:t>
      </w:r>
    </w:p>
    <w:p w:rsidR="00A60376" w:rsidRDefault="00A60376" w:rsidP="00A60376">
      <w:pPr>
        <w:spacing w:after="0" w:line="240" w:lineRule="auto"/>
        <w:rPr>
          <w:color w:val="2E74B5" w:themeColor="accent1" w:themeShade="BF"/>
        </w:rPr>
      </w:pPr>
    </w:p>
    <w:p w:rsidR="00627259" w:rsidRDefault="00A60376" w:rsidP="00A60376">
      <w:pPr>
        <w:spacing w:after="0" w:line="240" w:lineRule="auto"/>
        <w:rPr>
          <w:color w:val="2E74B5" w:themeColor="accent1" w:themeShade="BF"/>
        </w:rPr>
        <w:sectPr w:rsidR="00627259" w:rsidSect="005064F5">
          <w:footerReference w:type="default" r:id="rId22"/>
          <w:pgSz w:w="11906" w:h="16838"/>
          <w:pgMar w:top="1440" w:right="1440" w:bottom="1440" w:left="1440" w:header="708" w:footer="708" w:gutter="0"/>
          <w:cols w:space="708"/>
          <w:titlePg/>
          <w:docGrid w:linePitch="360"/>
        </w:sectPr>
      </w:pPr>
      <w:r>
        <w:rPr>
          <w:noProof/>
          <w:color w:val="2E74B5" w:themeColor="accent1" w:themeShade="BF"/>
          <w:lang w:eastAsia="en-GB"/>
        </w:rPr>
        <w:drawing>
          <wp:inline distT="0" distB="0" distL="0" distR="0" wp14:anchorId="16EC66E5">
            <wp:extent cx="65532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320" cy="609600"/>
                    </a:xfrm>
                    <a:prstGeom prst="rect">
                      <a:avLst/>
                    </a:prstGeom>
                    <a:noFill/>
                  </pic:spPr>
                </pic:pic>
              </a:graphicData>
            </a:graphic>
          </wp:inline>
        </w:drawing>
      </w:r>
      <w:r w:rsidR="0072516B" w:rsidRPr="0072516B">
        <w:rPr>
          <w:color w:val="2E74B5" w:themeColor="accent1" w:themeShade="BF"/>
        </w:rPr>
        <w:t xml:space="preserve"> </w:t>
      </w:r>
    </w:p>
    <w:p w:rsidR="00627259" w:rsidRDefault="00627259">
      <w:pPr>
        <w:rPr>
          <w:color w:val="2E74B5" w:themeColor="accent1" w:themeShade="BF"/>
        </w:rPr>
      </w:pPr>
      <w:r>
        <w:rPr>
          <w:color w:val="2E74B5" w:themeColor="accent1" w:themeShade="BF"/>
        </w:rPr>
        <w:lastRenderedPageBreak/>
        <w:t>Appendix 1: 2014/15 Quality Outcomes Framework – Diabetes &amp; Associated Indicators</w:t>
      </w: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861"/>
        <w:gridCol w:w="721"/>
        <w:gridCol w:w="864"/>
        <w:gridCol w:w="577"/>
        <w:gridCol w:w="867"/>
        <w:gridCol w:w="577"/>
        <w:gridCol w:w="864"/>
        <w:gridCol w:w="571"/>
        <w:gridCol w:w="867"/>
        <w:gridCol w:w="574"/>
        <w:gridCol w:w="867"/>
        <w:gridCol w:w="559"/>
        <w:gridCol w:w="775"/>
        <w:gridCol w:w="693"/>
        <w:gridCol w:w="864"/>
        <w:gridCol w:w="721"/>
        <w:gridCol w:w="1011"/>
        <w:gridCol w:w="852"/>
      </w:tblGrid>
      <w:tr w:rsidR="009E3685" w:rsidRPr="00627259" w:rsidTr="009E3685">
        <w:trPr>
          <w:trHeight w:val="900"/>
        </w:trPr>
        <w:tc>
          <w:tcPr>
            <w:tcW w:w="518" w:type="pct"/>
            <w:vMerge w:val="restar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LCG</w:t>
            </w:r>
          </w:p>
        </w:tc>
        <w:tc>
          <w:tcPr>
            <w:tcW w:w="518"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1. Diabetes QOF Prevalence (17+)</w:t>
            </w:r>
          </w:p>
        </w:tc>
        <w:tc>
          <w:tcPr>
            <w:tcW w:w="472"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sz w:val="16"/>
                <w:szCs w:val="16"/>
                <w:lang w:eastAsia="en-GB"/>
              </w:rPr>
            </w:pPr>
            <w:r w:rsidRPr="00627259">
              <w:rPr>
                <w:rFonts w:ascii="Calibri" w:eastAsia="Times New Roman" w:hAnsi="Calibri" w:cs="Times New Roman"/>
                <w:b/>
                <w:bCs/>
                <w:sz w:val="16"/>
                <w:szCs w:val="16"/>
                <w:lang w:eastAsia="en-GB"/>
              </w:rPr>
              <w:t>2. Exception Rate For Diabetes Indicators, %</w:t>
            </w:r>
          </w:p>
        </w:tc>
        <w:tc>
          <w:tcPr>
            <w:tcW w:w="473"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3. Obesity QOF Prevalence (16+)</w:t>
            </w:r>
          </w:p>
        </w:tc>
        <w:tc>
          <w:tcPr>
            <w:tcW w:w="470"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4. Last HbA1c &lt;= 59 mmol/mol, %</w:t>
            </w:r>
          </w:p>
        </w:tc>
        <w:tc>
          <w:tcPr>
            <w:tcW w:w="472"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5. Last HbA1c &lt;= 64 mmol/mol, %</w:t>
            </w:r>
          </w:p>
        </w:tc>
        <w:tc>
          <w:tcPr>
            <w:tcW w:w="467"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6. Last HbA1c &lt;= 75 mmol/mol, %</w:t>
            </w:r>
          </w:p>
        </w:tc>
        <w:tc>
          <w:tcPr>
            <w:tcW w:w="481"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7. Last BP is &lt;= 150/90 mmHg, %</w:t>
            </w:r>
          </w:p>
        </w:tc>
        <w:tc>
          <w:tcPr>
            <w:tcW w:w="519"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8. Last BP is &lt;= 140/80 mmHg, %</w:t>
            </w:r>
          </w:p>
        </w:tc>
        <w:tc>
          <w:tcPr>
            <w:tcW w:w="610" w:type="pct"/>
            <w:gridSpan w:val="2"/>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9. Last Measured Cholesterol is &lt;= 5 mmol/l, %</w:t>
            </w:r>
          </w:p>
        </w:tc>
      </w:tr>
      <w:tr w:rsidR="00627259" w:rsidRPr="00627259" w:rsidTr="009E3685">
        <w:trPr>
          <w:trHeight w:val="300"/>
        </w:trPr>
        <w:tc>
          <w:tcPr>
            <w:tcW w:w="518" w:type="pct"/>
            <w:vMerge/>
            <w:vAlign w:val="center"/>
            <w:hideMark/>
          </w:tcPr>
          <w:p w:rsidR="00627259" w:rsidRPr="00627259" w:rsidRDefault="00627259" w:rsidP="00627259">
            <w:pPr>
              <w:spacing w:after="0" w:line="240" w:lineRule="auto"/>
              <w:rPr>
                <w:rFonts w:ascii="Calibri" w:eastAsia="Times New Roman" w:hAnsi="Calibri" w:cs="Times New Roman"/>
                <w:b/>
                <w:bCs/>
                <w:color w:val="000000"/>
                <w:sz w:val="16"/>
                <w:szCs w:val="16"/>
                <w:lang w:eastAsia="en-GB"/>
              </w:rPr>
            </w:pPr>
          </w:p>
        </w:tc>
        <w:tc>
          <w:tcPr>
            <w:tcW w:w="282"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236"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w:t>
            </w:r>
          </w:p>
        </w:tc>
        <w:tc>
          <w:tcPr>
            <w:tcW w:w="283"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189"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sz w:val="16"/>
                <w:szCs w:val="16"/>
                <w:lang w:eastAsia="en-GB"/>
              </w:rPr>
            </w:pPr>
            <w:r w:rsidRPr="00627259">
              <w:rPr>
                <w:rFonts w:ascii="Calibri" w:eastAsia="Times New Roman" w:hAnsi="Calibri" w:cs="Times New Roman"/>
                <w:b/>
                <w:bCs/>
                <w:sz w:val="16"/>
                <w:szCs w:val="16"/>
                <w:lang w:eastAsia="en-GB"/>
              </w:rPr>
              <w:t>%</w:t>
            </w:r>
          </w:p>
        </w:tc>
        <w:tc>
          <w:tcPr>
            <w:tcW w:w="284"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189"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w:t>
            </w:r>
          </w:p>
        </w:tc>
        <w:tc>
          <w:tcPr>
            <w:tcW w:w="283"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187"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w:t>
            </w:r>
          </w:p>
        </w:tc>
        <w:tc>
          <w:tcPr>
            <w:tcW w:w="284"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188"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w:t>
            </w:r>
          </w:p>
        </w:tc>
        <w:tc>
          <w:tcPr>
            <w:tcW w:w="284"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183"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w:t>
            </w:r>
          </w:p>
        </w:tc>
        <w:tc>
          <w:tcPr>
            <w:tcW w:w="254"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227"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w:t>
            </w:r>
          </w:p>
        </w:tc>
        <w:tc>
          <w:tcPr>
            <w:tcW w:w="283"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236"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w:t>
            </w:r>
          </w:p>
        </w:tc>
        <w:tc>
          <w:tcPr>
            <w:tcW w:w="331"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Number</w:t>
            </w:r>
          </w:p>
        </w:tc>
        <w:tc>
          <w:tcPr>
            <w:tcW w:w="279" w:type="pct"/>
            <w:shd w:val="clear" w:color="000000" w:fill="C5D9F1"/>
            <w:vAlign w:val="center"/>
            <w:hideMark/>
          </w:tcPr>
          <w:p w:rsidR="00627259" w:rsidRPr="00627259" w:rsidRDefault="00627259" w:rsidP="00627259">
            <w:pPr>
              <w:spacing w:after="0" w:line="240" w:lineRule="auto"/>
              <w:jc w:val="center"/>
              <w:rPr>
                <w:rFonts w:ascii="Calibri" w:eastAsia="Times New Roman" w:hAnsi="Calibri" w:cs="Times New Roman"/>
                <w:b/>
                <w:bCs/>
                <w:color w:val="000000"/>
                <w:sz w:val="16"/>
                <w:szCs w:val="16"/>
                <w:lang w:eastAsia="en-GB"/>
              </w:rPr>
            </w:pPr>
            <w:r w:rsidRPr="00627259">
              <w:rPr>
                <w:rFonts w:ascii="Calibri" w:eastAsia="Times New Roman" w:hAnsi="Calibri" w:cs="Times New Roman"/>
                <w:b/>
                <w:bCs/>
                <w:color w:val="000000"/>
                <w:sz w:val="16"/>
                <w:szCs w:val="16"/>
                <w:lang w:eastAsia="en-GB"/>
              </w:rPr>
              <w:t>%</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BORDERLINE</w:t>
            </w:r>
          </w:p>
        </w:tc>
        <w:tc>
          <w:tcPr>
            <w:tcW w:w="282"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5,615</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6.5</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6,550</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14.3</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8,297</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9.5</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3,098</w:t>
            </w:r>
          </w:p>
        </w:tc>
        <w:tc>
          <w:tcPr>
            <w:tcW w:w="18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55.2</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3,563</w:t>
            </w:r>
          </w:p>
        </w:tc>
        <w:tc>
          <w:tcPr>
            <w:tcW w:w="188"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63.5</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4,250</w:t>
            </w:r>
          </w:p>
        </w:tc>
        <w:tc>
          <w:tcPr>
            <w:tcW w:w="1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75.7</w:t>
            </w:r>
          </w:p>
        </w:tc>
        <w:tc>
          <w:tcPr>
            <w:tcW w:w="25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4,758</w:t>
            </w:r>
          </w:p>
        </w:tc>
        <w:tc>
          <w:tcPr>
            <w:tcW w:w="22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84.7</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3,615</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64.4</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3,874</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69.0</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CAM HEALTH</w:t>
            </w:r>
          </w:p>
        </w:tc>
        <w:tc>
          <w:tcPr>
            <w:tcW w:w="282"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3,124</w:t>
            </w:r>
          </w:p>
        </w:tc>
        <w:tc>
          <w:tcPr>
            <w:tcW w:w="236"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4.2</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2,694</w:t>
            </w:r>
          </w:p>
        </w:tc>
        <w:tc>
          <w:tcPr>
            <w:tcW w:w="189"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10.5</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4,407</w:t>
            </w:r>
          </w:p>
        </w:tc>
        <w:tc>
          <w:tcPr>
            <w:tcW w:w="189"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5.9</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1,770</w:t>
            </w:r>
          </w:p>
        </w:tc>
        <w:tc>
          <w:tcPr>
            <w:tcW w:w="18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56.7</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2,082</w:t>
            </w:r>
          </w:p>
        </w:tc>
        <w:tc>
          <w:tcPr>
            <w:tcW w:w="18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66.6</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2,506</w:t>
            </w:r>
          </w:p>
        </w:tc>
        <w:tc>
          <w:tcPr>
            <w:tcW w:w="1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80.2</w:t>
            </w:r>
          </w:p>
        </w:tc>
        <w:tc>
          <w:tcPr>
            <w:tcW w:w="25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2,722</w:t>
            </w:r>
          </w:p>
        </w:tc>
        <w:tc>
          <w:tcPr>
            <w:tcW w:w="227"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87.1</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2,186</w:t>
            </w:r>
          </w:p>
        </w:tc>
        <w:tc>
          <w:tcPr>
            <w:tcW w:w="236"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70.0</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2,178</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69.7</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CATCH</w:t>
            </w:r>
          </w:p>
        </w:tc>
        <w:tc>
          <w:tcPr>
            <w:tcW w:w="282"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7,618</w:t>
            </w:r>
          </w:p>
        </w:tc>
        <w:tc>
          <w:tcPr>
            <w:tcW w:w="236"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4.0</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7,009</w:t>
            </w:r>
          </w:p>
        </w:tc>
        <w:tc>
          <w:tcPr>
            <w:tcW w:w="189"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11.3</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11,541</w:t>
            </w:r>
          </w:p>
        </w:tc>
        <w:tc>
          <w:tcPr>
            <w:tcW w:w="189"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6.0</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4,558</w:t>
            </w:r>
          </w:p>
        </w:tc>
        <w:tc>
          <w:tcPr>
            <w:tcW w:w="187"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59.9</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5,291</w:t>
            </w:r>
          </w:p>
        </w:tc>
        <w:tc>
          <w:tcPr>
            <w:tcW w:w="188"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69.6</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6,152</w:t>
            </w:r>
          </w:p>
        </w:tc>
        <w:tc>
          <w:tcPr>
            <w:tcW w:w="1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80.9</w:t>
            </w:r>
          </w:p>
        </w:tc>
        <w:tc>
          <w:tcPr>
            <w:tcW w:w="25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6,527</w:t>
            </w:r>
          </w:p>
        </w:tc>
        <w:tc>
          <w:tcPr>
            <w:tcW w:w="22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85.8</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5,180</w:t>
            </w:r>
          </w:p>
        </w:tc>
        <w:tc>
          <w:tcPr>
            <w:tcW w:w="236"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68.1</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5,213</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68.6</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HUNTS CARE PARTNERS</w:t>
            </w:r>
          </w:p>
        </w:tc>
        <w:tc>
          <w:tcPr>
            <w:tcW w:w="282"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6,596</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6.6</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7,489</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13.8</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9,526</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9.4</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3,871</w:t>
            </w:r>
          </w:p>
        </w:tc>
        <w:tc>
          <w:tcPr>
            <w:tcW w:w="187"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58.7</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4,454</w:t>
            </w:r>
          </w:p>
        </w:tc>
        <w:tc>
          <w:tcPr>
            <w:tcW w:w="188"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67.5</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5,245</w:t>
            </w:r>
          </w:p>
        </w:tc>
        <w:tc>
          <w:tcPr>
            <w:tcW w:w="1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79.5</w:t>
            </w:r>
          </w:p>
        </w:tc>
        <w:tc>
          <w:tcPr>
            <w:tcW w:w="25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5,747</w:t>
            </w:r>
          </w:p>
        </w:tc>
        <w:tc>
          <w:tcPr>
            <w:tcW w:w="227"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87.1</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4,444</w:t>
            </w:r>
          </w:p>
        </w:tc>
        <w:tc>
          <w:tcPr>
            <w:tcW w:w="236"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67.4</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4,648</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70.5</w:t>
            </w:r>
          </w:p>
        </w:tc>
      </w:tr>
      <w:tr w:rsidR="009E3685"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HUNTS HEALTH</w:t>
            </w:r>
          </w:p>
        </w:tc>
        <w:tc>
          <w:tcPr>
            <w:tcW w:w="282"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3,292</w:t>
            </w:r>
          </w:p>
        </w:tc>
        <w:tc>
          <w:tcPr>
            <w:tcW w:w="236"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5.9</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3,911</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14.4</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5,100</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9.0</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1,832</w:t>
            </w:r>
          </w:p>
        </w:tc>
        <w:tc>
          <w:tcPr>
            <w:tcW w:w="18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55.7</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2,141</w:t>
            </w:r>
          </w:p>
        </w:tc>
        <w:tc>
          <w:tcPr>
            <w:tcW w:w="18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65.0</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2,580</w:t>
            </w:r>
          </w:p>
        </w:tc>
        <w:tc>
          <w:tcPr>
            <w:tcW w:w="1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78.4</w:t>
            </w:r>
          </w:p>
        </w:tc>
        <w:tc>
          <w:tcPr>
            <w:tcW w:w="25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2,859</w:t>
            </w:r>
          </w:p>
        </w:tc>
        <w:tc>
          <w:tcPr>
            <w:tcW w:w="22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86.8</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2,210</w:t>
            </w:r>
          </w:p>
        </w:tc>
        <w:tc>
          <w:tcPr>
            <w:tcW w:w="236"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67.1</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2,252</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68.4</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ISLE OF ELY</w:t>
            </w:r>
          </w:p>
        </w:tc>
        <w:tc>
          <w:tcPr>
            <w:tcW w:w="282"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5,269</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6.8</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4,294</w:t>
            </w:r>
          </w:p>
        </w:tc>
        <w:tc>
          <w:tcPr>
            <w:tcW w:w="189"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9.9</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8,180</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10.5</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3,158</w:t>
            </w:r>
          </w:p>
        </w:tc>
        <w:tc>
          <w:tcPr>
            <w:tcW w:w="187"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59.9</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3,623</w:t>
            </w:r>
          </w:p>
        </w:tc>
        <w:tc>
          <w:tcPr>
            <w:tcW w:w="188"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68.8</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4,277</w:t>
            </w:r>
          </w:p>
        </w:tc>
        <w:tc>
          <w:tcPr>
            <w:tcW w:w="1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81.2</w:t>
            </w:r>
          </w:p>
        </w:tc>
        <w:tc>
          <w:tcPr>
            <w:tcW w:w="25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4,715</w:t>
            </w:r>
          </w:p>
        </w:tc>
        <w:tc>
          <w:tcPr>
            <w:tcW w:w="227"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89.5</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4,020</w:t>
            </w:r>
          </w:p>
        </w:tc>
        <w:tc>
          <w:tcPr>
            <w:tcW w:w="236"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76.3</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3,702</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70.3</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PETERBOROUGH</w:t>
            </w:r>
          </w:p>
        </w:tc>
        <w:tc>
          <w:tcPr>
            <w:tcW w:w="282"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7,225</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6.5</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9,666</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16.1</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11,542</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10.3</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3,689</w:t>
            </w:r>
          </w:p>
        </w:tc>
        <w:tc>
          <w:tcPr>
            <w:tcW w:w="187"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50.5</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4,246</w:t>
            </w:r>
          </w:p>
        </w:tc>
        <w:tc>
          <w:tcPr>
            <w:tcW w:w="188"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58.2</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5,145</w:t>
            </w:r>
          </w:p>
        </w:tc>
        <w:tc>
          <w:tcPr>
            <w:tcW w:w="1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70.8</w:t>
            </w:r>
          </w:p>
        </w:tc>
        <w:tc>
          <w:tcPr>
            <w:tcW w:w="25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6,034</w:t>
            </w:r>
          </w:p>
        </w:tc>
        <w:tc>
          <w:tcPr>
            <w:tcW w:w="227"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83.1</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4,581</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62.7</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5,045</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69.3</w:t>
            </w:r>
          </w:p>
        </w:tc>
      </w:tr>
      <w:tr w:rsidR="009E3685"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WISBECH</w:t>
            </w:r>
          </w:p>
        </w:tc>
        <w:tc>
          <w:tcPr>
            <w:tcW w:w="282"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2,930</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7.5</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2,472</w:t>
            </w:r>
          </w:p>
        </w:tc>
        <w:tc>
          <w:tcPr>
            <w:tcW w:w="189"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10.3</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4,501</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11.3</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1,636</w:t>
            </w:r>
          </w:p>
        </w:tc>
        <w:tc>
          <w:tcPr>
            <w:tcW w:w="18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55.8</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1,881</w:t>
            </w:r>
          </w:p>
        </w:tc>
        <w:tc>
          <w:tcPr>
            <w:tcW w:w="18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64.2</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2,242</w:t>
            </w:r>
          </w:p>
        </w:tc>
        <w:tc>
          <w:tcPr>
            <w:tcW w:w="1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76.5</w:t>
            </w:r>
          </w:p>
        </w:tc>
        <w:tc>
          <w:tcPr>
            <w:tcW w:w="25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2,271</w:t>
            </w:r>
          </w:p>
        </w:tc>
        <w:tc>
          <w:tcPr>
            <w:tcW w:w="227"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77.5</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1,665</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56.8</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1,982</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67.6</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BORDERLINE &amp; PETERBOROUGH LCGS</w:t>
            </w:r>
          </w:p>
        </w:tc>
        <w:tc>
          <w:tcPr>
            <w:tcW w:w="282"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12,840</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6.5</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16,216</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15.3</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19,839</w:t>
            </w:r>
          </w:p>
        </w:tc>
        <w:tc>
          <w:tcPr>
            <w:tcW w:w="189"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9.9</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6,787</w:t>
            </w:r>
          </w:p>
        </w:tc>
        <w:tc>
          <w:tcPr>
            <w:tcW w:w="187"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52.5</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7,809</w:t>
            </w:r>
          </w:p>
        </w:tc>
        <w:tc>
          <w:tcPr>
            <w:tcW w:w="188"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60.5</w:t>
            </w:r>
          </w:p>
        </w:tc>
        <w:tc>
          <w:tcPr>
            <w:tcW w:w="28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9,395</w:t>
            </w:r>
          </w:p>
        </w:tc>
        <w:tc>
          <w:tcPr>
            <w:tcW w:w="1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72.9</w:t>
            </w:r>
          </w:p>
        </w:tc>
        <w:tc>
          <w:tcPr>
            <w:tcW w:w="254"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10,792</w:t>
            </w:r>
          </w:p>
        </w:tc>
        <w:tc>
          <w:tcPr>
            <w:tcW w:w="227"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83.8</w:t>
            </w:r>
          </w:p>
        </w:tc>
        <w:tc>
          <w:tcPr>
            <w:tcW w:w="283"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8,196</w:t>
            </w:r>
          </w:p>
        </w:tc>
        <w:tc>
          <w:tcPr>
            <w:tcW w:w="236" w:type="pct"/>
            <w:shd w:val="clear" w:color="000000" w:fill="FFC7CE"/>
            <w:noWrap/>
            <w:vAlign w:val="center"/>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63.4</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8,919</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69.2</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All OTHER LCGs IN CCG</w:t>
            </w:r>
          </w:p>
        </w:tc>
        <w:tc>
          <w:tcPr>
            <w:tcW w:w="282"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28,829</w:t>
            </w:r>
          </w:p>
        </w:tc>
        <w:tc>
          <w:tcPr>
            <w:tcW w:w="236"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5.4</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27,869</w:t>
            </w:r>
          </w:p>
        </w:tc>
        <w:tc>
          <w:tcPr>
            <w:tcW w:w="189"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11.8</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43,255</w:t>
            </w:r>
          </w:p>
        </w:tc>
        <w:tc>
          <w:tcPr>
            <w:tcW w:w="189"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8.0</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16,825</w:t>
            </w:r>
          </w:p>
        </w:tc>
        <w:tc>
          <w:tcPr>
            <w:tcW w:w="187"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58.4</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19,472</w:t>
            </w:r>
          </w:p>
        </w:tc>
        <w:tc>
          <w:tcPr>
            <w:tcW w:w="188"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67.6</w:t>
            </w:r>
          </w:p>
        </w:tc>
        <w:tc>
          <w:tcPr>
            <w:tcW w:w="28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23,002</w:t>
            </w:r>
          </w:p>
        </w:tc>
        <w:tc>
          <w:tcPr>
            <w:tcW w:w="1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79.8</w:t>
            </w:r>
          </w:p>
        </w:tc>
        <w:tc>
          <w:tcPr>
            <w:tcW w:w="254"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24,841</w:t>
            </w:r>
          </w:p>
        </w:tc>
        <w:tc>
          <w:tcPr>
            <w:tcW w:w="227"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86.2</w:t>
            </w:r>
          </w:p>
        </w:tc>
        <w:tc>
          <w:tcPr>
            <w:tcW w:w="283"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19,705</w:t>
            </w:r>
          </w:p>
        </w:tc>
        <w:tc>
          <w:tcPr>
            <w:tcW w:w="236" w:type="pct"/>
            <w:shd w:val="clear" w:color="000000" w:fill="C6EFCE"/>
            <w:noWrap/>
            <w:vAlign w:val="center"/>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68.4</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19,975</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69.3</w:t>
            </w:r>
          </w:p>
        </w:tc>
      </w:tr>
      <w:tr w:rsidR="00627259" w:rsidRPr="00627259" w:rsidTr="009E3685">
        <w:trPr>
          <w:trHeight w:val="300"/>
        </w:trPr>
        <w:tc>
          <w:tcPr>
            <w:tcW w:w="51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CCG</w:t>
            </w:r>
          </w:p>
        </w:tc>
        <w:tc>
          <w:tcPr>
            <w:tcW w:w="282"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41,669</w:t>
            </w:r>
          </w:p>
        </w:tc>
        <w:tc>
          <w:tcPr>
            <w:tcW w:w="236"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5.7</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44,085</w:t>
            </w:r>
          </w:p>
        </w:tc>
        <w:tc>
          <w:tcPr>
            <w:tcW w:w="18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12.9</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63,094</w:t>
            </w:r>
          </w:p>
        </w:tc>
        <w:tc>
          <w:tcPr>
            <w:tcW w:w="18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8.5</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23,612</w:t>
            </w:r>
          </w:p>
        </w:tc>
        <w:tc>
          <w:tcPr>
            <w:tcW w:w="18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56.6</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27,281</w:t>
            </w:r>
          </w:p>
        </w:tc>
        <w:tc>
          <w:tcPr>
            <w:tcW w:w="188"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65.4</w:t>
            </w:r>
          </w:p>
        </w:tc>
        <w:tc>
          <w:tcPr>
            <w:tcW w:w="28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32,397</w:t>
            </w:r>
          </w:p>
        </w:tc>
        <w:tc>
          <w:tcPr>
            <w:tcW w:w="1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77.7</w:t>
            </w:r>
          </w:p>
        </w:tc>
        <w:tc>
          <w:tcPr>
            <w:tcW w:w="254"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35,633</w:t>
            </w:r>
          </w:p>
        </w:tc>
        <w:tc>
          <w:tcPr>
            <w:tcW w:w="227"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85.5</w:t>
            </w:r>
          </w:p>
        </w:tc>
        <w:tc>
          <w:tcPr>
            <w:tcW w:w="283"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27,901</w:t>
            </w:r>
          </w:p>
        </w:tc>
        <w:tc>
          <w:tcPr>
            <w:tcW w:w="236"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66.8</w:t>
            </w:r>
          </w:p>
        </w:tc>
        <w:tc>
          <w:tcPr>
            <w:tcW w:w="331"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28,894</w:t>
            </w:r>
          </w:p>
        </w:tc>
        <w:tc>
          <w:tcPr>
            <w:tcW w:w="279" w:type="pct"/>
            <w:shd w:val="clear" w:color="auto" w:fill="auto"/>
            <w:noWrap/>
            <w:vAlign w:val="center"/>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69.3</w:t>
            </w:r>
          </w:p>
        </w:tc>
      </w:tr>
    </w:tbl>
    <w:p w:rsidR="00627259" w:rsidRDefault="00627259">
      <w:pPr>
        <w:rPr>
          <w:color w:val="2E74B5" w:themeColor="accent1" w:themeShade="BF"/>
        </w:rPr>
      </w:pPr>
    </w:p>
    <w:tbl>
      <w:tblPr>
        <w:tblW w:w="2680" w:type="dxa"/>
        <w:tblLook w:val="04A0" w:firstRow="1" w:lastRow="0" w:firstColumn="1" w:lastColumn="0" w:noHBand="0" w:noVBand="1"/>
      </w:tblPr>
      <w:tblGrid>
        <w:gridCol w:w="2680"/>
      </w:tblGrid>
      <w:tr w:rsidR="00627259" w:rsidRPr="00627259" w:rsidTr="00927438">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627259" w:rsidRPr="00627259" w:rsidRDefault="00627259" w:rsidP="00627259">
            <w:pPr>
              <w:spacing w:after="0" w:line="240" w:lineRule="auto"/>
              <w:jc w:val="center"/>
              <w:rPr>
                <w:rFonts w:ascii="Calibri" w:eastAsia="Times New Roman" w:hAnsi="Calibri" w:cs="Times New Roman"/>
                <w:color w:val="000000"/>
                <w:sz w:val="16"/>
                <w:szCs w:val="16"/>
                <w:lang w:eastAsia="en-GB"/>
              </w:rPr>
            </w:pPr>
            <w:r w:rsidRPr="00627259">
              <w:rPr>
                <w:rFonts w:ascii="Calibri" w:eastAsia="Times New Roman" w:hAnsi="Calibri" w:cs="Times New Roman"/>
                <w:color w:val="000000"/>
                <w:sz w:val="16"/>
                <w:szCs w:val="16"/>
                <w:lang w:eastAsia="en-GB"/>
              </w:rPr>
              <w:t>Key:</w:t>
            </w:r>
          </w:p>
        </w:tc>
      </w:tr>
      <w:tr w:rsidR="00627259" w:rsidRPr="00627259" w:rsidTr="00627259">
        <w:trPr>
          <w:trHeight w:val="465"/>
        </w:trPr>
        <w:tc>
          <w:tcPr>
            <w:tcW w:w="2680" w:type="dxa"/>
            <w:tcBorders>
              <w:top w:val="nil"/>
              <w:left w:val="single" w:sz="4" w:space="0" w:color="auto"/>
              <w:bottom w:val="single" w:sz="4" w:space="0" w:color="auto"/>
              <w:right w:val="single" w:sz="4" w:space="0" w:color="auto"/>
            </w:tcBorders>
            <w:shd w:val="clear" w:color="000000" w:fill="C6EFCE"/>
            <w:vAlign w:val="bottom"/>
            <w:hideMark/>
          </w:tcPr>
          <w:p w:rsidR="00627259" w:rsidRPr="00627259" w:rsidRDefault="00627259" w:rsidP="00627259">
            <w:pPr>
              <w:spacing w:after="0" w:line="240" w:lineRule="auto"/>
              <w:jc w:val="center"/>
              <w:rPr>
                <w:rFonts w:ascii="Calibri" w:eastAsia="Times New Roman" w:hAnsi="Calibri" w:cs="Times New Roman"/>
                <w:color w:val="006100"/>
                <w:sz w:val="16"/>
                <w:szCs w:val="16"/>
                <w:lang w:eastAsia="en-GB"/>
              </w:rPr>
            </w:pPr>
            <w:r w:rsidRPr="00627259">
              <w:rPr>
                <w:rFonts w:ascii="Calibri" w:eastAsia="Times New Roman" w:hAnsi="Calibri" w:cs="Times New Roman"/>
                <w:color w:val="006100"/>
                <w:sz w:val="16"/>
                <w:szCs w:val="16"/>
                <w:lang w:eastAsia="en-GB"/>
              </w:rPr>
              <w:t>Statistically significantly better than CCG</w:t>
            </w:r>
          </w:p>
        </w:tc>
      </w:tr>
      <w:tr w:rsidR="00627259" w:rsidRPr="00627259" w:rsidTr="00627259">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27259" w:rsidRPr="00627259" w:rsidRDefault="00627259" w:rsidP="00627259">
            <w:pPr>
              <w:spacing w:after="0" w:line="240" w:lineRule="auto"/>
              <w:jc w:val="center"/>
              <w:rPr>
                <w:rFonts w:ascii="Calibri" w:eastAsia="Times New Roman" w:hAnsi="Calibri" w:cs="Times New Roman"/>
                <w:sz w:val="16"/>
                <w:szCs w:val="16"/>
                <w:lang w:eastAsia="en-GB"/>
              </w:rPr>
            </w:pPr>
            <w:r w:rsidRPr="00627259">
              <w:rPr>
                <w:rFonts w:ascii="Calibri" w:eastAsia="Times New Roman" w:hAnsi="Calibri" w:cs="Times New Roman"/>
                <w:sz w:val="16"/>
                <w:szCs w:val="16"/>
                <w:lang w:eastAsia="en-GB"/>
              </w:rPr>
              <w:t>Statistically similar to CCG</w:t>
            </w:r>
          </w:p>
        </w:tc>
      </w:tr>
      <w:tr w:rsidR="00627259" w:rsidRPr="00627259" w:rsidTr="00627259">
        <w:trPr>
          <w:trHeight w:val="465"/>
        </w:trPr>
        <w:tc>
          <w:tcPr>
            <w:tcW w:w="2680" w:type="dxa"/>
            <w:tcBorders>
              <w:top w:val="nil"/>
              <w:left w:val="single" w:sz="4" w:space="0" w:color="auto"/>
              <w:bottom w:val="single" w:sz="4" w:space="0" w:color="auto"/>
              <w:right w:val="single" w:sz="4" w:space="0" w:color="auto"/>
            </w:tcBorders>
            <w:shd w:val="clear" w:color="000000" w:fill="FFC7CE"/>
            <w:vAlign w:val="bottom"/>
            <w:hideMark/>
          </w:tcPr>
          <w:p w:rsidR="00627259" w:rsidRPr="00627259" w:rsidRDefault="00627259" w:rsidP="00627259">
            <w:pPr>
              <w:spacing w:after="0" w:line="240" w:lineRule="auto"/>
              <w:jc w:val="center"/>
              <w:rPr>
                <w:rFonts w:ascii="Calibri" w:eastAsia="Times New Roman" w:hAnsi="Calibri" w:cs="Times New Roman"/>
                <w:color w:val="9C0006"/>
                <w:sz w:val="16"/>
                <w:szCs w:val="16"/>
                <w:lang w:eastAsia="en-GB"/>
              </w:rPr>
            </w:pPr>
            <w:r w:rsidRPr="00627259">
              <w:rPr>
                <w:rFonts w:ascii="Calibri" w:eastAsia="Times New Roman" w:hAnsi="Calibri" w:cs="Times New Roman"/>
                <w:color w:val="9C0006"/>
                <w:sz w:val="16"/>
                <w:szCs w:val="16"/>
                <w:lang w:eastAsia="en-GB"/>
              </w:rPr>
              <w:t>Statistically significantly worse than CCG</w:t>
            </w:r>
          </w:p>
        </w:tc>
      </w:tr>
    </w:tbl>
    <w:p w:rsidR="00627259" w:rsidRPr="0072516B" w:rsidRDefault="00627259">
      <w:pPr>
        <w:rPr>
          <w:color w:val="2E74B5" w:themeColor="accent1" w:themeShade="BF"/>
        </w:rPr>
      </w:pPr>
    </w:p>
    <w:sectPr w:rsidR="00627259" w:rsidRPr="0072516B" w:rsidSect="0062725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91" w:rsidRDefault="001C7291" w:rsidP="00250B06">
      <w:pPr>
        <w:spacing w:after="0" w:line="240" w:lineRule="auto"/>
      </w:pPr>
      <w:r>
        <w:separator/>
      </w:r>
    </w:p>
  </w:endnote>
  <w:endnote w:type="continuationSeparator" w:id="0">
    <w:p w:rsidR="001C7291" w:rsidRDefault="001C7291" w:rsidP="0025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74266"/>
      <w:docPartObj>
        <w:docPartGallery w:val="Page Numbers (Bottom of Page)"/>
        <w:docPartUnique/>
      </w:docPartObj>
    </w:sdtPr>
    <w:sdtEndPr>
      <w:rPr>
        <w:noProof/>
      </w:rPr>
    </w:sdtEndPr>
    <w:sdtContent>
      <w:p w:rsidR="001C7291" w:rsidRDefault="001C7291">
        <w:pPr>
          <w:pStyle w:val="Footer"/>
          <w:jc w:val="right"/>
        </w:pPr>
        <w:r>
          <w:fldChar w:fldCharType="begin"/>
        </w:r>
        <w:r>
          <w:instrText xml:space="preserve"> PAGE   \* MERGEFORMAT </w:instrText>
        </w:r>
        <w:r>
          <w:fldChar w:fldCharType="separate"/>
        </w:r>
        <w:r w:rsidR="00083586">
          <w:rPr>
            <w:noProof/>
          </w:rPr>
          <w:t>21</w:t>
        </w:r>
        <w:r>
          <w:rPr>
            <w:noProof/>
          </w:rPr>
          <w:fldChar w:fldCharType="end"/>
        </w:r>
      </w:p>
    </w:sdtContent>
  </w:sdt>
  <w:p w:rsidR="001C7291" w:rsidRDefault="001C7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91" w:rsidRDefault="001C7291" w:rsidP="00250B06">
      <w:pPr>
        <w:spacing w:after="0" w:line="240" w:lineRule="auto"/>
      </w:pPr>
      <w:r>
        <w:separator/>
      </w:r>
    </w:p>
  </w:footnote>
  <w:footnote w:type="continuationSeparator" w:id="0">
    <w:p w:rsidR="001C7291" w:rsidRDefault="001C7291" w:rsidP="00250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13A"/>
    <w:multiLevelType w:val="hybridMultilevel"/>
    <w:tmpl w:val="48600176"/>
    <w:lvl w:ilvl="0" w:tplc="1D3ABC8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065D7"/>
    <w:multiLevelType w:val="hybridMultilevel"/>
    <w:tmpl w:val="2820B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6F1C1B"/>
    <w:multiLevelType w:val="hybridMultilevel"/>
    <w:tmpl w:val="2D965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4043EF"/>
    <w:multiLevelType w:val="hybridMultilevel"/>
    <w:tmpl w:val="726E57F2"/>
    <w:lvl w:ilvl="0" w:tplc="97681C9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70311F"/>
    <w:multiLevelType w:val="hybridMultilevel"/>
    <w:tmpl w:val="67E8C100"/>
    <w:lvl w:ilvl="0" w:tplc="34506B7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D16AC4"/>
    <w:multiLevelType w:val="hybridMultilevel"/>
    <w:tmpl w:val="411070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4137AC"/>
    <w:multiLevelType w:val="hybridMultilevel"/>
    <w:tmpl w:val="EF00910E"/>
    <w:lvl w:ilvl="0" w:tplc="97681C9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EA5627"/>
    <w:multiLevelType w:val="hybridMultilevel"/>
    <w:tmpl w:val="940C1442"/>
    <w:lvl w:ilvl="0" w:tplc="97681C9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EB"/>
    <w:rsid w:val="00000F3F"/>
    <w:rsid w:val="00003A83"/>
    <w:rsid w:val="0000456E"/>
    <w:rsid w:val="00054386"/>
    <w:rsid w:val="00056A9A"/>
    <w:rsid w:val="00057C2E"/>
    <w:rsid w:val="00063BDB"/>
    <w:rsid w:val="00076F5B"/>
    <w:rsid w:val="00083586"/>
    <w:rsid w:val="000959AD"/>
    <w:rsid w:val="000A3A9E"/>
    <w:rsid w:val="000D27CB"/>
    <w:rsid w:val="000D4F46"/>
    <w:rsid w:val="00121509"/>
    <w:rsid w:val="001263CB"/>
    <w:rsid w:val="00145568"/>
    <w:rsid w:val="00162E63"/>
    <w:rsid w:val="001722A8"/>
    <w:rsid w:val="001C4528"/>
    <w:rsid w:val="001C7291"/>
    <w:rsid w:val="001F550B"/>
    <w:rsid w:val="00250B06"/>
    <w:rsid w:val="0026411A"/>
    <w:rsid w:val="002C4DDE"/>
    <w:rsid w:val="002C5317"/>
    <w:rsid w:val="002E1803"/>
    <w:rsid w:val="00303E95"/>
    <w:rsid w:val="0031517D"/>
    <w:rsid w:val="00324624"/>
    <w:rsid w:val="0035515A"/>
    <w:rsid w:val="003B73DB"/>
    <w:rsid w:val="003C17D6"/>
    <w:rsid w:val="00437431"/>
    <w:rsid w:val="004664B3"/>
    <w:rsid w:val="004964EE"/>
    <w:rsid w:val="004F5A57"/>
    <w:rsid w:val="005034FD"/>
    <w:rsid w:val="005064F5"/>
    <w:rsid w:val="00547B7D"/>
    <w:rsid w:val="00564A01"/>
    <w:rsid w:val="00573F16"/>
    <w:rsid w:val="005C2D25"/>
    <w:rsid w:val="00627259"/>
    <w:rsid w:val="006E03F0"/>
    <w:rsid w:val="006F4D1A"/>
    <w:rsid w:val="0072516B"/>
    <w:rsid w:val="0072748E"/>
    <w:rsid w:val="00727885"/>
    <w:rsid w:val="00746166"/>
    <w:rsid w:val="007A039A"/>
    <w:rsid w:val="007C00A4"/>
    <w:rsid w:val="007D37AA"/>
    <w:rsid w:val="007D7B73"/>
    <w:rsid w:val="00801CF9"/>
    <w:rsid w:val="00825154"/>
    <w:rsid w:val="008307A3"/>
    <w:rsid w:val="00840410"/>
    <w:rsid w:val="00842274"/>
    <w:rsid w:val="008448A6"/>
    <w:rsid w:val="00927438"/>
    <w:rsid w:val="00952765"/>
    <w:rsid w:val="00957E2D"/>
    <w:rsid w:val="0098772D"/>
    <w:rsid w:val="009C6871"/>
    <w:rsid w:val="009D144C"/>
    <w:rsid w:val="009E3685"/>
    <w:rsid w:val="009E386E"/>
    <w:rsid w:val="009F4B25"/>
    <w:rsid w:val="00A160AB"/>
    <w:rsid w:val="00A37CA5"/>
    <w:rsid w:val="00A403F1"/>
    <w:rsid w:val="00A60376"/>
    <w:rsid w:val="00A644F6"/>
    <w:rsid w:val="00AC2420"/>
    <w:rsid w:val="00AD55DC"/>
    <w:rsid w:val="00B412C9"/>
    <w:rsid w:val="00B41822"/>
    <w:rsid w:val="00B5644A"/>
    <w:rsid w:val="00B57505"/>
    <w:rsid w:val="00B57FEB"/>
    <w:rsid w:val="00B67252"/>
    <w:rsid w:val="00B7650D"/>
    <w:rsid w:val="00B93604"/>
    <w:rsid w:val="00BF7DB7"/>
    <w:rsid w:val="00C06D1C"/>
    <w:rsid w:val="00C127A0"/>
    <w:rsid w:val="00C14EC2"/>
    <w:rsid w:val="00C30B8F"/>
    <w:rsid w:val="00C54CDB"/>
    <w:rsid w:val="00C83059"/>
    <w:rsid w:val="00C953BF"/>
    <w:rsid w:val="00CF3019"/>
    <w:rsid w:val="00D062BD"/>
    <w:rsid w:val="00D12A5B"/>
    <w:rsid w:val="00D2181D"/>
    <w:rsid w:val="00D80EB0"/>
    <w:rsid w:val="00DB31A4"/>
    <w:rsid w:val="00DB37E5"/>
    <w:rsid w:val="00DE0B36"/>
    <w:rsid w:val="00E0166E"/>
    <w:rsid w:val="00E12343"/>
    <w:rsid w:val="00E25B63"/>
    <w:rsid w:val="00E41384"/>
    <w:rsid w:val="00E472FE"/>
    <w:rsid w:val="00E66766"/>
    <w:rsid w:val="00E73E59"/>
    <w:rsid w:val="00E84E26"/>
    <w:rsid w:val="00ED5457"/>
    <w:rsid w:val="00F208AE"/>
    <w:rsid w:val="00F43E07"/>
    <w:rsid w:val="00F47738"/>
    <w:rsid w:val="00FA40D9"/>
    <w:rsid w:val="00FC5C0F"/>
    <w:rsid w:val="00FD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3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06"/>
  </w:style>
  <w:style w:type="paragraph" w:styleId="Footer">
    <w:name w:val="footer"/>
    <w:basedOn w:val="Normal"/>
    <w:link w:val="FooterChar"/>
    <w:uiPriority w:val="99"/>
    <w:unhideWhenUsed/>
    <w:rsid w:val="00250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06"/>
  </w:style>
  <w:style w:type="paragraph" w:styleId="ListParagraph">
    <w:name w:val="List Paragraph"/>
    <w:basedOn w:val="Normal"/>
    <w:uiPriority w:val="34"/>
    <w:qFormat/>
    <w:rsid w:val="00B412C9"/>
    <w:pPr>
      <w:ind w:left="720"/>
      <w:contextualSpacing/>
    </w:pPr>
  </w:style>
  <w:style w:type="character" w:customStyle="1" w:styleId="Heading1Char">
    <w:name w:val="Heading 1 Char"/>
    <w:basedOn w:val="DefaultParagraphFont"/>
    <w:link w:val="Heading1"/>
    <w:uiPriority w:val="9"/>
    <w:rsid w:val="00003A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3BD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6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3BDB"/>
    <w:pPr>
      <w:spacing w:after="0" w:line="240" w:lineRule="auto"/>
    </w:pPr>
  </w:style>
  <w:style w:type="paragraph" w:styleId="FootnoteText">
    <w:name w:val="footnote text"/>
    <w:basedOn w:val="Normal"/>
    <w:link w:val="FootnoteTextChar"/>
    <w:uiPriority w:val="99"/>
    <w:semiHidden/>
    <w:unhideWhenUsed/>
    <w:rsid w:val="00063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BDB"/>
    <w:rPr>
      <w:sz w:val="20"/>
      <w:szCs w:val="20"/>
    </w:rPr>
  </w:style>
  <w:style w:type="character" w:styleId="FootnoteReference">
    <w:name w:val="footnote reference"/>
    <w:basedOn w:val="DefaultParagraphFont"/>
    <w:uiPriority w:val="99"/>
    <w:semiHidden/>
    <w:unhideWhenUsed/>
    <w:rsid w:val="00063BDB"/>
    <w:rPr>
      <w:vertAlign w:val="superscript"/>
    </w:rPr>
  </w:style>
  <w:style w:type="paragraph" w:styleId="BalloonText">
    <w:name w:val="Balloon Text"/>
    <w:basedOn w:val="Normal"/>
    <w:link w:val="BalloonTextChar"/>
    <w:uiPriority w:val="99"/>
    <w:semiHidden/>
    <w:unhideWhenUsed/>
    <w:rsid w:val="0050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F5"/>
    <w:rPr>
      <w:rFonts w:ascii="Segoe UI" w:hAnsi="Segoe UI" w:cs="Segoe UI"/>
      <w:sz w:val="18"/>
      <w:szCs w:val="18"/>
    </w:rPr>
  </w:style>
  <w:style w:type="character" w:styleId="Hyperlink">
    <w:name w:val="Hyperlink"/>
    <w:basedOn w:val="DefaultParagraphFont"/>
    <w:uiPriority w:val="99"/>
    <w:unhideWhenUsed/>
    <w:rsid w:val="00E413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3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3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06"/>
  </w:style>
  <w:style w:type="paragraph" w:styleId="Footer">
    <w:name w:val="footer"/>
    <w:basedOn w:val="Normal"/>
    <w:link w:val="FooterChar"/>
    <w:uiPriority w:val="99"/>
    <w:unhideWhenUsed/>
    <w:rsid w:val="00250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06"/>
  </w:style>
  <w:style w:type="paragraph" w:styleId="ListParagraph">
    <w:name w:val="List Paragraph"/>
    <w:basedOn w:val="Normal"/>
    <w:uiPriority w:val="34"/>
    <w:qFormat/>
    <w:rsid w:val="00B412C9"/>
    <w:pPr>
      <w:ind w:left="720"/>
      <w:contextualSpacing/>
    </w:pPr>
  </w:style>
  <w:style w:type="character" w:customStyle="1" w:styleId="Heading1Char">
    <w:name w:val="Heading 1 Char"/>
    <w:basedOn w:val="DefaultParagraphFont"/>
    <w:link w:val="Heading1"/>
    <w:uiPriority w:val="9"/>
    <w:rsid w:val="00003A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3BD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6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3BDB"/>
    <w:pPr>
      <w:spacing w:after="0" w:line="240" w:lineRule="auto"/>
    </w:pPr>
  </w:style>
  <w:style w:type="paragraph" w:styleId="FootnoteText">
    <w:name w:val="footnote text"/>
    <w:basedOn w:val="Normal"/>
    <w:link w:val="FootnoteTextChar"/>
    <w:uiPriority w:val="99"/>
    <w:semiHidden/>
    <w:unhideWhenUsed/>
    <w:rsid w:val="00063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BDB"/>
    <w:rPr>
      <w:sz w:val="20"/>
      <w:szCs w:val="20"/>
    </w:rPr>
  </w:style>
  <w:style w:type="character" w:styleId="FootnoteReference">
    <w:name w:val="footnote reference"/>
    <w:basedOn w:val="DefaultParagraphFont"/>
    <w:uiPriority w:val="99"/>
    <w:semiHidden/>
    <w:unhideWhenUsed/>
    <w:rsid w:val="00063BDB"/>
    <w:rPr>
      <w:vertAlign w:val="superscript"/>
    </w:rPr>
  </w:style>
  <w:style w:type="paragraph" w:styleId="BalloonText">
    <w:name w:val="Balloon Text"/>
    <w:basedOn w:val="Normal"/>
    <w:link w:val="BalloonTextChar"/>
    <w:uiPriority w:val="99"/>
    <w:semiHidden/>
    <w:unhideWhenUsed/>
    <w:rsid w:val="0050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F5"/>
    <w:rPr>
      <w:rFonts w:ascii="Segoe UI" w:hAnsi="Segoe UI" w:cs="Segoe UI"/>
      <w:sz w:val="18"/>
      <w:szCs w:val="18"/>
    </w:rPr>
  </w:style>
  <w:style w:type="character" w:styleId="Hyperlink">
    <w:name w:val="Hyperlink"/>
    <w:basedOn w:val="DefaultParagraphFont"/>
    <w:uiPriority w:val="99"/>
    <w:unhideWhenUsed/>
    <w:rsid w:val="00E41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771">
      <w:bodyDiv w:val="1"/>
      <w:marLeft w:val="0"/>
      <w:marRight w:val="0"/>
      <w:marTop w:val="0"/>
      <w:marBottom w:val="0"/>
      <w:divBdr>
        <w:top w:val="none" w:sz="0" w:space="0" w:color="auto"/>
        <w:left w:val="none" w:sz="0" w:space="0" w:color="auto"/>
        <w:bottom w:val="none" w:sz="0" w:space="0" w:color="auto"/>
        <w:right w:val="none" w:sz="0" w:space="0" w:color="auto"/>
      </w:divBdr>
    </w:div>
    <w:div w:id="187255552">
      <w:bodyDiv w:val="1"/>
      <w:marLeft w:val="0"/>
      <w:marRight w:val="0"/>
      <w:marTop w:val="0"/>
      <w:marBottom w:val="0"/>
      <w:divBdr>
        <w:top w:val="none" w:sz="0" w:space="0" w:color="auto"/>
        <w:left w:val="none" w:sz="0" w:space="0" w:color="auto"/>
        <w:bottom w:val="none" w:sz="0" w:space="0" w:color="auto"/>
        <w:right w:val="none" w:sz="0" w:space="0" w:color="auto"/>
      </w:divBdr>
    </w:div>
    <w:div w:id="217859036">
      <w:bodyDiv w:val="1"/>
      <w:marLeft w:val="0"/>
      <w:marRight w:val="0"/>
      <w:marTop w:val="0"/>
      <w:marBottom w:val="0"/>
      <w:divBdr>
        <w:top w:val="none" w:sz="0" w:space="0" w:color="auto"/>
        <w:left w:val="none" w:sz="0" w:space="0" w:color="auto"/>
        <w:bottom w:val="none" w:sz="0" w:space="0" w:color="auto"/>
        <w:right w:val="none" w:sz="0" w:space="0" w:color="auto"/>
      </w:divBdr>
    </w:div>
    <w:div w:id="309091041">
      <w:bodyDiv w:val="1"/>
      <w:marLeft w:val="0"/>
      <w:marRight w:val="0"/>
      <w:marTop w:val="0"/>
      <w:marBottom w:val="0"/>
      <w:divBdr>
        <w:top w:val="none" w:sz="0" w:space="0" w:color="auto"/>
        <w:left w:val="none" w:sz="0" w:space="0" w:color="auto"/>
        <w:bottom w:val="none" w:sz="0" w:space="0" w:color="auto"/>
        <w:right w:val="none" w:sz="0" w:space="0" w:color="auto"/>
      </w:divBdr>
    </w:div>
    <w:div w:id="446047575">
      <w:bodyDiv w:val="1"/>
      <w:marLeft w:val="0"/>
      <w:marRight w:val="0"/>
      <w:marTop w:val="0"/>
      <w:marBottom w:val="0"/>
      <w:divBdr>
        <w:top w:val="none" w:sz="0" w:space="0" w:color="auto"/>
        <w:left w:val="none" w:sz="0" w:space="0" w:color="auto"/>
        <w:bottom w:val="none" w:sz="0" w:space="0" w:color="auto"/>
        <w:right w:val="none" w:sz="0" w:space="0" w:color="auto"/>
      </w:divBdr>
    </w:div>
    <w:div w:id="447626648">
      <w:bodyDiv w:val="1"/>
      <w:marLeft w:val="0"/>
      <w:marRight w:val="0"/>
      <w:marTop w:val="0"/>
      <w:marBottom w:val="0"/>
      <w:divBdr>
        <w:top w:val="none" w:sz="0" w:space="0" w:color="auto"/>
        <w:left w:val="none" w:sz="0" w:space="0" w:color="auto"/>
        <w:bottom w:val="none" w:sz="0" w:space="0" w:color="auto"/>
        <w:right w:val="none" w:sz="0" w:space="0" w:color="auto"/>
      </w:divBdr>
    </w:div>
    <w:div w:id="498544211">
      <w:bodyDiv w:val="1"/>
      <w:marLeft w:val="0"/>
      <w:marRight w:val="0"/>
      <w:marTop w:val="0"/>
      <w:marBottom w:val="0"/>
      <w:divBdr>
        <w:top w:val="none" w:sz="0" w:space="0" w:color="auto"/>
        <w:left w:val="none" w:sz="0" w:space="0" w:color="auto"/>
        <w:bottom w:val="none" w:sz="0" w:space="0" w:color="auto"/>
        <w:right w:val="none" w:sz="0" w:space="0" w:color="auto"/>
      </w:divBdr>
    </w:div>
    <w:div w:id="543250759">
      <w:bodyDiv w:val="1"/>
      <w:marLeft w:val="0"/>
      <w:marRight w:val="0"/>
      <w:marTop w:val="0"/>
      <w:marBottom w:val="0"/>
      <w:divBdr>
        <w:top w:val="none" w:sz="0" w:space="0" w:color="auto"/>
        <w:left w:val="none" w:sz="0" w:space="0" w:color="auto"/>
        <w:bottom w:val="none" w:sz="0" w:space="0" w:color="auto"/>
        <w:right w:val="none" w:sz="0" w:space="0" w:color="auto"/>
      </w:divBdr>
    </w:div>
    <w:div w:id="596331647">
      <w:bodyDiv w:val="1"/>
      <w:marLeft w:val="0"/>
      <w:marRight w:val="0"/>
      <w:marTop w:val="0"/>
      <w:marBottom w:val="0"/>
      <w:divBdr>
        <w:top w:val="none" w:sz="0" w:space="0" w:color="auto"/>
        <w:left w:val="none" w:sz="0" w:space="0" w:color="auto"/>
        <w:bottom w:val="none" w:sz="0" w:space="0" w:color="auto"/>
        <w:right w:val="none" w:sz="0" w:space="0" w:color="auto"/>
      </w:divBdr>
    </w:div>
    <w:div w:id="666976789">
      <w:bodyDiv w:val="1"/>
      <w:marLeft w:val="0"/>
      <w:marRight w:val="0"/>
      <w:marTop w:val="0"/>
      <w:marBottom w:val="0"/>
      <w:divBdr>
        <w:top w:val="none" w:sz="0" w:space="0" w:color="auto"/>
        <w:left w:val="none" w:sz="0" w:space="0" w:color="auto"/>
        <w:bottom w:val="none" w:sz="0" w:space="0" w:color="auto"/>
        <w:right w:val="none" w:sz="0" w:space="0" w:color="auto"/>
      </w:divBdr>
    </w:div>
    <w:div w:id="768432139">
      <w:bodyDiv w:val="1"/>
      <w:marLeft w:val="0"/>
      <w:marRight w:val="0"/>
      <w:marTop w:val="0"/>
      <w:marBottom w:val="0"/>
      <w:divBdr>
        <w:top w:val="none" w:sz="0" w:space="0" w:color="auto"/>
        <w:left w:val="none" w:sz="0" w:space="0" w:color="auto"/>
        <w:bottom w:val="none" w:sz="0" w:space="0" w:color="auto"/>
        <w:right w:val="none" w:sz="0" w:space="0" w:color="auto"/>
      </w:divBdr>
    </w:div>
    <w:div w:id="832795462">
      <w:bodyDiv w:val="1"/>
      <w:marLeft w:val="0"/>
      <w:marRight w:val="0"/>
      <w:marTop w:val="0"/>
      <w:marBottom w:val="0"/>
      <w:divBdr>
        <w:top w:val="none" w:sz="0" w:space="0" w:color="auto"/>
        <w:left w:val="none" w:sz="0" w:space="0" w:color="auto"/>
        <w:bottom w:val="none" w:sz="0" w:space="0" w:color="auto"/>
        <w:right w:val="none" w:sz="0" w:space="0" w:color="auto"/>
      </w:divBdr>
    </w:div>
    <w:div w:id="837623128">
      <w:bodyDiv w:val="1"/>
      <w:marLeft w:val="0"/>
      <w:marRight w:val="0"/>
      <w:marTop w:val="0"/>
      <w:marBottom w:val="0"/>
      <w:divBdr>
        <w:top w:val="none" w:sz="0" w:space="0" w:color="auto"/>
        <w:left w:val="none" w:sz="0" w:space="0" w:color="auto"/>
        <w:bottom w:val="none" w:sz="0" w:space="0" w:color="auto"/>
        <w:right w:val="none" w:sz="0" w:space="0" w:color="auto"/>
      </w:divBdr>
    </w:div>
    <w:div w:id="945846861">
      <w:bodyDiv w:val="1"/>
      <w:marLeft w:val="0"/>
      <w:marRight w:val="0"/>
      <w:marTop w:val="0"/>
      <w:marBottom w:val="0"/>
      <w:divBdr>
        <w:top w:val="none" w:sz="0" w:space="0" w:color="auto"/>
        <w:left w:val="none" w:sz="0" w:space="0" w:color="auto"/>
        <w:bottom w:val="none" w:sz="0" w:space="0" w:color="auto"/>
        <w:right w:val="none" w:sz="0" w:space="0" w:color="auto"/>
      </w:divBdr>
    </w:div>
    <w:div w:id="998119813">
      <w:bodyDiv w:val="1"/>
      <w:marLeft w:val="0"/>
      <w:marRight w:val="0"/>
      <w:marTop w:val="0"/>
      <w:marBottom w:val="0"/>
      <w:divBdr>
        <w:top w:val="none" w:sz="0" w:space="0" w:color="auto"/>
        <w:left w:val="none" w:sz="0" w:space="0" w:color="auto"/>
        <w:bottom w:val="none" w:sz="0" w:space="0" w:color="auto"/>
        <w:right w:val="none" w:sz="0" w:space="0" w:color="auto"/>
      </w:divBdr>
    </w:div>
    <w:div w:id="1056128140">
      <w:bodyDiv w:val="1"/>
      <w:marLeft w:val="0"/>
      <w:marRight w:val="0"/>
      <w:marTop w:val="0"/>
      <w:marBottom w:val="0"/>
      <w:divBdr>
        <w:top w:val="none" w:sz="0" w:space="0" w:color="auto"/>
        <w:left w:val="none" w:sz="0" w:space="0" w:color="auto"/>
        <w:bottom w:val="none" w:sz="0" w:space="0" w:color="auto"/>
        <w:right w:val="none" w:sz="0" w:space="0" w:color="auto"/>
      </w:divBdr>
    </w:div>
    <w:div w:id="1112826348">
      <w:bodyDiv w:val="1"/>
      <w:marLeft w:val="0"/>
      <w:marRight w:val="0"/>
      <w:marTop w:val="0"/>
      <w:marBottom w:val="0"/>
      <w:divBdr>
        <w:top w:val="none" w:sz="0" w:space="0" w:color="auto"/>
        <w:left w:val="none" w:sz="0" w:space="0" w:color="auto"/>
        <w:bottom w:val="none" w:sz="0" w:space="0" w:color="auto"/>
        <w:right w:val="none" w:sz="0" w:space="0" w:color="auto"/>
      </w:divBdr>
    </w:div>
    <w:div w:id="1161583017">
      <w:bodyDiv w:val="1"/>
      <w:marLeft w:val="0"/>
      <w:marRight w:val="0"/>
      <w:marTop w:val="0"/>
      <w:marBottom w:val="0"/>
      <w:divBdr>
        <w:top w:val="none" w:sz="0" w:space="0" w:color="auto"/>
        <w:left w:val="none" w:sz="0" w:space="0" w:color="auto"/>
        <w:bottom w:val="none" w:sz="0" w:space="0" w:color="auto"/>
        <w:right w:val="none" w:sz="0" w:space="0" w:color="auto"/>
      </w:divBdr>
    </w:div>
    <w:div w:id="1248735162">
      <w:bodyDiv w:val="1"/>
      <w:marLeft w:val="0"/>
      <w:marRight w:val="0"/>
      <w:marTop w:val="0"/>
      <w:marBottom w:val="0"/>
      <w:divBdr>
        <w:top w:val="none" w:sz="0" w:space="0" w:color="auto"/>
        <w:left w:val="none" w:sz="0" w:space="0" w:color="auto"/>
        <w:bottom w:val="none" w:sz="0" w:space="0" w:color="auto"/>
        <w:right w:val="none" w:sz="0" w:space="0" w:color="auto"/>
      </w:divBdr>
    </w:div>
    <w:div w:id="1267614175">
      <w:bodyDiv w:val="1"/>
      <w:marLeft w:val="0"/>
      <w:marRight w:val="0"/>
      <w:marTop w:val="0"/>
      <w:marBottom w:val="0"/>
      <w:divBdr>
        <w:top w:val="none" w:sz="0" w:space="0" w:color="auto"/>
        <w:left w:val="none" w:sz="0" w:space="0" w:color="auto"/>
        <w:bottom w:val="none" w:sz="0" w:space="0" w:color="auto"/>
        <w:right w:val="none" w:sz="0" w:space="0" w:color="auto"/>
      </w:divBdr>
    </w:div>
    <w:div w:id="1277980949">
      <w:bodyDiv w:val="1"/>
      <w:marLeft w:val="0"/>
      <w:marRight w:val="0"/>
      <w:marTop w:val="0"/>
      <w:marBottom w:val="0"/>
      <w:divBdr>
        <w:top w:val="none" w:sz="0" w:space="0" w:color="auto"/>
        <w:left w:val="none" w:sz="0" w:space="0" w:color="auto"/>
        <w:bottom w:val="none" w:sz="0" w:space="0" w:color="auto"/>
        <w:right w:val="none" w:sz="0" w:space="0" w:color="auto"/>
      </w:divBdr>
    </w:div>
    <w:div w:id="1352216978">
      <w:bodyDiv w:val="1"/>
      <w:marLeft w:val="0"/>
      <w:marRight w:val="0"/>
      <w:marTop w:val="0"/>
      <w:marBottom w:val="0"/>
      <w:divBdr>
        <w:top w:val="none" w:sz="0" w:space="0" w:color="auto"/>
        <w:left w:val="none" w:sz="0" w:space="0" w:color="auto"/>
        <w:bottom w:val="none" w:sz="0" w:space="0" w:color="auto"/>
        <w:right w:val="none" w:sz="0" w:space="0" w:color="auto"/>
      </w:divBdr>
    </w:div>
    <w:div w:id="1384866559">
      <w:bodyDiv w:val="1"/>
      <w:marLeft w:val="0"/>
      <w:marRight w:val="0"/>
      <w:marTop w:val="0"/>
      <w:marBottom w:val="0"/>
      <w:divBdr>
        <w:top w:val="none" w:sz="0" w:space="0" w:color="auto"/>
        <w:left w:val="none" w:sz="0" w:space="0" w:color="auto"/>
        <w:bottom w:val="none" w:sz="0" w:space="0" w:color="auto"/>
        <w:right w:val="none" w:sz="0" w:space="0" w:color="auto"/>
      </w:divBdr>
    </w:div>
    <w:div w:id="1439638380">
      <w:bodyDiv w:val="1"/>
      <w:marLeft w:val="0"/>
      <w:marRight w:val="0"/>
      <w:marTop w:val="0"/>
      <w:marBottom w:val="0"/>
      <w:divBdr>
        <w:top w:val="none" w:sz="0" w:space="0" w:color="auto"/>
        <w:left w:val="none" w:sz="0" w:space="0" w:color="auto"/>
        <w:bottom w:val="none" w:sz="0" w:space="0" w:color="auto"/>
        <w:right w:val="none" w:sz="0" w:space="0" w:color="auto"/>
      </w:divBdr>
    </w:div>
    <w:div w:id="1464035398">
      <w:bodyDiv w:val="1"/>
      <w:marLeft w:val="0"/>
      <w:marRight w:val="0"/>
      <w:marTop w:val="0"/>
      <w:marBottom w:val="0"/>
      <w:divBdr>
        <w:top w:val="none" w:sz="0" w:space="0" w:color="auto"/>
        <w:left w:val="none" w:sz="0" w:space="0" w:color="auto"/>
        <w:bottom w:val="none" w:sz="0" w:space="0" w:color="auto"/>
        <w:right w:val="none" w:sz="0" w:space="0" w:color="auto"/>
      </w:divBdr>
    </w:div>
    <w:div w:id="1485076511">
      <w:bodyDiv w:val="1"/>
      <w:marLeft w:val="0"/>
      <w:marRight w:val="0"/>
      <w:marTop w:val="0"/>
      <w:marBottom w:val="0"/>
      <w:divBdr>
        <w:top w:val="none" w:sz="0" w:space="0" w:color="auto"/>
        <w:left w:val="none" w:sz="0" w:space="0" w:color="auto"/>
        <w:bottom w:val="none" w:sz="0" w:space="0" w:color="auto"/>
        <w:right w:val="none" w:sz="0" w:space="0" w:color="auto"/>
      </w:divBdr>
    </w:div>
    <w:div w:id="1546142743">
      <w:bodyDiv w:val="1"/>
      <w:marLeft w:val="0"/>
      <w:marRight w:val="0"/>
      <w:marTop w:val="0"/>
      <w:marBottom w:val="0"/>
      <w:divBdr>
        <w:top w:val="none" w:sz="0" w:space="0" w:color="auto"/>
        <w:left w:val="none" w:sz="0" w:space="0" w:color="auto"/>
        <w:bottom w:val="none" w:sz="0" w:space="0" w:color="auto"/>
        <w:right w:val="none" w:sz="0" w:space="0" w:color="auto"/>
      </w:divBdr>
    </w:div>
    <w:div w:id="1569069880">
      <w:bodyDiv w:val="1"/>
      <w:marLeft w:val="0"/>
      <w:marRight w:val="0"/>
      <w:marTop w:val="0"/>
      <w:marBottom w:val="0"/>
      <w:divBdr>
        <w:top w:val="none" w:sz="0" w:space="0" w:color="auto"/>
        <w:left w:val="none" w:sz="0" w:space="0" w:color="auto"/>
        <w:bottom w:val="none" w:sz="0" w:space="0" w:color="auto"/>
        <w:right w:val="none" w:sz="0" w:space="0" w:color="auto"/>
      </w:divBdr>
    </w:div>
    <w:div w:id="1588154601">
      <w:bodyDiv w:val="1"/>
      <w:marLeft w:val="0"/>
      <w:marRight w:val="0"/>
      <w:marTop w:val="0"/>
      <w:marBottom w:val="0"/>
      <w:divBdr>
        <w:top w:val="none" w:sz="0" w:space="0" w:color="auto"/>
        <w:left w:val="none" w:sz="0" w:space="0" w:color="auto"/>
        <w:bottom w:val="none" w:sz="0" w:space="0" w:color="auto"/>
        <w:right w:val="none" w:sz="0" w:space="0" w:color="auto"/>
      </w:divBdr>
    </w:div>
    <w:div w:id="1607272024">
      <w:bodyDiv w:val="1"/>
      <w:marLeft w:val="0"/>
      <w:marRight w:val="0"/>
      <w:marTop w:val="0"/>
      <w:marBottom w:val="0"/>
      <w:divBdr>
        <w:top w:val="none" w:sz="0" w:space="0" w:color="auto"/>
        <w:left w:val="none" w:sz="0" w:space="0" w:color="auto"/>
        <w:bottom w:val="none" w:sz="0" w:space="0" w:color="auto"/>
        <w:right w:val="none" w:sz="0" w:space="0" w:color="auto"/>
      </w:divBdr>
    </w:div>
    <w:div w:id="1636720127">
      <w:bodyDiv w:val="1"/>
      <w:marLeft w:val="0"/>
      <w:marRight w:val="0"/>
      <w:marTop w:val="0"/>
      <w:marBottom w:val="0"/>
      <w:divBdr>
        <w:top w:val="none" w:sz="0" w:space="0" w:color="auto"/>
        <w:left w:val="none" w:sz="0" w:space="0" w:color="auto"/>
        <w:bottom w:val="none" w:sz="0" w:space="0" w:color="auto"/>
        <w:right w:val="none" w:sz="0" w:space="0" w:color="auto"/>
      </w:divBdr>
    </w:div>
    <w:div w:id="1686636147">
      <w:bodyDiv w:val="1"/>
      <w:marLeft w:val="0"/>
      <w:marRight w:val="0"/>
      <w:marTop w:val="0"/>
      <w:marBottom w:val="0"/>
      <w:divBdr>
        <w:top w:val="none" w:sz="0" w:space="0" w:color="auto"/>
        <w:left w:val="none" w:sz="0" w:space="0" w:color="auto"/>
        <w:bottom w:val="none" w:sz="0" w:space="0" w:color="auto"/>
        <w:right w:val="none" w:sz="0" w:space="0" w:color="auto"/>
      </w:divBdr>
    </w:div>
    <w:div w:id="1781759412">
      <w:bodyDiv w:val="1"/>
      <w:marLeft w:val="0"/>
      <w:marRight w:val="0"/>
      <w:marTop w:val="0"/>
      <w:marBottom w:val="0"/>
      <w:divBdr>
        <w:top w:val="none" w:sz="0" w:space="0" w:color="auto"/>
        <w:left w:val="none" w:sz="0" w:space="0" w:color="auto"/>
        <w:bottom w:val="none" w:sz="0" w:space="0" w:color="auto"/>
        <w:right w:val="none" w:sz="0" w:space="0" w:color="auto"/>
      </w:divBdr>
    </w:div>
    <w:div w:id="1920404910">
      <w:bodyDiv w:val="1"/>
      <w:marLeft w:val="0"/>
      <w:marRight w:val="0"/>
      <w:marTop w:val="0"/>
      <w:marBottom w:val="0"/>
      <w:divBdr>
        <w:top w:val="none" w:sz="0" w:space="0" w:color="auto"/>
        <w:left w:val="none" w:sz="0" w:space="0" w:color="auto"/>
        <w:bottom w:val="none" w:sz="0" w:space="0" w:color="auto"/>
        <w:right w:val="none" w:sz="0" w:space="0" w:color="auto"/>
      </w:divBdr>
    </w:div>
    <w:div w:id="20121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ingertips.phe.org.uk/profile/cardiovascular" TargetMode="External"/><Relationship Id="rId3" Type="http://schemas.openxmlformats.org/officeDocument/2006/relationships/styles" Target="styles.xml"/><Relationship Id="rId21" Type="http://schemas.openxmlformats.org/officeDocument/2006/relationships/hyperlink" Target="http://www.cambridgeshireinsight.org.uk/JSNA/LTCs-across-the-lifecourse-2015"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healthierlives.phe.org.uk/topic/diabe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ngertips.phe.org.uk/profile/general-practice/data" TargetMode="External"/><Relationship Id="rId20" Type="http://schemas.openxmlformats.org/officeDocument/2006/relationships/hyperlink" Target="http://www.hscic.gov.uk/catalogue/PUB188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ic.gov.uk/searchcatalogue?productid=20155&amp;q=%22National+diabetes+audit%22&amp;sort=Relevance&amp;size=10&amp;page=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2.jpeg"/><Relationship Id="rId10" Type="http://schemas.openxmlformats.org/officeDocument/2006/relationships/hyperlink" Target="http://www.hscic.gov.uk/nda" TargetMode="External"/><Relationship Id="rId19" Type="http://schemas.openxmlformats.org/officeDocument/2006/relationships/hyperlink" Target="http://www.rightcare.nhs.uk/index.php/atlas/diabet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orp.peterborough.gov.uk\public%20health\Data\Shared\2015-16\Public%20Health%20Intelligence\Ad%20hoc%20Reports\Diabetes%20National%20Audit%20-%20David%20Lea\Extra%20Data.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orp.peterborough.gov.uk\public%20health\Data\Shared\2015-16\Public%20Health%20Intelligence\Ad%20hoc%20Reports\Diabetes%20National%20Audit%20-%20David%20Lea\Extra%20Data.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orp.peterborough.gov.uk\public%20health\Data\Shared\2015-16\Public%20Health%20Intelligence\Ad%20hoc%20Reports\Diabetes%20National%20Audit%20-%20David%20Lea\Extra%20Data.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orp.peterborough.gov.uk\public%20health\Data\Shared\2015-16\Public%20Health%20Intelligence\Ad%20hoc%20Reports\Diabetes%20National%20Audit%20-%20David%20Lea\Extr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Sheet1!$B$56</c:f>
              <c:strCache>
                <c:ptCount val="1"/>
                <c:pt idx="0">
                  <c:v>% of newly diagnosed people with type 1 diabetes recorded as being 'offered' a structured education programme</c:v>
                </c:pt>
              </c:strCache>
            </c:strRef>
          </c:tx>
          <c:spPr>
            <a:solidFill>
              <a:schemeClr val="accent1"/>
            </a:solidFill>
            <a:ln>
              <a:noFill/>
            </a:ln>
            <a:effectLst/>
          </c:spPr>
          <c:invertIfNegative val="0"/>
          <c:dPt>
            <c:idx val="2"/>
            <c:invertIfNegative val="0"/>
            <c:bubble3D val="0"/>
            <c:spPr>
              <a:solidFill>
                <a:schemeClr val="accent6">
                  <a:lumMod val="60000"/>
                  <a:lumOff val="40000"/>
                </a:schemeClr>
              </a:solidFill>
              <a:ln>
                <a:noFill/>
              </a:ln>
              <a:effectLst/>
            </c:spPr>
          </c:dPt>
          <c:dPt>
            <c:idx val="3"/>
            <c:invertIfNegative val="0"/>
            <c:bubble3D val="0"/>
            <c:spPr>
              <a:solidFill>
                <a:schemeClr val="accent6">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Sheet1!$A$57:$A$60</c:f>
              <c:strCache>
                <c:ptCount val="4"/>
                <c:pt idx="0">
                  <c:v>C&amp;P CCG 2013-14</c:v>
                </c:pt>
                <c:pt idx="1">
                  <c:v>C&amp;P CCG 2014-15</c:v>
                </c:pt>
                <c:pt idx="2">
                  <c:v>England 2013-14</c:v>
                </c:pt>
                <c:pt idx="3">
                  <c:v>England 2014-15</c:v>
                </c:pt>
              </c:strCache>
            </c:strRef>
          </c:cat>
          <c:val>
            <c:numRef>
              <c:f>Sheet1!$B$57:$B$60</c:f>
              <c:numCache>
                <c:formatCode>General</c:formatCode>
                <c:ptCount val="4"/>
                <c:pt idx="0">
                  <c:v>39.6</c:v>
                </c:pt>
                <c:pt idx="1">
                  <c:v>28.9</c:v>
                </c:pt>
                <c:pt idx="2">
                  <c:v>30.9</c:v>
                </c:pt>
                <c:pt idx="3">
                  <c:v>32.799999999999997</c:v>
                </c:pt>
              </c:numCache>
            </c:numRef>
          </c:val>
        </c:ser>
        <c:dLbls>
          <c:showLegendKey val="0"/>
          <c:showVal val="0"/>
          <c:showCatName val="0"/>
          <c:showSerName val="0"/>
          <c:showPercent val="0"/>
          <c:showBubbleSize val="0"/>
        </c:dLbls>
        <c:gapWidth val="219"/>
        <c:overlap val="-27"/>
        <c:axId val="73306496"/>
        <c:axId val="73308032"/>
      </c:barChart>
      <c:catAx>
        <c:axId val="7330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08032"/>
        <c:crosses val="autoZero"/>
        <c:auto val="1"/>
        <c:lblAlgn val="ctr"/>
        <c:lblOffset val="100"/>
        <c:noMultiLvlLbl val="0"/>
      </c:catAx>
      <c:valAx>
        <c:axId val="7330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0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Sheet1!$C$56</c:f>
              <c:strCache>
                <c:ptCount val="1"/>
                <c:pt idx="0">
                  <c:v>% of newly diagnosed people with type 1 diabetes recorded as having 'attended' a structure education program</c:v>
                </c:pt>
              </c:strCache>
            </c:strRef>
          </c:tx>
          <c:spPr>
            <a:solidFill>
              <a:schemeClr val="accent1"/>
            </a:solidFill>
            <a:ln>
              <a:noFill/>
            </a:ln>
            <a:effectLst/>
          </c:spPr>
          <c:invertIfNegative val="0"/>
          <c:dPt>
            <c:idx val="2"/>
            <c:invertIfNegative val="0"/>
            <c:bubble3D val="0"/>
            <c:spPr>
              <a:solidFill>
                <a:schemeClr val="accent6">
                  <a:lumMod val="60000"/>
                  <a:lumOff val="40000"/>
                </a:schemeClr>
              </a:solidFill>
              <a:ln>
                <a:noFill/>
              </a:ln>
              <a:effectLst/>
            </c:spPr>
          </c:dPt>
          <c:dPt>
            <c:idx val="3"/>
            <c:invertIfNegative val="0"/>
            <c:bubble3D val="0"/>
            <c:spPr>
              <a:solidFill>
                <a:schemeClr val="accent6">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Sheet1!$A$57:$A$60</c:f>
              <c:strCache>
                <c:ptCount val="4"/>
                <c:pt idx="0">
                  <c:v>C&amp;P CCG 2013-14</c:v>
                </c:pt>
                <c:pt idx="1">
                  <c:v>C&amp;P CCG 2014-15</c:v>
                </c:pt>
                <c:pt idx="2">
                  <c:v>England 2013-14</c:v>
                </c:pt>
                <c:pt idx="3">
                  <c:v>England 2014-15</c:v>
                </c:pt>
              </c:strCache>
            </c:strRef>
          </c:cat>
          <c:val>
            <c:numRef>
              <c:f>Sheet1!$C$57:$C$60</c:f>
              <c:numCache>
                <c:formatCode>0.0</c:formatCode>
                <c:ptCount val="4"/>
                <c:pt idx="0">
                  <c:v>4</c:v>
                </c:pt>
                <c:pt idx="1">
                  <c:v>0.9</c:v>
                </c:pt>
                <c:pt idx="2">
                  <c:v>1.9</c:v>
                </c:pt>
                <c:pt idx="3">
                  <c:v>1.9</c:v>
                </c:pt>
              </c:numCache>
            </c:numRef>
          </c:val>
        </c:ser>
        <c:dLbls>
          <c:showLegendKey val="0"/>
          <c:showVal val="0"/>
          <c:showCatName val="0"/>
          <c:showSerName val="0"/>
          <c:showPercent val="0"/>
          <c:showBubbleSize val="0"/>
        </c:dLbls>
        <c:gapWidth val="219"/>
        <c:overlap val="-27"/>
        <c:axId val="74139904"/>
        <c:axId val="74145792"/>
      </c:barChart>
      <c:catAx>
        <c:axId val="7413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45792"/>
        <c:crosses val="autoZero"/>
        <c:auto val="1"/>
        <c:lblAlgn val="ctr"/>
        <c:lblOffset val="100"/>
        <c:noMultiLvlLbl val="0"/>
      </c:catAx>
      <c:valAx>
        <c:axId val="741457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3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Sheet1!$D$56</c:f>
              <c:strCache>
                <c:ptCount val="1"/>
                <c:pt idx="0">
                  <c:v>% of newly diagnosed people with type 2 diabetes recorded as being 'offered' a structured education programme</c:v>
                </c:pt>
              </c:strCache>
            </c:strRef>
          </c:tx>
          <c:spPr>
            <a:solidFill>
              <a:schemeClr val="accent1"/>
            </a:solidFill>
            <a:ln>
              <a:noFill/>
            </a:ln>
            <a:effectLst/>
          </c:spPr>
          <c:invertIfNegative val="0"/>
          <c:dPt>
            <c:idx val="2"/>
            <c:invertIfNegative val="0"/>
            <c:bubble3D val="0"/>
            <c:spPr>
              <a:solidFill>
                <a:schemeClr val="accent6">
                  <a:lumMod val="60000"/>
                  <a:lumOff val="40000"/>
                </a:schemeClr>
              </a:solidFill>
              <a:ln>
                <a:noFill/>
              </a:ln>
              <a:effectLst/>
            </c:spPr>
          </c:dPt>
          <c:dPt>
            <c:idx val="3"/>
            <c:invertIfNegative val="0"/>
            <c:bubble3D val="0"/>
            <c:spPr>
              <a:solidFill>
                <a:schemeClr val="accent6">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Sheet1!$A$57:$A$60</c:f>
              <c:strCache>
                <c:ptCount val="4"/>
                <c:pt idx="0">
                  <c:v>C&amp;P CCG 2013-14</c:v>
                </c:pt>
                <c:pt idx="1">
                  <c:v>C&amp;P CCG 2014-15</c:v>
                </c:pt>
                <c:pt idx="2">
                  <c:v>England 2013-14</c:v>
                </c:pt>
                <c:pt idx="3">
                  <c:v>England 2014-15</c:v>
                </c:pt>
              </c:strCache>
            </c:strRef>
          </c:cat>
          <c:val>
            <c:numRef>
              <c:f>Sheet1!$D$57:$D$60</c:f>
              <c:numCache>
                <c:formatCode>0.0</c:formatCode>
                <c:ptCount val="4"/>
                <c:pt idx="0">
                  <c:v>71.7</c:v>
                </c:pt>
                <c:pt idx="1">
                  <c:v>80.5</c:v>
                </c:pt>
                <c:pt idx="2">
                  <c:v>69</c:v>
                </c:pt>
                <c:pt idx="3">
                  <c:v>78.7</c:v>
                </c:pt>
              </c:numCache>
            </c:numRef>
          </c:val>
        </c:ser>
        <c:dLbls>
          <c:showLegendKey val="0"/>
          <c:showVal val="0"/>
          <c:showCatName val="0"/>
          <c:showSerName val="0"/>
          <c:showPercent val="0"/>
          <c:showBubbleSize val="0"/>
        </c:dLbls>
        <c:gapWidth val="219"/>
        <c:overlap val="-27"/>
        <c:axId val="74174848"/>
        <c:axId val="74176384"/>
      </c:barChart>
      <c:catAx>
        <c:axId val="7417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76384"/>
        <c:crosses val="autoZero"/>
        <c:auto val="1"/>
        <c:lblAlgn val="ctr"/>
        <c:lblOffset val="100"/>
        <c:noMultiLvlLbl val="0"/>
      </c:catAx>
      <c:valAx>
        <c:axId val="74176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74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Sheet1!$E$56</c:f>
              <c:strCache>
                <c:ptCount val="1"/>
                <c:pt idx="0">
                  <c:v>% of newly diagnosed people with type 2 diabetes recorded as having 'attended' a structure education program</c:v>
                </c:pt>
              </c:strCache>
            </c:strRef>
          </c:tx>
          <c:spPr>
            <a:solidFill>
              <a:schemeClr val="accent1"/>
            </a:solidFill>
            <a:ln>
              <a:noFill/>
            </a:ln>
            <a:effectLst/>
          </c:spPr>
          <c:invertIfNegative val="0"/>
          <c:dPt>
            <c:idx val="2"/>
            <c:invertIfNegative val="0"/>
            <c:bubble3D val="0"/>
            <c:spPr>
              <a:solidFill>
                <a:schemeClr val="accent6">
                  <a:lumMod val="60000"/>
                  <a:lumOff val="40000"/>
                </a:schemeClr>
              </a:solidFill>
              <a:ln>
                <a:noFill/>
              </a:ln>
              <a:effectLst/>
            </c:spPr>
          </c:dPt>
          <c:dPt>
            <c:idx val="3"/>
            <c:invertIfNegative val="0"/>
            <c:bubble3D val="0"/>
            <c:spPr>
              <a:solidFill>
                <a:schemeClr val="accent6">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Sheet1!$A$57:$A$60</c:f>
              <c:strCache>
                <c:ptCount val="4"/>
                <c:pt idx="0">
                  <c:v>C&amp;P CCG 2013-14</c:v>
                </c:pt>
                <c:pt idx="1">
                  <c:v>C&amp;P CCG 2014-15</c:v>
                </c:pt>
                <c:pt idx="2">
                  <c:v>England 2013-14</c:v>
                </c:pt>
                <c:pt idx="3">
                  <c:v>England 2014-15</c:v>
                </c:pt>
              </c:strCache>
            </c:strRef>
          </c:cat>
          <c:val>
            <c:numRef>
              <c:f>Sheet1!$E$57:$E$60</c:f>
              <c:numCache>
                <c:formatCode>0.0</c:formatCode>
                <c:ptCount val="4"/>
                <c:pt idx="0">
                  <c:v>8.9</c:v>
                </c:pt>
                <c:pt idx="1">
                  <c:v>4.5</c:v>
                </c:pt>
                <c:pt idx="2">
                  <c:v>5.8</c:v>
                </c:pt>
                <c:pt idx="3">
                  <c:v>5.9</c:v>
                </c:pt>
              </c:numCache>
            </c:numRef>
          </c:val>
        </c:ser>
        <c:dLbls>
          <c:showLegendKey val="0"/>
          <c:showVal val="0"/>
          <c:showCatName val="0"/>
          <c:showSerName val="0"/>
          <c:showPercent val="0"/>
          <c:showBubbleSize val="0"/>
        </c:dLbls>
        <c:gapWidth val="219"/>
        <c:overlap val="-27"/>
        <c:axId val="73939200"/>
        <c:axId val="73940992"/>
      </c:barChart>
      <c:catAx>
        <c:axId val="7393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40992"/>
        <c:crosses val="autoZero"/>
        <c:auto val="1"/>
        <c:lblAlgn val="ctr"/>
        <c:lblOffset val="100"/>
        <c:noMultiLvlLbl val="0"/>
      </c:catAx>
      <c:valAx>
        <c:axId val="73940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3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7609-8943-4F5F-9B9F-030993A9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6335</Words>
  <Characters>36112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Ryan</dc:creator>
  <cp:lastModifiedBy>David Lea</cp:lastModifiedBy>
  <cp:revision>5</cp:revision>
  <cp:lastPrinted>2016-03-08T15:45:00Z</cp:lastPrinted>
  <dcterms:created xsi:type="dcterms:W3CDTF">2016-03-10T11:24:00Z</dcterms:created>
  <dcterms:modified xsi:type="dcterms:W3CDTF">2016-03-10T11:45:00Z</dcterms:modified>
</cp:coreProperties>
</file>