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3367" w14:textId="77777777" w:rsidR="009238FE" w:rsidRDefault="000B2BC6" w:rsidP="000B2BC6">
      <w:pPr>
        <w:jc w:val="center"/>
      </w:pPr>
      <w:r>
        <w:rPr>
          <w:noProof/>
          <w:lang w:eastAsia="en-GB"/>
        </w:rPr>
        <w:drawing>
          <wp:inline distT="0" distB="0" distL="0" distR="0" wp14:anchorId="62C46008" wp14:editId="22A4F2BE">
            <wp:extent cx="3362325" cy="838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38200"/>
                    </a:xfrm>
                    <a:prstGeom prst="rect">
                      <a:avLst/>
                    </a:prstGeom>
                  </pic:spPr>
                </pic:pic>
              </a:graphicData>
            </a:graphic>
          </wp:inline>
        </w:drawing>
      </w:r>
    </w:p>
    <w:p w14:paraId="12D7AEC4" w14:textId="77777777" w:rsidR="0058050B" w:rsidRDefault="0058050B"/>
    <w:p w14:paraId="77585F74" w14:textId="77777777" w:rsidR="0058050B" w:rsidRPr="005E764F" w:rsidRDefault="0058050B">
      <w:pPr>
        <w:rPr>
          <w:color w:val="002F5D"/>
        </w:rPr>
      </w:pPr>
    </w:p>
    <w:p w14:paraId="1452E592" w14:textId="77777777" w:rsidR="0058050B" w:rsidRPr="005E764F" w:rsidRDefault="0058050B">
      <w:pPr>
        <w:rPr>
          <w:color w:val="002F5D"/>
        </w:rPr>
      </w:pPr>
    </w:p>
    <w:p w14:paraId="4B3DD267" w14:textId="77777777" w:rsidR="0058050B" w:rsidRPr="005E764F" w:rsidRDefault="0058050B">
      <w:pPr>
        <w:rPr>
          <w:color w:val="002F5D"/>
        </w:rPr>
      </w:pPr>
    </w:p>
    <w:p w14:paraId="1DBD9462" w14:textId="77777777" w:rsidR="0058050B" w:rsidRPr="005E764F" w:rsidRDefault="0058050B">
      <w:pPr>
        <w:rPr>
          <w:color w:val="002F5D"/>
        </w:rPr>
      </w:pPr>
    </w:p>
    <w:p w14:paraId="0CF23AB6" w14:textId="77777777" w:rsidR="00DD34A2" w:rsidRDefault="00DD34A2" w:rsidP="0058050B">
      <w:pPr>
        <w:pStyle w:val="Heading1"/>
        <w:jc w:val="center"/>
        <w:rPr>
          <w:color w:val="002F5D"/>
          <w:sz w:val="72"/>
          <w:szCs w:val="72"/>
        </w:rPr>
      </w:pPr>
    </w:p>
    <w:p w14:paraId="43C31A0E" w14:textId="77777777" w:rsidR="009359D7" w:rsidRDefault="006C140C" w:rsidP="0058050B">
      <w:pPr>
        <w:pStyle w:val="Heading1"/>
        <w:jc w:val="center"/>
        <w:rPr>
          <w:color w:val="002F5D"/>
          <w:sz w:val="72"/>
          <w:szCs w:val="72"/>
        </w:rPr>
      </w:pPr>
      <w:r w:rsidRPr="005E764F">
        <w:rPr>
          <w:color w:val="002F5D"/>
          <w:sz w:val="72"/>
          <w:szCs w:val="72"/>
        </w:rPr>
        <w:t>Local Alcohol Profiles for England</w:t>
      </w:r>
    </w:p>
    <w:p w14:paraId="2ECB5EEF" w14:textId="77777777" w:rsidR="0058050B" w:rsidRPr="005E764F" w:rsidRDefault="006C140C" w:rsidP="0058050B">
      <w:pPr>
        <w:pStyle w:val="Heading1"/>
        <w:jc w:val="center"/>
        <w:rPr>
          <w:color w:val="002F5D"/>
          <w:sz w:val="72"/>
          <w:szCs w:val="72"/>
        </w:rPr>
      </w:pPr>
      <w:r w:rsidRPr="005E764F">
        <w:rPr>
          <w:color w:val="002F5D"/>
          <w:sz w:val="72"/>
          <w:szCs w:val="72"/>
        </w:rPr>
        <w:t xml:space="preserve">Summary for </w:t>
      </w:r>
      <w:r w:rsidR="000B2BC6" w:rsidRPr="005E764F">
        <w:rPr>
          <w:color w:val="002F5D"/>
          <w:sz w:val="72"/>
          <w:szCs w:val="72"/>
        </w:rPr>
        <w:t>Cambridgeshire County Council &amp; Peterborough City Council</w:t>
      </w:r>
    </w:p>
    <w:p w14:paraId="4B05B41D" w14:textId="77777777" w:rsidR="0058050B" w:rsidRPr="005E764F" w:rsidRDefault="0058050B" w:rsidP="0058050B">
      <w:pPr>
        <w:pStyle w:val="Heading1"/>
        <w:jc w:val="center"/>
        <w:rPr>
          <w:color w:val="002F5D"/>
          <w:sz w:val="72"/>
          <w:szCs w:val="72"/>
        </w:rPr>
      </w:pPr>
    </w:p>
    <w:p w14:paraId="34DBACB4" w14:textId="684F648B" w:rsidR="0058050B" w:rsidRPr="005E764F" w:rsidRDefault="00AD1CFE" w:rsidP="0058050B">
      <w:pPr>
        <w:pStyle w:val="Heading1"/>
        <w:jc w:val="center"/>
        <w:rPr>
          <w:color w:val="002F5D"/>
        </w:rPr>
      </w:pPr>
      <w:r>
        <w:rPr>
          <w:color w:val="002F5D"/>
          <w:sz w:val="72"/>
          <w:szCs w:val="72"/>
        </w:rPr>
        <w:t>May</w:t>
      </w:r>
      <w:r w:rsidR="00AC311E" w:rsidRPr="005E764F">
        <w:rPr>
          <w:color w:val="002F5D"/>
          <w:sz w:val="72"/>
          <w:szCs w:val="72"/>
        </w:rPr>
        <w:t xml:space="preserve"> </w:t>
      </w:r>
      <w:r w:rsidR="000B2BC6" w:rsidRPr="005E764F">
        <w:rPr>
          <w:color w:val="002F5D"/>
          <w:sz w:val="72"/>
          <w:szCs w:val="72"/>
        </w:rPr>
        <w:t>2018</w:t>
      </w:r>
    </w:p>
    <w:p w14:paraId="6A7D4C01" w14:textId="77777777" w:rsidR="00934BC8" w:rsidRPr="005E764F" w:rsidRDefault="00934BC8">
      <w:pPr>
        <w:rPr>
          <w:color w:val="002F5D"/>
        </w:rPr>
      </w:pPr>
    </w:p>
    <w:p w14:paraId="63D9C1AA" w14:textId="77777777" w:rsidR="0058050B" w:rsidRPr="005E764F" w:rsidRDefault="0058050B">
      <w:pPr>
        <w:rPr>
          <w:color w:val="002F5D"/>
        </w:rPr>
      </w:pPr>
    </w:p>
    <w:p w14:paraId="33E787E7" w14:textId="77777777" w:rsidR="006C140C" w:rsidRPr="005E764F" w:rsidRDefault="006C140C">
      <w:pPr>
        <w:rPr>
          <w:color w:val="002F5D"/>
        </w:rPr>
      </w:pPr>
    </w:p>
    <w:p w14:paraId="54556708" w14:textId="77777777" w:rsidR="000C6605" w:rsidRPr="005E764F" w:rsidRDefault="000C6605">
      <w:pPr>
        <w:rPr>
          <w:color w:val="002F5D"/>
        </w:rPr>
      </w:pPr>
    </w:p>
    <w:p w14:paraId="6B5E8DFF" w14:textId="77777777" w:rsidR="00934BC8" w:rsidRPr="00690F32" w:rsidRDefault="00934BC8" w:rsidP="000B2BC6">
      <w:pPr>
        <w:pStyle w:val="Heading2"/>
        <w:numPr>
          <w:ilvl w:val="0"/>
          <w:numId w:val="3"/>
        </w:numPr>
        <w:rPr>
          <w:b/>
          <w:color w:val="002F5D"/>
        </w:rPr>
      </w:pPr>
      <w:r w:rsidRPr="00690F32">
        <w:rPr>
          <w:b/>
          <w:color w:val="002F5D"/>
        </w:rPr>
        <w:lastRenderedPageBreak/>
        <w:t>Introduction</w:t>
      </w:r>
    </w:p>
    <w:p w14:paraId="257A65A7" w14:textId="77777777" w:rsidR="000B2BC6" w:rsidRPr="005E764F" w:rsidRDefault="000B2BC6" w:rsidP="000B2BC6">
      <w:pPr>
        <w:rPr>
          <w:color w:val="002F5D"/>
        </w:rPr>
      </w:pPr>
    </w:p>
    <w:p w14:paraId="639A6E70" w14:textId="0C25AC50" w:rsidR="00CB1DD2" w:rsidRPr="005E764F" w:rsidRDefault="00CB1DD2" w:rsidP="00CB1DD2">
      <w:pPr>
        <w:pStyle w:val="NormalWeb"/>
        <w:shd w:val="clear" w:color="auto" w:fill="FFFFFF"/>
        <w:rPr>
          <w:rFonts w:asciiTheme="minorHAnsi" w:hAnsiTheme="minorHAnsi" w:cs="Arial"/>
          <w:color w:val="002F5D"/>
          <w:sz w:val="22"/>
          <w:szCs w:val="22"/>
        </w:rPr>
      </w:pPr>
      <w:r w:rsidRPr="005E764F">
        <w:rPr>
          <w:rFonts w:asciiTheme="minorHAnsi" w:hAnsiTheme="minorHAnsi"/>
          <w:color w:val="002F5D"/>
          <w:sz w:val="22"/>
          <w:szCs w:val="22"/>
        </w:rPr>
        <w:t>The Local Alcohol Profiles for England</w:t>
      </w:r>
      <w:r w:rsidR="00E94E8B" w:rsidRPr="005E764F">
        <w:rPr>
          <w:rStyle w:val="FootnoteReference"/>
          <w:color w:val="002F5D"/>
        </w:rPr>
        <w:footnoteReference w:id="1"/>
      </w:r>
      <w:r w:rsidR="00E94E8B" w:rsidRPr="005E764F">
        <w:rPr>
          <w:color w:val="002F5D"/>
        </w:rPr>
        <w:t xml:space="preserve"> </w:t>
      </w:r>
      <w:r w:rsidRPr="005E764F">
        <w:rPr>
          <w:rFonts w:asciiTheme="minorHAnsi" w:hAnsiTheme="minorHAnsi"/>
          <w:color w:val="002F5D"/>
          <w:sz w:val="22"/>
          <w:szCs w:val="22"/>
        </w:rPr>
        <w:t>are produced by Public Health England and were updated in February 2018</w:t>
      </w:r>
      <w:r w:rsidR="00D9113F" w:rsidRPr="005E764F">
        <w:rPr>
          <w:rFonts w:asciiTheme="minorHAnsi" w:hAnsiTheme="minorHAnsi"/>
          <w:color w:val="002F5D"/>
          <w:sz w:val="22"/>
          <w:szCs w:val="22"/>
        </w:rPr>
        <w:t>.  They</w:t>
      </w:r>
      <w:r w:rsidRPr="005E764F">
        <w:rPr>
          <w:rFonts w:asciiTheme="minorHAnsi" w:hAnsiTheme="minorHAnsi" w:cs="Arial"/>
          <w:color w:val="002F5D"/>
          <w:sz w:val="22"/>
          <w:szCs w:val="22"/>
        </w:rPr>
        <w:t xml:space="preserve"> provide information for local government, health organisations, commi</w:t>
      </w:r>
      <w:r w:rsidR="003C7F95">
        <w:rPr>
          <w:rFonts w:asciiTheme="minorHAnsi" w:hAnsiTheme="minorHAnsi" w:cs="Arial"/>
          <w:color w:val="002F5D"/>
          <w:sz w:val="22"/>
          <w:szCs w:val="22"/>
        </w:rPr>
        <w:t>ssioners and other agencies to access</w:t>
      </w:r>
      <w:r w:rsidRPr="005E764F">
        <w:rPr>
          <w:rFonts w:asciiTheme="minorHAnsi" w:hAnsiTheme="minorHAnsi" w:cs="Arial"/>
          <w:color w:val="002F5D"/>
          <w:sz w:val="22"/>
          <w:szCs w:val="22"/>
        </w:rPr>
        <w:t xml:space="preserve"> the impact of alcohol on local communities and to </w:t>
      </w:r>
      <w:r w:rsidR="009359D7">
        <w:rPr>
          <w:rFonts w:asciiTheme="minorHAnsi" w:hAnsiTheme="minorHAnsi" w:cs="Arial"/>
          <w:color w:val="002F5D"/>
          <w:sz w:val="22"/>
          <w:szCs w:val="22"/>
        </w:rPr>
        <w:t xml:space="preserve">assess </w:t>
      </w:r>
      <w:r w:rsidRPr="005E764F">
        <w:rPr>
          <w:rFonts w:asciiTheme="minorHAnsi" w:hAnsiTheme="minorHAnsi" w:cs="Arial"/>
          <w:color w:val="002F5D"/>
          <w:sz w:val="22"/>
          <w:szCs w:val="22"/>
        </w:rPr>
        <w:t>the services and initiatives that have been put in place to prevent and reduce the harmful impact of alcohol.</w:t>
      </w:r>
    </w:p>
    <w:p w14:paraId="368BB66C" w14:textId="77777777" w:rsidR="006C140C" w:rsidRPr="005E764F" w:rsidRDefault="006C140C" w:rsidP="006C140C">
      <w:pPr>
        <w:pStyle w:val="NormalWeb"/>
        <w:shd w:val="clear" w:color="auto" w:fill="FFFFFF"/>
        <w:rPr>
          <w:rFonts w:ascii="Calibri" w:hAnsi="Calibri" w:cs="Arial"/>
          <w:color w:val="002F5D"/>
          <w:sz w:val="22"/>
          <w:szCs w:val="26"/>
        </w:rPr>
      </w:pPr>
      <w:r w:rsidRPr="005E764F">
        <w:rPr>
          <w:rFonts w:ascii="Calibri" w:hAnsi="Calibri" w:cs="Arial"/>
          <w:color w:val="002F5D"/>
          <w:sz w:val="22"/>
          <w:szCs w:val="26"/>
        </w:rPr>
        <w:t xml:space="preserve">Alcohol use has health and social consequences borne by individuals, their families, and the wider community. </w:t>
      </w:r>
    </w:p>
    <w:p w14:paraId="28E2311E" w14:textId="77777777" w:rsidR="006C140C" w:rsidRPr="005E764F" w:rsidRDefault="006C140C" w:rsidP="006C140C">
      <w:pPr>
        <w:pStyle w:val="NormalWeb"/>
        <w:shd w:val="clear" w:color="auto" w:fill="FFFFFF"/>
        <w:spacing w:before="0" w:after="0"/>
        <w:rPr>
          <w:rFonts w:ascii="Calibri" w:hAnsi="Calibri" w:cs="Arial"/>
          <w:color w:val="002F5D"/>
          <w:sz w:val="22"/>
          <w:szCs w:val="26"/>
        </w:rPr>
      </w:pPr>
      <w:r w:rsidRPr="005E764F">
        <w:rPr>
          <w:rFonts w:ascii="Calibri" w:hAnsi="Calibri" w:cs="Arial"/>
          <w:color w:val="002F5D"/>
          <w:sz w:val="22"/>
          <w:szCs w:val="26"/>
        </w:rPr>
        <w:t>Reducing harmful drinking is one of </w:t>
      </w:r>
      <w:hyperlink r:id="rId9" w:history="1">
        <w:r w:rsidRPr="005E764F">
          <w:rPr>
            <w:rStyle w:val="Hyperlink"/>
            <w:rFonts w:ascii="Calibri" w:hAnsi="Calibri" w:cs="Arial"/>
            <w:color w:val="002F5D"/>
            <w:sz w:val="22"/>
            <w:szCs w:val="26"/>
            <w:u w:val="none"/>
            <w:bdr w:val="none" w:sz="0" w:space="0" w:color="auto" w:frame="1"/>
          </w:rPr>
          <w:t>seven priority areas</w:t>
        </w:r>
      </w:hyperlink>
      <w:r w:rsidRPr="005E764F">
        <w:rPr>
          <w:rFonts w:ascii="Calibri" w:hAnsi="Calibri" w:cs="Arial"/>
          <w:color w:val="002F5D"/>
          <w:sz w:val="22"/>
          <w:szCs w:val="26"/>
        </w:rPr>
        <w:t> </w:t>
      </w:r>
      <w:r w:rsidR="009E2C7E">
        <w:rPr>
          <w:rFonts w:ascii="Calibri" w:hAnsi="Calibri" w:cs="Arial"/>
          <w:color w:val="002F5D"/>
          <w:sz w:val="22"/>
          <w:szCs w:val="26"/>
        </w:rPr>
        <w:t>on which</w:t>
      </w:r>
      <w:r w:rsidRPr="005E764F">
        <w:rPr>
          <w:rFonts w:ascii="Calibri" w:hAnsi="Calibri" w:cs="Arial"/>
          <w:color w:val="002F5D"/>
          <w:sz w:val="22"/>
          <w:szCs w:val="26"/>
        </w:rPr>
        <w:t xml:space="preserve"> Public Health England is focusing efforts on securing improvement. The indicators contained within the web-tool were selected following consultation with stakeholders and a review of the availability of routine data. The Local Alcohol Profiles for England (LAPE) are part of a series of products by Public Health England that provide local data alongside national comparisons to support local health improvement.</w:t>
      </w:r>
    </w:p>
    <w:p w14:paraId="08830440" w14:textId="77777777" w:rsidR="00D9113F" w:rsidRPr="005E764F" w:rsidRDefault="00D9113F" w:rsidP="006C140C">
      <w:pPr>
        <w:pStyle w:val="NormalWeb"/>
        <w:shd w:val="clear" w:color="auto" w:fill="FFFFFF"/>
        <w:spacing w:before="0" w:after="0"/>
        <w:rPr>
          <w:rFonts w:ascii="Calibri" w:hAnsi="Calibri"/>
          <w:color w:val="002F5D"/>
          <w:sz w:val="22"/>
          <w:szCs w:val="22"/>
        </w:rPr>
      </w:pPr>
      <w:r w:rsidRPr="005E764F">
        <w:rPr>
          <w:rFonts w:ascii="Calibri" w:hAnsi="Calibri"/>
          <w:color w:val="002F5D"/>
          <w:sz w:val="22"/>
          <w:szCs w:val="22"/>
        </w:rPr>
        <w:t>Alcohol indicators are presented</w:t>
      </w:r>
      <w:r w:rsidR="005D6473">
        <w:rPr>
          <w:rFonts w:ascii="Calibri" w:hAnsi="Calibri"/>
          <w:color w:val="002F5D"/>
          <w:sz w:val="22"/>
          <w:szCs w:val="22"/>
        </w:rPr>
        <w:t xml:space="preserve"> within the profiles</w:t>
      </w:r>
      <w:r w:rsidRPr="005E764F">
        <w:rPr>
          <w:rFonts w:ascii="Calibri" w:hAnsi="Calibri"/>
          <w:color w:val="002F5D"/>
          <w:sz w:val="22"/>
          <w:szCs w:val="22"/>
        </w:rPr>
        <w:t xml:space="preserve"> that show how each area compares to the national average in order to highlight potential local issues. This report presents a summary of the key indicators and updates to provide a rapid overview for Cambridgeshire and Peterborough, and the Cambridgeshire districts.</w:t>
      </w:r>
    </w:p>
    <w:p w14:paraId="2546AF25" w14:textId="77777777" w:rsidR="00D9113F" w:rsidRPr="005E764F" w:rsidRDefault="00D9113F" w:rsidP="006C140C">
      <w:pPr>
        <w:pStyle w:val="NormalWeb"/>
        <w:shd w:val="clear" w:color="auto" w:fill="FFFFFF"/>
        <w:spacing w:before="0" w:after="0"/>
        <w:rPr>
          <w:rFonts w:ascii="Calibri" w:hAnsi="Calibri" w:cs="Arial"/>
          <w:color w:val="002F5D"/>
          <w:sz w:val="22"/>
          <w:szCs w:val="22"/>
        </w:rPr>
      </w:pPr>
      <w:r w:rsidRPr="005E764F">
        <w:rPr>
          <w:rFonts w:ascii="Calibri" w:hAnsi="Calibri"/>
          <w:color w:val="002F5D"/>
          <w:sz w:val="22"/>
          <w:szCs w:val="22"/>
        </w:rPr>
        <w:t xml:space="preserve">For the purpose of this report, Cambridgeshire districts have been benchmarked </w:t>
      </w:r>
      <w:r w:rsidR="009359D7">
        <w:rPr>
          <w:rFonts w:ascii="Calibri" w:hAnsi="Calibri"/>
          <w:color w:val="002F5D"/>
          <w:sz w:val="22"/>
          <w:szCs w:val="22"/>
        </w:rPr>
        <w:t xml:space="preserve">against Cambridgeshire averages. </w:t>
      </w:r>
      <w:r w:rsidRPr="005E764F">
        <w:rPr>
          <w:rFonts w:ascii="Calibri" w:hAnsi="Calibri"/>
          <w:color w:val="002F5D"/>
          <w:sz w:val="22"/>
          <w:szCs w:val="22"/>
        </w:rPr>
        <w:t>Cambridgeshire and Peterborough</w:t>
      </w:r>
      <w:r w:rsidR="007A64A0">
        <w:rPr>
          <w:rFonts w:ascii="Calibri" w:hAnsi="Calibri"/>
          <w:color w:val="002F5D"/>
          <w:sz w:val="22"/>
          <w:szCs w:val="22"/>
        </w:rPr>
        <w:t xml:space="preserve"> local authorities</w:t>
      </w:r>
      <w:r w:rsidRPr="005E764F">
        <w:rPr>
          <w:rFonts w:ascii="Calibri" w:hAnsi="Calibri"/>
          <w:color w:val="002F5D"/>
          <w:sz w:val="22"/>
          <w:szCs w:val="22"/>
        </w:rPr>
        <w:t xml:space="preserve"> and </w:t>
      </w:r>
      <w:r w:rsidR="009359D7">
        <w:rPr>
          <w:rFonts w:ascii="Calibri" w:hAnsi="Calibri"/>
          <w:color w:val="002F5D"/>
          <w:sz w:val="22"/>
          <w:szCs w:val="22"/>
        </w:rPr>
        <w:t xml:space="preserve">the </w:t>
      </w:r>
      <w:r w:rsidRPr="005E764F">
        <w:rPr>
          <w:rFonts w:ascii="Calibri" w:hAnsi="Calibri"/>
          <w:color w:val="002F5D"/>
          <w:sz w:val="22"/>
          <w:szCs w:val="22"/>
        </w:rPr>
        <w:t xml:space="preserve">Cambridgeshire and Peterborough </w:t>
      </w:r>
      <w:r w:rsidR="009359D7">
        <w:rPr>
          <w:rFonts w:ascii="Calibri" w:hAnsi="Calibri"/>
          <w:color w:val="002F5D"/>
          <w:sz w:val="22"/>
          <w:szCs w:val="22"/>
        </w:rPr>
        <w:t>C</w:t>
      </w:r>
      <w:r w:rsidRPr="005E764F">
        <w:rPr>
          <w:rFonts w:ascii="Calibri" w:hAnsi="Calibri"/>
          <w:color w:val="002F5D"/>
          <w:sz w:val="22"/>
          <w:szCs w:val="22"/>
        </w:rPr>
        <w:t xml:space="preserve">ombined </w:t>
      </w:r>
      <w:r w:rsidR="009359D7">
        <w:rPr>
          <w:rFonts w:ascii="Calibri" w:hAnsi="Calibri"/>
          <w:color w:val="002F5D"/>
          <w:sz w:val="22"/>
          <w:szCs w:val="22"/>
        </w:rPr>
        <w:t>A</w:t>
      </w:r>
      <w:r w:rsidRPr="005E764F">
        <w:rPr>
          <w:rFonts w:ascii="Calibri" w:hAnsi="Calibri"/>
          <w:color w:val="002F5D"/>
          <w:sz w:val="22"/>
          <w:szCs w:val="22"/>
        </w:rPr>
        <w:t>uthority have been benchmarked against England.</w:t>
      </w:r>
      <w:r w:rsidR="009359D7">
        <w:rPr>
          <w:rFonts w:ascii="Calibri" w:hAnsi="Calibri"/>
          <w:color w:val="002F5D"/>
          <w:sz w:val="22"/>
          <w:szCs w:val="22"/>
        </w:rPr>
        <w:t xml:space="preserve"> Please see the key below.</w:t>
      </w:r>
    </w:p>
    <w:tbl>
      <w:tblPr>
        <w:tblW w:w="8658" w:type="dxa"/>
        <w:tblLook w:val="04A0" w:firstRow="1" w:lastRow="0" w:firstColumn="1" w:lastColumn="0" w:noHBand="0" w:noVBand="1"/>
      </w:tblPr>
      <w:tblGrid>
        <w:gridCol w:w="962"/>
        <w:gridCol w:w="962"/>
        <w:gridCol w:w="962"/>
        <w:gridCol w:w="962"/>
        <w:gridCol w:w="962"/>
        <w:gridCol w:w="962"/>
        <w:gridCol w:w="962"/>
        <w:gridCol w:w="962"/>
        <w:gridCol w:w="962"/>
      </w:tblGrid>
      <w:tr w:rsidR="005E764F" w:rsidRPr="005E764F" w14:paraId="2ABF95A8" w14:textId="77777777" w:rsidTr="00E94E8B">
        <w:trPr>
          <w:trHeight w:val="263"/>
        </w:trPr>
        <w:tc>
          <w:tcPr>
            <w:tcW w:w="8658" w:type="dxa"/>
            <w:gridSpan w:val="9"/>
            <w:tcBorders>
              <w:top w:val="nil"/>
              <w:left w:val="nil"/>
              <w:bottom w:val="nil"/>
              <w:right w:val="nil"/>
            </w:tcBorders>
            <w:shd w:val="clear" w:color="auto" w:fill="auto"/>
            <w:noWrap/>
            <w:vAlign w:val="bottom"/>
            <w:hideMark/>
          </w:tcPr>
          <w:p w14:paraId="23B9D225" w14:textId="77777777" w:rsidR="00E94E8B" w:rsidRPr="005E764F" w:rsidRDefault="0086252F" w:rsidP="00E94E8B">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Benchmark key:</w:t>
            </w:r>
          </w:p>
        </w:tc>
      </w:tr>
      <w:tr w:rsidR="005E764F" w:rsidRPr="005E764F" w14:paraId="04CA9F45" w14:textId="77777777" w:rsidTr="00E94E8B">
        <w:trPr>
          <w:trHeight w:val="300"/>
        </w:trPr>
        <w:tc>
          <w:tcPr>
            <w:tcW w:w="962" w:type="dxa"/>
            <w:tcBorders>
              <w:top w:val="nil"/>
              <w:left w:val="nil"/>
              <w:bottom w:val="nil"/>
              <w:right w:val="nil"/>
            </w:tcBorders>
            <w:shd w:val="clear" w:color="000000" w:fill="FFFFFF"/>
            <w:noWrap/>
            <w:vAlign w:val="bottom"/>
            <w:hideMark/>
          </w:tcPr>
          <w:p w14:paraId="12DD1B10"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4763DDCC"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5D40C2A9"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1878A849"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67DCB8A8"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19A4F175"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67CFC29C"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2869C1DA"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7C3E803D"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r>
      <w:tr w:rsidR="005E764F" w:rsidRPr="005E764F" w14:paraId="213335AC" w14:textId="77777777" w:rsidTr="00E94E8B">
        <w:trPr>
          <w:trHeight w:val="300"/>
        </w:trPr>
        <w:tc>
          <w:tcPr>
            <w:tcW w:w="962" w:type="dxa"/>
            <w:tcBorders>
              <w:top w:val="nil"/>
              <w:left w:val="nil"/>
              <w:bottom w:val="nil"/>
              <w:right w:val="nil"/>
            </w:tcBorders>
            <w:shd w:val="clear" w:color="000000" w:fill="92D050"/>
            <w:noWrap/>
            <w:vAlign w:val="bottom"/>
            <w:hideMark/>
          </w:tcPr>
          <w:p w14:paraId="6C4CDE53"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7696" w:type="dxa"/>
            <w:gridSpan w:val="8"/>
            <w:tcBorders>
              <w:top w:val="nil"/>
              <w:left w:val="nil"/>
              <w:bottom w:val="nil"/>
              <w:right w:val="nil"/>
            </w:tcBorders>
            <w:shd w:val="clear" w:color="000000" w:fill="FFFFFF"/>
            <w:noWrap/>
            <w:vAlign w:val="bottom"/>
            <w:hideMark/>
          </w:tcPr>
          <w:p w14:paraId="5BFA0233"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Statistically significantly better than the Cambridgeshire/England average</w:t>
            </w:r>
          </w:p>
        </w:tc>
      </w:tr>
      <w:tr w:rsidR="005E764F" w:rsidRPr="005E764F" w14:paraId="36AEC366" w14:textId="77777777" w:rsidTr="00E94E8B">
        <w:trPr>
          <w:trHeight w:val="300"/>
        </w:trPr>
        <w:tc>
          <w:tcPr>
            <w:tcW w:w="962" w:type="dxa"/>
            <w:tcBorders>
              <w:top w:val="nil"/>
              <w:left w:val="nil"/>
              <w:bottom w:val="nil"/>
              <w:right w:val="nil"/>
            </w:tcBorders>
            <w:shd w:val="clear" w:color="000000" w:fill="FFC000"/>
            <w:noWrap/>
            <w:vAlign w:val="bottom"/>
            <w:hideMark/>
          </w:tcPr>
          <w:p w14:paraId="449EC47A"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5772" w:type="dxa"/>
            <w:gridSpan w:val="6"/>
            <w:tcBorders>
              <w:top w:val="nil"/>
              <w:left w:val="nil"/>
              <w:bottom w:val="nil"/>
              <w:right w:val="nil"/>
            </w:tcBorders>
            <w:shd w:val="clear" w:color="000000" w:fill="FFFFFF"/>
            <w:noWrap/>
            <w:vAlign w:val="bottom"/>
            <w:hideMark/>
          </w:tcPr>
          <w:p w14:paraId="19E4509E"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Statistically similar to the Cambridgeshire/England average</w:t>
            </w:r>
          </w:p>
        </w:tc>
        <w:tc>
          <w:tcPr>
            <w:tcW w:w="962" w:type="dxa"/>
            <w:tcBorders>
              <w:top w:val="nil"/>
              <w:left w:val="nil"/>
              <w:bottom w:val="nil"/>
              <w:right w:val="nil"/>
            </w:tcBorders>
            <w:shd w:val="clear" w:color="000000" w:fill="FFFFFF"/>
            <w:noWrap/>
            <w:vAlign w:val="bottom"/>
            <w:hideMark/>
          </w:tcPr>
          <w:p w14:paraId="66F57E22"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962" w:type="dxa"/>
            <w:tcBorders>
              <w:top w:val="nil"/>
              <w:left w:val="nil"/>
              <w:bottom w:val="nil"/>
              <w:right w:val="nil"/>
            </w:tcBorders>
            <w:shd w:val="clear" w:color="000000" w:fill="FFFFFF"/>
            <w:noWrap/>
            <w:vAlign w:val="bottom"/>
            <w:hideMark/>
          </w:tcPr>
          <w:p w14:paraId="72F4DC27"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r>
      <w:tr w:rsidR="005E764F" w:rsidRPr="005E764F" w14:paraId="70FB0A99" w14:textId="77777777" w:rsidTr="00E94E8B">
        <w:trPr>
          <w:trHeight w:val="300"/>
        </w:trPr>
        <w:tc>
          <w:tcPr>
            <w:tcW w:w="962" w:type="dxa"/>
            <w:tcBorders>
              <w:top w:val="nil"/>
              <w:left w:val="nil"/>
              <w:bottom w:val="nil"/>
              <w:right w:val="nil"/>
            </w:tcBorders>
            <w:shd w:val="clear" w:color="000000" w:fill="FF0000"/>
            <w:noWrap/>
            <w:vAlign w:val="bottom"/>
            <w:hideMark/>
          </w:tcPr>
          <w:p w14:paraId="698AE403"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w:t>
            </w:r>
          </w:p>
        </w:tc>
        <w:tc>
          <w:tcPr>
            <w:tcW w:w="7696" w:type="dxa"/>
            <w:gridSpan w:val="8"/>
            <w:tcBorders>
              <w:top w:val="nil"/>
              <w:left w:val="nil"/>
              <w:bottom w:val="nil"/>
              <w:right w:val="nil"/>
            </w:tcBorders>
            <w:shd w:val="clear" w:color="000000" w:fill="FFFFFF"/>
            <w:noWrap/>
            <w:vAlign w:val="bottom"/>
            <w:hideMark/>
          </w:tcPr>
          <w:p w14:paraId="105A3DA1" w14:textId="77777777" w:rsidR="00E94E8B" w:rsidRPr="005E764F" w:rsidRDefault="00E94E8B"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Statistically significantly worse than the Cambridgeshire/England average</w:t>
            </w:r>
          </w:p>
        </w:tc>
      </w:tr>
    </w:tbl>
    <w:p w14:paraId="69D289DD" w14:textId="77777777" w:rsidR="00F026E3" w:rsidRPr="005E764F" w:rsidRDefault="00F026E3">
      <w:pPr>
        <w:rPr>
          <w:color w:val="002F5D"/>
        </w:rPr>
      </w:pPr>
    </w:p>
    <w:p w14:paraId="4CFFCDE8" w14:textId="77777777" w:rsidR="00E94E8B" w:rsidRPr="005E764F" w:rsidRDefault="00E94E8B">
      <w:pPr>
        <w:rPr>
          <w:color w:val="002F5D"/>
        </w:rPr>
      </w:pPr>
    </w:p>
    <w:p w14:paraId="0C8B2955" w14:textId="77777777" w:rsidR="00E94E8B" w:rsidRPr="005E764F" w:rsidRDefault="00E94E8B">
      <w:pPr>
        <w:rPr>
          <w:color w:val="002F5D"/>
        </w:rPr>
      </w:pPr>
    </w:p>
    <w:p w14:paraId="51BD5282" w14:textId="77777777" w:rsidR="00E94E8B" w:rsidRPr="005E764F" w:rsidRDefault="00E94E8B">
      <w:pPr>
        <w:rPr>
          <w:color w:val="002F5D"/>
        </w:rPr>
      </w:pPr>
    </w:p>
    <w:p w14:paraId="67131AA5" w14:textId="77777777" w:rsidR="00E94E8B" w:rsidRPr="005E764F" w:rsidRDefault="00E94E8B">
      <w:pPr>
        <w:rPr>
          <w:color w:val="002F5D"/>
        </w:rPr>
      </w:pPr>
    </w:p>
    <w:p w14:paraId="62F2087A" w14:textId="77777777" w:rsidR="00015270" w:rsidRPr="005E764F" w:rsidRDefault="00015270">
      <w:pPr>
        <w:rPr>
          <w:color w:val="002F5D"/>
          <w:highlight w:val="yellow"/>
        </w:rPr>
      </w:pPr>
    </w:p>
    <w:p w14:paraId="7A3C16AB" w14:textId="77777777" w:rsidR="00E94E8B" w:rsidRDefault="00E94E8B" w:rsidP="00C02797">
      <w:pPr>
        <w:rPr>
          <w:color w:val="002F5D"/>
          <w:highlight w:val="yellow"/>
        </w:rPr>
      </w:pPr>
    </w:p>
    <w:p w14:paraId="6E3EA2F7" w14:textId="77777777" w:rsidR="00165120" w:rsidRDefault="00165120" w:rsidP="00C02797">
      <w:pPr>
        <w:rPr>
          <w:color w:val="002F5D"/>
          <w:highlight w:val="yellow"/>
        </w:rPr>
      </w:pPr>
    </w:p>
    <w:p w14:paraId="73FEDFE1" w14:textId="77777777" w:rsidR="00D9149F" w:rsidRPr="005E764F" w:rsidRDefault="00D9149F" w:rsidP="00C02797">
      <w:pPr>
        <w:rPr>
          <w:color w:val="002F5D"/>
          <w:highlight w:val="yellow"/>
        </w:rPr>
      </w:pPr>
    </w:p>
    <w:tbl>
      <w:tblPr>
        <w:tblW w:w="12180" w:type="dxa"/>
        <w:tblLook w:val="04A0" w:firstRow="1" w:lastRow="0" w:firstColumn="1" w:lastColumn="0" w:noHBand="0" w:noVBand="1"/>
      </w:tblPr>
      <w:tblGrid>
        <w:gridCol w:w="12180"/>
      </w:tblGrid>
      <w:tr w:rsidR="005E764F" w:rsidRPr="005E764F" w14:paraId="0644E1A2" w14:textId="77777777" w:rsidTr="00E94E8B">
        <w:trPr>
          <w:trHeight w:val="688"/>
        </w:trPr>
        <w:tc>
          <w:tcPr>
            <w:tcW w:w="12180" w:type="dxa"/>
            <w:tcBorders>
              <w:top w:val="nil"/>
              <w:left w:val="nil"/>
              <w:bottom w:val="nil"/>
              <w:right w:val="nil"/>
            </w:tcBorders>
            <w:shd w:val="clear" w:color="auto" w:fill="auto"/>
            <w:vAlign w:val="center"/>
          </w:tcPr>
          <w:p w14:paraId="13DFA836" w14:textId="77777777" w:rsidR="00E94E8B" w:rsidRPr="005E764F" w:rsidRDefault="007F3B11" w:rsidP="00E94E8B">
            <w:pPr>
              <w:spacing w:after="0" w:line="240" w:lineRule="auto"/>
              <w:rPr>
                <w:rFonts w:ascii="Calibri" w:eastAsia="Times New Roman" w:hAnsi="Calibri" w:cs="Arial"/>
                <w:b/>
                <w:bCs/>
                <w:color w:val="002F5D"/>
                <w:szCs w:val="36"/>
                <w:lang w:eastAsia="en-GB"/>
              </w:rPr>
            </w:pPr>
            <w:r w:rsidRPr="005E764F">
              <w:rPr>
                <w:rFonts w:ascii="Calibri" w:eastAsia="Times New Roman" w:hAnsi="Calibri" w:cs="Arial"/>
                <w:b/>
                <w:bCs/>
                <w:color w:val="002F5D"/>
                <w:szCs w:val="36"/>
                <w:lang w:eastAsia="en-GB"/>
              </w:rPr>
              <w:lastRenderedPageBreak/>
              <w:t>The Febru</w:t>
            </w:r>
            <w:r w:rsidR="00E94E8B" w:rsidRPr="005E764F">
              <w:rPr>
                <w:rFonts w:ascii="Calibri" w:eastAsia="Times New Roman" w:hAnsi="Calibri" w:cs="Arial"/>
                <w:b/>
                <w:bCs/>
                <w:color w:val="002F5D"/>
                <w:szCs w:val="36"/>
                <w:lang w:eastAsia="en-GB"/>
              </w:rPr>
              <w:t>ary 2018 update include</w:t>
            </w:r>
            <w:r w:rsidRPr="005E764F">
              <w:rPr>
                <w:rFonts w:ascii="Calibri" w:eastAsia="Times New Roman" w:hAnsi="Calibri" w:cs="Arial"/>
                <w:b/>
                <w:bCs/>
                <w:color w:val="002F5D"/>
                <w:szCs w:val="36"/>
                <w:lang w:eastAsia="en-GB"/>
              </w:rPr>
              <w:t>s</w:t>
            </w:r>
            <w:r w:rsidR="00E94E8B" w:rsidRPr="005E764F">
              <w:rPr>
                <w:rFonts w:ascii="Calibri" w:eastAsia="Times New Roman" w:hAnsi="Calibri" w:cs="Arial"/>
                <w:b/>
                <w:bCs/>
                <w:color w:val="002F5D"/>
                <w:szCs w:val="36"/>
                <w:lang w:eastAsia="en-GB"/>
              </w:rPr>
              <w:t xml:space="preserve">: </w:t>
            </w:r>
          </w:p>
        </w:tc>
      </w:tr>
      <w:tr w:rsidR="005E764F" w:rsidRPr="005E764F" w14:paraId="245682E1" w14:textId="77777777" w:rsidTr="00E94E8B">
        <w:trPr>
          <w:trHeight w:val="315"/>
        </w:trPr>
        <w:tc>
          <w:tcPr>
            <w:tcW w:w="12180" w:type="dxa"/>
            <w:tcBorders>
              <w:top w:val="nil"/>
              <w:left w:val="nil"/>
              <w:bottom w:val="nil"/>
              <w:right w:val="nil"/>
            </w:tcBorders>
            <w:shd w:val="clear" w:color="000000" w:fill="FFFFFF"/>
            <w:vAlign w:val="center"/>
          </w:tcPr>
          <w:p w14:paraId="1B90B84E" w14:textId="77777777" w:rsidR="00E1253E" w:rsidRDefault="007F3B11"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xml:space="preserve">Updated data for </w:t>
            </w:r>
            <w:r w:rsidR="00B06DA3">
              <w:rPr>
                <w:rFonts w:ascii="Calibri" w:eastAsia="Times New Roman" w:hAnsi="Calibri" w:cs="Times New Roman"/>
                <w:color w:val="002F5D"/>
                <w:lang w:eastAsia="en-GB"/>
              </w:rPr>
              <w:t>a</w:t>
            </w:r>
            <w:r w:rsidRPr="005E764F">
              <w:rPr>
                <w:rFonts w:ascii="Calibri" w:eastAsia="Times New Roman" w:hAnsi="Calibri" w:cs="Times New Roman"/>
                <w:color w:val="002F5D"/>
                <w:lang w:eastAsia="en-GB"/>
              </w:rPr>
              <w:t xml:space="preserve">lcohol-related hospital admissions - </w:t>
            </w:r>
            <w:r w:rsidR="00B06DA3">
              <w:rPr>
                <w:rFonts w:ascii="Calibri" w:eastAsia="Times New Roman" w:hAnsi="Calibri" w:cs="Times New Roman"/>
                <w:color w:val="002F5D"/>
                <w:lang w:eastAsia="en-GB"/>
              </w:rPr>
              <w:t>s</w:t>
            </w:r>
            <w:r w:rsidRPr="005E764F">
              <w:rPr>
                <w:rFonts w:ascii="Calibri" w:eastAsia="Times New Roman" w:hAnsi="Calibri" w:cs="Times New Roman"/>
                <w:color w:val="002F5D"/>
                <w:lang w:eastAsia="en-GB"/>
              </w:rPr>
              <w:t>tatistical tables for England (formerly produced</w:t>
            </w:r>
          </w:p>
          <w:p w14:paraId="19FB4182" w14:textId="77777777" w:rsidR="00E1253E" w:rsidRDefault="007F3B11"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 xml:space="preserve">by the </w:t>
            </w:r>
            <w:r w:rsidR="00B06DA3">
              <w:rPr>
                <w:rFonts w:ascii="Calibri" w:eastAsia="Times New Roman" w:hAnsi="Calibri" w:cs="Times New Roman"/>
                <w:color w:val="002F5D"/>
                <w:lang w:eastAsia="en-GB"/>
              </w:rPr>
              <w:t xml:space="preserve">Health and Social Care Information Centre - </w:t>
            </w:r>
            <w:r w:rsidRPr="005E764F">
              <w:rPr>
                <w:rFonts w:ascii="Calibri" w:eastAsia="Times New Roman" w:hAnsi="Calibri" w:cs="Times New Roman"/>
                <w:color w:val="002F5D"/>
                <w:lang w:eastAsia="en-GB"/>
              </w:rPr>
              <w:t xml:space="preserve">HSCIC) within the </w:t>
            </w:r>
            <w:r w:rsidR="00B06DA3">
              <w:rPr>
                <w:rFonts w:ascii="Calibri" w:eastAsia="Times New Roman" w:hAnsi="Calibri" w:cs="Times New Roman"/>
                <w:color w:val="002F5D"/>
                <w:lang w:eastAsia="en-GB"/>
              </w:rPr>
              <w:t>f</w:t>
            </w:r>
            <w:r w:rsidRPr="005E764F">
              <w:rPr>
                <w:rFonts w:ascii="Calibri" w:eastAsia="Times New Roman" w:hAnsi="Calibri" w:cs="Times New Roman"/>
                <w:color w:val="002F5D"/>
                <w:lang w:eastAsia="en-GB"/>
              </w:rPr>
              <w:t xml:space="preserve">urther resources section of the </w:t>
            </w:r>
          </w:p>
          <w:p w14:paraId="570CE268" w14:textId="77777777" w:rsidR="00E94E8B" w:rsidRPr="00E1253E" w:rsidRDefault="007F3B11"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Times New Roman"/>
                <w:color w:val="002F5D"/>
                <w:lang w:eastAsia="en-GB"/>
              </w:rPr>
              <w:t>Local Alcohol Profiles for England (LAPE)</w:t>
            </w:r>
            <w:r w:rsidR="00DD34A2">
              <w:rPr>
                <w:rFonts w:ascii="Calibri" w:eastAsia="Times New Roman" w:hAnsi="Calibri" w:cs="Times New Roman"/>
                <w:color w:val="002F5D"/>
                <w:lang w:eastAsia="en-GB"/>
              </w:rPr>
              <w:t>.</w:t>
            </w:r>
          </w:p>
        </w:tc>
      </w:tr>
      <w:tr w:rsidR="005E764F" w:rsidRPr="005E764F" w14:paraId="4540C38E" w14:textId="77777777" w:rsidTr="00E94E8B">
        <w:trPr>
          <w:trHeight w:val="660"/>
        </w:trPr>
        <w:tc>
          <w:tcPr>
            <w:tcW w:w="12180" w:type="dxa"/>
            <w:tcBorders>
              <w:top w:val="nil"/>
              <w:left w:val="nil"/>
              <w:bottom w:val="nil"/>
              <w:right w:val="nil"/>
            </w:tcBorders>
            <w:shd w:val="clear" w:color="auto" w:fill="auto"/>
            <w:vAlign w:val="center"/>
            <w:hideMark/>
          </w:tcPr>
          <w:p w14:paraId="25E7B613"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Times New Roman"/>
                <w:b/>
                <w:bCs/>
                <w:color w:val="002F5D"/>
                <w:szCs w:val="24"/>
                <w:lang w:eastAsia="en-GB"/>
              </w:rPr>
              <w:t>Restructure of Local Alcohol Profiles for England (LAPE) Fingertips profile</w:t>
            </w:r>
          </w:p>
        </w:tc>
      </w:tr>
      <w:tr w:rsidR="005E764F" w:rsidRPr="005E764F" w14:paraId="76671ADE" w14:textId="77777777" w:rsidTr="00E94E8B">
        <w:trPr>
          <w:trHeight w:val="315"/>
        </w:trPr>
        <w:tc>
          <w:tcPr>
            <w:tcW w:w="12180" w:type="dxa"/>
            <w:tcBorders>
              <w:top w:val="nil"/>
              <w:left w:val="nil"/>
              <w:bottom w:val="nil"/>
              <w:right w:val="nil"/>
            </w:tcBorders>
            <w:shd w:val="clear" w:color="auto" w:fill="auto"/>
            <w:vAlign w:val="center"/>
            <w:hideMark/>
          </w:tcPr>
          <w:p w14:paraId="609AF174" w14:textId="77777777" w:rsidR="007F3B11"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 xml:space="preserve">Data, reports and documents that would have previously featured in the </w:t>
            </w:r>
            <w:r w:rsidR="00B06DA3">
              <w:rPr>
                <w:rFonts w:ascii="Calibri" w:eastAsia="Times New Roman" w:hAnsi="Calibri" w:cs="Arial"/>
                <w:color w:val="002F5D"/>
                <w:szCs w:val="26"/>
                <w:lang w:eastAsia="en-GB"/>
              </w:rPr>
              <w:t>q</w:t>
            </w:r>
            <w:r w:rsidRPr="005E764F">
              <w:rPr>
                <w:rFonts w:ascii="Calibri" w:eastAsia="Times New Roman" w:hAnsi="Calibri" w:cs="Arial"/>
                <w:color w:val="002F5D"/>
                <w:szCs w:val="26"/>
                <w:lang w:eastAsia="en-GB"/>
              </w:rPr>
              <w:t xml:space="preserve">uarterly data, </w:t>
            </w:r>
            <w:r w:rsidR="00165120">
              <w:rPr>
                <w:rFonts w:ascii="Calibri" w:eastAsia="Times New Roman" w:hAnsi="Calibri" w:cs="Arial"/>
                <w:color w:val="002F5D"/>
                <w:szCs w:val="26"/>
                <w:lang w:eastAsia="en-GB"/>
              </w:rPr>
              <w:t>a</w:t>
            </w:r>
            <w:r w:rsidRPr="005E764F">
              <w:rPr>
                <w:rFonts w:ascii="Calibri" w:eastAsia="Times New Roman" w:hAnsi="Calibri" w:cs="Arial"/>
                <w:color w:val="002F5D"/>
                <w:szCs w:val="26"/>
                <w:lang w:eastAsia="en-GB"/>
              </w:rPr>
              <w:t xml:space="preserve">dditional </w:t>
            </w:r>
          </w:p>
          <w:p w14:paraId="332DEB4C" w14:textId="77777777" w:rsidR="007F3B11"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 xml:space="preserve">data and reports and </w:t>
            </w:r>
            <w:r w:rsidR="007A64A0">
              <w:rPr>
                <w:rFonts w:ascii="Calibri" w:eastAsia="Times New Roman" w:hAnsi="Calibri" w:cs="Arial"/>
                <w:color w:val="002F5D"/>
                <w:szCs w:val="26"/>
                <w:lang w:eastAsia="en-GB"/>
              </w:rPr>
              <w:t>f</w:t>
            </w:r>
            <w:r w:rsidRPr="005E764F">
              <w:rPr>
                <w:rFonts w:ascii="Calibri" w:eastAsia="Times New Roman" w:hAnsi="Calibri" w:cs="Arial"/>
                <w:color w:val="002F5D"/>
                <w:szCs w:val="26"/>
                <w:lang w:eastAsia="en-GB"/>
              </w:rPr>
              <w:t xml:space="preserve">urther information sections of LAPE can now be sourced within the </w:t>
            </w:r>
          </w:p>
          <w:p w14:paraId="03A89BA1" w14:textId="77777777" w:rsidR="00E94E8B" w:rsidRPr="005E764F" w:rsidRDefault="00B06DA3" w:rsidP="00E94E8B">
            <w:pPr>
              <w:spacing w:after="0" w:line="240" w:lineRule="auto"/>
              <w:rPr>
                <w:rFonts w:ascii="Calibri" w:eastAsia="Times New Roman" w:hAnsi="Calibri" w:cs="Times New Roman"/>
                <w:b/>
                <w:bCs/>
                <w:color w:val="002F5D"/>
                <w:szCs w:val="24"/>
                <w:lang w:eastAsia="en-GB"/>
              </w:rPr>
            </w:pPr>
            <w:r>
              <w:rPr>
                <w:rFonts w:ascii="Calibri" w:eastAsia="Times New Roman" w:hAnsi="Calibri" w:cs="Arial"/>
                <w:color w:val="002F5D"/>
                <w:szCs w:val="26"/>
                <w:lang w:eastAsia="en-GB"/>
              </w:rPr>
              <w:t>f</w:t>
            </w:r>
            <w:r w:rsidR="00E94E8B" w:rsidRPr="005E764F">
              <w:rPr>
                <w:rFonts w:ascii="Calibri" w:eastAsia="Times New Roman" w:hAnsi="Calibri" w:cs="Arial"/>
                <w:color w:val="002F5D"/>
                <w:szCs w:val="26"/>
                <w:lang w:eastAsia="en-GB"/>
              </w:rPr>
              <w:t>urther resources section of LAPE. </w:t>
            </w:r>
          </w:p>
        </w:tc>
      </w:tr>
      <w:tr w:rsidR="005E764F" w:rsidRPr="005E764F" w14:paraId="5533AFC4" w14:textId="77777777" w:rsidTr="00E94E8B">
        <w:trPr>
          <w:trHeight w:val="990"/>
        </w:trPr>
        <w:tc>
          <w:tcPr>
            <w:tcW w:w="12180" w:type="dxa"/>
            <w:tcBorders>
              <w:top w:val="nil"/>
              <w:left w:val="nil"/>
              <w:bottom w:val="nil"/>
              <w:right w:val="nil"/>
            </w:tcBorders>
            <w:shd w:val="clear" w:color="auto" w:fill="auto"/>
            <w:vAlign w:val="center"/>
            <w:hideMark/>
          </w:tcPr>
          <w:p w14:paraId="6C7EBD5E" w14:textId="77777777" w:rsidR="00E94E8B" w:rsidRPr="005E764F" w:rsidRDefault="007F3B11"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Times New Roman"/>
                <w:b/>
                <w:bCs/>
                <w:color w:val="002F5D"/>
                <w:szCs w:val="24"/>
                <w:lang w:eastAsia="en-GB"/>
              </w:rPr>
              <w:t>M</w:t>
            </w:r>
            <w:r w:rsidR="00E94E8B" w:rsidRPr="005E764F">
              <w:rPr>
                <w:rFonts w:ascii="Calibri" w:eastAsia="Times New Roman" w:hAnsi="Calibri" w:cs="Times New Roman"/>
                <w:b/>
                <w:bCs/>
                <w:color w:val="002F5D"/>
                <w:szCs w:val="24"/>
                <w:lang w:eastAsia="en-GB"/>
              </w:rPr>
              <w:t>ore recent data for 13 indicators:</w:t>
            </w:r>
          </w:p>
        </w:tc>
      </w:tr>
      <w:tr w:rsidR="005E764F" w:rsidRPr="005E764F" w14:paraId="5CAE1326" w14:textId="77777777" w:rsidTr="00E94E8B">
        <w:trPr>
          <w:trHeight w:val="315"/>
        </w:trPr>
        <w:tc>
          <w:tcPr>
            <w:tcW w:w="12180" w:type="dxa"/>
            <w:tcBorders>
              <w:top w:val="nil"/>
              <w:left w:val="nil"/>
              <w:bottom w:val="nil"/>
              <w:right w:val="nil"/>
            </w:tcBorders>
            <w:shd w:val="clear" w:color="auto" w:fill="auto"/>
            <w:vAlign w:val="center"/>
            <w:hideMark/>
          </w:tcPr>
          <w:p w14:paraId="3AEACC58" w14:textId="77777777" w:rsidR="00E94E8B" w:rsidRPr="005E764F" w:rsidRDefault="00E94E8B" w:rsidP="00E94E8B">
            <w:pPr>
              <w:spacing w:after="0" w:line="240" w:lineRule="auto"/>
              <w:rPr>
                <w:rFonts w:ascii="Calibri" w:eastAsia="Times New Roman" w:hAnsi="Calibri" w:cs="Times New Roman"/>
                <w:b/>
                <w:bCs/>
                <w:color w:val="002F5D"/>
                <w:szCs w:val="24"/>
                <w:lang w:eastAsia="en-GB"/>
              </w:rPr>
            </w:pPr>
            <w:r w:rsidRPr="005E764F">
              <w:rPr>
                <w:rFonts w:ascii="Calibri" w:eastAsia="Times New Roman" w:hAnsi="Calibri" w:cs="Arial"/>
                <w:color w:val="002F5D"/>
                <w:szCs w:val="26"/>
                <w:lang w:eastAsia="en-GB"/>
              </w:rPr>
              <w:t>5.02 Admission episodes for alcohol-specific conditions - Under 18s</w:t>
            </w:r>
          </w:p>
        </w:tc>
      </w:tr>
      <w:tr w:rsidR="005E764F" w:rsidRPr="005E764F" w14:paraId="2A6E10A1" w14:textId="77777777" w:rsidTr="00E94E8B">
        <w:trPr>
          <w:trHeight w:val="330"/>
        </w:trPr>
        <w:tc>
          <w:tcPr>
            <w:tcW w:w="12180" w:type="dxa"/>
            <w:tcBorders>
              <w:top w:val="nil"/>
              <w:left w:val="nil"/>
              <w:bottom w:val="nil"/>
              <w:right w:val="nil"/>
            </w:tcBorders>
            <w:shd w:val="clear" w:color="auto" w:fill="auto"/>
            <w:vAlign w:val="center"/>
            <w:hideMark/>
          </w:tcPr>
          <w:p w14:paraId="1D218813"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6.02 Admission episodes for alcohol-specific conditions</w:t>
            </w:r>
          </w:p>
        </w:tc>
      </w:tr>
      <w:tr w:rsidR="005E764F" w:rsidRPr="005E764F" w14:paraId="72A5FAD0" w14:textId="77777777" w:rsidTr="00E94E8B">
        <w:trPr>
          <w:trHeight w:val="330"/>
        </w:trPr>
        <w:tc>
          <w:tcPr>
            <w:tcW w:w="12180" w:type="dxa"/>
            <w:tcBorders>
              <w:top w:val="nil"/>
              <w:left w:val="nil"/>
              <w:bottom w:val="nil"/>
              <w:right w:val="nil"/>
            </w:tcBorders>
            <w:shd w:val="clear" w:color="auto" w:fill="auto"/>
            <w:vAlign w:val="center"/>
            <w:hideMark/>
          </w:tcPr>
          <w:p w14:paraId="5B80AE27"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9.01 Admission episodes for alcohol-related conditions (Broad) </w:t>
            </w:r>
          </w:p>
        </w:tc>
      </w:tr>
      <w:tr w:rsidR="005E764F" w:rsidRPr="005E764F" w14:paraId="18E90314" w14:textId="77777777" w:rsidTr="00E94E8B">
        <w:trPr>
          <w:trHeight w:val="330"/>
        </w:trPr>
        <w:tc>
          <w:tcPr>
            <w:tcW w:w="12180" w:type="dxa"/>
            <w:tcBorders>
              <w:top w:val="nil"/>
              <w:left w:val="nil"/>
              <w:bottom w:val="nil"/>
              <w:right w:val="nil"/>
            </w:tcBorders>
            <w:shd w:val="clear" w:color="auto" w:fill="auto"/>
            <w:vAlign w:val="center"/>
            <w:hideMark/>
          </w:tcPr>
          <w:p w14:paraId="6493E5F0"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9.03 Admission episodes for alcohol-related cardiovascular disease conditions (Broad)</w:t>
            </w:r>
          </w:p>
        </w:tc>
      </w:tr>
      <w:tr w:rsidR="005E764F" w:rsidRPr="005E764F" w14:paraId="195919D8" w14:textId="77777777" w:rsidTr="00E94E8B">
        <w:trPr>
          <w:trHeight w:val="330"/>
        </w:trPr>
        <w:tc>
          <w:tcPr>
            <w:tcW w:w="12180" w:type="dxa"/>
            <w:tcBorders>
              <w:top w:val="nil"/>
              <w:left w:val="nil"/>
              <w:bottom w:val="nil"/>
              <w:right w:val="nil"/>
            </w:tcBorders>
            <w:shd w:val="clear" w:color="auto" w:fill="auto"/>
            <w:vAlign w:val="center"/>
            <w:hideMark/>
          </w:tcPr>
          <w:p w14:paraId="3E27D668"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9.04 Admission episodes for mental and behavioural disorders due to use of alcohol condition (Broad)</w:t>
            </w:r>
          </w:p>
        </w:tc>
      </w:tr>
      <w:tr w:rsidR="005E764F" w:rsidRPr="005E764F" w14:paraId="7F8B8E93" w14:textId="77777777" w:rsidTr="00E94E8B">
        <w:trPr>
          <w:trHeight w:val="330"/>
        </w:trPr>
        <w:tc>
          <w:tcPr>
            <w:tcW w:w="12180" w:type="dxa"/>
            <w:tcBorders>
              <w:top w:val="nil"/>
              <w:left w:val="nil"/>
              <w:bottom w:val="nil"/>
              <w:right w:val="nil"/>
            </w:tcBorders>
            <w:shd w:val="clear" w:color="auto" w:fill="auto"/>
            <w:vAlign w:val="center"/>
            <w:hideMark/>
          </w:tcPr>
          <w:p w14:paraId="0A412094"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9.05 Admission episodes for alcoholic liver disease condition (Broad)</w:t>
            </w:r>
          </w:p>
        </w:tc>
      </w:tr>
      <w:tr w:rsidR="005E764F" w:rsidRPr="005E764F" w14:paraId="48FF6D17" w14:textId="77777777" w:rsidTr="00E94E8B">
        <w:trPr>
          <w:trHeight w:val="330"/>
        </w:trPr>
        <w:tc>
          <w:tcPr>
            <w:tcW w:w="12180" w:type="dxa"/>
            <w:tcBorders>
              <w:top w:val="nil"/>
              <w:left w:val="nil"/>
              <w:bottom w:val="nil"/>
              <w:right w:val="nil"/>
            </w:tcBorders>
            <w:shd w:val="clear" w:color="auto" w:fill="auto"/>
            <w:vAlign w:val="center"/>
            <w:hideMark/>
          </w:tcPr>
          <w:p w14:paraId="27E9A22D"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10.01 Admission episodes for alcohol-related conditions (Narrow)</w:t>
            </w:r>
          </w:p>
        </w:tc>
      </w:tr>
      <w:tr w:rsidR="005E764F" w:rsidRPr="005E764F" w14:paraId="14CE8400" w14:textId="77777777" w:rsidTr="00E94E8B">
        <w:trPr>
          <w:trHeight w:val="330"/>
        </w:trPr>
        <w:tc>
          <w:tcPr>
            <w:tcW w:w="12180" w:type="dxa"/>
            <w:tcBorders>
              <w:top w:val="nil"/>
              <w:left w:val="nil"/>
              <w:bottom w:val="nil"/>
              <w:right w:val="nil"/>
            </w:tcBorders>
            <w:shd w:val="clear" w:color="auto" w:fill="auto"/>
            <w:vAlign w:val="center"/>
            <w:hideMark/>
          </w:tcPr>
          <w:p w14:paraId="0A08F5E8"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10.03 Admission episodes for alcohol-related unintentional injuries conditions (Narrow)</w:t>
            </w:r>
          </w:p>
        </w:tc>
      </w:tr>
      <w:tr w:rsidR="005E764F" w:rsidRPr="005E764F" w14:paraId="1B18A2CC" w14:textId="77777777" w:rsidTr="00E94E8B">
        <w:trPr>
          <w:trHeight w:val="300"/>
        </w:trPr>
        <w:tc>
          <w:tcPr>
            <w:tcW w:w="12180" w:type="dxa"/>
            <w:tcBorders>
              <w:top w:val="nil"/>
              <w:left w:val="nil"/>
              <w:bottom w:val="nil"/>
              <w:right w:val="nil"/>
            </w:tcBorders>
            <w:shd w:val="clear" w:color="auto" w:fill="auto"/>
            <w:vAlign w:val="center"/>
            <w:hideMark/>
          </w:tcPr>
          <w:p w14:paraId="51AAA8C0" w14:textId="77777777" w:rsidR="00E94E8B" w:rsidRPr="005E764F" w:rsidRDefault="007F3B11" w:rsidP="00E94E8B">
            <w:pPr>
              <w:spacing w:after="0" w:line="240" w:lineRule="auto"/>
              <w:rPr>
                <w:rFonts w:ascii="Calibri" w:eastAsia="Times New Roman" w:hAnsi="Calibri" w:cs="Times New Roman"/>
                <w:color w:val="002F5D"/>
                <w:lang w:eastAsia="en-GB"/>
              </w:rPr>
            </w:pPr>
            <w:r w:rsidRPr="005E764F">
              <w:rPr>
                <w:rFonts w:ascii="Calibri" w:eastAsia="Times New Roman" w:hAnsi="Calibri" w:cs="Arial"/>
                <w:color w:val="002F5D"/>
                <w:szCs w:val="26"/>
                <w:lang w:eastAsia="en-GB"/>
              </w:rPr>
              <w:t>1</w:t>
            </w:r>
            <w:r w:rsidR="00E94E8B" w:rsidRPr="005E764F">
              <w:rPr>
                <w:rFonts w:ascii="Calibri" w:eastAsia="Times New Roman" w:hAnsi="Calibri" w:cs="Arial"/>
                <w:color w:val="002F5D"/>
                <w:szCs w:val="26"/>
                <w:lang w:eastAsia="en-GB"/>
              </w:rPr>
              <w:t>0.04 Admission episodes for mental and behavioural disorders due to use of alcohol conditions (Narrow)</w:t>
            </w:r>
          </w:p>
        </w:tc>
      </w:tr>
      <w:tr w:rsidR="005E764F" w:rsidRPr="005E764F" w14:paraId="3AF9246E" w14:textId="77777777" w:rsidTr="00E94E8B">
        <w:trPr>
          <w:trHeight w:val="330"/>
        </w:trPr>
        <w:tc>
          <w:tcPr>
            <w:tcW w:w="12180" w:type="dxa"/>
            <w:tcBorders>
              <w:top w:val="nil"/>
              <w:left w:val="nil"/>
              <w:bottom w:val="nil"/>
              <w:right w:val="nil"/>
            </w:tcBorders>
            <w:shd w:val="clear" w:color="auto" w:fill="auto"/>
            <w:vAlign w:val="center"/>
            <w:hideMark/>
          </w:tcPr>
          <w:p w14:paraId="1B2A25CF"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10.05 Admission episodes for intentional self-poisoning by and exposure to alcohol condition (Narrow)</w:t>
            </w:r>
          </w:p>
        </w:tc>
      </w:tr>
      <w:tr w:rsidR="005E764F" w:rsidRPr="005E764F" w14:paraId="690D0A5B" w14:textId="77777777" w:rsidTr="00E94E8B">
        <w:trPr>
          <w:trHeight w:val="330"/>
        </w:trPr>
        <w:tc>
          <w:tcPr>
            <w:tcW w:w="12180" w:type="dxa"/>
            <w:tcBorders>
              <w:top w:val="nil"/>
              <w:left w:val="nil"/>
              <w:bottom w:val="nil"/>
              <w:right w:val="nil"/>
            </w:tcBorders>
            <w:shd w:val="clear" w:color="auto" w:fill="auto"/>
            <w:vAlign w:val="center"/>
            <w:hideMark/>
          </w:tcPr>
          <w:p w14:paraId="02F76C94"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10.06 Admission episodes for alcohol-related conditions (Narrow) - Under 40s</w:t>
            </w:r>
          </w:p>
        </w:tc>
      </w:tr>
      <w:tr w:rsidR="005E764F" w:rsidRPr="005E764F" w14:paraId="79A9231B" w14:textId="77777777" w:rsidTr="00E94E8B">
        <w:trPr>
          <w:trHeight w:val="330"/>
        </w:trPr>
        <w:tc>
          <w:tcPr>
            <w:tcW w:w="12180" w:type="dxa"/>
            <w:tcBorders>
              <w:top w:val="nil"/>
              <w:left w:val="nil"/>
              <w:bottom w:val="nil"/>
              <w:right w:val="nil"/>
            </w:tcBorders>
            <w:shd w:val="clear" w:color="auto" w:fill="auto"/>
            <w:vAlign w:val="center"/>
            <w:hideMark/>
          </w:tcPr>
          <w:p w14:paraId="345345CA"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10.07 Admission episodes for alcohol-related conditions (Narrow) - 40-64 y</w:t>
            </w:r>
            <w:r w:rsidR="00C32F6D">
              <w:rPr>
                <w:rFonts w:ascii="Calibri" w:eastAsia="Times New Roman" w:hAnsi="Calibri" w:cs="Arial"/>
                <w:color w:val="002F5D"/>
                <w:szCs w:val="26"/>
                <w:lang w:eastAsia="en-GB"/>
              </w:rPr>
              <w:t>ea</w:t>
            </w:r>
            <w:r w:rsidRPr="005E764F">
              <w:rPr>
                <w:rFonts w:ascii="Calibri" w:eastAsia="Times New Roman" w:hAnsi="Calibri" w:cs="Arial"/>
                <w:color w:val="002F5D"/>
                <w:szCs w:val="26"/>
                <w:lang w:eastAsia="en-GB"/>
              </w:rPr>
              <w:t>rs</w:t>
            </w:r>
          </w:p>
        </w:tc>
      </w:tr>
      <w:tr w:rsidR="005E764F" w:rsidRPr="005E764F" w14:paraId="79AA1BD5" w14:textId="77777777" w:rsidTr="00E94E8B">
        <w:trPr>
          <w:trHeight w:val="330"/>
        </w:trPr>
        <w:tc>
          <w:tcPr>
            <w:tcW w:w="12180" w:type="dxa"/>
            <w:tcBorders>
              <w:top w:val="nil"/>
              <w:left w:val="nil"/>
              <w:bottom w:val="nil"/>
              <w:right w:val="nil"/>
            </w:tcBorders>
            <w:shd w:val="clear" w:color="auto" w:fill="auto"/>
            <w:vAlign w:val="center"/>
            <w:hideMark/>
          </w:tcPr>
          <w:p w14:paraId="68B4C302" w14:textId="77777777" w:rsidR="00E94E8B" w:rsidRPr="005E764F" w:rsidRDefault="00E94E8B" w:rsidP="00E94E8B">
            <w:pPr>
              <w:spacing w:after="0" w:line="240" w:lineRule="auto"/>
              <w:rPr>
                <w:rFonts w:ascii="Calibri" w:eastAsia="Times New Roman" w:hAnsi="Calibri" w:cs="Arial"/>
                <w:color w:val="002F5D"/>
                <w:szCs w:val="26"/>
                <w:lang w:eastAsia="en-GB"/>
              </w:rPr>
            </w:pPr>
            <w:r w:rsidRPr="005E764F">
              <w:rPr>
                <w:rFonts w:ascii="Calibri" w:eastAsia="Times New Roman" w:hAnsi="Calibri" w:cs="Arial"/>
                <w:color w:val="002F5D"/>
                <w:szCs w:val="26"/>
                <w:lang w:eastAsia="en-GB"/>
              </w:rPr>
              <w:t>10.08 Admission episodes for alcohol-related conditions (Narrow) - Over 65s</w:t>
            </w:r>
          </w:p>
        </w:tc>
      </w:tr>
      <w:tr w:rsidR="00E94E8B" w:rsidRPr="00E94E8B" w14:paraId="67CECCB2" w14:textId="77777777" w:rsidTr="00E94E8B">
        <w:trPr>
          <w:trHeight w:val="300"/>
        </w:trPr>
        <w:tc>
          <w:tcPr>
            <w:tcW w:w="12180" w:type="dxa"/>
            <w:tcBorders>
              <w:top w:val="nil"/>
              <w:left w:val="nil"/>
              <w:bottom w:val="nil"/>
              <w:right w:val="nil"/>
            </w:tcBorders>
            <w:shd w:val="clear" w:color="auto" w:fill="auto"/>
            <w:noWrap/>
            <w:vAlign w:val="bottom"/>
            <w:hideMark/>
          </w:tcPr>
          <w:p w14:paraId="0DFAC11A"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3E225DEF" w14:textId="77777777" w:rsidTr="00BF0A03">
        <w:trPr>
          <w:trHeight w:val="330"/>
        </w:trPr>
        <w:tc>
          <w:tcPr>
            <w:tcW w:w="12180" w:type="dxa"/>
            <w:tcBorders>
              <w:top w:val="nil"/>
              <w:left w:val="nil"/>
              <w:bottom w:val="nil"/>
              <w:right w:val="nil"/>
            </w:tcBorders>
            <w:shd w:val="clear" w:color="auto" w:fill="auto"/>
            <w:vAlign w:val="center"/>
          </w:tcPr>
          <w:p w14:paraId="038FC918"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3DC8888B" w14:textId="77777777" w:rsidTr="00BF0A03">
        <w:trPr>
          <w:trHeight w:val="300"/>
        </w:trPr>
        <w:tc>
          <w:tcPr>
            <w:tcW w:w="12180" w:type="dxa"/>
            <w:tcBorders>
              <w:top w:val="nil"/>
              <w:left w:val="nil"/>
              <w:bottom w:val="nil"/>
              <w:right w:val="nil"/>
            </w:tcBorders>
            <w:shd w:val="clear" w:color="auto" w:fill="auto"/>
            <w:noWrap/>
            <w:vAlign w:val="bottom"/>
          </w:tcPr>
          <w:p w14:paraId="477A66DA"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7F12BB3E" w14:textId="77777777" w:rsidTr="00BF0A03">
        <w:trPr>
          <w:trHeight w:val="315"/>
        </w:trPr>
        <w:tc>
          <w:tcPr>
            <w:tcW w:w="12180" w:type="dxa"/>
            <w:tcBorders>
              <w:top w:val="nil"/>
              <w:left w:val="nil"/>
              <w:bottom w:val="nil"/>
              <w:right w:val="nil"/>
            </w:tcBorders>
            <w:shd w:val="clear" w:color="auto" w:fill="auto"/>
            <w:vAlign w:val="center"/>
          </w:tcPr>
          <w:p w14:paraId="512B240C" w14:textId="77777777" w:rsidR="00E94E8B" w:rsidRPr="00E94E8B" w:rsidRDefault="00E94E8B" w:rsidP="00E94E8B">
            <w:pPr>
              <w:spacing w:after="0" w:line="240" w:lineRule="auto"/>
              <w:jc w:val="right"/>
              <w:rPr>
                <w:rFonts w:ascii="Calibri" w:eastAsia="Times New Roman" w:hAnsi="Calibri" w:cs="Arial"/>
                <w:b/>
                <w:bCs/>
                <w:color w:val="333333"/>
                <w:szCs w:val="24"/>
                <w:lang w:eastAsia="en-GB"/>
              </w:rPr>
            </w:pPr>
          </w:p>
        </w:tc>
      </w:tr>
      <w:tr w:rsidR="00E94E8B" w:rsidRPr="00E94E8B" w14:paraId="61E73062" w14:textId="77777777" w:rsidTr="00BF0A03">
        <w:trPr>
          <w:trHeight w:val="660"/>
        </w:trPr>
        <w:tc>
          <w:tcPr>
            <w:tcW w:w="12180" w:type="dxa"/>
            <w:tcBorders>
              <w:top w:val="nil"/>
              <w:left w:val="nil"/>
              <w:bottom w:val="nil"/>
              <w:right w:val="nil"/>
            </w:tcBorders>
            <w:shd w:val="clear" w:color="auto" w:fill="auto"/>
            <w:vAlign w:val="center"/>
          </w:tcPr>
          <w:p w14:paraId="0CA64664"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6C349E80" w14:textId="77777777" w:rsidTr="00BF0A03">
        <w:trPr>
          <w:trHeight w:val="300"/>
        </w:trPr>
        <w:tc>
          <w:tcPr>
            <w:tcW w:w="12180" w:type="dxa"/>
            <w:tcBorders>
              <w:top w:val="nil"/>
              <w:left w:val="nil"/>
              <w:bottom w:val="nil"/>
              <w:right w:val="nil"/>
            </w:tcBorders>
            <w:shd w:val="clear" w:color="auto" w:fill="auto"/>
            <w:noWrap/>
            <w:vAlign w:val="bottom"/>
          </w:tcPr>
          <w:p w14:paraId="7D38196E"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67950955" w14:textId="77777777" w:rsidTr="00BF0A03">
        <w:trPr>
          <w:trHeight w:val="315"/>
        </w:trPr>
        <w:tc>
          <w:tcPr>
            <w:tcW w:w="12180" w:type="dxa"/>
            <w:tcBorders>
              <w:top w:val="nil"/>
              <w:left w:val="nil"/>
              <w:bottom w:val="nil"/>
              <w:right w:val="nil"/>
            </w:tcBorders>
            <w:shd w:val="clear" w:color="auto" w:fill="auto"/>
            <w:vAlign w:val="center"/>
          </w:tcPr>
          <w:p w14:paraId="39B172FC" w14:textId="77777777" w:rsidR="00E94E8B" w:rsidRPr="00E94E8B" w:rsidRDefault="00E94E8B" w:rsidP="00E94E8B">
            <w:pPr>
              <w:spacing w:after="0" w:line="240" w:lineRule="auto"/>
              <w:rPr>
                <w:rFonts w:ascii="Calibri" w:eastAsia="Times New Roman" w:hAnsi="Calibri" w:cs="Arial"/>
                <w:b/>
                <w:bCs/>
                <w:color w:val="333333"/>
                <w:szCs w:val="24"/>
                <w:lang w:eastAsia="en-GB"/>
              </w:rPr>
            </w:pPr>
          </w:p>
        </w:tc>
      </w:tr>
      <w:tr w:rsidR="00E94E8B" w:rsidRPr="00E94E8B" w14:paraId="554F31C3" w14:textId="77777777" w:rsidTr="00BF0A03">
        <w:trPr>
          <w:trHeight w:val="330"/>
        </w:trPr>
        <w:tc>
          <w:tcPr>
            <w:tcW w:w="12180" w:type="dxa"/>
            <w:tcBorders>
              <w:top w:val="nil"/>
              <w:left w:val="nil"/>
              <w:bottom w:val="nil"/>
              <w:right w:val="nil"/>
            </w:tcBorders>
            <w:shd w:val="clear" w:color="auto" w:fill="auto"/>
            <w:vAlign w:val="center"/>
          </w:tcPr>
          <w:p w14:paraId="5B93EF46"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392E0B1E" w14:textId="77777777" w:rsidTr="00BF0A03">
        <w:trPr>
          <w:trHeight w:val="300"/>
        </w:trPr>
        <w:tc>
          <w:tcPr>
            <w:tcW w:w="12180" w:type="dxa"/>
            <w:tcBorders>
              <w:top w:val="nil"/>
              <w:left w:val="nil"/>
              <w:bottom w:val="nil"/>
              <w:right w:val="nil"/>
            </w:tcBorders>
            <w:shd w:val="clear" w:color="auto" w:fill="auto"/>
            <w:noWrap/>
            <w:vAlign w:val="bottom"/>
          </w:tcPr>
          <w:p w14:paraId="5A34DDCE"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19EBB4EF" w14:textId="77777777" w:rsidTr="00BF0A03">
        <w:trPr>
          <w:trHeight w:val="330"/>
        </w:trPr>
        <w:tc>
          <w:tcPr>
            <w:tcW w:w="12180" w:type="dxa"/>
            <w:tcBorders>
              <w:top w:val="nil"/>
              <w:left w:val="nil"/>
              <w:bottom w:val="nil"/>
              <w:right w:val="nil"/>
            </w:tcBorders>
            <w:shd w:val="clear" w:color="auto" w:fill="auto"/>
            <w:vAlign w:val="center"/>
          </w:tcPr>
          <w:p w14:paraId="366D4B3A"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58DA486E" w14:textId="77777777" w:rsidTr="00BF0A03">
        <w:trPr>
          <w:trHeight w:val="300"/>
        </w:trPr>
        <w:tc>
          <w:tcPr>
            <w:tcW w:w="12180" w:type="dxa"/>
            <w:tcBorders>
              <w:top w:val="nil"/>
              <w:left w:val="nil"/>
              <w:bottom w:val="nil"/>
              <w:right w:val="nil"/>
            </w:tcBorders>
            <w:shd w:val="clear" w:color="auto" w:fill="auto"/>
            <w:noWrap/>
            <w:vAlign w:val="bottom"/>
          </w:tcPr>
          <w:p w14:paraId="0288E588"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71C56C9A" w14:textId="77777777" w:rsidTr="00BF0A03">
        <w:trPr>
          <w:trHeight w:val="315"/>
        </w:trPr>
        <w:tc>
          <w:tcPr>
            <w:tcW w:w="12180" w:type="dxa"/>
            <w:tcBorders>
              <w:top w:val="nil"/>
              <w:left w:val="nil"/>
              <w:bottom w:val="nil"/>
              <w:right w:val="nil"/>
            </w:tcBorders>
            <w:shd w:val="clear" w:color="auto" w:fill="auto"/>
            <w:vAlign w:val="center"/>
          </w:tcPr>
          <w:p w14:paraId="49197C61" w14:textId="77777777" w:rsidR="00E94E8B" w:rsidRPr="00E94E8B" w:rsidRDefault="00E94E8B" w:rsidP="00E94E8B">
            <w:pPr>
              <w:spacing w:after="0" w:line="240" w:lineRule="auto"/>
              <w:rPr>
                <w:rFonts w:ascii="Calibri" w:eastAsia="Times New Roman" w:hAnsi="Calibri" w:cs="Arial"/>
                <w:b/>
                <w:bCs/>
                <w:color w:val="333333"/>
                <w:szCs w:val="24"/>
                <w:lang w:eastAsia="en-GB"/>
              </w:rPr>
            </w:pPr>
          </w:p>
        </w:tc>
      </w:tr>
      <w:tr w:rsidR="00E94E8B" w:rsidRPr="00E94E8B" w14:paraId="79B2E142" w14:textId="77777777" w:rsidTr="00BF0A03">
        <w:trPr>
          <w:trHeight w:val="330"/>
        </w:trPr>
        <w:tc>
          <w:tcPr>
            <w:tcW w:w="12180" w:type="dxa"/>
            <w:tcBorders>
              <w:top w:val="nil"/>
              <w:left w:val="nil"/>
              <w:bottom w:val="nil"/>
              <w:right w:val="nil"/>
            </w:tcBorders>
            <w:shd w:val="clear" w:color="auto" w:fill="auto"/>
            <w:vAlign w:val="center"/>
          </w:tcPr>
          <w:p w14:paraId="3DE44835"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523FB0BD" w14:textId="77777777" w:rsidTr="00E94E8B">
        <w:trPr>
          <w:trHeight w:val="300"/>
        </w:trPr>
        <w:tc>
          <w:tcPr>
            <w:tcW w:w="12180" w:type="dxa"/>
            <w:tcBorders>
              <w:top w:val="nil"/>
              <w:left w:val="nil"/>
              <w:bottom w:val="nil"/>
              <w:right w:val="nil"/>
            </w:tcBorders>
            <w:shd w:val="clear" w:color="auto" w:fill="auto"/>
            <w:noWrap/>
            <w:vAlign w:val="bottom"/>
          </w:tcPr>
          <w:p w14:paraId="5E78902B"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r w:rsidR="00E94E8B" w:rsidRPr="00E94E8B" w14:paraId="00B3337A" w14:textId="77777777" w:rsidTr="00E94E8B">
        <w:trPr>
          <w:trHeight w:val="330"/>
        </w:trPr>
        <w:tc>
          <w:tcPr>
            <w:tcW w:w="12180" w:type="dxa"/>
            <w:tcBorders>
              <w:top w:val="nil"/>
              <w:left w:val="nil"/>
              <w:bottom w:val="nil"/>
              <w:right w:val="nil"/>
            </w:tcBorders>
            <w:shd w:val="clear" w:color="auto" w:fill="auto"/>
            <w:vAlign w:val="center"/>
          </w:tcPr>
          <w:p w14:paraId="706C2ACF" w14:textId="77777777" w:rsidR="00E94E8B" w:rsidRPr="00E94E8B" w:rsidRDefault="00E94E8B" w:rsidP="00E94E8B">
            <w:pPr>
              <w:spacing w:after="0" w:line="240" w:lineRule="auto"/>
              <w:rPr>
                <w:rFonts w:ascii="Calibri" w:eastAsia="Times New Roman" w:hAnsi="Calibri" w:cs="Arial"/>
                <w:color w:val="333333"/>
                <w:szCs w:val="26"/>
                <w:lang w:eastAsia="en-GB"/>
              </w:rPr>
            </w:pPr>
          </w:p>
        </w:tc>
      </w:tr>
    </w:tbl>
    <w:p w14:paraId="75CA6E90" w14:textId="77777777" w:rsidR="007F3B11" w:rsidRDefault="007F3B11" w:rsidP="007F3B11"/>
    <w:p w14:paraId="720080B3" w14:textId="10C63F9A" w:rsidR="005E764F" w:rsidRPr="00037A62" w:rsidRDefault="007F3B11" w:rsidP="00690F32">
      <w:pPr>
        <w:pStyle w:val="Heading2"/>
        <w:numPr>
          <w:ilvl w:val="0"/>
          <w:numId w:val="3"/>
        </w:numPr>
        <w:rPr>
          <w:b/>
          <w:color w:val="002F5D"/>
        </w:rPr>
      </w:pPr>
      <w:r w:rsidRPr="00037A62">
        <w:rPr>
          <w:b/>
          <w:color w:val="002F5D"/>
        </w:rPr>
        <w:lastRenderedPageBreak/>
        <w:t>Hospital Admissions</w:t>
      </w:r>
    </w:p>
    <w:p w14:paraId="1856381C" w14:textId="77777777" w:rsidR="00E04A4B" w:rsidRPr="00037A62" w:rsidRDefault="00E04A4B" w:rsidP="00E04A4B">
      <w:pPr>
        <w:rPr>
          <w:color w:val="1F4E79" w:themeColor="accent1" w:themeShade="80"/>
        </w:rPr>
      </w:pPr>
    </w:p>
    <w:p w14:paraId="3EB33EFF" w14:textId="77777777" w:rsidR="00E04A4B" w:rsidRPr="00A240A2" w:rsidRDefault="00E04A4B" w:rsidP="00E04A4B">
      <w:pPr>
        <w:rPr>
          <w:b/>
          <w:color w:val="002F5D"/>
        </w:rPr>
      </w:pPr>
      <w:r w:rsidRPr="00A240A2">
        <w:rPr>
          <w:b/>
          <w:color w:val="002F5D"/>
        </w:rPr>
        <w:t xml:space="preserve">Table 1: </w:t>
      </w:r>
      <w:r w:rsidR="0086252F" w:rsidRPr="00A240A2">
        <w:rPr>
          <w:b/>
          <w:color w:val="002F5D"/>
        </w:rPr>
        <w:t xml:space="preserve"> </w:t>
      </w:r>
      <w:r w:rsidR="00306EA5">
        <w:rPr>
          <w:b/>
          <w:color w:val="002F5D"/>
        </w:rPr>
        <w:t>Hospital a</w:t>
      </w:r>
      <w:r w:rsidRPr="00A240A2">
        <w:rPr>
          <w:b/>
          <w:color w:val="002F5D"/>
        </w:rPr>
        <w:t>dmissions for alcohol-specific conditions</w:t>
      </w:r>
      <w:r w:rsidR="00306EA5">
        <w:rPr>
          <w:b/>
          <w:color w:val="002F5D"/>
        </w:rPr>
        <w:t>*</w:t>
      </w:r>
      <w:r w:rsidR="00657F7E">
        <w:rPr>
          <w:b/>
          <w:color w:val="002F5D"/>
        </w:rPr>
        <w:t xml:space="preserve"> - directly age-standardised rates (DASR) per 100,000 population for </w:t>
      </w:r>
      <w:r w:rsidR="00B86299" w:rsidRPr="00A240A2">
        <w:rPr>
          <w:b/>
          <w:color w:val="002F5D"/>
        </w:rPr>
        <w:t>Cambridgeshire and Peterb</w:t>
      </w:r>
      <w:r w:rsidR="00A240A2" w:rsidRPr="00A240A2">
        <w:rPr>
          <w:b/>
          <w:color w:val="002F5D"/>
        </w:rPr>
        <w:t>orough</w:t>
      </w:r>
      <w:r w:rsidRPr="00A240A2">
        <w:rPr>
          <w:b/>
          <w:color w:val="002F5D"/>
        </w:rPr>
        <w:t>, 2016/17</w:t>
      </w:r>
    </w:p>
    <w:p w14:paraId="7D8498A5" w14:textId="77777777" w:rsidR="005E764F" w:rsidRPr="001E79AD" w:rsidRDefault="00E04A4B" w:rsidP="005E764F">
      <w:pPr>
        <w:rPr>
          <w:color w:val="002F5D"/>
        </w:rPr>
      </w:pPr>
      <w:r w:rsidRPr="001E79AD">
        <w:rPr>
          <w:noProof/>
          <w:color w:val="002F5D"/>
          <w:lang w:eastAsia="en-GB"/>
        </w:rPr>
        <w:drawing>
          <wp:inline distT="0" distB="0" distL="0" distR="0" wp14:anchorId="28DA634D" wp14:editId="5D205078">
            <wp:extent cx="5731510" cy="2189289"/>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62E0F43D" w14:textId="77777777" w:rsidR="001E79AD" w:rsidRPr="001E79AD" w:rsidRDefault="001E79AD" w:rsidP="005E764F">
      <w:pPr>
        <w:rPr>
          <w:color w:val="002F5D"/>
        </w:rPr>
      </w:pPr>
      <w:r w:rsidRPr="001E79AD">
        <w:rPr>
          <w:color w:val="002F5D"/>
        </w:rPr>
        <w:t xml:space="preserve">* Alcohol-specific conditions as primary or subsidiary cause of admission.  </w:t>
      </w:r>
    </w:p>
    <w:p w14:paraId="6B06C391" w14:textId="77777777" w:rsidR="001E79AD" w:rsidRPr="001E79AD" w:rsidRDefault="001E79AD" w:rsidP="001E79AD">
      <w:pPr>
        <w:rPr>
          <w:color w:val="002F5D"/>
        </w:rPr>
      </w:pPr>
      <w:r w:rsidRPr="001E79AD">
        <w:rPr>
          <w:color w:val="002F5D"/>
        </w:rPr>
        <w:t>Data not available at combined authority level</w:t>
      </w:r>
    </w:p>
    <w:p w14:paraId="60132DD9" w14:textId="5AD2CA07" w:rsidR="001534CE" w:rsidRDefault="001E79AD" w:rsidP="005E764F">
      <w:pPr>
        <w:rPr>
          <w:color w:val="002F5D"/>
        </w:rPr>
      </w:pPr>
      <w:r w:rsidRPr="001E79AD">
        <w:rPr>
          <w:color w:val="002F5D"/>
        </w:rPr>
        <w:t>Source: Calculated by Public Health England: Risk Factors Intelligence (RFI) team using data from NHS Digital - Hospital Episode Statistics (HES) and Office for National Statistics (ONS) - Mid Year Population Estimates.</w:t>
      </w:r>
    </w:p>
    <w:p w14:paraId="0DD374AE" w14:textId="77777777" w:rsidR="00807A77" w:rsidRDefault="00807A77" w:rsidP="005E764F">
      <w:pPr>
        <w:rPr>
          <w:color w:val="002F5D"/>
        </w:rPr>
      </w:pPr>
    </w:p>
    <w:p w14:paraId="476B3830" w14:textId="77777777" w:rsidR="00AC311E" w:rsidRDefault="00AC311E" w:rsidP="005E764F">
      <w:pPr>
        <w:rPr>
          <w:color w:val="002F5D"/>
        </w:rPr>
      </w:pPr>
    </w:p>
    <w:p w14:paraId="775768AB" w14:textId="77777777" w:rsidR="00AC311E" w:rsidRDefault="00AC311E" w:rsidP="005E764F">
      <w:pPr>
        <w:rPr>
          <w:color w:val="002F5D"/>
        </w:rPr>
      </w:pPr>
    </w:p>
    <w:p w14:paraId="6F576327" w14:textId="77777777" w:rsidR="00AC311E" w:rsidRDefault="00AC311E" w:rsidP="005E764F">
      <w:pPr>
        <w:rPr>
          <w:color w:val="002F5D"/>
        </w:rPr>
      </w:pPr>
    </w:p>
    <w:p w14:paraId="0683B2E7" w14:textId="77777777" w:rsidR="00AC311E" w:rsidRDefault="00AC311E" w:rsidP="005E764F">
      <w:pPr>
        <w:rPr>
          <w:color w:val="002F5D"/>
        </w:rPr>
      </w:pPr>
    </w:p>
    <w:p w14:paraId="0572F268" w14:textId="77777777" w:rsidR="00AC311E" w:rsidRDefault="00AC311E" w:rsidP="005E764F">
      <w:pPr>
        <w:rPr>
          <w:color w:val="002F5D"/>
        </w:rPr>
      </w:pPr>
    </w:p>
    <w:p w14:paraId="25CA32E2" w14:textId="77777777" w:rsidR="00AC311E" w:rsidRDefault="00AC311E" w:rsidP="005E764F">
      <w:pPr>
        <w:rPr>
          <w:color w:val="002F5D"/>
        </w:rPr>
      </w:pPr>
    </w:p>
    <w:p w14:paraId="590EDD4B" w14:textId="77777777" w:rsidR="00AC311E" w:rsidRDefault="00AC311E" w:rsidP="005E764F">
      <w:pPr>
        <w:rPr>
          <w:color w:val="002F5D"/>
        </w:rPr>
      </w:pPr>
    </w:p>
    <w:p w14:paraId="2A4C743E" w14:textId="77777777" w:rsidR="00AC311E" w:rsidRDefault="00AC311E" w:rsidP="005E764F">
      <w:pPr>
        <w:rPr>
          <w:color w:val="002F5D"/>
        </w:rPr>
      </w:pPr>
    </w:p>
    <w:p w14:paraId="52143AE0" w14:textId="77777777" w:rsidR="00AC311E" w:rsidRDefault="00AC311E" w:rsidP="005E764F">
      <w:pPr>
        <w:rPr>
          <w:color w:val="002F5D"/>
        </w:rPr>
      </w:pPr>
    </w:p>
    <w:p w14:paraId="6D2380BC" w14:textId="77777777" w:rsidR="00AC311E" w:rsidRDefault="00AC311E" w:rsidP="005E764F">
      <w:pPr>
        <w:rPr>
          <w:color w:val="002F5D"/>
        </w:rPr>
      </w:pPr>
    </w:p>
    <w:p w14:paraId="060E9294" w14:textId="77777777" w:rsidR="00AC311E" w:rsidRDefault="00AC311E" w:rsidP="005E764F">
      <w:pPr>
        <w:rPr>
          <w:color w:val="002F5D"/>
        </w:rPr>
      </w:pPr>
    </w:p>
    <w:p w14:paraId="7819E8FE" w14:textId="77777777" w:rsidR="00AC311E" w:rsidRDefault="00AC311E" w:rsidP="005E764F">
      <w:pPr>
        <w:rPr>
          <w:color w:val="002F5D"/>
        </w:rPr>
      </w:pPr>
    </w:p>
    <w:p w14:paraId="150C3F14" w14:textId="77777777" w:rsidR="00AC311E" w:rsidRDefault="00AC311E" w:rsidP="005E764F">
      <w:pPr>
        <w:rPr>
          <w:color w:val="002F5D"/>
        </w:rPr>
      </w:pPr>
    </w:p>
    <w:p w14:paraId="11DC9DD6" w14:textId="77777777" w:rsidR="00AC311E" w:rsidRPr="001E79AD" w:rsidRDefault="00AC311E" w:rsidP="005E764F">
      <w:pPr>
        <w:rPr>
          <w:color w:val="002F5D"/>
        </w:rPr>
      </w:pPr>
    </w:p>
    <w:p w14:paraId="63A55B9C" w14:textId="5BA0C680" w:rsidR="00AD1CFE" w:rsidRDefault="00E04A4B" w:rsidP="005E764F">
      <w:pPr>
        <w:rPr>
          <w:b/>
          <w:color w:val="002F5D"/>
        </w:rPr>
      </w:pPr>
      <w:r w:rsidRPr="00B86299">
        <w:rPr>
          <w:b/>
          <w:color w:val="002F5D"/>
        </w:rPr>
        <w:lastRenderedPageBreak/>
        <w:t xml:space="preserve">Figure 1: </w:t>
      </w:r>
      <w:r w:rsidR="00306047">
        <w:rPr>
          <w:b/>
          <w:color w:val="002F5D"/>
        </w:rPr>
        <w:t>Hospital a</w:t>
      </w:r>
      <w:r w:rsidRPr="00B86299">
        <w:rPr>
          <w:b/>
          <w:color w:val="002F5D"/>
        </w:rPr>
        <w:t>dmissions for alcohol-specific condit</w:t>
      </w:r>
      <w:r w:rsidR="001E79AD" w:rsidRPr="00B86299">
        <w:rPr>
          <w:b/>
          <w:color w:val="002F5D"/>
        </w:rPr>
        <w:t>ions</w:t>
      </w:r>
      <w:r w:rsidR="00E56D59">
        <w:rPr>
          <w:b/>
          <w:color w:val="002F5D"/>
        </w:rPr>
        <w:t xml:space="preserve"> (persons)</w:t>
      </w:r>
      <w:r w:rsidR="00BE2862">
        <w:rPr>
          <w:b/>
          <w:color w:val="002F5D"/>
        </w:rPr>
        <w:t xml:space="preserve"> </w:t>
      </w:r>
      <w:r w:rsidR="00D66197">
        <w:rPr>
          <w:b/>
          <w:color w:val="002F5D"/>
        </w:rPr>
        <w:t>- directly age-standardised rates (DASR) per 100,000 population for</w:t>
      </w:r>
      <w:r w:rsidR="001E79AD" w:rsidRPr="00B86299">
        <w:rPr>
          <w:b/>
          <w:color w:val="002F5D"/>
        </w:rPr>
        <w:t xml:space="preserve"> </w:t>
      </w:r>
      <w:r w:rsidRPr="00B86299">
        <w:rPr>
          <w:b/>
          <w:color w:val="002F5D"/>
        </w:rPr>
        <w:t>Cambridge and Cambridgeshire</w:t>
      </w:r>
      <w:r w:rsidR="00D66197">
        <w:rPr>
          <w:b/>
          <w:color w:val="002F5D"/>
        </w:rPr>
        <w:t>,</w:t>
      </w:r>
      <w:r w:rsidRPr="00B86299">
        <w:rPr>
          <w:b/>
          <w:color w:val="002F5D"/>
        </w:rPr>
        <w:t xml:space="preserve"> trend</w:t>
      </w:r>
      <w:r w:rsidR="00D66197">
        <w:rPr>
          <w:b/>
          <w:color w:val="002F5D"/>
        </w:rPr>
        <w:t xml:space="preserve"> </w:t>
      </w:r>
      <w:r w:rsidRPr="00B86299">
        <w:rPr>
          <w:b/>
          <w:color w:val="002F5D"/>
        </w:rPr>
        <w:t>2008/09 to 2016/17</w:t>
      </w:r>
    </w:p>
    <w:p w14:paraId="59B85C77" w14:textId="7210C516" w:rsidR="00AD1CFE" w:rsidRDefault="00AD1CFE" w:rsidP="005E764F">
      <w:pPr>
        <w:rPr>
          <w:b/>
          <w:color w:val="002F5D"/>
        </w:rPr>
      </w:pPr>
      <w:r>
        <w:rPr>
          <w:b/>
          <w:noProof/>
          <w:color w:val="002F5D"/>
          <w:lang w:eastAsia="en-GB"/>
        </w:rPr>
        <w:drawing>
          <wp:inline distT="0" distB="0" distL="0" distR="0" wp14:anchorId="4C306088" wp14:editId="795FFA43">
            <wp:extent cx="4584700" cy="3328670"/>
            <wp:effectExtent l="0" t="0" r="635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3328670"/>
                    </a:xfrm>
                    <a:prstGeom prst="rect">
                      <a:avLst/>
                    </a:prstGeom>
                    <a:noFill/>
                  </pic:spPr>
                </pic:pic>
              </a:graphicData>
            </a:graphic>
          </wp:inline>
        </w:drawing>
      </w:r>
    </w:p>
    <w:p w14:paraId="21F71E63" w14:textId="02F7F3B5" w:rsidR="007A2269" w:rsidRDefault="00AD1CFE" w:rsidP="005E764F">
      <w:pPr>
        <w:rPr>
          <w:b/>
          <w:color w:val="002F5D"/>
        </w:rPr>
      </w:pPr>
      <w:r w:rsidRPr="00AD1CFE">
        <w:drawing>
          <wp:inline distT="0" distB="0" distL="0" distR="0" wp14:anchorId="39523F2B" wp14:editId="46D3BB84">
            <wp:extent cx="4124325" cy="466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466725"/>
                    </a:xfrm>
                    <a:prstGeom prst="rect">
                      <a:avLst/>
                    </a:prstGeom>
                    <a:noFill/>
                    <a:ln>
                      <a:noFill/>
                    </a:ln>
                  </pic:spPr>
                </pic:pic>
              </a:graphicData>
            </a:graphic>
          </wp:inline>
        </w:drawing>
      </w:r>
    </w:p>
    <w:p w14:paraId="20557224" w14:textId="77777777" w:rsidR="00A240A2" w:rsidRDefault="00A240A2" w:rsidP="005E764F">
      <w:r w:rsidRPr="001E79AD">
        <w:rPr>
          <w:color w:val="002F5D"/>
        </w:rPr>
        <w:t>Source: Calculated by Public Health England: Risk Factors Intelligence (RFI) team using data from NHS Digital - Hospital Episode Statistics (HES) and Office for National Statistics (ONS) - Mid Year Population Estimates.</w:t>
      </w:r>
    </w:p>
    <w:p w14:paraId="09088F12" w14:textId="77777777" w:rsidR="00A240A2" w:rsidRPr="00A240A2" w:rsidRDefault="0086252F" w:rsidP="005E764F">
      <w:pPr>
        <w:rPr>
          <w:color w:val="002F5D"/>
        </w:rPr>
      </w:pPr>
      <w:r w:rsidRPr="0086252F">
        <w:rPr>
          <w:color w:val="002F5D"/>
        </w:rPr>
        <w:t>Key Points</w:t>
      </w:r>
      <w:r w:rsidR="006D7E91">
        <w:rPr>
          <w:color w:val="002F5D"/>
        </w:rPr>
        <w:t>:</w:t>
      </w:r>
    </w:p>
    <w:p w14:paraId="28655DAA" w14:textId="77777777" w:rsidR="00A240A2" w:rsidRPr="00A240A2" w:rsidRDefault="00A240A2" w:rsidP="00A240A2">
      <w:pPr>
        <w:pStyle w:val="ListParagraph"/>
        <w:numPr>
          <w:ilvl w:val="0"/>
          <w:numId w:val="11"/>
        </w:numPr>
        <w:rPr>
          <w:color w:val="002F5D"/>
        </w:rPr>
      </w:pPr>
      <w:r w:rsidRPr="00A240A2">
        <w:rPr>
          <w:color w:val="002F5D"/>
        </w:rPr>
        <w:t xml:space="preserve">The rates of </w:t>
      </w:r>
      <w:r w:rsidRPr="00AC542C">
        <w:rPr>
          <w:b/>
          <w:color w:val="002F5D"/>
        </w:rPr>
        <w:t>hospital admissions for alcohol-specific conditions</w:t>
      </w:r>
      <w:r w:rsidRPr="00A240A2">
        <w:rPr>
          <w:color w:val="002F5D"/>
        </w:rPr>
        <w:t xml:space="preserve"> are statistically significantly lower than the England average in Cambridgeshire</w:t>
      </w:r>
      <w:r w:rsidR="006D7E91">
        <w:rPr>
          <w:color w:val="002F5D"/>
        </w:rPr>
        <w:t xml:space="preserve"> for</w:t>
      </w:r>
      <w:r w:rsidRPr="00A240A2">
        <w:rPr>
          <w:color w:val="002F5D"/>
        </w:rPr>
        <w:t xml:space="preserve"> persons and males</w:t>
      </w:r>
      <w:r>
        <w:rPr>
          <w:color w:val="002F5D"/>
        </w:rPr>
        <w:t>.</w:t>
      </w:r>
    </w:p>
    <w:p w14:paraId="53C6F81B" w14:textId="3C7DBF59" w:rsidR="0086252F" w:rsidRDefault="0086252F" w:rsidP="0086252F">
      <w:pPr>
        <w:pStyle w:val="ListParagraph"/>
        <w:numPr>
          <w:ilvl w:val="0"/>
          <w:numId w:val="11"/>
        </w:numPr>
        <w:rPr>
          <w:color w:val="002F5D"/>
        </w:rPr>
      </w:pPr>
      <w:r>
        <w:rPr>
          <w:color w:val="002F5D"/>
        </w:rPr>
        <w:t>The rates</w:t>
      </w:r>
      <w:r w:rsidR="006B5698">
        <w:rPr>
          <w:color w:val="002F5D"/>
        </w:rPr>
        <w:t xml:space="preserve"> of </w:t>
      </w:r>
      <w:r w:rsidR="006B5698" w:rsidRPr="00AC542C">
        <w:rPr>
          <w:b/>
          <w:color w:val="002F5D"/>
        </w:rPr>
        <w:t>hospital admissions for alc</w:t>
      </w:r>
      <w:r w:rsidRPr="00AC542C">
        <w:rPr>
          <w:b/>
          <w:color w:val="002F5D"/>
        </w:rPr>
        <w:t>ohol-specific conditions</w:t>
      </w:r>
      <w:r>
        <w:rPr>
          <w:color w:val="002F5D"/>
        </w:rPr>
        <w:t xml:space="preserve"> are statistically significantly higher than the England and Cambridgeshire average in Cambridge for persons, male</w:t>
      </w:r>
      <w:r w:rsidR="00A240A2">
        <w:rPr>
          <w:color w:val="002F5D"/>
        </w:rPr>
        <w:t>s</w:t>
      </w:r>
      <w:r>
        <w:rPr>
          <w:color w:val="002F5D"/>
        </w:rPr>
        <w:t xml:space="preserve"> a</w:t>
      </w:r>
      <w:r w:rsidR="009974F0">
        <w:rPr>
          <w:color w:val="002F5D"/>
        </w:rPr>
        <w:t>nd females.  The rates are also</w:t>
      </w:r>
      <w:r w:rsidR="00A240A2">
        <w:rPr>
          <w:color w:val="002F5D"/>
        </w:rPr>
        <w:t xml:space="preserve"> statistically significantly higher than the England rate</w:t>
      </w:r>
      <w:r>
        <w:rPr>
          <w:color w:val="002F5D"/>
        </w:rPr>
        <w:t xml:space="preserve"> </w:t>
      </w:r>
      <w:r w:rsidR="00A240A2">
        <w:rPr>
          <w:color w:val="002F5D"/>
        </w:rPr>
        <w:t xml:space="preserve">in </w:t>
      </w:r>
      <w:r>
        <w:rPr>
          <w:color w:val="002F5D"/>
        </w:rPr>
        <w:t>Fenland</w:t>
      </w:r>
      <w:r w:rsidR="00A240A2">
        <w:rPr>
          <w:color w:val="002F5D"/>
        </w:rPr>
        <w:t xml:space="preserve"> for men and women but these are not statistically significantly higher than the Cambridgeshire rate.</w:t>
      </w:r>
    </w:p>
    <w:p w14:paraId="6E67EA1B" w14:textId="5E17F848" w:rsidR="001534CE" w:rsidRPr="00807A77" w:rsidRDefault="00A240A2" w:rsidP="001534CE">
      <w:pPr>
        <w:pStyle w:val="ListParagraph"/>
        <w:numPr>
          <w:ilvl w:val="0"/>
          <w:numId w:val="11"/>
        </w:numPr>
      </w:pPr>
      <w:r>
        <w:rPr>
          <w:color w:val="002F5D"/>
        </w:rPr>
        <w:t>The rate in Cambridge has been consistently above both the England and Camb</w:t>
      </w:r>
      <w:r w:rsidR="006B5698">
        <w:rPr>
          <w:color w:val="002F5D"/>
        </w:rPr>
        <w:t>r</w:t>
      </w:r>
      <w:r>
        <w:rPr>
          <w:color w:val="002F5D"/>
        </w:rPr>
        <w:t>idgeshire rates since 2008/09.</w:t>
      </w:r>
    </w:p>
    <w:p w14:paraId="3FE055DD" w14:textId="77777777" w:rsidR="00807A77" w:rsidRDefault="00807A77" w:rsidP="00807A77">
      <w:pPr>
        <w:pStyle w:val="ListParagraph"/>
      </w:pPr>
    </w:p>
    <w:p w14:paraId="56F6A3F2" w14:textId="77777777" w:rsidR="00B41ADD" w:rsidRDefault="00B41ADD" w:rsidP="00807A77">
      <w:pPr>
        <w:pStyle w:val="ListParagraph"/>
      </w:pPr>
    </w:p>
    <w:p w14:paraId="4EFC5786" w14:textId="77777777" w:rsidR="00B41ADD" w:rsidRDefault="00B41ADD" w:rsidP="00807A77">
      <w:pPr>
        <w:pStyle w:val="ListParagraph"/>
      </w:pPr>
    </w:p>
    <w:p w14:paraId="41B69D00" w14:textId="77777777" w:rsidR="00B41ADD" w:rsidRDefault="00B41ADD" w:rsidP="00807A77">
      <w:pPr>
        <w:pStyle w:val="ListParagraph"/>
      </w:pPr>
    </w:p>
    <w:p w14:paraId="646C42DF" w14:textId="77777777" w:rsidR="00B41ADD" w:rsidRDefault="00B41ADD" w:rsidP="00AF66CC"/>
    <w:p w14:paraId="1BA50550" w14:textId="77777777" w:rsidR="00B41ADD" w:rsidRDefault="00B41ADD" w:rsidP="00AF66CC"/>
    <w:p w14:paraId="287A8540" w14:textId="77777777" w:rsidR="00B86299" w:rsidRDefault="001E79AD" w:rsidP="005E764F">
      <w:pPr>
        <w:rPr>
          <w:b/>
          <w:color w:val="002F5D"/>
        </w:rPr>
      </w:pPr>
      <w:r w:rsidRPr="001E79AD">
        <w:rPr>
          <w:b/>
          <w:color w:val="002F5D"/>
        </w:rPr>
        <w:lastRenderedPageBreak/>
        <w:t>Table</w:t>
      </w:r>
      <w:r w:rsidR="00A240A2">
        <w:rPr>
          <w:b/>
          <w:color w:val="002F5D"/>
        </w:rPr>
        <w:t xml:space="preserve"> 2</w:t>
      </w:r>
      <w:r w:rsidRPr="001E79AD">
        <w:rPr>
          <w:b/>
          <w:color w:val="002F5D"/>
        </w:rPr>
        <w:t xml:space="preserve">: </w:t>
      </w:r>
      <w:r w:rsidR="0021086E">
        <w:rPr>
          <w:b/>
          <w:color w:val="002F5D"/>
        </w:rPr>
        <w:t>Hospital a</w:t>
      </w:r>
      <w:r w:rsidRPr="001E79AD">
        <w:rPr>
          <w:b/>
          <w:color w:val="002F5D"/>
        </w:rPr>
        <w:t>dmission episodes for alcohol-specific conditions - Under 18s</w:t>
      </w:r>
      <w:r w:rsidR="00657F7E" w:rsidRPr="00657F7E">
        <w:rPr>
          <w:b/>
          <w:color w:val="002F5D"/>
        </w:rPr>
        <w:t xml:space="preserve"> </w:t>
      </w:r>
      <w:r w:rsidR="00657F7E">
        <w:rPr>
          <w:b/>
          <w:color w:val="002F5D"/>
        </w:rPr>
        <w:t xml:space="preserve">– crude rate per 100,000 population for </w:t>
      </w:r>
      <w:r w:rsidR="00657F7E" w:rsidRPr="00A240A2">
        <w:rPr>
          <w:b/>
          <w:color w:val="002F5D"/>
        </w:rPr>
        <w:t>Cambridgeshire and Peterborough</w:t>
      </w:r>
      <w:r w:rsidRPr="001E79AD">
        <w:rPr>
          <w:b/>
          <w:color w:val="002F5D"/>
        </w:rPr>
        <w:t>, 2014/15 - 16/17</w:t>
      </w:r>
    </w:p>
    <w:p w14:paraId="7F56BFD6" w14:textId="77777777" w:rsidR="00E04A4B" w:rsidRPr="00B86299" w:rsidRDefault="00657F7E" w:rsidP="005E764F">
      <w:pPr>
        <w:rPr>
          <w:b/>
          <w:color w:val="002F5D"/>
        </w:rPr>
      </w:pPr>
      <w:r w:rsidRPr="00657F7E">
        <w:rPr>
          <w:noProof/>
          <w:lang w:eastAsia="en-GB"/>
        </w:rPr>
        <w:drawing>
          <wp:inline distT="0" distB="0" distL="0" distR="0" wp14:anchorId="410E45AE" wp14:editId="5B940996">
            <wp:extent cx="5731510" cy="215841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158411"/>
                    </a:xfrm>
                    <a:prstGeom prst="rect">
                      <a:avLst/>
                    </a:prstGeom>
                    <a:noFill/>
                    <a:ln>
                      <a:noFill/>
                    </a:ln>
                  </pic:spPr>
                </pic:pic>
              </a:graphicData>
            </a:graphic>
          </wp:inline>
        </w:drawing>
      </w:r>
    </w:p>
    <w:p w14:paraId="3E0A81E8" w14:textId="77777777" w:rsidR="001E79AD" w:rsidRDefault="001E79AD" w:rsidP="005E764F">
      <w:pPr>
        <w:rPr>
          <w:color w:val="002F5D"/>
        </w:rPr>
      </w:pPr>
      <w:r w:rsidRPr="001E79AD">
        <w:rPr>
          <w:color w:val="002F5D"/>
        </w:rPr>
        <w:t>*Aggregated from all known lower geography values</w:t>
      </w:r>
    </w:p>
    <w:p w14:paraId="34268337" w14:textId="77777777" w:rsidR="00AF33C3" w:rsidRDefault="00AF33C3" w:rsidP="00AF33C3">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w:t>
      </w:r>
      <w:r w:rsidRPr="00AF33C3">
        <w:rPr>
          <w:rFonts w:ascii="Calibri" w:eastAsia="Times New Roman" w:hAnsi="Calibri" w:cs="Times New Roman"/>
          <w:color w:val="002F5D"/>
          <w:lang w:eastAsia="en-GB"/>
        </w:rPr>
        <w:t>-' value suppressed for disclosure control reasons</w:t>
      </w:r>
    </w:p>
    <w:p w14:paraId="448497F7" w14:textId="77777777" w:rsidR="00AF33C3" w:rsidRPr="00AF33C3" w:rsidRDefault="00AF33C3" w:rsidP="00AF33C3">
      <w:pPr>
        <w:spacing w:after="0" w:line="240" w:lineRule="auto"/>
        <w:rPr>
          <w:rFonts w:ascii="Calibri" w:eastAsia="Times New Roman" w:hAnsi="Calibri" w:cs="Times New Roman"/>
          <w:color w:val="002F5D"/>
          <w:lang w:eastAsia="en-GB"/>
        </w:rPr>
      </w:pPr>
    </w:p>
    <w:p w14:paraId="2DC6C768" w14:textId="77777777" w:rsidR="000A4C62" w:rsidRPr="000A4C62" w:rsidRDefault="001E79AD" w:rsidP="000A4C62">
      <w:pPr>
        <w:rPr>
          <w:color w:val="002F5D"/>
        </w:rPr>
      </w:pPr>
      <w:r w:rsidRPr="001E79AD">
        <w:rPr>
          <w:color w:val="002F5D"/>
        </w:rPr>
        <w:t>Source: Calculated by Public Health England: Risk Factors Intelligence (RFI) team using data from NHS Digital - Hospital Episode Statistics (HES) and Office for National Statistics (ONS) -</w:t>
      </w:r>
      <w:r w:rsidR="000A4C62">
        <w:rPr>
          <w:color w:val="002F5D"/>
        </w:rPr>
        <w:t xml:space="preserve"> Mid Year Population Estimates.</w:t>
      </w:r>
    </w:p>
    <w:p w14:paraId="3DDCB11B" w14:textId="77777777" w:rsidR="000A4C62" w:rsidRPr="00A240A2" w:rsidRDefault="000A4C62" w:rsidP="000A4C62">
      <w:pPr>
        <w:rPr>
          <w:color w:val="002F5D"/>
        </w:rPr>
      </w:pPr>
      <w:r w:rsidRPr="0086252F">
        <w:rPr>
          <w:color w:val="002F5D"/>
        </w:rPr>
        <w:t>Key Points</w:t>
      </w:r>
      <w:r w:rsidR="006D7E91">
        <w:rPr>
          <w:color w:val="002F5D"/>
        </w:rPr>
        <w:t>:</w:t>
      </w:r>
    </w:p>
    <w:p w14:paraId="568327DB" w14:textId="77777777" w:rsidR="000A4C62" w:rsidRPr="00A240A2" w:rsidRDefault="00BE76C4" w:rsidP="000A4C62">
      <w:pPr>
        <w:pStyle w:val="ListParagraph"/>
        <w:numPr>
          <w:ilvl w:val="0"/>
          <w:numId w:val="11"/>
        </w:numPr>
        <w:rPr>
          <w:color w:val="002F5D"/>
        </w:rPr>
      </w:pPr>
      <w:r>
        <w:rPr>
          <w:color w:val="002F5D"/>
        </w:rPr>
        <w:t xml:space="preserve">The </w:t>
      </w:r>
      <w:r w:rsidR="006B41ED">
        <w:rPr>
          <w:color w:val="002F5D"/>
        </w:rPr>
        <w:t xml:space="preserve">crude, i.e. not age-standardised, </w:t>
      </w:r>
      <w:r>
        <w:rPr>
          <w:color w:val="002F5D"/>
        </w:rPr>
        <w:t>rate</w:t>
      </w:r>
      <w:r w:rsidR="000A4C62" w:rsidRPr="00A240A2">
        <w:rPr>
          <w:color w:val="002F5D"/>
        </w:rPr>
        <w:t xml:space="preserve"> of </w:t>
      </w:r>
      <w:r w:rsidR="000A4C62" w:rsidRPr="00AC542C">
        <w:rPr>
          <w:b/>
          <w:color w:val="002F5D"/>
        </w:rPr>
        <w:t>hospital admissions for alcohol-specific conditions</w:t>
      </w:r>
      <w:r w:rsidR="00AF33C3" w:rsidRPr="00AC542C">
        <w:rPr>
          <w:b/>
          <w:color w:val="002F5D"/>
        </w:rPr>
        <w:t xml:space="preserve"> in under 18s</w:t>
      </w:r>
      <w:r>
        <w:rPr>
          <w:color w:val="002F5D"/>
        </w:rPr>
        <w:t xml:space="preserve"> is</w:t>
      </w:r>
      <w:r w:rsidR="000A4C62" w:rsidRPr="00A240A2">
        <w:rPr>
          <w:color w:val="002F5D"/>
        </w:rPr>
        <w:t xml:space="preserve"> statistically significantly hi</w:t>
      </w:r>
      <w:r w:rsidR="006D7E91">
        <w:rPr>
          <w:color w:val="002F5D"/>
        </w:rPr>
        <w:t>gher than the England average among</w:t>
      </w:r>
      <w:r w:rsidR="000A4C62" w:rsidRPr="00A240A2">
        <w:rPr>
          <w:color w:val="002F5D"/>
        </w:rPr>
        <w:t xml:space="preserve"> C</w:t>
      </w:r>
      <w:r w:rsidR="00AF33C3">
        <w:rPr>
          <w:color w:val="002F5D"/>
        </w:rPr>
        <w:t xml:space="preserve">ambridgeshire </w:t>
      </w:r>
      <w:r w:rsidR="000A4C62" w:rsidRPr="00A240A2">
        <w:rPr>
          <w:color w:val="002F5D"/>
        </w:rPr>
        <w:t>males</w:t>
      </w:r>
      <w:r w:rsidR="00AF33C3">
        <w:rPr>
          <w:color w:val="002F5D"/>
        </w:rPr>
        <w:t>.</w:t>
      </w:r>
    </w:p>
    <w:p w14:paraId="009CEE9B" w14:textId="77777777" w:rsidR="000A4C62" w:rsidRDefault="000A4C62" w:rsidP="00AF33C3">
      <w:pPr>
        <w:pStyle w:val="ListParagraph"/>
        <w:numPr>
          <w:ilvl w:val="0"/>
          <w:numId w:val="11"/>
        </w:numPr>
        <w:rPr>
          <w:color w:val="002F5D"/>
        </w:rPr>
      </w:pPr>
      <w:r>
        <w:rPr>
          <w:color w:val="002F5D"/>
        </w:rPr>
        <w:t>The rates</w:t>
      </w:r>
      <w:r w:rsidR="006B5698">
        <w:rPr>
          <w:color w:val="002F5D"/>
        </w:rPr>
        <w:t xml:space="preserve"> of </w:t>
      </w:r>
      <w:r w:rsidR="006B5698" w:rsidRPr="00AC542C">
        <w:rPr>
          <w:b/>
          <w:color w:val="002F5D"/>
        </w:rPr>
        <w:t>hospital admissions for alc</w:t>
      </w:r>
      <w:r w:rsidRPr="00AC542C">
        <w:rPr>
          <w:b/>
          <w:color w:val="002F5D"/>
        </w:rPr>
        <w:t xml:space="preserve">ohol-specific conditions </w:t>
      </w:r>
      <w:r w:rsidR="00AF33C3" w:rsidRPr="00AC542C">
        <w:rPr>
          <w:b/>
          <w:color w:val="002F5D"/>
        </w:rPr>
        <w:t>in under 18</w:t>
      </w:r>
      <w:r w:rsidR="00AF33C3">
        <w:rPr>
          <w:color w:val="002F5D"/>
        </w:rPr>
        <w:t xml:space="preserve">s </w:t>
      </w:r>
      <w:r>
        <w:rPr>
          <w:color w:val="002F5D"/>
        </w:rPr>
        <w:t xml:space="preserve">are statistically </w:t>
      </w:r>
      <w:r w:rsidR="00AF33C3">
        <w:rPr>
          <w:color w:val="002F5D"/>
        </w:rPr>
        <w:t xml:space="preserve">similar to </w:t>
      </w:r>
      <w:r>
        <w:rPr>
          <w:color w:val="002F5D"/>
        </w:rPr>
        <w:t xml:space="preserve">the Cambridgeshire average in </w:t>
      </w:r>
      <w:r w:rsidR="00AF33C3">
        <w:rPr>
          <w:color w:val="002F5D"/>
        </w:rPr>
        <w:t xml:space="preserve">all districts </w:t>
      </w:r>
      <w:r>
        <w:rPr>
          <w:color w:val="002F5D"/>
        </w:rPr>
        <w:t xml:space="preserve">for persons, males and females.  </w:t>
      </w:r>
    </w:p>
    <w:p w14:paraId="238D06BF" w14:textId="170A549F" w:rsidR="001534CE" w:rsidRDefault="00AF33C3" w:rsidP="00D07EBC">
      <w:pPr>
        <w:pStyle w:val="ListParagraph"/>
        <w:numPr>
          <w:ilvl w:val="0"/>
          <w:numId w:val="11"/>
        </w:numPr>
        <w:rPr>
          <w:color w:val="002F5D"/>
        </w:rPr>
      </w:pPr>
      <w:r>
        <w:rPr>
          <w:color w:val="002F5D"/>
        </w:rPr>
        <w:t>When comparing the districts to England, the rates</w:t>
      </w:r>
      <w:r w:rsidR="006B5698">
        <w:rPr>
          <w:color w:val="002F5D"/>
        </w:rPr>
        <w:t xml:space="preserve"> of </w:t>
      </w:r>
      <w:r w:rsidR="006B5698" w:rsidRPr="00AC542C">
        <w:rPr>
          <w:b/>
          <w:color w:val="002F5D"/>
        </w:rPr>
        <w:t>hospital admissions for alc</w:t>
      </w:r>
      <w:r w:rsidRPr="00AC542C">
        <w:rPr>
          <w:b/>
          <w:color w:val="002F5D"/>
        </w:rPr>
        <w:t xml:space="preserve">ohol-specific conditions in under 18s </w:t>
      </w:r>
      <w:r>
        <w:rPr>
          <w:color w:val="002F5D"/>
        </w:rPr>
        <w:t>in Cambridge and Hunti</w:t>
      </w:r>
      <w:r w:rsidR="006B5698">
        <w:rPr>
          <w:color w:val="002F5D"/>
        </w:rPr>
        <w:t>ngd</w:t>
      </w:r>
      <w:r>
        <w:rPr>
          <w:color w:val="002F5D"/>
        </w:rPr>
        <w:t xml:space="preserve">onshire </w:t>
      </w:r>
      <w:r w:rsidR="0021086E">
        <w:rPr>
          <w:color w:val="002F5D"/>
        </w:rPr>
        <w:t xml:space="preserve">for </w:t>
      </w:r>
      <w:r>
        <w:rPr>
          <w:color w:val="002F5D"/>
        </w:rPr>
        <w:t>persons and males are statistically significantly higher than England</w:t>
      </w:r>
      <w:r w:rsidR="00344B14">
        <w:rPr>
          <w:color w:val="002F5D"/>
        </w:rPr>
        <w:t xml:space="preserve"> (not reflected in the shading of the table</w:t>
      </w:r>
      <w:r w:rsidR="00C911BC">
        <w:rPr>
          <w:color w:val="002F5D"/>
        </w:rPr>
        <w:t xml:space="preserve"> where the benchmark is the Cambridgeshire average</w:t>
      </w:r>
      <w:r w:rsidR="00344B14">
        <w:rPr>
          <w:color w:val="002F5D"/>
        </w:rPr>
        <w:t>)</w:t>
      </w:r>
      <w:r>
        <w:rPr>
          <w:color w:val="002F5D"/>
        </w:rPr>
        <w:t>.</w:t>
      </w:r>
    </w:p>
    <w:p w14:paraId="025D0E8A" w14:textId="77777777" w:rsidR="00D07EBC" w:rsidRDefault="00D07EBC" w:rsidP="00AA40D4">
      <w:pPr>
        <w:pStyle w:val="ListParagraph"/>
        <w:rPr>
          <w:color w:val="002F5D"/>
        </w:rPr>
      </w:pPr>
    </w:p>
    <w:p w14:paraId="284E47EB" w14:textId="77777777" w:rsidR="00B41ADD" w:rsidRDefault="00B41ADD" w:rsidP="00AA40D4">
      <w:pPr>
        <w:pStyle w:val="ListParagraph"/>
        <w:rPr>
          <w:color w:val="002F5D"/>
        </w:rPr>
      </w:pPr>
    </w:p>
    <w:p w14:paraId="5E29D338" w14:textId="77777777" w:rsidR="00B41ADD" w:rsidRDefault="00B41ADD" w:rsidP="00AA40D4">
      <w:pPr>
        <w:pStyle w:val="ListParagraph"/>
        <w:rPr>
          <w:color w:val="002F5D"/>
        </w:rPr>
      </w:pPr>
    </w:p>
    <w:p w14:paraId="0598E4D0" w14:textId="77777777" w:rsidR="00B41ADD" w:rsidRDefault="00B41ADD" w:rsidP="00AA40D4">
      <w:pPr>
        <w:pStyle w:val="ListParagraph"/>
        <w:rPr>
          <w:color w:val="002F5D"/>
        </w:rPr>
      </w:pPr>
    </w:p>
    <w:p w14:paraId="558EAE64" w14:textId="77777777" w:rsidR="00B41ADD" w:rsidRDefault="00B41ADD" w:rsidP="00AA40D4">
      <w:pPr>
        <w:pStyle w:val="ListParagraph"/>
        <w:rPr>
          <w:color w:val="002F5D"/>
        </w:rPr>
      </w:pPr>
    </w:p>
    <w:p w14:paraId="5DC52052" w14:textId="77777777" w:rsidR="00B41ADD" w:rsidRDefault="00B41ADD" w:rsidP="00AA40D4">
      <w:pPr>
        <w:pStyle w:val="ListParagraph"/>
        <w:rPr>
          <w:color w:val="002F5D"/>
        </w:rPr>
      </w:pPr>
    </w:p>
    <w:p w14:paraId="6E75DC80" w14:textId="77777777" w:rsidR="00B41ADD" w:rsidRDefault="00B41ADD" w:rsidP="00AA40D4">
      <w:pPr>
        <w:pStyle w:val="ListParagraph"/>
        <w:rPr>
          <w:color w:val="002F5D"/>
        </w:rPr>
      </w:pPr>
    </w:p>
    <w:p w14:paraId="3A991E39" w14:textId="77777777" w:rsidR="00B41ADD" w:rsidRDefault="00B41ADD" w:rsidP="00AA40D4">
      <w:pPr>
        <w:pStyle w:val="ListParagraph"/>
        <w:rPr>
          <w:color w:val="002F5D"/>
        </w:rPr>
      </w:pPr>
    </w:p>
    <w:p w14:paraId="1F295723" w14:textId="77777777" w:rsidR="00B41ADD" w:rsidRDefault="00B41ADD" w:rsidP="00AA40D4">
      <w:pPr>
        <w:pStyle w:val="ListParagraph"/>
        <w:rPr>
          <w:color w:val="002F5D"/>
        </w:rPr>
      </w:pPr>
    </w:p>
    <w:p w14:paraId="100098CF" w14:textId="77777777" w:rsidR="00B41ADD" w:rsidRDefault="00B41ADD" w:rsidP="00AA40D4">
      <w:pPr>
        <w:pStyle w:val="ListParagraph"/>
        <w:rPr>
          <w:color w:val="002F5D"/>
        </w:rPr>
      </w:pPr>
    </w:p>
    <w:p w14:paraId="01F2EE6E" w14:textId="77777777" w:rsidR="00B41ADD" w:rsidRDefault="00B41ADD" w:rsidP="00AA40D4">
      <w:pPr>
        <w:pStyle w:val="ListParagraph"/>
        <w:rPr>
          <w:color w:val="002F5D"/>
        </w:rPr>
      </w:pPr>
    </w:p>
    <w:p w14:paraId="5FB1B266" w14:textId="77777777" w:rsidR="00B41ADD" w:rsidRDefault="00B41ADD" w:rsidP="00AA40D4">
      <w:pPr>
        <w:pStyle w:val="ListParagraph"/>
        <w:rPr>
          <w:color w:val="002F5D"/>
        </w:rPr>
      </w:pPr>
    </w:p>
    <w:p w14:paraId="3F15D4FD" w14:textId="77777777" w:rsidR="00B41ADD" w:rsidRPr="00D07EBC" w:rsidRDefault="00B41ADD" w:rsidP="00AA40D4">
      <w:pPr>
        <w:pStyle w:val="ListParagraph"/>
        <w:rPr>
          <w:color w:val="002F5D"/>
        </w:rPr>
      </w:pPr>
    </w:p>
    <w:p w14:paraId="290B5A4F" w14:textId="77777777" w:rsidR="005E764F" w:rsidRPr="005E764F" w:rsidRDefault="005E764F" w:rsidP="005E764F">
      <w:pPr>
        <w:rPr>
          <w:b/>
          <w:color w:val="002F5D"/>
        </w:rPr>
      </w:pPr>
      <w:r>
        <w:rPr>
          <w:b/>
          <w:color w:val="002F5D"/>
        </w:rPr>
        <w:lastRenderedPageBreak/>
        <w:t xml:space="preserve">Table </w:t>
      </w:r>
      <w:r w:rsidR="006B5698">
        <w:rPr>
          <w:b/>
          <w:color w:val="002F5D"/>
        </w:rPr>
        <w:t>3</w:t>
      </w:r>
      <w:r>
        <w:rPr>
          <w:b/>
          <w:color w:val="002F5D"/>
        </w:rPr>
        <w:t>:</w:t>
      </w:r>
      <w:r w:rsidR="006B5698">
        <w:rPr>
          <w:b/>
          <w:color w:val="002F5D"/>
        </w:rPr>
        <w:t xml:space="preserve"> </w:t>
      </w:r>
      <w:r w:rsidR="0021086E">
        <w:rPr>
          <w:b/>
          <w:color w:val="002F5D"/>
        </w:rPr>
        <w:t>Hospital ad</w:t>
      </w:r>
      <w:r w:rsidRPr="005E764F">
        <w:rPr>
          <w:b/>
          <w:color w:val="002F5D"/>
        </w:rPr>
        <w:t>mission episodes for alcohol-relat</w:t>
      </w:r>
      <w:r w:rsidR="001B7F80">
        <w:rPr>
          <w:b/>
          <w:color w:val="002F5D"/>
        </w:rPr>
        <w:t>ed conditions (broad definition</w:t>
      </w:r>
      <w:r w:rsidRPr="005E764F">
        <w:rPr>
          <w:b/>
          <w:color w:val="002F5D"/>
        </w:rPr>
        <w:t>)</w:t>
      </w:r>
      <w:r w:rsidR="00657F7E">
        <w:rPr>
          <w:b/>
          <w:color w:val="002F5D"/>
        </w:rPr>
        <w:t xml:space="preserve">* - directly age-standardised rates (DASR) per 100,000 population for </w:t>
      </w:r>
      <w:r w:rsidR="00657F7E" w:rsidRPr="00A240A2">
        <w:rPr>
          <w:b/>
          <w:color w:val="002F5D"/>
        </w:rPr>
        <w:t>Cambridgeshire and Peterborough,</w:t>
      </w:r>
      <w:r w:rsidR="00657F7E">
        <w:rPr>
          <w:b/>
          <w:color w:val="002F5D"/>
        </w:rPr>
        <w:t xml:space="preserve"> </w:t>
      </w:r>
      <w:r w:rsidRPr="005E764F">
        <w:rPr>
          <w:b/>
          <w:color w:val="002F5D"/>
        </w:rPr>
        <w:t>2016/17</w:t>
      </w:r>
    </w:p>
    <w:p w14:paraId="3394426F" w14:textId="77777777" w:rsidR="00AA6D0D" w:rsidRDefault="005E764F" w:rsidP="007F3B11">
      <w:pPr>
        <w:rPr>
          <w:color w:val="002F5D"/>
        </w:rPr>
      </w:pPr>
      <w:r w:rsidRPr="005E764F">
        <w:rPr>
          <w:noProof/>
          <w:lang w:eastAsia="en-GB"/>
        </w:rPr>
        <w:drawing>
          <wp:inline distT="0" distB="0" distL="0" distR="0" wp14:anchorId="5940B67A" wp14:editId="22A5513F">
            <wp:extent cx="5731510" cy="2189289"/>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r w:rsidRPr="005E764F">
        <w:rPr>
          <w:color w:val="002F5D"/>
        </w:rPr>
        <w:t xml:space="preserve"> </w:t>
      </w:r>
    </w:p>
    <w:p w14:paraId="59C56138" w14:textId="77777777" w:rsidR="005E764F" w:rsidRPr="00384661" w:rsidRDefault="00657F7E" w:rsidP="007F3B11">
      <w:r>
        <w:rPr>
          <w:color w:val="002F5D"/>
        </w:rPr>
        <w:t>*</w:t>
      </w:r>
      <w:r w:rsidR="005E764F" w:rsidRPr="005E764F">
        <w:rPr>
          <w:color w:val="002F5D"/>
        </w:rPr>
        <w:t>Alcohol-related conditions as primary or subsidiary cause of admission.  Broad measures are considered the best reflection of the burden of alcohol on the community and services.</w:t>
      </w:r>
    </w:p>
    <w:p w14:paraId="042F8F15" w14:textId="77777777" w:rsidR="00E04A4B" w:rsidRPr="005E764F" w:rsidRDefault="00E04A4B" w:rsidP="007F3B11">
      <w:pPr>
        <w:rPr>
          <w:color w:val="002F5D"/>
        </w:rPr>
      </w:pPr>
      <w:r>
        <w:rPr>
          <w:color w:val="002F5D"/>
        </w:rPr>
        <w:t>Data not available at combined authority level</w:t>
      </w:r>
    </w:p>
    <w:p w14:paraId="659E73E1" w14:textId="0AD07A39" w:rsidR="00807A77" w:rsidRDefault="005E764F" w:rsidP="007F3B11">
      <w:pPr>
        <w:rPr>
          <w:color w:val="002F5D"/>
        </w:rPr>
      </w:pPr>
      <w:r w:rsidRPr="005E764F">
        <w:rPr>
          <w:color w:val="002F5D"/>
        </w:rPr>
        <w:t>Source: Calculated by Public Health England: Risk Factors Intelligence (RFI) team using data from NHS Digital - Hospital Episode Statistics (HES) and Office for National Statistics (ONS) - Mid Year Population Estimates.</w:t>
      </w:r>
    </w:p>
    <w:p w14:paraId="179966FE" w14:textId="08B67282" w:rsidR="000A660B" w:rsidRDefault="009E5C0B" w:rsidP="000A0028">
      <w:pPr>
        <w:rPr>
          <w:b/>
          <w:color w:val="002F5D"/>
        </w:rPr>
      </w:pPr>
      <w:r>
        <w:rPr>
          <w:b/>
          <w:color w:val="002F5D"/>
        </w:rPr>
        <w:t>Figure 2</w:t>
      </w:r>
      <w:r w:rsidR="005E764F" w:rsidRPr="005B25EC">
        <w:rPr>
          <w:b/>
          <w:color w:val="002F5D"/>
        </w:rPr>
        <w:t xml:space="preserve">: </w:t>
      </w:r>
      <w:r w:rsidR="0096481A">
        <w:rPr>
          <w:b/>
          <w:color w:val="002F5D"/>
        </w:rPr>
        <w:t>Hospital a</w:t>
      </w:r>
      <w:r w:rsidR="0086252F">
        <w:rPr>
          <w:b/>
          <w:color w:val="002F5D"/>
        </w:rPr>
        <w:t>dmission episodes for alcohol-</w:t>
      </w:r>
      <w:r w:rsidR="001B7F80">
        <w:rPr>
          <w:b/>
          <w:color w:val="002F5D"/>
        </w:rPr>
        <w:t xml:space="preserve">related </w:t>
      </w:r>
      <w:r w:rsidR="005E764F" w:rsidRPr="005B25EC">
        <w:rPr>
          <w:b/>
          <w:color w:val="002F5D"/>
        </w:rPr>
        <w:t>conditions (narr</w:t>
      </w:r>
      <w:r w:rsidR="001B7F80">
        <w:rPr>
          <w:b/>
          <w:color w:val="002F5D"/>
        </w:rPr>
        <w:t>ow definition</w:t>
      </w:r>
      <w:r w:rsidR="001E79AD" w:rsidRPr="005B25EC">
        <w:rPr>
          <w:b/>
          <w:color w:val="002F5D"/>
        </w:rPr>
        <w:t>)</w:t>
      </w:r>
      <w:r w:rsidR="00B41ADD">
        <w:rPr>
          <w:b/>
          <w:color w:val="002F5D"/>
        </w:rPr>
        <w:t xml:space="preserve"> (persons)</w:t>
      </w:r>
      <w:r w:rsidR="00D66197">
        <w:rPr>
          <w:b/>
          <w:color w:val="002F5D"/>
        </w:rPr>
        <w:t xml:space="preserve"> - directly age-standardised rates (DASR) per 100,000 population for </w:t>
      </w:r>
      <w:r w:rsidR="001E79AD" w:rsidRPr="005B25EC">
        <w:rPr>
          <w:b/>
          <w:color w:val="002F5D"/>
        </w:rPr>
        <w:t>Cambridge, Fenland and Cambridgeshire</w:t>
      </w:r>
      <w:r w:rsidR="005E764F" w:rsidRPr="005B25EC">
        <w:rPr>
          <w:b/>
          <w:color w:val="002F5D"/>
        </w:rPr>
        <w:t>, trend 2008/09 - 2016/17</w:t>
      </w:r>
    </w:p>
    <w:p w14:paraId="24C985A9" w14:textId="77777777" w:rsidR="00B41ADD" w:rsidRDefault="00B41ADD" w:rsidP="000A0028">
      <w:pPr>
        <w:rPr>
          <w:b/>
          <w:color w:val="002F5D"/>
        </w:rPr>
      </w:pPr>
      <w:r>
        <w:rPr>
          <w:b/>
          <w:noProof/>
          <w:color w:val="002F5D"/>
          <w:lang w:eastAsia="en-GB"/>
        </w:rPr>
        <w:drawing>
          <wp:inline distT="0" distB="0" distL="0" distR="0" wp14:anchorId="718A4911" wp14:editId="61220F5A">
            <wp:extent cx="4584700" cy="3328670"/>
            <wp:effectExtent l="0" t="0" r="635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3328670"/>
                    </a:xfrm>
                    <a:prstGeom prst="rect">
                      <a:avLst/>
                    </a:prstGeom>
                    <a:noFill/>
                  </pic:spPr>
                </pic:pic>
              </a:graphicData>
            </a:graphic>
          </wp:inline>
        </w:drawing>
      </w:r>
    </w:p>
    <w:p w14:paraId="4398C7E6" w14:textId="621975B1" w:rsidR="00B41ADD" w:rsidRDefault="00B41ADD" w:rsidP="000A0028">
      <w:pPr>
        <w:rPr>
          <w:b/>
          <w:color w:val="002F5D"/>
        </w:rPr>
      </w:pPr>
      <w:r w:rsidRPr="00AD1CFE">
        <w:lastRenderedPageBreak/>
        <w:drawing>
          <wp:inline distT="0" distB="0" distL="0" distR="0" wp14:anchorId="021ADE22" wp14:editId="5BC85EF2">
            <wp:extent cx="4124325" cy="466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466725"/>
                    </a:xfrm>
                    <a:prstGeom prst="rect">
                      <a:avLst/>
                    </a:prstGeom>
                    <a:noFill/>
                    <a:ln>
                      <a:noFill/>
                    </a:ln>
                  </pic:spPr>
                </pic:pic>
              </a:graphicData>
            </a:graphic>
          </wp:inline>
        </w:drawing>
      </w:r>
    </w:p>
    <w:p w14:paraId="7310DEEF" w14:textId="6E098006" w:rsidR="00E432F9" w:rsidRPr="00AF66CC" w:rsidRDefault="00B41ADD" w:rsidP="001B7F80">
      <w:pPr>
        <w:rPr>
          <w:color w:val="002F5D"/>
        </w:rPr>
      </w:pPr>
      <w:r w:rsidRPr="005E764F">
        <w:rPr>
          <w:color w:val="002F5D"/>
        </w:rPr>
        <w:t>Source: Calculated by Public Health England: Risk Factors Intelligence (RFI) team using data from NHS Digital - Hospital Episode Statistics (HES) and Office for National Statistics (ONS) - Mid Year Population Estimates.</w:t>
      </w:r>
    </w:p>
    <w:p w14:paraId="278CC988" w14:textId="77777777" w:rsidR="001B7F80" w:rsidRPr="00A240A2" w:rsidRDefault="001B7F80" w:rsidP="001B7F80">
      <w:pPr>
        <w:rPr>
          <w:color w:val="002F5D"/>
        </w:rPr>
      </w:pPr>
      <w:r w:rsidRPr="0086252F">
        <w:rPr>
          <w:color w:val="002F5D"/>
        </w:rPr>
        <w:t>Key Points</w:t>
      </w:r>
      <w:r w:rsidR="00953AC6">
        <w:rPr>
          <w:color w:val="002F5D"/>
        </w:rPr>
        <w:t>:</w:t>
      </w:r>
    </w:p>
    <w:p w14:paraId="5F1C37C7" w14:textId="77777777" w:rsidR="001B7F80" w:rsidRPr="00A240A2" w:rsidRDefault="001B7F80" w:rsidP="001B7F80">
      <w:pPr>
        <w:pStyle w:val="ListParagraph"/>
        <w:numPr>
          <w:ilvl w:val="0"/>
          <w:numId w:val="11"/>
        </w:numPr>
        <w:rPr>
          <w:color w:val="002F5D"/>
        </w:rPr>
      </w:pPr>
      <w:r w:rsidRPr="00A240A2">
        <w:rPr>
          <w:color w:val="002F5D"/>
        </w:rPr>
        <w:t xml:space="preserve">The rates </w:t>
      </w:r>
      <w:r w:rsidRPr="00AC542C">
        <w:rPr>
          <w:b/>
          <w:color w:val="002F5D"/>
        </w:rPr>
        <w:t>of hospital admissions for alcohol-related conditions (broad definition)</w:t>
      </w:r>
      <w:r>
        <w:rPr>
          <w:color w:val="002F5D"/>
        </w:rPr>
        <w:t xml:space="preserve"> </w:t>
      </w:r>
      <w:r w:rsidRPr="00A240A2">
        <w:rPr>
          <w:color w:val="002F5D"/>
        </w:rPr>
        <w:t xml:space="preserve">are statistically significantly </w:t>
      </w:r>
      <w:r>
        <w:rPr>
          <w:color w:val="002F5D"/>
        </w:rPr>
        <w:t>lower</w:t>
      </w:r>
      <w:r w:rsidRPr="00A240A2">
        <w:rPr>
          <w:color w:val="002F5D"/>
        </w:rPr>
        <w:t xml:space="preserve"> than the England average in C</w:t>
      </w:r>
      <w:r>
        <w:rPr>
          <w:color w:val="002F5D"/>
        </w:rPr>
        <w:t>ambridgeshire</w:t>
      </w:r>
      <w:r w:rsidR="009E5C0B">
        <w:rPr>
          <w:color w:val="002F5D"/>
        </w:rPr>
        <w:t xml:space="preserve"> </w:t>
      </w:r>
      <w:r w:rsidR="0096481A">
        <w:rPr>
          <w:color w:val="002F5D"/>
        </w:rPr>
        <w:t xml:space="preserve">for </w:t>
      </w:r>
      <w:r w:rsidR="009E5C0B">
        <w:rPr>
          <w:color w:val="002F5D"/>
        </w:rPr>
        <w:t xml:space="preserve">persons and </w:t>
      </w:r>
      <w:r w:rsidRPr="00A240A2">
        <w:rPr>
          <w:color w:val="002F5D"/>
        </w:rPr>
        <w:t>males</w:t>
      </w:r>
      <w:r>
        <w:rPr>
          <w:color w:val="002F5D"/>
        </w:rPr>
        <w:t>.</w:t>
      </w:r>
    </w:p>
    <w:p w14:paraId="5894B12C" w14:textId="77777777" w:rsidR="001B7F80" w:rsidRDefault="001B7F80" w:rsidP="001B7F80">
      <w:pPr>
        <w:pStyle w:val="ListParagraph"/>
        <w:numPr>
          <w:ilvl w:val="0"/>
          <w:numId w:val="11"/>
        </w:numPr>
        <w:rPr>
          <w:color w:val="002F5D"/>
        </w:rPr>
      </w:pPr>
      <w:r>
        <w:rPr>
          <w:color w:val="002F5D"/>
        </w:rPr>
        <w:t xml:space="preserve">The rates of </w:t>
      </w:r>
      <w:r w:rsidRPr="00AC542C">
        <w:rPr>
          <w:b/>
          <w:color w:val="002F5D"/>
        </w:rPr>
        <w:t>hospital admissions for alcohol-related conditions (broad definition)</w:t>
      </w:r>
      <w:r>
        <w:rPr>
          <w:color w:val="002F5D"/>
        </w:rPr>
        <w:t xml:space="preserve"> </w:t>
      </w:r>
      <w:r w:rsidRPr="00A240A2">
        <w:rPr>
          <w:color w:val="002F5D"/>
        </w:rPr>
        <w:t xml:space="preserve">are statistically significantly </w:t>
      </w:r>
      <w:r>
        <w:rPr>
          <w:color w:val="002F5D"/>
        </w:rPr>
        <w:t>lower</w:t>
      </w:r>
      <w:r w:rsidRPr="00A240A2">
        <w:rPr>
          <w:color w:val="002F5D"/>
        </w:rPr>
        <w:t xml:space="preserve"> </w:t>
      </w:r>
      <w:r>
        <w:rPr>
          <w:color w:val="002F5D"/>
        </w:rPr>
        <w:t xml:space="preserve">than the Cambridgeshire average in South Cambridgeshire persons and males and Huntingdonshire persons and females.  </w:t>
      </w:r>
    </w:p>
    <w:p w14:paraId="5B5DC3B1" w14:textId="77777777" w:rsidR="001B7F80" w:rsidRDefault="001B7F80" w:rsidP="001B7F80">
      <w:pPr>
        <w:pStyle w:val="ListParagraph"/>
        <w:numPr>
          <w:ilvl w:val="0"/>
          <w:numId w:val="11"/>
        </w:numPr>
        <w:rPr>
          <w:color w:val="002F5D"/>
        </w:rPr>
      </w:pPr>
      <w:r>
        <w:rPr>
          <w:color w:val="002F5D"/>
        </w:rPr>
        <w:t xml:space="preserve">The rates of </w:t>
      </w:r>
      <w:r w:rsidRPr="00AC542C">
        <w:rPr>
          <w:b/>
          <w:color w:val="002F5D"/>
        </w:rPr>
        <w:t>hospital admissions for alcohol-related conditions (broad definition)</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w:t>
      </w:r>
      <w:r>
        <w:rPr>
          <w:color w:val="002F5D"/>
        </w:rPr>
        <w:t>than the Cambridgeshire average in Cambridge and Fenland for persons, males and females.  This picture is the same when these Districts are compared to England.</w:t>
      </w:r>
    </w:p>
    <w:p w14:paraId="6A72A8A8" w14:textId="7183AB18" w:rsidR="00D07EBC" w:rsidRPr="00AF66CC" w:rsidRDefault="001B7F80" w:rsidP="00AF66CC">
      <w:pPr>
        <w:pStyle w:val="ListParagraph"/>
        <w:numPr>
          <w:ilvl w:val="0"/>
          <w:numId w:val="11"/>
        </w:numPr>
      </w:pPr>
      <w:r>
        <w:rPr>
          <w:color w:val="002F5D"/>
        </w:rPr>
        <w:t>The Cambridge rate</w:t>
      </w:r>
      <w:r w:rsidR="009E5C0B">
        <w:rPr>
          <w:color w:val="002F5D"/>
        </w:rPr>
        <w:t xml:space="preserve"> of hospital admissions for </w:t>
      </w:r>
      <w:r w:rsidR="009E5C0B" w:rsidRPr="00AC542C">
        <w:rPr>
          <w:b/>
          <w:color w:val="002F5D"/>
        </w:rPr>
        <w:t>alcohol-related conditions (narrow definition)</w:t>
      </w:r>
      <w:r w:rsidR="009E5C0B">
        <w:rPr>
          <w:color w:val="002F5D"/>
        </w:rPr>
        <w:t xml:space="preserve"> </w:t>
      </w:r>
      <w:r>
        <w:rPr>
          <w:color w:val="002F5D"/>
        </w:rPr>
        <w:t>has consistently been above Cambridgeshire and England since 2008/09.  In Fenland the trend has been above Cambridgeshire and England since 2014/15</w:t>
      </w:r>
      <w:r w:rsidR="00E44AB9">
        <w:rPr>
          <w:color w:val="002F5D"/>
        </w:rPr>
        <w:t>.</w:t>
      </w:r>
    </w:p>
    <w:p w14:paraId="4BBD1B88" w14:textId="77777777" w:rsidR="00D07EBC" w:rsidRPr="009E5C0B" w:rsidRDefault="00D07EBC" w:rsidP="00E44AB9">
      <w:pPr>
        <w:pStyle w:val="ListParagraph"/>
        <w:rPr>
          <w:color w:val="002F5D"/>
        </w:rPr>
      </w:pPr>
    </w:p>
    <w:p w14:paraId="10F8E7BA" w14:textId="00544778" w:rsidR="005B25EC" w:rsidRPr="005B25EC" w:rsidRDefault="005B25EC" w:rsidP="000A0028">
      <w:pPr>
        <w:rPr>
          <w:b/>
          <w:color w:val="002F5D"/>
        </w:rPr>
      </w:pPr>
      <w:r w:rsidRPr="005B25EC">
        <w:rPr>
          <w:b/>
          <w:color w:val="002F5D"/>
        </w:rPr>
        <w:t>T</w:t>
      </w:r>
      <w:r w:rsidR="009E5C0B">
        <w:rPr>
          <w:b/>
          <w:color w:val="002F5D"/>
        </w:rPr>
        <w:t>able 4</w:t>
      </w:r>
      <w:r w:rsidRPr="005B25EC">
        <w:rPr>
          <w:b/>
          <w:color w:val="002F5D"/>
        </w:rPr>
        <w:t>: Admission episodes for alcohol-related cardiovascular disease conditions (broad)</w:t>
      </w:r>
      <w:r w:rsidR="00D66197">
        <w:rPr>
          <w:b/>
          <w:color w:val="002F5D"/>
        </w:rPr>
        <w:t>*</w:t>
      </w:r>
      <w:r w:rsidR="009974F0">
        <w:rPr>
          <w:b/>
          <w:color w:val="002F5D"/>
        </w:rPr>
        <w:t xml:space="preserve"> </w:t>
      </w:r>
      <w:r w:rsidR="00B76E43">
        <w:rPr>
          <w:b/>
          <w:color w:val="002F5D"/>
        </w:rPr>
        <w:t>- directly age-standardised rates (DASR) per 100,000 population for</w:t>
      </w:r>
      <w:r w:rsidRPr="005B25EC">
        <w:rPr>
          <w:b/>
          <w:color w:val="002F5D"/>
        </w:rPr>
        <w:t xml:space="preserve"> Ca</w:t>
      </w:r>
      <w:r w:rsidR="009E5C0B">
        <w:rPr>
          <w:b/>
          <w:color w:val="002F5D"/>
        </w:rPr>
        <w:t xml:space="preserve">mbridgeshire and Peterborough, </w:t>
      </w:r>
      <w:r w:rsidRPr="005B25EC">
        <w:rPr>
          <w:b/>
          <w:color w:val="002F5D"/>
        </w:rPr>
        <w:t>2016/17</w:t>
      </w:r>
    </w:p>
    <w:p w14:paraId="37DE8863" w14:textId="77777777" w:rsidR="005B25EC" w:rsidRDefault="005B25EC" w:rsidP="000A0028">
      <w:r w:rsidRPr="005B25EC">
        <w:rPr>
          <w:noProof/>
          <w:lang w:eastAsia="en-GB"/>
        </w:rPr>
        <w:drawing>
          <wp:inline distT="0" distB="0" distL="0" distR="0" wp14:anchorId="4B680DA1" wp14:editId="71DFBF77">
            <wp:extent cx="5731510" cy="2189289"/>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6F23122F" w14:textId="77777777" w:rsidR="005B25EC" w:rsidRPr="009E5C0B" w:rsidRDefault="00D66197" w:rsidP="000A0028">
      <w:pPr>
        <w:rPr>
          <w:color w:val="002F5D"/>
        </w:rPr>
      </w:pPr>
      <w:r>
        <w:rPr>
          <w:color w:val="002F5D"/>
        </w:rPr>
        <w:t>*</w:t>
      </w:r>
      <w:r w:rsidR="005B25EC" w:rsidRPr="009E5C0B">
        <w:rPr>
          <w:color w:val="002F5D"/>
        </w:rPr>
        <w:t>Alcohol-attributable cardiovascular conditions as primary or subsidiary cause of admission.  Broad measures are considered the best reflection of the burden of alcohol on the community and services.</w:t>
      </w:r>
    </w:p>
    <w:p w14:paraId="2F7D7535" w14:textId="77777777" w:rsidR="005B25EC" w:rsidRPr="005B25EC" w:rsidRDefault="005B25EC" w:rsidP="000A0028">
      <w:pPr>
        <w:rPr>
          <w:color w:val="002F5D"/>
        </w:rPr>
      </w:pPr>
      <w:r>
        <w:rPr>
          <w:color w:val="002F5D"/>
        </w:rPr>
        <w:t>Data not available at combined authority level</w:t>
      </w:r>
    </w:p>
    <w:p w14:paraId="7B064DE3" w14:textId="77777777" w:rsidR="005B25EC" w:rsidRDefault="005B25EC" w:rsidP="000A0028">
      <w:pPr>
        <w:rPr>
          <w:color w:val="002F5D"/>
        </w:rPr>
      </w:pPr>
      <w:r w:rsidRPr="005B25EC">
        <w:rPr>
          <w:color w:val="002F5D"/>
        </w:rPr>
        <w:t>Source: Calculated by Public Health England: Risk Factors Intelligence (RFI) team using data from NHS Digital - Hospital Episode Statistics (HES) and Office for National Statistics (ONS) - Mid Year Population Estimates.</w:t>
      </w:r>
    </w:p>
    <w:p w14:paraId="3BE7034A" w14:textId="77777777" w:rsidR="009E5C0B" w:rsidRPr="00A240A2" w:rsidRDefault="009E5C0B" w:rsidP="009E5C0B">
      <w:pPr>
        <w:rPr>
          <w:color w:val="002F5D"/>
        </w:rPr>
      </w:pPr>
      <w:r w:rsidRPr="0086252F">
        <w:rPr>
          <w:color w:val="002F5D"/>
        </w:rPr>
        <w:lastRenderedPageBreak/>
        <w:t>Key Points</w:t>
      </w:r>
      <w:r w:rsidR="00953AC6">
        <w:rPr>
          <w:color w:val="002F5D"/>
        </w:rPr>
        <w:t>:</w:t>
      </w:r>
    </w:p>
    <w:p w14:paraId="2875F13F" w14:textId="77777777" w:rsidR="009E5C0B" w:rsidRPr="00A240A2" w:rsidRDefault="009E5C0B" w:rsidP="009E5C0B">
      <w:pPr>
        <w:pStyle w:val="ListParagraph"/>
        <w:numPr>
          <w:ilvl w:val="0"/>
          <w:numId w:val="11"/>
        </w:numPr>
        <w:rPr>
          <w:color w:val="002F5D"/>
        </w:rPr>
      </w:pPr>
      <w:r w:rsidRPr="00E44AB9">
        <w:rPr>
          <w:color w:val="002F5D"/>
        </w:rPr>
        <w:t>The rates of</w:t>
      </w:r>
      <w:r w:rsidRPr="00E44AB9">
        <w:rPr>
          <w:b/>
          <w:color w:val="002F5D"/>
        </w:rPr>
        <w:t xml:space="preserve"> hospital admissions for alcohol-related cardiovascular disease conditions (broad definition)</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than the England average in </w:t>
      </w:r>
      <w:r>
        <w:rPr>
          <w:color w:val="002F5D"/>
        </w:rPr>
        <w:t xml:space="preserve">both </w:t>
      </w:r>
      <w:r w:rsidRPr="00A240A2">
        <w:rPr>
          <w:color w:val="002F5D"/>
        </w:rPr>
        <w:t>C</w:t>
      </w:r>
      <w:r>
        <w:rPr>
          <w:color w:val="002F5D"/>
        </w:rPr>
        <w:t xml:space="preserve">ambridgeshire and Peterborough for persons and </w:t>
      </w:r>
      <w:r w:rsidRPr="00A240A2">
        <w:rPr>
          <w:color w:val="002F5D"/>
        </w:rPr>
        <w:t>males</w:t>
      </w:r>
      <w:r>
        <w:rPr>
          <w:color w:val="002F5D"/>
        </w:rPr>
        <w:t>.</w:t>
      </w:r>
    </w:p>
    <w:p w14:paraId="67AAB039" w14:textId="11745F1E" w:rsidR="00D07EBC" w:rsidRDefault="009E5C0B" w:rsidP="00AF66CC">
      <w:pPr>
        <w:pStyle w:val="ListParagraph"/>
        <w:numPr>
          <w:ilvl w:val="0"/>
          <w:numId w:val="11"/>
        </w:numPr>
      </w:pPr>
      <w:r w:rsidRPr="00A240A2">
        <w:rPr>
          <w:color w:val="002F5D"/>
        </w:rPr>
        <w:t xml:space="preserve">The rates of </w:t>
      </w:r>
      <w:r w:rsidRPr="00AC542C">
        <w:rPr>
          <w:b/>
          <w:color w:val="002F5D"/>
        </w:rPr>
        <w:t>hospital admissions for alcohol-related cardiovascular disease conditions (broad definition)</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w:t>
      </w:r>
      <w:r>
        <w:rPr>
          <w:color w:val="002F5D"/>
        </w:rPr>
        <w:t xml:space="preserve">than the Cambridgeshire average in Fenland for persons and males and females.  </w:t>
      </w:r>
      <w:r w:rsidR="00BB3BA8">
        <w:rPr>
          <w:color w:val="002F5D"/>
        </w:rPr>
        <w:t>This picture is the same when Fenland is compared to England.  Huntingdonshire males also have a statistically significantly higher rate of</w:t>
      </w:r>
      <w:r w:rsidR="00BB3BA8" w:rsidRPr="00AC542C">
        <w:rPr>
          <w:b/>
          <w:color w:val="002F5D"/>
        </w:rPr>
        <w:t xml:space="preserve"> hospital admissions for alcohol-related cardiovascular disease conditions (broad definition)</w:t>
      </w:r>
      <w:r w:rsidR="00BB3BA8">
        <w:rPr>
          <w:b/>
          <w:color w:val="002F5D"/>
        </w:rPr>
        <w:t xml:space="preserve"> </w:t>
      </w:r>
      <w:r w:rsidR="00BB3BA8">
        <w:rPr>
          <w:color w:val="002F5D"/>
        </w:rPr>
        <w:t>when compared to England</w:t>
      </w:r>
      <w:r w:rsidR="00C32F6D">
        <w:rPr>
          <w:color w:val="002F5D"/>
        </w:rPr>
        <w:t xml:space="preserve"> (not reflected in the shading of the table</w:t>
      </w:r>
      <w:r w:rsidR="00C911BC">
        <w:rPr>
          <w:color w:val="002F5D"/>
        </w:rPr>
        <w:t xml:space="preserve"> where the benchmark is the Cambridgeshire average</w:t>
      </w:r>
      <w:r w:rsidR="00C32F6D">
        <w:rPr>
          <w:color w:val="002F5D"/>
        </w:rPr>
        <w:t>)</w:t>
      </w:r>
      <w:r w:rsidR="00B41ADD">
        <w:rPr>
          <w:color w:val="002F5D"/>
        </w:rPr>
        <w:t>.</w:t>
      </w:r>
    </w:p>
    <w:p w14:paraId="5862A8A4" w14:textId="77777777" w:rsidR="00D07EBC" w:rsidRPr="00BB3BA8" w:rsidRDefault="00D07EBC" w:rsidP="00BB3BA8">
      <w:pPr>
        <w:rPr>
          <w:color w:val="002F5D"/>
        </w:rPr>
      </w:pPr>
    </w:p>
    <w:p w14:paraId="30E487AC" w14:textId="77777777" w:rsidR="006D5315" w:rsidRPr="006D5315" w:rsidRDefault="006D5315" w:rsidP="000A0028">
      <w:pPr>
        <w:rPr>
          <w:b/>
          <w:color w:val="002F5D"/>
        </w:rPr>
      </w:pPr>
      <w:r w:rsidRPr="006D5315">
        <w:rPr>
          <w:b/>
          <w:color w:val="002F5D"/>
        </w:rPr>
        <w:t xml:space="preserve">Table </w:t>
      </w:r>
      <w:r w:rsidR="009E5C0B">
        <w:rPr>
          <w:b/>
          <w:color w:val="002F5D"/>
        </w:rPr>
        <w:t>5</w:t>
      </w:r>
      <w:r w:rsidRPr="006D5315">
        <w:rPr>
          <w:b/>
          <w:color w:val="002F5D"/>
        </w:rPr>
        <w:t>:</w:t>
      </w:r>
      <w:r w:rsidR="009E5C0B">
        <w:rPr>
          <w:b/>
          <w:color w:val="002F5D"/>
        </w:rPr>
        <w:t xml:space="preserve"> </w:t>
      </w:r>
      <w:r w:rsidR="00953AC6">
        <w:rPr>
          <w:b/>
          <w:color w:val="002F5D"/>
        </w:rPr>
        <w:t>Hospital a</w:t>
      </w:r>
      <w:r w:rsidRPr="006D5315">
        <w:rPr>
          <w:b/>
          <w:color w:val="002F5D"/>
        </w:rPr>
        <w:t>dmission episodes for intentional self-poisoning by and exposur</w:t>
      </w:r>
      <w:r w:rsidR="00EC1FDE">
        <w:rPr>
          <w:b/>
          <w:color w:val="002F5D"/>
        </w:rPr>
        <w:t>e to alcohol condition (narrow)</w:t>
      </w:r>
      <w:r w:rsidR="00B76E43">
        <w:rPr>
          <w:b/>
          <w:color w:val="002F5D"/>
        </w:rPr>
        <w:t>*</w:t>
      </w:r>
      <w:r w:rsidR="00B76E43" w:rsidRPr="00B76E43">
        <w:rPr>
          <w:b/>
          <w:color w:val="002F5D"/>
        </w:rPr>
        <w:t xml:space="preserve"> </w:t>
      </w:r>
      <w:r w:rsidR="00B76E43">
        <w:rPr>
          <w:b/>
          <w:color w:val="002F5D"/>
        </w:rPr>
        <w:t xml:space="preserve">- directly age-standardised rates (DASR) per 100,000 population for </w:t>
      </w:r>
      <w:r>
        <w:rPr>
          <w:b/>
          <w:color w:val="002F5D"/>
        </w:rPr>
        <w:t xml:space="preserve">Cambridgeshire and Peterborough, </w:t>
      </w:r>
      <w:r w:rsidRPr="006D5315">
        <w:rPr>
          <w:b/>
          <w:color w:val="002F5D"/>
        </w:rPr>
        <w:t>2016/17</w:t>
      </w:r>
    </w:p>
    <w:p w14:paraId="4A358FE6" w14:textId="77777777" w:rsidR="006D5315" w:rsidRDefault="006D5315" w:rsidP="000A0028">
      <w:pPr>
        <w:rPr>
          <w:color w:val="002F5D"/>
        </w:rPr>
      </w:pPr>
      <w:r w:rsidRPr="006D5315">
        <w:rPr>
          <w:noProof/>
          <w:lang w:eastAsia="en-GB"/>
        </w:rPr>
        <w:drawing>
          <wp:inline distT="0" distB="0" distL="0" distR="0" wp14:anchorId="2FC11A3D" wp14:editId="1E18601E">
            <wp:extent cx="5731510" cy="2189289"/>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03DE5029" w14:textId="77777777" w:rsidR="005B25EC" w:rsidRDefault="006D5315" w:rsidP="000A0028">
      <w:pPr>
        <w:rPr>
          <w:color w:val="002F5D"/>
        </w:rPr>
      </w:pPr>
      <w:r>
        <w:rPr>
          <w:color w:val="002F5D"/>
        </w:rPr>
        <w:t>*</w:t>
      </w:r>
      <w:r w:rsidRPr="006D5315">
        <w:rPr>
          <w:color w:val="002F5D"/>
        </w:rPr>
        <w:t>Admissions to hospital where the secondary diagnoses is an alcohol-attributable intentional self-poisoning by and exposure to alcohol code.</w:t>
      </w:r>
    </w:p>
    <w:p w14:paraId="02B5F410" w14:textId="77777777" w:rsidR="00FC1787" w:rsidRDefault="00FC1787" w:rsidP="000A0028">
      <w:pPr>
        <w:rPr>
          <w:color w:val="002F5D"/>
        </w:rPr>
      </w:pPr>
      <w:r>
        <w:rPr>
          <w:color w:val="002F5D"/>
        </w:rPr>
        <w:t>Data not available at combined authority level</w:t>
      </w:r>
    </w:p>
    <w:p w14:paraId="1960C203" w14:textId="77777777" w:rsidR="006D5315" w:rsidRDefault="006D5315" w:rsidP="000A0028">
      <w:pPr>
        <w:rPr>
          <w:color w:val="002F5D"/>
        </w:rPr>
      </w:pPr>
      <w:r w:rsidRPr="006D5315">
        <w:rPr>
          <w:color w:val="002F5D"/>
        </w:rPr>
        <w:t>Source: Calculated by Public Health England: Risk Factors Intelligence (RFI) team using data from NHS Digital - Hospital Episode Statistics (HES) and Office for National Statistics (ONS) - Mid Year Population Estimates.</w:t>
      </w:r>
    </w:p>
    <w:p w14:paraId="2FFFA969" w14:textId="77777777" w:rsidR="00D3373F" w:rsidRPr="00A240A2" w:rsidRDefault="00D3373F" w:rsidP="00D3373F">
      <w:pPr>
        <w:rPr>
          <w:color w:val="002F5D"/>
        </w:rPr>
      </w:pPr>
      <w:r w:rsidRPr="0086252F">
        <w:rPr>
          <w:color w:val="002F5D"/>
        </w:rPr>
        <w:t>Key Points</w:t>
      </w:r>
      <w:r w:rsidR="00953AC6">
        <w:rPr>
          <w:color w:val="002F5D"/>
        </w:rPr>
        <w:t>:</w:t>
      </w:r>
    </w:p>
    <w:p w14:paraId="7E12F416" w14:textId="77777777" w:rsidR="00D3373F" w:rsidRPr="00A240A2" w:rsidRDefault="00D3373F" w:rsidP="00D3373F">
      <w:pPr>
        <w:pStyle w:val="ListParagraph"/>
        <w:numPr>
          <w:ilvl w:val="0"/>
          <w:numId w:val="11"/>
        </w:numPr>
        <w:rPr>
          <w:color w:val="002F5D"/>
        </w:rPr>
      </w:pPr>
      <w:r w:rsidRPr="00A240A2">
        <w:rPr>
          <w:color w:val="002F5D"/>
        </w:rPr>
        <w:t xml:space="preserve">The rates of </w:t>
      </w:r>
      <w:r w:rsidRPr="00BB3BA8">
        <w:rPr>
          <w:b/>
          <w:color w:val="002F5D"/>
        </w:rPr>
        <w:t>hospital admissions for intentional</w:t>
      </w:r>
      <w:r w:rsidRPr="00AC542C">
        <w:rPr>
          <w:b/>
          <w:color w:val="002F5D"/>
        </w:rPr>
        <w:t xml:space="preserve"> self-poisoning by and exposure to alcohol condition (narrow)</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than the England average in </w:t>
      </w:r>
      <w:r>
        <w:rPr>
          <w:color w:val="002F5D"/>
        </w:rPr>
        <w:t xml:space="preserve">both </w:t>
      </w:r>
      <w:r w:rsidRPr="00A240A2">
        <w:rPr>
          <w:color w:val="002F5D"/>
        </w:rPr>
        <w:t>C</w:t>
      </w:r>
      <w:r>
        <w:rPr>
          <w:color w:val="002F5D"/>
        </w:rPr>
        <w:t xml:space="preserve">ambridgeshire and Peterborough for persons, </w:t>
      </w:r>
      <w:r w:rsidRPr="00A240A2">
        <w:rPr>
          <w:color w:val="002F5D"/>
        </w:rPr>
        <w:t>males</w:t>
      </w:r>
      <w:r>
        <w:rPr>
          <w:color w:val="002F5D"/>
        </w:rPr>
        <w:t xml:space="preserve"> and females.</w:t>
      </w:r>
    </w:p>
    <w:p w14:paraId="382AF31E" w14:textId="77777777" w:rsidR="00D3373F" w:rsidRDefault="00D3373F" w:rsidP="00D3373F">
      <w:pPr>
        <w:pStyle w:val="ListParagraph"/>
        <w:numPr>
          <w:ilvl w:val="0"/>
          <w:numId w:val="11"/>
        </w:numPr>
        <w:rPr>
          <w:color w:val="002F5D"/>
        </w:rPr>
      </w:pPr>
      <w:r w:rsidRPr="00A240A2">
        <w:rPr>
          <w:color w:val="002F5D"/>
        </w:rPr>
        <w:t xml:space="preserve">The rates of </w:t>
      </w:r>
      <w:r w:rsidRPr="00BB3BA8">
        <w:rPr>
          <w:b/>
          <w:color w:val="002F5D"/>
        </w:rPr>
        <w:t>hospital admissions for intentional</w:t>
      </w:r>
      <w:r w:rsidRPr="00AC542C">
        <w:rPr>
          <w:b/>
          <w:color w:val="002F5D"/>
        </w:rPr>
        <w:t xml:space="preserve"> self-poisoning by and exposure to alcohol condition (narrow</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w:t>
      </w:r>
      <w:r>
        <w:rPr>
          <w:color w:val="002F5D"/>
        </w:rPr>
        <w:t xml:space="preserve">than the Cambridgeshire average in Cambridge for persons and </w:t>
      </w:r>
      <w:r w:rsidRPr="00A240A2">
        <w:rPr>
          <w:color w:val="002F5D"/>
        </w:rPr>
        <w:t xml:space="preserve">statistically significantly </w:t>
      </w:r>
      <w:r>
        <w:rPr>
          <w:color w:val="002F5D"/>
        </w:rPr>
        <w:t>lower</w:t>
      </w:r>
      <w:r w:rsidRPr="00A240A2">
        <w:rPr>
          <w:color w:val="002F5D"/>
        </w:rPr>
        <w:t xml:space="preserve"> </w:t>
      </w:r>
      <w:r>
        <w:rPr>
          <w:color w:val="002F5D"/>
        </w:rPr>
        <w:t xml:space="preserve">than the Cambridgeshire average in Huntingdonshire </w:t>
      </w:r>
      <w:r w:rsidR="00953AC6">
        <w:rPr>
          <w:color w:val="002F5D"/>
        </w:rPr>
        <w:t xml:space="preserve">for </w:t>
      </w:r>
      <w:r>
        <w:rPr>
          <w:color w:val="002F5D"/>
        </w:rPr>
        <w:t>persons and females.</w:t>
      </w:r>
    </w:p>
    <w:p w14:paraId="290E0845" w14:textId="7ED1C3D3" w:rsidR="00EC1FDE" w:rsidRDefault="006D5315" w:rsidP="00AF66CC">
      <w:pPr>
        <w:pStyle w:val="ListParagraph"/>
        <w:numPr>
          <w:ilvl w:val="0"/>
          <w:numId w:val="11"/>
        </w:numPr>
        <w:rPr>
          <w:lang w:eastAsia="en-GB"/>
        </w:rPr>
      </w:pPr>
      <w:r w:rsidRPr="00D3373F">
        <w:rPr>
          <w:rFonts w:ascii="Calibri" w:eastAsia="Times New Roman" w:hAnsi="Calibri" w:cs="Times New Roman"/>
          <w:color w:val="002F5D"/>
          <w:lang w:eastAsia="en-GB"/>
        </w:rPr>
        <w:t>When compared to England</w:t>
      </w:r>
      <w:r w:rsidR="00D3373F">
        <w:rPr>
          <w:rFonts w:ascii="Calibri" w:eastAsia="Times New Roman" w:hAnsi="Calibri" w:cs="Times New Roman"/>
          <w:color w:val="002F5D"/>
          <w:lang w:eastAsia="en-GB"/>
        </w:rPr>
        <w:t xml:space="preserve"> both Cambridge and Fenland</w:t>
      </w:r>
      <w:r w:rsidRPr="00D3373F">
        <w:rPr>
          <w:rFonts w:ascii="Calibri" w:eastAsia="Times New Roman" w:hAnsi="Calibri" w:cs="Times New Roman"/>
          <w:color w:val="002F5D"/>
          <w:lang w:eastAsia="en-GB"/>
        </w:rPr>
        <w:t xml:space="preserve"> have statistically significantly higher rates for males and persons and Cambridge also fo</w:t>
      </w:r>
      <w:r w:rsidR="00D3373F">
        <w:rPr>
          <w:rFonts w:ascii="Calibri" w:eastAsia="Times New Roman" w:hAnsi="Calibri" w:cs="Times New Roman"/>
          <w:color w:val="002F5D"/>
          <w:lang w:eastAsia="en-GB"/>
        </w:rPr>
        <w:t xml:space="preserve">r females along with South </w:t>
      </w:r>
      <w:r w:rsidR="00D3373F">
        <w:rPr>
          <w:rFonts w:ascii="Calibri" w:eastAsia="Times New Roman" w:hAnsi="Calibri" w:cs="Times New Roman"/>
          <w:color w:val="002F5D"/>
          <w:lang w:eastAsia="en-GB"/>
        </w:rPr>
        <w:lastRenderedPageBreak/>
        <w:t>Cambridgeshire</w:t>
      </w:r>
      <w:r w:rsidR="00C32F6D">
        <w:rPr>
          <w:rFonts w:ascii="Calibri" w:eastAsia="Times New Roman" w:hAnsi="Calibri" w:cs="Times New Roman"/>
          <w:color w:val="002F5D"/>
          <w:lang w:eastAsia="en-GB"/>
        </w:rPr>
        <w:t xml:space="preserve"> </w:t>
      </w:r>
      <w:r w:rsidR="00C32F6D">
        <w:rPr>
          <w:color w:val="002F5D"/>
        </w:rPr>
        <w:t>(not reflected in the shading of the table</w:t>
      </w:r>
      <w:r w:rsidR="00C911BC">
        <w:rPr>
          <w:color w:val="002F5D"/>
        </w:rPr>
        <w:t xml:space="preserve"> where the benchmark is the Cambridgeshire average</w:t>
      </w:r>
      <w:r w:rsidR="00C32F6D">
        <w:rPr>
          <w:color w:val="002F5D"/>
        </w:rPr>
        <w:t>).</w:t>
      </w:r>
    </w:p>
    <w:p w14:paraId="371EF2E1" w14:textId="77777777" w:rsidR="00EC1FDE" w:rsidRDefault="00EC1FDE" w:rsidP="006D5315">
      <w:pPr>
        <w:spacing w:after="0" w:line="240" w:lineRule="auto"/>
        <w:rPr>
          <w:rFonts w:ascii="Calibri" w:eastAsia="Times New Roman" w:hAnsi="Calibri" w:cs="Times New Roman"/>
          <w:color w:val="002F5D"/>
          <w:lang w:eastAsia="en-GB"/>
        </w:rPr>
      </w:pPr>
    </w:p>
    <w:p w14:paraId="395877D5" w14:textId="2D02432B" w:rsidR="006D5315" w:rsidRPr="007D6466" w:rsidRDefault="008F4C6C" w:rsidP="006D5315">
      <w:pPr>
        <w:spacing w:after="0" w:line="240" w:lineRule="auto"/>
        <w:rPr>
          <w:rFonts w:ascii="Calibri" w:eastAsia="Times New Roman" w:hAnsi="Calibri" w:cs="Times New Roman"/>
          <w:b/>
          <w:bCs/>
          <w:color w:val="002F5D"/>
          <w:lang w:eastAsia="en-GB"/>
        </w:rPr>
      </w:pPr>
      <w:r>
        <w:rPr>
          <w:rFonts w:ascii="Calibri" w:eastAsia="Times New Roman" w:hAnsi="Calibri" w:cs="Times New Roman"/>
          <w:b/>
          <w:bCs/>
          <w:color w:val="002F5D"/>
          <w:lang w:eastAsia="en-GB"/>
        </w:rPr>
        <w:t xml:space="preserve">Table 6: </w:t>
      </w:r>
      <w:r w:rsidR="00727E69">
        <w:rPr>
          <w:rFonts w:ascii="Calibri" w:eastAsia="Times New Roman" w:hAnsi="Calibri" w:cs="Times New Roman"/>
          <w:b/>
          <w:bCs/>
          <w:color w:val="002F5D"/>
          <w:lang w:eastAsia="en-GB"/>
        </w:rPr>
        <w:t>Hospital a</w:t>
      </w:r>
      <w:r w:rsidR="006D5315" w:rsidRPr="006D5315">
        <w:rPr>
          <w:rFonts w:ascii="Calibri" w:eastAsia="Times New Roman" w:hAnsi="Calibri" w:cs="Times New Roman"/>
          <w:b/>
          <w:bCs/>
          <w:color w:val="002F5D"/>
          <w:lang w:eastAsia="en-GB"/>
        </w:rPr>
        <w:t>dmission episodes for mental and behavioural disorders due to use of alcohol condition (Broa</w:t>
      </w:r>
      <w:r w:rsidR="00EC1FDE">
        <w:rPr>
          <w:rFonts w:ascii="Calibri" w:eastAsia="Times New Roman" w:hAnsi="Calibri" w:cs="Times New Roman"/>
          <w:b/>
          <w:bCs/>
          <w:color w:val="002F5D"/>
          <w:lang w:eastAsia="en-GB"/>
        </w:rPr>
        <w:t>d)</w:t>
      </w:r>
      <w:r w:rsidR="009974F0">
        <w:rPr>
          <w:rFonts w:ascii="Calibri" w:eastAsia="Times New Roman" w:hAnsi="Calibri" w:cs="Times New Roman"/>
          <w:b/>
          <w:bCs/>
          <w:color w:val="002F5D"/>
          <w:lang w:eastAsia="en-GB"/>
        </w:rPr>
        <w:t xml:space="preserve">* </w:t>
      </w:r>
      <w:r w:rsidR="00B76E43">
        <w:rPr>
          <w:b/>
          <w:color w:val="002F5D"/>
        </w:rPr>
        <w:t>- directly age-standardised rates (DASR) per 100,000 population for</w:t>
      </w:r>
      <w:r w:rsidR="00B76E43">
        <w:rPr>
          <w:rFonts w:ascii="Calibri" w:eastAsia="Times New Roman" w:hAnsi="Calibri" w:cs="Times New Roman"/>
          <w:b/>
          <w:bCs/>
          <w:color w:val="002F5D"/>
          <w:lang w:eastAsia="en-GB"/>
        </w:rPr>
        <w:t xml:space="preserve"> </w:t>
      </w:r>
      <w:r w:rsidR="007D6466" w:rsidRPr="007D6466">
        <w:rPr>
          <w:rFonts w:ascii="Calibri" w:eastAsia="Times New Roman" w:hAnsi="Calibri" w:cs="Times New Roman"/>
          <w:b/>
          <w:bCs/>
          <w:color w:val="002F5D"/>
          <w:lang w:eastAsia="en-GB"/>
        </w:rPr>
        <w:t>Cambridgeshire and Peterbo</w:t>
      </w:r>
      <w:r w:rsidR="00EC1FDE">
        <w:rPr>
          <w:rFonts w:ascii="Calibri" w:eastAsia="Times New Roman" w:hAnsi="Calibri" w:cs="Times New Roman"/>
          <w:b/>
          <w:bCs/>
          <w:color w:val="002F5D"/>
          <w:lang w:eastAsia="en-GB"/>
        </w:rPr>
        <w:t>rough</w:t>
      </w:r>
      <w:r w:rsidR="006D5315" w:rsidRPr="006D5315">
        <w:rPr>
          <w:rFonts w:ascii="Calibri" w:eastAsia="Times New Roman" w:hAnsi="Calibri" w:cs="Times New Roman"/>
          <w:b/>
          <w:bCs/>
          <w:color w:val="002F5D"/>
          <w:lang w:eastAsia="en-GB"/>
        </w:rPr>
        <w:t>, 2016/17</w:t>
      </w:r>
    </w:p>
    <w:p w14:paraId="11F9F4E8" w14:textId="77777777" w:rsidR="006D5315" w:rsidRPr="007D6466" w:rsidRDefault="006D5315" w:rsidP="006D5315">
      <w:pPr>
        <w:spacing w:after="0" w:line="240" w:lineRule="auto"/>
        <w:rPr>
          <w:rFonts w:ascii="Calibri" w:eastAsia="Times New Roman" w:hAnsi="Calibri" w:cs="Times New Roman"/>
          <w:color w:val="002F5D"/>
          <w:lang w:eastAsia="en-GB"/>
        </w:rPr>
      </w:pPr>
    </w:p>
    <w:p w14:paraId="3D35298B" w14:textId="77777777" w:rsidR="006D5315" w:rsidRDefault="006D5315" w:rsidP="000A0028">
      <w:pPr>
        <w:rPr>
          <w:color w:val="002F5D"/>
        </w:rPr>
      </w:pPr>
      <w:r w:rsidRPr="006D5315">
        <w:rPr>
          <w:noProof/>
          <w:lang w:eastAsia="en-GB"/>
        </w:rPr>
        <w:drawing>
          <wp:inline distT="0" distB="0" distL="0" distR="0" wp14:anchorId="282C1D17" wp14:editId="3F64CC0E">
            <wp:extent cx="5731510" cy="2189289"/>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3B879B5A" w14:textId="77777777" w:rsidR="005B25EC" w:rsidRDefault="007D6466" w:rsidP="000A0028">
      <w:pPr>
        <w:rPr>
          <w:color w:val="002F5D"/>
        </w:rPr>
      </w:pPr>
      <w:r w:rsidRPr="007D6466">
        <w:rPr>
          <w:color w:val="002F5D"/>
        </w:rPr>
        <w:t>*Admissions to hospital where the primary diagnosis or any of the secondary diagnoses are an alcohol-attributable mental and behavioural disorders due to use of alcohol code.  Broad measures are considered the best reflection of the burden of alcohol on the community and services.</w:t>
      </w:r>
    </w:p>
    <w:p w14:paraId="5C5FAE13" w14:textId="77777777" w:rsidR="00FC1787" w:rsidRPr="005B25EC" w:rsidRDefault="00FC1787" w:rsidP="00FC1787">
      <w:pPr>
        <w:rPr>
          <w:color w:val="002F5D"/>
        </w:rPr>
      </w:pPr>
      <w:r>
        <w:rPr>
          <w:color w:val="002F5D"/>
        </w:rPr>
        <w:t>Data not available at combined authority level</w:t>
      </w:r>
    </w:p>
    <w:p w14:paraId="5DA5FBB2" w14:textId="77777777" w:rsidR="007D6466" w:rsidRDefault="007D6466" w:rsidP="007D6466">
      <w:pPr>
        <w:spacing w:after="0" w:line="240" w:lineRule="auto"/>
        <w:rPr>
          <w:rFonts w:ascii="Calibri" w:eastAsia="Times New Roman" w:hAnsi="Calibri" w:cs="Times New Roman"/>
          <w:color w:val="002F5D"/>
          <w:lang w:eastAsia="en-GB"/>
        </w:rPr>
      </w:pPr>
      <w:r w:rsidRPr="007D6466">
        <w:rPr>
          <w:rFonts w:ascii="Calibri" w:eastAsia="Times New Roman" w:hAnsi="Calibri" w:cs="Times New Roman"/>
          <w:color w:val="002F5D"/>
          <w:lang w:eastAsia="en-GB"/>
        </w:rPr>
        <w:t>Source: Calculated by Public Health England: Risk Factors Intelligence (RFI) team using data from NHS Digital - Hospital Episode Statistics (HES) and Office for National Statistics (ONS) - Mid Year Population Estimates.</w:t>
      </w:r>
    </w:p>
    <w:p w14:paraId="43B5D1FA" w14:textId="77777777" w:rsidR="00D3373F" w:rsidRDefault="00D3373F" w:rsidP="007D6466">
      <w:pPr>
        <w:spacing w:after="0" w:line="240" w:lineRule="auto"/>
        <w:rPr>
          <w:rFonts w:ascii="Calibri" w:eastAsia="Times New Roman" w:hAnsi="Calibri" w:cs="Times New Roman"/>
          <w:color w:val="002F5D"/>
          <w:lang w:eastAsia="en-GB"/>
        </w:rPr>
      </w:pPr>
    </w:p>
    <w:p w14:paraId="31453664" w14:textId="77777777" w:rsidR="00D3373F" w:rsidRPr="00A240A2" w:rsidRDefault="00D3373F" w:rsidP="00D3373F">
      <w:pPr>
        <w:rPr>
          <w:color w:val="002F5D"/>
        </w:rPr>
      </w:pPr>
      <w:r w:rsidRPr="0086252F">
        <w:rPr>
          <w:color w:val="002F5D"/>
        </w:rPr>
        <w:t>Key Points</w:t>
      </w:r>
      <w:r w:rsidR="00953AC6">
        <w:rPr>
          <w:color w:val="002F5D"/>
        </w:rPr>
        <w:t>:</w:t>
      </w:r>
    </w:p>
    <w:p w14:paraId="47447A9C" w14:textId="77777777" w:rsidR="00D3373F" w:rsidRPr="00A240A2" w:rsidRDefault="00D3373F" w:rsidP="00D3373F">
      <w:pPr>
        <w:pStyle w:val="ListParagraph"/>
        <w:numPr>
          <w:ilvl w:val="0"/>
          <w:numId w:val="11"/>
        </w:numPr>
        <w:rPr>
          <w:color w:val="002F5D"/>
        </w:rPr>
      </w:pPr>
      <w:r w:rsidRPr="00A240A2">
        <w:rPr>
          <w:color w:val="002F5D"/>
        </w:rPr>
        <w:t xml:space="preserve">The rates of </w:t>
      </w:r>
      <w:r w:rsidRPr="00BB3BA8">
        <w:rPr>
          <w:b/>
          <w:color w:val="002F5D"/>
        </w:rPr>
        <w:t>hospital admissions for</w:t>
      </w:r>
      <w:r w:rsidRPr="00BB3BA8">
        <w:rPr>
          <w:rFonts w:ascii="Calibri" w:eastAsia="Times New Roman" w:hAnsi="Calibri" w:cs="Times New Roman"/>
          <w:b/>
          <w:bCs/>
          <w:color w:val="002F5D"/>
          <w:lang w:eastAsia="en-GB"/>
        </w:rPr>
        <w:t xml:space="preserve"> </w:t>
      </w:r>
      <w:r w:rsidRPr="006D5315">
        <w:rPr>
          <w:rFonts w:ascii="Calibri" w:eastAsia="Times New Roman" w:hAnsi="Calibri" w:cs="Times New Roman"/>
          <w:b/>
          <w:bCs/>
          <w:color w:val="002F5D"/>
          <w:lang w:eastAsia="en-GB"/>
        </w:rPr>
        <w:t>mental and behavioural disorders due to use of alcohol condition (Broa</w:t>
      </w:r>
      <w:r w:rsidRPr="00AC542C">
        <w:rPr>
          <w:rFonts w:ascii="Calibri" w:eastAsia="Times New Roman" w:hAnsi="Calibri" w:cs="Times New Roman"/>
          <w:b/>
          <w:bCs/>
          <w:color w:val="002F5D"/>
          <w:lang w:eastAsia="en-GB"/>
        </w:rPr>
        <w:t>d)</w:t>
      </w:r>
      <w:r>
        <w:rPr>
          <w:color w:val="002F5D"/>
        </w:rPr>
        <w:t xml:space="preserve"> </w:t>
      </w:r>
      <w:r w:rsidRPr="00A240A2">
        <w:rPr>
          <w:color w:val="002F5D"/>
        </w:rPr>
        <w:t xml:space="preserve">are statistically significantly </w:t>
      </w:r>
      <w:r w:rsidR="00AC542C">
        <w:rPr>
          <w:color w:val="002F5D"/>
        </w:rPr>
        <w:t>lower</w:t>
      </w:r>
      <w:r w:rsidRPr="00A240A2">
        <w:rPr>
          <w:color w:val="002F5D"/>
        </w:rPr>
        <w:t xml:space="preserve"> than the England average in </w:t>
      </w:r>
      <w:r>
        <w:rPr>
          <w:color w:val="002F5D"/>
        </w:rPr>
        <w:t xml:space="preserve">both </w:t>
      </w:r>
      <w:r w:rsidRPr="00A240A2">
        <w:rPr>
          <w:color w:val="002F5D"/>
        </w:rPr>
        <w:t>C</w:t>
      </w:r>
      <w:r>
        <w:rPr>
          <w:color w:val="002F5D"/>
        </w:rPr>
        <w:t>ambridgeshire and Peterborough for persons and in Cambridgeshire males.</w:t>
      </w:r>
    </w:p>
    <w:p w14:paraId="29209C2C" w14:textId="77777777" w:rsidR="00D3373F" w:rsidRPr="00A240A2" w:rsidRDefault="00D3373F" w:rsidP="00D3373F">
      <w:pPr>
        <w:pStyle w:val="ListParagraph"/>
        <w:numPr>
          <w:ilvl w:val="0"/>
          <w:numId w:val="11"/>
        </w:numPr>
        <w:rPr>
          <w:color w:val="002F5D"/>
        </w:rPr>
      </w:pPr>
      <w:r w:rsidRPr="00A240A2">
        <w:rPr>
          <w:color w:val="002F5D"/>
        </w:rPr>
        <w:t xml:space="preserve">The rates of </w:t>
      </w:r>
      <w:r w:rsidRPr="00BB3BA8">
        <w:rPr>
          <w:b/>
          <w:color w:val="002F5D"/>
        </w:rPr>
        <w:t>hospital admissions for</w:t>
      </w:r>
      <w:r w:rsidRPr="00BB3BA8">
        <w:rPr>
          <w:rFonts w:ascii="Calibri" w:eastAsia="Times New Roman" w:hAnsi="Calibri" w:cs="Times New Roman"/>
          <w:b/>
          <w:bCs/>
          <w:color w:val="002F5D"/>
          <w:lang w:eastAsia="en-GB"/>
        </w:rPr>
        <w:t xml:space="preserve"> </w:t>
      </w:r>
      <w:r w:rsidRPr="006D5315">
        <w:rPr>
          <w:rFonts w:ascii="Calibri" w:eastAsia="Times New Roman" w:hAnsi="Calibri" w:cs="Times New Roman"/>
          <w:b/>
          <w:bCs/>
          <w:color w:val="002F5D"/>
          <w:lang w:eastAsia="en-GB"/>
        </w:rPr>
        <w:t>mental and behavioural disorders due to use of alcohol condition (Broa</w:t>
      </w:r>
      <w:r w:rsidRPr="00AC542C">
        <w:rPr>
          <w:rFonts w:ascii="Calibri" w:eastAsia="Times New Roman" w:hAnsi="Calibri" w:cs="Times New Roman"/>
          <w:b/>
          <w:bCs/>
          <w:color w:val="002F5D"/>
          <w:lang w:eastAsia="en-GB"/>
        </w:rPr>
        <w:t>d)</w:t>
      </w:r>
      <w:r w:rsidRPr="00AC542C">
        <w:rPr>
          <w:b/>
          <w:color w:val="002F5D"/>
        </w:rPr>
        <w:t xml:space="preserve"> </w:t>
      </w:r>
      <w:r w:rsidRPr="00A240A2">
        <w:rPr>
          <w:color w:val="002F5D"/>
        </w:rPr>
        <w:t xml:space="preserve">are statistically significantly </w:t>
      </w:r>
      <w:r w:rsidR="00AC542C">
        <w:rPr>
          <w:color w:val="002F5D"/>
        </w:rPr>
        <w:t>lower</w:t>
      </w:r>
      <w:r w:rsidRPr="00A240A2">
        <w:rPr>
          <w:color w:val="002F5D"/>
        </w:rPr>
        <w:t xml:space="preserve"> than the </w:t>
      </w:r>
      <w:r>
        <w:rPr>
          <w:color w:val="002F5D"/>
        </w:rPr>
        <w:t>Cambridgeshire</w:t>
      </w:r>
      <w:r w:rsidRPr="00A240A2">
        <w:rPr>
          <w:color w:val="002F5D"/>
        </w:rPr>
        <w:t xml:space="preserve"> average in </w:t>
      </w:r>
      <w:r>
        <w:rPr>
          <w:color w:val="002F5D"/>
        </w:rPr>
        <w:t xml:space="preserve">both East </w:t>
      </w:r>
      <w:r w:rsidRPr="00A240A2">
        <w:rPr>
          <w:color w:val="002F5D"/>
        </w:rPr>
        <w:t>C</w:t>
      </w:r>
      <w:r>
        <w:rPr>
          <w:color w:val="002F5D"/>
        </w:rPr>
        <w:t xml:space="preserve">ambridgeshire and Huntingdonshire for persons and males and Huntingdonshire females.  Cambridge has statistically significantly higher rates of </w:t>
      </w:r>
      <w:r w:rsidRPr="00BB3BA8">
        <w:rPr>
          <w:b/>
          <w:color w:val="002F5D"/>
        </w:rPr>
        <w:t>hospital admissions for</w:t>
      </w:r>
      <w:r w:rsidRPr="00D3373F">
        <w:rPr>
          <w:rFonts w:ascii="Calibri" w:eastAsia="Times New Roman" w:hAnsi="Calibri" w:cs="Times New Roman"/>
          <w:b/>
          <w:bCs/>
          <w:color w:val="002F5D"/>
          <w:lang w:eastAsia="en-GB"/>
        </w:rPr>
        <w:t xml:space="preserve"> </w:t>
      </w:r>
      <w:r w:rsidRPr="006D5315">
        <w:rPr>
          <w:rFonts w:ascii="Calibri" w:eastAsia="Times New Roman" w:hAnsi="Calibri" w:cs="Times New Roman"/>
          <w:b/>
          <w:bCs/>
          <w:color w:val="002F5D"/>
          <w:lang w:eastAsia="en-GB"/>
        </w:rPr>
        <w:t>mental and behavioural disorders due to use of alcohol condition (Broa</w:t>
      </w:r>
      <w:r w:rsidRPr="00AC542C">
        <w:rPr>
          <w:rFonts w:ascii="Calibri" w:eastAsia="Times New Roman" w:hAnsi="Calibri" w:cs="Times New Roman"/>
          <w:b/>
          <w:bCs/>
          <w:color w:val="002F5D"/>
          <w:lang w:eastAsia="en-GB"/>
        </w:rPr>
        <w:t>d)</w:t>
      </w:r>
      <w:r w:rsidR="008F4C6C">
        <w:rPr>
          <w:rFonts w:ascii="Calibri" w:eastAsia="Times New Roman" w:hAnsi="Calibri" w:cs="Times New Roman"/>
          <w:bCs/>
          <w:color w:val="002F5D"/>
          <w:lang w:eastAsia="en-GB"/>
        </w:rPr>
        <w:t xml:space="preserve"> for persons, males and females when compared to Cambridgeshire.</w:t>
      </w:r>
    </w:p>
    <w:p w14:paraId="6314143B" w14:textId="77777777" w:rsidR="00D3373F" w:rsidRPr="00D3373F" w:rsidRDefault="00D3373F" w:rsidP="00D3373F">
      <w:pPr>
        <w:pStyle w:val="ListParagraph"/>
        <w:numPr>
          <w:ilvl w:val="0"/>
          <w:numId w:val="11"/>
        </w:numPr>
        <w:rPr>
          <w:color w:val="002F5D"/>
        </w:rPr>
      </w:pPr>
      <w:r w:rsidRPr="00D3373F">
        <w:rPr>
          <w:rFonts w:ascii="Calibri" w:eastAsia="Times New Roman" w:hAnsi="Calibri" w:cs="Times New Roman"/>
          <w:color w:val="002F5D"/>
          <w:lang w:eastAsia="en-GB"/>
        </w:rPr>
        <w:t>When compared to England</w:t>
      </w:r>
      <w:r w:rsidR="008F4C6C">
        <w:rPr>
          <w:rFonts w:ascii="Calibri" w:eastAsia="Times New Roman" w:hAnsi="Calibri" w:cs="Times New Roman"/>
          <w:color w:val="002F5D"/>
          <w:lang w:eastAsia="en-GB"/>
        </w:rPr>
        <w:t>,</w:t>
      </w:r>
      <w:r>
        <w:rPr>
          <w:rFonts w:ascii="Calibri" w:eastAsia="Times New Roman" w:hAnsi="Calibri" w:cs="Times New Roman"/>
          <w:color w:val="002F5D"/>
          <w:lang w:eastAsia="en-GB"/>
        </w:rPr>
        <w:t xml:space="preserve"> Cambridge </w:t>
      </w:r>
      <w:r w:rsidR="008F4C6C">
        <w:rPr>
          <w:rFonts w:ascii="Calibri" w:eastAsia="Times New Roman" w:hAnsi="Calibri" w:cs="Times New Roman"/>
          <w:color w:val="002F5D"/>
          <w:lang w:eastAsia="en-GB"/>
        </w:rPr>
        <w:t>also has</w:t>
      </w:r>
      <w:r w:rsidRPr="00D3373F">
        <w:rPr>
          <w:rFonts w:ascii="Calibri" w:eastAsia="Times New Roman" w:hAnsi="Calibri" w:cs="Times New Roman"/>
          <w:color w:val="002F5D"/>
          <w:lang w:eastAsia="en-GB"/>
        </w:rPr>
        <w:t xml:space="preserve"> statistically significantly higher rates for </w:t>
      </w:r>
      <w:r w:rsidR="008F4C6C">
        <w:rPr>
          <w:rFonts w:ascii="Calibri" w:eastAsia="Times New Roman" w:hAnsi="Calibri" w:cs="Times New Roman"/>
          <w:color w:val="002F5D"/>
          <w:lang w:eastAsia="en-GB"/>
        </w:rPr>
        <w:t>persons, males and females</w:t>
      </w:r>
      <w:r w:rsidR="0006637D">
        <w:rPr>
          <w:rFonts w:ascii="Calibri" w:eastAsia="Times New Roman" w:hAnsi="Calibri" w:cs="Times New Roman"/>
          <w:color w:val="002F5D"/>
          <w:lang w:eastAsia="en-GB"/>
        </w:rPr>
        <w:t xml:space="preserve"> </w:t>
      </w:r>
      <w:r w:rsidR="0006637D">
        <w:rPr>
          <w:color w:val="002F5D"/>
        </w:rPr>
        <w:t>(not reflected in the shading of the table</w:t>
      </w:r>
      <w:r w:rsidR="00195A77">
        <w:rPr>
          <w:color w:val="002F5D"/>
        </w:rPr>
        <w:t xml:space="preserve"> where the benchmark is the Cambridgeshire average</w:t>
      </w:r>
      <w:r w:rsidR="0006637D">
        <w:rPr>
          <w:color w:val="002F5D"/>
        </w:rPr>
        <w:t>).</w:t>
      </w:r>
    </w:p>
    <w:p w14:paraId="145909E2" w14:textId="77777777" w:rsidR="008F4C6C" w:rsidRDefault="008F4C6C" w:rsidP="007D6466">
      <w:pPr>
        <w:spacing w:after="0" w:line="240" w:lineRule="auto"/>
        <w:rPr>
          <w:rFonts w:ascii="Calibri" w:eastAsia="Times New Roman" w:hAnsi="Calibri" w:cs="Times New Roman"/>
          <w:b/>
          <w:color w:val="002F5D"/>
          <w:lang w:eastAsia="en-GB"/>
        </w:rPr>
      </w:pPr>
    </w:p>
    <w:p w14:paraId="49444E15" w14:textId="77777777" w:rsidR="008F4C6C" w:rsidRDefault="008F4C6C" w:rsidP="007D6466">
      <w:pPr>
        <w:spacing w:after="0" w:line="240" w:lineRule="auto"/>
        <w:rPr>
          <w:rFonts w:ascii="Calibri" w:eastAsia="Times New Roman" w:hAnsi="Calibri" w:cs="Times New Roman"/>
          <w:b/>
          <w:color w:val="002F5D"/>
          <w:lang w:eastAsia="en-GB"/>
        </w:rPr>
      </w:pPr>
    </w:p>
    <w:p w14:paraId="5C74468F" w14:textId="77777777" w:rsidR="008F4C6C" w:rsidRDefault="008F4C6C" w:rsidP="007D6466">
      <w:pPr>
        <w:spacing w:after="0" w:line="240" w:lineRule="auto"/>
        <w:rPr>
          <w:rFonts w:ascii="Calibri" w:eastAsia="Times New Roman" w:hAnsi="Calibri" w:cs="Times New Roman"/>
          <w:b/>
          <w:color w:val="002F5D"/>
          <w:lang w:eastAsia="en-GB"/>
        </w:rPr>
      </w:pPr>
    </w:p>
    <w:p w14:paraId="473F4B1A" w14:textId="77777777" w:rsidR="008F4C6C" w:rsidRDefault="008F4C6C" w:rsidP="007D6466">
      <w:pPr>
        <w:spacing w:after="0" w:line="240" w:lineRule="auto"/>
        <w:rPr>
          <w:rFonts w:ascii="Calibri" w:eastAsia="Times New Roman" w:hAnsi="Calibri" w:cs="Times New Roman"/>
          <w:b/>
          <w:color w:val="002F5D"/>
          <w:lang w:eastAsia="en-GB"/>
        </w:rPr>
      </w:pPr>
    </w:p>
    <w:p w14:paraId="6231015B" w14:textId="77777777" w:rsidR="008F4C6C" w:rsidRDefault="008F4C6C" w:rsidP="007D6466">
      <w:pPr>
        <w:spacing w:after="0" w:line="240" w:lineRule="auto"/>
        <w:rPr>
          <w:rFonts w:ascii="Calibri" w:eastAsia="Times New Roman" w:hAnsi="Calibri" w:cs="Times New Roman"/>
          <w:b/>
          <w:color w:val="002F5D"/>
          <w:lang w:eastAsia="en-GB"/>
        </w:rPr>
      </w:pPr>
    </w:p>
    <w:p w14:paraId="0D0DE2E4" w14:textId="77777777" w:rsidR="007D6466" w:rsidRDefault="008F4C6C" w:rsidP="007D6466">
      <w:pPr>
        <w:spacing w:after="0" w:line="240" w:lineRule="auto"/>
        <w:rPr>
          <w:rFonts w:ascii="Calibri" w:eastAsia="Times New Roman" w:hAnsi="Calibri" w:cs="Times New Roman"/>
          <w:b/>
          <w:color w:val="002F5D"/>
          <w:lang w:eastAsia="en-GB"/>
        </w:rPr>
      </w:pPr>
      <w:r>
        <w:rPr>
          <w:rFonts w:ascii="Calibri" w:eastAsia="Times New Roman" w:hAnsi="Calibri" w:cs="Times New Roman"/>
          <w:b/>
          <w:color w:val="002F5D"/>
          <w:lang w:eastAsia="en-GB"/>
        </w:rPr>
        <w:lastRenderedPageBreak/>
        <w:t xml:space="preserve">Table 7: </w:t>
      </w:r>
      <w:r w:rsidR="00871D08">
        <w:rPr>
          <w:rFonts w:ascii="Calibri" w:eastAsia="Times New Roman" w:hAnsi="Calibri" w:cs="Times New Roman"/>
          <w:b/>
          <w:color w:val="002F5D"/>
          <w:lang w:eastAsia="en-GB"/>
        </w:rPr>
        <w:t>Hospital a</w:t>
      </w:r>
      <w:r w:rsidR="007D6466" w:rsidRPr="007D6466">
        <w:rPr>
          <w:rFonts w:ascii="Calibri" w:eastAsia="Times New Roman" w:hAnsi="Calibri" w:cs="Times New Roman"/>
          <w:b/>
          <w:color w:val="002F5D"/>
          <w:lang w:eastAsia="en-GB"/>
        </w:rPr>
        <w:t>dmission episodes for alcoholic liver disease condition (Broad)</w:t>
      </w:r>
      <w:r w:rsidR="00B76E43">
        <w:rPr>
          <w:rFonts w:ascii="Calibri" w:eastAsia="Times New Roman" w:hAnsi="Calibri" w:cs="Times New Roman"/>
          <w:b/>
          <w:color w:val="002F5D"/>
          <w:lang w:eastAsia="en-GB"/>
        </w:rPr>
        <w:t xml:space="preserve">* </w:t>
      </w:r>
      <w:r w:rsidR="00B76E43">
        <w:rPr>
          <w:b/>
          <w:color w:val="002F5D"/>
        </w:rPr>
        <w:t>- directly age-standardised rates (DASR) per 100,000 population for</w:t>
      </w:r>
      <w:r w:rsidR="00B76E43">
        <w:rPr>
          <w:rFonts w:ascii="Calibri" w:eastAsia="Times New Roman" w:hAnsi="Calibri" w:cs="Times New Roman"/>
          <w:b/>
          <w:color w:val="002F5D"/>
          <w:lang w:eastAsia="en-GB"/>
        </w:rPr>
        <w:t xml:space="preserve"> </w:t>
      </w:r>
      <w:r w:rsidR="007D6466" w:rsidRPr="007D6466">
        <w:rPr>
          <w:rFonts w:ascii="Calibri" w:eastAsia="Times New Roman" w:hAnsi="Calibri" w:cs="Times New Roman"/>
          <w:b/>
          <w:color w:val="002F5D"/>
          <w:lang w:eastAsia="en-GB"/>
        </w:rPr>
        <w:t>Cambridgeshire and Peterborough</w:t>
      </w:r>
      <w:r w:rsidR="00EC1FDE">
        <w:rPr>
          <w:rFonts w:ascii="Calibri" w:eastAsia="Times New Roman" w:hAnsi="Calibri" w:cs="Times New Roman"/>
          <w:b/>
          <w:color w:val="002F5D"/>
          <w:lang w:eastAsia="en-GB"/>
        </w:rPr>
        <w:t>,</w:t>
      </w:r>
      <w:r w:rsidR="007D6466" w:rsidRPr="007D6466">
        <w:rPr>
          <w:rFonts w:ascii="Calibri" w:eastAsia="Times New Roman" w:hAnsi="Calibri" w:cs="Times New Roman"/>
          <w:b/>
          <w:color w:val="002F5D"/>
          <w:lang w:eastAsia="en-GB"/>
        </w:rPr>
        <w:t xml:space="preserve"> 2016/17</w:t>
      </w:r>
    </w:p>
    <w:p w14:paraId="68C60EB5" w14:textId="77777777" w:rsidR="008F4C6C" w:rsidRDefault="008F4C6C" w:rsidP="007D6466">
      <w:pPr>
        <w:spacing w:after="0" w:line="240" w:lineRule="auto"/>
        <w:rPr>
          <w:rFonts w:ascii="Calibri" w:eastAsia="Times New Roman" w:hAnsi="Calibri" w:cs="Times New Roman"/>
          <w:b/>
          <w:color w:val="002F5D"/>
          <w:lang w:eastAsia="en-GB"/>
        </w:rPr>
      </w:pPr>
    </w:p>
    <w:p w14:paraId="5605C56C" w14:textId="275D16E2" w:rsidR="00FC1787" w:rsidRDefault="00FC1787" w:rsidP="00816C90">
      <w:pPr>
        <w:spacing w:after="0" w:line="240" w:lineRule="auto"/>
        <w:rPr>
          <w:rFonts w:ascii="Calibri" w:eastAsia="Times New Roman" w:hAnsi="Calibri" w:cs="Times New Roman"/>
          <w:b/>
          <w:color w:val="002F5D"/>
          <w:lang w:eastAsia="en-GB"/>
        </w:rPr>
      </w:pPr>
      <w:r w:rsidRPr="00FC1787">
        <w:rPr>
          <w:noProof/>
          <w:lang w:eastAsia="en-GB"/>
        </w:rPr>
        <w:drawing>
          <wp:inline distT="0" distB="0" distL="0" distR="0" wp14:anchorId="18F5009E" wp14:editId="0A256479">
            <wp:extent cx="5731510" cy="2189289"/>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3943ABC0" w14:textId="77777777" w:rsidR="00816C90" w:rsidRPr="00816C90" w:rsidRDefault="00816C90" w:rsidP="00816C90">
      <w:pPr>
        <w:spacing w:after="0" w:line="240" w:lineRule="auto"/>
        <w:rPr>
          <w:rFonts w:ascii="Calibri" w:eastAsia="Times New Roman" w:hAnsi="Calibri" w:cs="Times New Roman"/>
          <w:b/>
          <w:color w:val="002F5D"/>
          <w:lang w:eastAsia="en-GB"/>
        </w:rPr>
      </w:pPr>
      <w:bookmarkStart w:id="0" w:name="_GoBack"/>
      <w:bookmarkEnd w:id="0"/>
    </w:p>
    <w:p w14:paraId="3673B1C0" w14:textId="77777777" w:rsidR="00FC1787" w:rsidRDefault="00FC1787" w:rsidP="000A0028">
      <w:pPr>
        <w:rPr>
          <w:rFonts w:ascii="Calibri" w:hAnsi="Calibri" w:cs="Arial"/>
          <w:color w:val="002F5D"/>
          <w:szCs w:val="26"/>
          <w:shd w:val="clear" w:color="auto" w:fill="FFFFFF"/>
        </w:rPr>
      </w:pPr>
      <w:r>
        <w:rPr>
          <w:rFonts w:ascii="Calibri" w:hAnsi="Calibri" w:cs="Arial"/>
          <w:color w:val="002F5D"/>
          <w:shd w:val="clear" w:color="auto" w:fill="FFFFFF"/>
        </w:rPr>
        <w:t>*</w:t>
      </w:r>
      <w:r w:rsidRPr="00FC1787">
        <w:rPr>
          <w:rFonts w:ascii="Calibri" w:hAnsi="Calibri" w:cs="Arial"/>
          <w:color w:val="002F5D"/>
          <w:shd w:val="clear" w:color="auto" w:fill="FFFFFF"/>
        </w:rPr>
        <w:t>Admissions</w:t>
      </w:r>
      <w:r w:rsidRPr="00FC1787">
        <w:rPr>
          <w:rFonts w:ascii="Calibri" w:hAnsi="Calibri" w:cs="Arial"/>
          <w:color w:val="002F5D"/>
          <w:szCs w:val="26"/>
          <w:shd w:val="clear" w:color="auto" w:fill="FFFFFF"/>
        </w:rPr>
        <w:t xml:space="preserve"> to hospital where the primary diagnosis or any of the secondary diagnoses are an alcohol-attributable alcoholic liver disease code</w:t>
      </w:r>
      <w:r>
        <w:rPr>
          <w:rFonts w:ascii="Calibri" w:hAnsi="Calibri" w:cs="Arial"/>
          <w:color w:val="002F5D"/>
          <w:szCs w:val="26"/>
          <w:shd w:val="clear" w:color="auto" w:fill="FFFFFF"/>
        </w:rPr>
        <w:t>.</w:t>
      </w:r>
    </w:p>
    <w:p w14:paraId="0F76F3B6" w14:textId="77777777" w:rsidR="00FC1787" w:rsidRPr="005B25EC" w:rsidRDefault="00FC1787" w:rsidP="00FC1787">
      <w:pPr>
        <w:rPr>
          <w:color w:val="002F5D"/>
        </w:rPr>
      </w:pPr>
      <w:r>
        <w:rPr>
          <w:color w:val="002F5D"/>
        </w:rPr>
        <w:t>Data not available at combined authority level</w:t>
      </w:r>
    </w:p>
    <w:p w14:paraId="6170423D" w14:textId="77777777" w:rsidR="00FC1787" w:rsidRDefault="00FC1787" w:rsidP="00FC1787">
      <w:pPr>
        <w:spacing w:after="0" w:line="240" w:lineRule="auto"/>
        <w:rPr>
          <w:rFonts w:ascii="Calibri" w:eastAsia="Times New Roman" w:hAnsi="Calibri" w:cs="Times New Roman"/>
          <w:color w:val="002F5D"/>
          <w:lang w:eastAsia="en-GB"/>
        </w:rPr>
      </w:pPr>
      <w:r w:rsidRPr="007D6466">
        <w:rPr>
          <w:rFonts w:ascii="Calibri" w:eastAsia="Times New Roman" w:hAnsi="Calibri" w:cs="Times New Roman"/>
          <w:color w:val="002F5D"/>
          <w:lang w:eastAsia="en-GB"/>
        </w:rPr>
        <w:t>Source: Calculated by Public Health England: Risk Factors Intelligence (RFI) team using data from NHS Digital - Hospital Episode Statistics (HES) and Office for National Statistics (ONS) - Mid Year Population Estimates.</w:t>
      </w:r>
    </w:p>
    <w:p w14:paraId="2AAA160C" w14:textId="77777777" w:rsidR="002E69F4" w:rsidRDefault="002E69F4" w:rsidP="00FC1787">
      <w:pPr>
        <w:spacing w:after="0" w:line="240" w:lineRule="auto"/>
        <w:rPr>
          <w:rFonts w:ascii="Calibri" w:eastAsia="Times New Roman" w:hAnsi="Calibri" w:cs="Times New Roman"/>
          <w:color w:val="002F5D"/>
          <w:lang w:eastAsia="en-GB"/>
        </w:rPr>
      </w:pPr>
    </w:p>
    <w:p w14:paraId="5A1C95D0" w14:textId="77777777" w:rsidR="002E69F4" w:rsidRPr="00A240A2" w:rsidRDefault="002E69F4" w:rsidP="002E69F4">
      <w:pPr>
        <w:rPr>
          <w:color w:val="002F5D"/>
        </w:rPr>
      </w:pPr>
      <w:r w:rsidRPr="0086252F">
        <w:rPr>
          <w:color w:val="002F5D"/>
        </w:rPr>
        <w:t>Key Points</w:t>
      </w:r>
      <w:r w:rsidR="00871D08">
        <w:rPr>
          <w:color w:val="002F5D"/>
        </w:rPr>
        <w:t>:</w:t>
      </w:r>
    </w:p>
    <w:p w14:paraId="15AC2308" w14:textId="77777777" w:rsidR="002E69F4" w:rsidRPr="00A240A2" w:rsidRDefault="002E69F4" w:rsidP="002E69F4">
      <w:pPr>
        <w:pStyle w:val="ListParagraph"/>
        <w:numPr>
          <w:ilvl w:val="0"/>
          <w:numId w:val="11"/>
        </w:numPr>
        <w:rPr>
          <w:color w:val="002F5D"/>
        </w:rPr>
      </w:pPr>
      <w:r w:rsidRPr="00A240A2">
        <w:rPr>
          <w:color w:val="002F5D"/>
        </w:rPr>
        <w:t xml:space="preserve">The rates of </w:t>
      </w:r>
      <w:r w:rsidRPr="00E63CDF">
        <w:rPr>
          <w:b/>
          <w:color w:val="002F5D"/>
        </w:rPr>
        <w:t>hospital admissions for</w:t>
      </w:r>
      <w:r w:rsidRPr="002E69F4">
        <w:rPr>
          <w:rFonts w:ascii="Calibri" w:eastAsia="Times New Roman" w:hAnsi="Calibri" w:cs="Times New Roman"/>
          <w:b/>
          <w:color w:val="002F5D"/>
          <w:lang w:eastAsia="en-GB"/>
        </w:rPr>
        <w:t xml:space="preserve"> alcoholic liver disease condition</w:t>
      </w:r>
      <w:r w:rsidRPr="002E69F4">
        <w:rPr>
          <w:rFonts w:ascii="Calibri" w:eastAsia="Times New Roman" w:hAnsi="Calibri" w:cs="Times New Roman"/>
          <w:b/>
          <w:bCs/>
          <w:color w:val="002F5D"/>
          <w:lang w:eastAsia="en-GB"/>
        </w:rPr>
        <w:t xml:space="preserve"> </w:t>
      </w:r>
      <w:r w:rsidRPr="006D5315">
        <w:rPr>
          <w:rFonts w:ascii="Calibri" w:eastAsia="Times New Roman" w:hAnsi="Calibri" w:cs="Times New Roman"/>
          <w:b/>
          <w:bCs/>
          <w:color w:val="002F5D"/>
          <w:lang w:eastAsia="en-GB"/>
        </w:rPr>
        <w:t>(Broa</w:t>
      </w:r>
      <w:r w:rsidRPr="002E69F4">
        <w:rPr>
          <w:rFonts w:ascii="Calibri" w:eastAsia="Times New Roman" w:hAnsi="Calibri" w:cs="Times New Roman"/>
          <w:b/>
          <w:bCs/>
          <w:color w:val="002F5D"/>
          <w:lang w:eastAsia="en-GB"/>
        </w:rPr>
        <w:t>d)</w:t>
      </w:r>
      <w:r>
        <w:rPr>
          <w:color w:val="002F5D"/>
        </w:rPr>
        <w:t xml:space="preserve"> </w:t>
      </w:r>
      <w:r w:rsidRPr="00A240A2">
        <w:rPr>
          <w:color w:val="002F5D"/>
        </w:rPr>
        <w:t xml:space="preserve">are statistically significantly </w:t>
      </w:r>
      <w:r>
        <w:rPr>
          <w:color w:val="002F5D"/>
        </w:rPr>
        <w:t>higher</w:t>
      </w:r>
      <w:r w:rsidRPr="00A240A2">
        <w:rPr>
          <w:color w:val="002F5D"/>
        </w:rPr>
        <w:t xml:space="preserve"> than the England average in</w:t>
      </w:r>
      <w:r>
        <w:rPr>
          <w:color w:val="002F5D"/>
        </w:rPr>
        <w:t xml:space="preserve"> Cambridgeshire for persons, males and females and statistically significantly lower than England in Peterborough for persons, males and females.</w:t>
      </w:r>
    </w:p>
    <w:p w14:paraId="07C8B4EA" w14:textId="77777777" w:rsidR="002E69F4" w:rsidRPr="00A240A2" w:rsidRDefault="002E69F4" w:rsidP="002E69F4">
      <w:pPr>
        <w:pStyle w:val="ListParagraph"/>
        <w:numPr>
          <w:ilvl w:val="0"/>
          <w:numId w:val="11"/>
        </w:numPr>
        <w:rPr>
          <w:color w:val="002F5D"/>
        </w:rPr>
      </w:pPr>
      <w:r w:rsidRPr="00A240A2">
        <w:rPr>
          <w:color w:val="002F5D"/>
        </w:rPr>
        <w:t xml:space="preserve">The rates of </w:t>
      </w:r>
      <w:r w:rsidRPr="00E63CDF">
        <w:rPr>
          <w:b/>
          <w:color w:val="002F5D"/>
        </w:rPr>
        <w:t>hospital admissions for</w:t>
      </w:r>
      <w:r w:rsidRPr="00E63CDF">
        <w:rPr>
          <w:rFonts w:ascii="Calibri" w:eastAsia="Times New Roman" w:hAnsi="Calibri" w:cs="Times New Roman"/>
          <w:b/>
          <w:color w:val="002F5D"/>
          <w:lang w:eastAsia="en-GB"/>
        </w:rPr>
        <w:t xml:space="preserve"> alcoholic</w:t>
      </w:r>
      <w:r w:rsidRPr="002E69F4">
        <w:rPr>
          <w:rFonts w:ascii="Calibri" w:eastAsia="Times New Roman" w:hAnsi="Calibri" w:cs="Times New Roman"/>
          <w:b/>
          <w:color w:val="002F5D"/>
          <w:lang w:eastAsia="en-GB"/>
        </w:rPr>
        <w:t xml:space="preserve"> liver disease condition</w:t>
      </w:r>
      <w:r w:rsidRPr="002E69F4">
        <w:rPr>
          <w:rFonts w:ascii="Calibri" w:eastAsia="Times New Roman" w:hAnsi="Calibri" w:cs="Times New Roman"/>
          <w:b/>
          <w:bCs/>
          <w:color w:val="002F5D"/>
          <w:lang w:eastAsia="en-GB"/>
        </w:rPr>
        <w:t xml:space="preserve"> </w:t>
      </w:r>
      <w:r w:rsidRPr="006D5315">
        <w:rPr>
          <w:rFonts w:ascii="Calibri" w:eastAsia="Times New Roman" w:hAnsi="Calibri" w:cs="Times New Roman"/>
          <w:b/>
          <w:bCs/>
          <w:color w:val="002F5D"/>
          <w:lang w:eastAsia="en-GB"/>
        </w:rPr>
        <w:t>(Broa</w:t>
      </w:r>
      <w:r w:rsidRPr="002E69F4">
        <w:rPr>
          <w:rFonts w:ascii="Calibri" w:eastAsia="Times New Roman" w:hAnsi="Calibri" w:cs="Times New Roman"/>
          <w:b/>
          <w:bCs/>
          <w:color w:val="002F5D"/>
          <w:lang w:eastAsia="en-GB"/>
        </w:rPr>
        <w:t>d</w:t>
      </w:r>
      <w:r w:rsidRPr="00D3373F">
        <w:rPr>
          <w:rFonts w:ascii="Calibri" w:eastAsia="Times New Roman" w:hAnsi="Calibri" w:cs="Times New Roman"/>
          <w:bCs/>
          <w:color w:val="002F5D"/>
          <w:lang w:eastAsia="en-GB"/>
        </w:rPr>
        <w:t>)</w:t>
      </w:r>
      <w:r>
        <w:rPr>
          <w:color w:val="002F5D"/>
        </w:rPr>
        <w:t xml:space="preserve"> </w:t>
      </w:r>
      <w:r w:rsidRPr="00A240A2">
        <w:rPr>
          <w:color w:val="002F5D"/>
        </w:rPr>
        <w:t xml:space="preserve">are statistically significantly </w:t>
      </w:r>
      <w:r>
        <w:rPr>
          <w:color w:val="002F5D"/>
        </w:rPr>
        <w:t xml:space="preserve">higher than the Cambridgeshire </w:t>
      </w:r>
      <w:r w:rsidRPr="00A240A2">
        <w:rPr>
          <w:color w:val="002F5D"/>
        </w:rPr>
        <w:t>average in</w:t>
      </w:r>
      <w:r>
        <w:rPr>
          <w:color w:val="002F5D"/>
        </w:rPr>
        <w:t xml:space="preserve"> Cambridge for persons, males and females and East Cambridgeshire females and statistically significantly lower than Cambridgeshire average in Huntingdonshire and South Cambridgeshire persons and females.</w:t>
      </w:r>
    </w:p>
    <w:p w14:paraId="39D121AA" w14:textId="77777777" w:rsidR="002E69F4" w:rsidRPr="00D3373F" w:rsidRDefault="002E69F4" w:rsidP="002E69F4">
      <w:pPr>
        <w:pStyle w:val="ListParagraph"/>
        <w:numPr>
          <w:ilvl w:val="0"/>
          <w:numId w:val="11"/>
        </w:numPr>
        <w:rPr>
          <w:color w:val="002F5D"/>
        </w:rPr>
      </w:pPr>
      <w:r w:rsidRPr="00D3373F">
        <w:rPr>
          <w:rFonts w:ascii="Calibri" w:eastAsia="Times New Roman" w:hAnsi="Calibri" w:cs="Times New Roman"/>
          <w:color w:val="002F5D"/>
          <w:lang w:eastAsia="en-GB"/>
        </w:rPr>
        <w:t>When compared to England</w:t>
      </w:r>
      <w:r>
        <w:rPr>
          <w:rFonts w:ascii="Calibri" w:eastAsia="Times New Roman" w:hAnsi="Calibri" w:cs="Times New Roman"/>
          <w:color w:val="002F5D"/>
          <w:lang w:eastAsia="en-GB"/>
        </w:rPr>
        <w:t>, Cambridge also has</w:t>
      </w:r>
      <w:r w:rsidRPr="00D3373F">
        <w:rPr>
          <w:rFonts w:ascii="Calibri" w:eastAsia="Times New Roman" w:hAnsi="Calibri" w:cs="Times New Roman"/>
          <w:color w:val="002F5D"/>
          <w:lang w:eastAsia="en-GB"/>
        </w:rPr>
        <w:t xml:space="preserve"> statistically significantly higher rates for </w:t>
      </w:r>
      <w:r>
        <w:rPr>
          <w:rFonts w:ascii="Calibri" w:eastAsia="Times New Roman" w:hAnsi="Calibri" w:cs="Times New Roman"/>
          <w:color w:val="002F5D"/>
          <w:lang w:eastAsia="en-GB"/>
        </w:rPr>
        <w:t>persons, males and females along with East Cam</w:t>
      </w:r>
      <w:r w:rsidR="0006637D">
        <w:rPr>
          <w:rFonts w:ascii="Calibri" w:eastAsia="Times New Roman" w:hAnsi="Calibri" w:cs="Times New Roman"/>
          <w:color w:val="002F5D"/>
          <w:lang w:eastAsia="en-GB"/>
        </w:rPr>
        <w:t xml:space="preserve">bridgeshire and Fenland females </w:t>
      </w:r>
      <w:r w:rsidR="0006637D">
        <w:rPr>
          <w:color w:val="002F5D"/>
        </w:rPr>
        <w:t>(not reflected in the shading of the table</w:t>
      </w:r>
      <w:r w:rsidR="008F31E8">
        <w:rPr>
          <w:color w:val="002F5D"/>
        </w:rPr>
        <w:t xml:space="preserve"> where the benchmark is the Cambridgeshire average</w:t>
      </w:r>
      <w:r w:rsidR="0006637D">
        <w:rPr>
          <w:color w:val="002F5D"/>
        </w:rPr>
        <w:t>).</w:t>
      </w:r>
    </w:p>
    <w:p w14:paraId="27055A7D" w14:textId="77777777" w:rsidR="008F4C6C" w:rsidRDefault="008F4C6C" w:rsidP="00FC1787">
      <w:pPr>
        <w:spacing w:after="0" w:line="240" w:lineRule="auto"/>
        <w:rPr>
          <w:rFonts w:ascii="Calibri" w:eastAsia="Times New Roman" w:hAnsi="Calibri" w:cs="Times New Roman"/>
          <w:color w:val="002F5D"/>
          <w:lang w:eastAsia="en-GB"/>
        </w:rPr>
      </w:pPr>
    </w:p>
    <w:p w14:paraId="136D3E30" w14:textId="77777777" w:rsidR="002E69F4" w:rsidRDefault="002E69F4" w:rsidP="00FC1787">
      <w:pPr>
        <w:spacing w:after="0" w:line="240" w:lineRule="auto"/>
        <w:rPr>
          <w:rFonts w:ascii="Calibri" w:eastAsia="Times New Roman" w:hAnsi="Calibri" w:cs="Times New Roman"/>
          <w:color w:val="002F5D"/>
          <w:lang w:eastAsia="en-GB"/>
        </w:rPr>
      </w:pPr>
    </w:p>
    <w:p w14:paraId="60F76392" w14:textId="77777777" w:rsidR="002E69F4" w:rsidRDefault="002E69F4" w:rsidP="00FC1787">
      <w:pPr>
        <w:spacing w:after="0" w:line="240" w:lineRule="auto"/>
        <w:rPr>
          <w:rFonts w:ascii="Calibri" w:eastAsia="Times New Roman" w:hAnsi="Calibri" w:cs="Times New Roman"/>
          <w:color w:val="002F5D"/>
          <w:lang w:eastAsia="en-GB"/>
        </w:rPr>
      </w:pPr>
    </w:p>
    <w:p w14:paraId="0DB3B15B" w14:textId="77777777" w:rsidR="002E69F4" w:rsidRDefault="002E69F4" w:rsidP="00FC1787">
      <w:pPr>
        <w:spacing w:after="0" w:line="240" w:lineRule="auto"/>
        <w:rPr>
          <w:rFonts w:ascii="Calibri" w:eastAsia="Times New Roman" w:hAnsi="Calibri" w:cs="Times New Roman"/>
          <w:color w:val="002F5D"/>
          <w:lang w:eastAsia="en-GB"/>
        </w:rPr>
      </w:pPr>
    </w:p>
    <w:p w14:paraId="41A7B751" w14:textId="77777777" w:rsidR="002E69F4" w:rsidRDefault="002E69F4" w:rsidP="00FC1787">
      <w:pPr>
        <w:spacing w:after="0" w:line="240" w:lineRule="auto"/>
        <w:rPr>
          <w:rFonts w:ascii="Calibri" w:eastAsia="Times New Roman" w:hAnsi="Calibri" w:cs="Times New Roman"/>
          <w:color w:val="002F5D"/>
          <w:lang w:eastAsia="en-GB"/>
        </w:rPr>
      </w:pPr>
    </w:p>
    <w:p w14:paraId="5A306E4C" w14:textId="77777777" w:rsidR="002E69F4" w:rsidRDefault="002E69F4" w:rsidP="00FC1787">
      <w:pPr>
        <w:spacing w:after="0" w:line="240" w:lineRule="auto"/>
        <w:rPr>
          <w:rFonts w:ascii="Calibri" w:eastAsia="Times New Roman" w:hAnsi="Calibri" w:cs="Times New Roman"/>
          <w:color w:val="002F5D"/>
          <w:lang w:eastAsia="en-GB"/>
        </w:rPr>
      </w:pPr>
    </w:p>
    <w:p w14:paraId="0F044B94" w14:textId="77777777" w:rsidR="002E69F4" w:rsidRDefault="002E69F4" w:rsidP="00FC1787">
      <w:pPr>
        <w:spacing w:after="0" w:line="240" w:lineRule="auto"/>
        <w:rPr>
          <w:rFonts w:ascii="Calibri" w:eastAsia="Times New Roman" w:hAnsi="Calibri" w:cs="Times New Roman"/>
          <w:color w:val="002F5D"/>
          <w:lang w:eastAsia="en-GB"/>
        </w:rPr>
      </w:pPr>
    </w:p>
    <w:p w14:paraId="32D42ACF" w14:textId="77777777" w:rsidR="002E69F4" w:rsidRDefault="002E69F4" w:rsidP="00FC1787">
      <w:pPr>
        <w:spacing w:after="0" w:line="240" w:lineRule="auto"/>
        <w:rPr>
          <w:rFonts w:ascii="Calibri" w:eastAsia="Times New Roman" w:hAnsi="Calibri" w:cs="Times New Roman"/>
          <w:color w:val="002F5D"/>
          <w:lang w:eastAsia="en-GB"/>
        </w:rPr>
      </w:pPr>
    </w:p>
    <w:p w14:paraId="107B09F7" w14:textId="77777777" w:rsidR="002E69F4" w:rsidRDefault="002E69F4" w:rsidP="00FC1787">
      <w:pPr>
        <w:spacing w:after="0" w:line="240" w:lineRule="auto"/>
        <w:rPr>
          <w:rFonts w:ascii="Calibri" w:eastAsia="Times New Roman" w:hAnsi="Calibri" w:cs="Times New Roman"/>
          <w:color w:val="002F5D"/>
          <w:lang w:eastAsia="en-GB"/>
        </w:rPr>
      </w:pPr>
    </w:p>
    <w:p w14:paraId="5B39F623" w14:textId="77777777" w:rsidR="002E69F4" w:rsidRDefault="002E69F4" w:rsidP="00FC1787">
      <w:pPr>
        <w:spacing w:after="0" w:line="240" w:lineRule="auto"/>
        <w:rPr>
          <w:rFonts w:ascii="Calibri" w:eastAsia="Times New Roman" w:hAnsi="Calibri" w:cs="Times New Roman"/>
          <w:color w:val="002F5D"/>
          <w:lang w:eastAsia="en-GB"/>
        </w:rPr>
      </w:pPr>
    </w:p>
    <w:p w14:paraId="59A47966" w14:textId="77777777" w:rsidR="002E69F4" w:rsidRDefault="002E69F4" w:rsidP="00FC1787">
      <w:pPr>
        <w:spacing w:after="0" w:line="240" w:lineRule="auto"/>
        <w:rPr>
          <w:rFonts w:ascii="Calibri" w:eastAsia="Times New Roman" w:hAnsi="Calibri" w:cs="Times New Roman"/>
          <w:color w:val="002F5D"/>
          <w:lang w:eastAsia="en-GB"/>
        </w:rPr>
      </w:pPr>
    </w:p>
    <w:p w14:paraId="15D23259" w14:textId="77777777" w:rsidR="00FC1787" w:rsidRDefault="002E69F4" w:rsidP="000A0028">
      <w:pPr>
        <w:rPr>
          <w:rFonts w:ascii="Calibri" w:hAnsi="Calibri"/>
          <w:b/>
          <w:color w:val="002F5D"/>
        </w:rPr>
      </w:pPr>
      <w:r>
        <w:rPr>
          <w:rFonts w:ascii="Calibri" w:hAnsi="Calibri"/>
          <w:b/>
          <w:color w:val="002F5D"/>
        </w:rPr>
        <w:lastRenderedPageBreak/>
        <w:t xml:space="preserve">Table 8: </w:t>
      </w:r>
      <w:r w:rsidR="00EA0D6D">
        <w:rPr>
          <w:rFonts w:ascii="Calibri" w:hAnsi="Calibri"/>
          <w:b/>
          <w:color w:val="002F5D"/>
        </w:rPr>
        <w:t>Hospital a</w:t>
      </w:r>
      <w:r w:rsidR="00FC1787" w:rsidRPr="00FC1787">
        <w:rPr>
          <w:rFonts w:ascii="Calibri" w:hAnsi="Calibri"/>
          <w:b/>
          <w:color w:val="002F5D"/>
        </w:rPr>
        <w:t>dmission episodes for alcohol-related un</w:t>
      </w:r>
      <w:r w:rsidR="00FC1787">
        <w:rPr>
          <w:rFonts w:ascii="Calibri" w:hAnsi="Calibri"/>
          <w:b/>
          <w:color w:val="002F5D"/>
        </w:rPr>
        <w:t>intentional injuries con</w:t>
      </w:r>
      <w:r>
        <w:rPr>
          <w:rFonts w:ascii="Calibri" w:hAnsi="Calibri"/>
          <w:b/>
          <w:color w:val="002F5D"/>
        </w:rPr>
        <w:t xml:space="preserve">ditions, </w:t>
      </w:r>
      <w:r w:rsidR="00FC1787" w:rsidRPr="00FC1787">
        <w:rPr>
          <w:rFonts w:ascii="Calibri" w:hAnsi="Calibri"/>
          <w:b/>
          <w:color w:val="002F5D"/>
        </w:rPr>
        <w:t>(Narr</w:t>
      </w:r>
      <w:r>
        <w:rPr>
          <w:rFonts w:ascii="Calibri" w:hAnsi="Calibri"/>
          <w:b/>
          <w:color w:val="002F5D"/>
        </w:rPr>
        <w:t>ow)</w:t>
      </w:r>
      <w:r w:rsidR="00B76E43">
        <w:rPr>
          <w:rFonts w:ascii="Calibri" w:hAnsi="Calibri"/>
          <w:b/>
          <w:color w:val="002F5D"/>
        </w:rPr>
        <w:t xml:space="preserve">* </w:t>
      </w:r>
      <w:r w:rsidR="00B76E43">
        <w:rPr>
          <w:b/>
          <w:color w:val="002F5D"/>
        </w:rPr>
        <w:t>- directly age-standardised rates (DASR) per 100,000 population for</w:t>
      </w:r>
      <w:r>
        <w:rPr>
          <w:rFonts w:ascii="Calibri" w:hAnsi="Calibri"/>
          <w:b/>
          <w:color w:val="002F5D"/>
        </w:rPr>
        <w:t> </w:t>
      </w:r>
      <w:r w:rsidR="00FC1787">
        <w:rPr>
          <w:rFonts w:ascii="Calibri" w:hAnsi="Calibri"/>
          <w:b/>
          <w:color w:val="002F5D"/>
        </w:rPr>
        <w:t>Cambridgeshire and Peterb</w:t>
      </w:r>
      <w:r w:rsidR="00EC1FDE">
        <w:rPr>
          <w:rFonts w:ascii="Calibri" w:hAnsi="Calibri"/>
          <w:b/>
          <w:color w:val="002F5D"/>
        </w:rPr>
        <w:t>orough</w:t>
      </w:r>
      <w:r w:rsidR="00FC1787" w:rsidRPr="00FC1787">
        <w:rPr>
          <w:rFonts w:ascii="Calibri" w:hAnsi="Calibri"/>
          <w:b/>
          <w:color w:val="002F5D"/>
        </w:rPr>
        <w:t>, 2016/17</w:t>
      </w:r>
    </w:p>
    <w:p w14:paraId="3BE23036" w14:textId="1014319E" w:rsidR="00FC1787" w:rsidRDefault="00AA40D4" w:rsidP="000A0028">
      <w:pPr>
        <w:rPr>
          <w:rFonts w:ascii="Calibri" w:hAnsi="Calibri"/>
          <w:b/>
          <w:color w:val="002F5D"/>
        </w:rPr>
      </w:pPr>
      <w:r w:rsidRPr="00AA40D4">
        <w:rPr>
          <w:noProof/>
          <w:lang w:eastAsia="en-GB"/>
        </w:rPr>
        <w:drawing>
          <wp:inline distT="0" distB="0" distL="0" distR="0" wp14:anchorId="677E2693" wp14:editId="50206EA0">
            <wp:extent cx="5731510" cy="2189289"/>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6F606413" w14:textId="77777777" w:rsidR="00FC1787" w:rsidRPr="00FC1787" w:rsidRDefault="00FC1787" w:rsidP="000A0028">
      <w:pPr>
        <w:rPr>
          <w:rFonts w:ascii="Calibri" w:hAnsi="Calibri"/>
          <w:color w:val="002F5D"/>
        </w:rPr>
      </w:pPr>
      <w:r w:rsidRPr="00FC1787">
        <w:rPr>
          <w:rFonts w:ascii="Calibri" w:hAnsi="Calibri"/>
          <w:color w:val="002F5D"/>
        </w:rPr>
        <w:t>* Admissions to hospital where the secondary diagnoses is an alcohol-attributable unintentional injuries code.</w:t>
      </w:r>
    </w:p>
    <w:p w14:paraId="5FEC32A6" w14:textId="77777777" w:rsidR="00FC1787" w:rsidRPr="005B25EC" w:rsidRDefault="00FC1787" w:rsidP="00FC1787">
      <w:pPr>
        <w:rPr>
          <w:color w:val="002F5D"/>
        </w:rPr>
      </w:pPr>
      <w:r>
        <w:rPr>
          <w:color w:val="002F5D"/>
        </w:rPr>
        <w:t>Data not available at combined authority level</w:t>
      </w:r>
    </w:p>
    <w:p w14:paraId="035FECFD" w14:textId="77777777" w:rsidR="00FC1787" w:rsidRDefault="00FC1787" w:rsidP="00FC1787">
      <w:pPr>
        <w:spacing w:after="0" w:line="240" w:lineRule="auto"/>
        <w:rPr>
          <w:rFonts w:ascii="Calibri" w:eastAsia="Times New Roman" w:hAnsi="Calibri" w:cs="Times New Roman"/>
          <w:color w:val="002F5D"/>
          <w:lang w:eastAsia="en-GB"/>
        </w:rPr>
      </w:pPr>
      <w:r w:rsidRPr="007D6466">
        <w:rPr>
          <w:rFonts w:ascii="Calibri" w:eastAsia="Times New Roman" w:hAnsi="Calibri" w:cs="Times New Roman"/>
          <w:color w:val="002F5D"/>
          <w:lang w:eastAsia="en-GB"/>
        </w:rPr>
        <w:t>Source: Calculated by Public Health England: Risk Factors Intelligence (RFI) team using data from NHS Digital - Hospital Episode Statistics (HES) and Office for National Statistics (ONS) - Mid Year Population Estimates.</w:t>
      </w:r>
    </w:p>
    <w:p w14:paraId="121361DB" w14:textId="77777777" w:rsidR="002E69F4" w:rsidRDefault="002E69F4" w:rsidP="00FC1787">
      <w:pPr>
        <w:spacing w:after="0" w:line="240" w:lineRule="auto"/>
        <w:rPr>
          <w:rFonts w:ascii="Calibri" w:eastAsia="Times New Roman" w:hAnsi="Calibri" w:cs="Times New Roman"/>
          <w:color w:val="002F5D"/>
          <w:lang w:eastAsia="en-GB"/>
        </w:rPr>
      </w:pPr>
    </w:p>
    <w:p w14:paraId="0C9DCE07" w14:textId="77777777" w:rsidR="002E69F4" w:rsidRPr="00A240A2" w:rsidRDefault="002E69F4" w:rsidP="002E69F4">
      <w:pPr>
        <w:rPr>
          <w:color w:val="002F5D"/>
        </w:rPr>
      </w:pPr>
      <w:r>
        <w:rPr>
          <w:color w:val="002F5D"/>
        </w:rPr>
        <w:t>Key Point</w:t>
      </w:r>
    </w:p>
    <w:p w14:paraId="1CF59040" w14:textId="77777777" w:rsidR="002E69F4" w:rsidRPr="00A240A2" w:rsidRDefault="002E69F4" w:rsidP="002E69F4">
      <w:pPr>
        <w:pStyle w:val="ListParagraph"/>
        <w:numPr>
          <w:ilvl w:val="0"/>
          <w:numId w:val="11"/>
        </w:numPr>
        <w:rPr>
          <w:color w:val="002F5D"/>
        </w:rPr>
      </w:pPr>
      <w:r w:rsidRPr="00A240A2">
        <w:rPr>
          <w:color w:val="002F5D"/>
        </w:rPr>
        <w:t xml:space="preserve">The rates of </w:t>
      </w:r>
      <w:r w:rsidRPr="00E63CDF">
        <w:rPr>
          <w:b/>
          <w:color w:val="002F5D"/>
        </w:rPr>
        <w:t>hospital admissions for</w:t>
      </w:r>
      <w:r w:rsidRPr="00E63CDF">
        <w:rPr>
          <w:rFonts w:ascii="Calibri" w:eastAsia="Times New Roman" w:hAnsi="Calibri" w:cs="Times New Roman"/>
          <w:b/>
          <w:color w:val="002F5D"/>
          <w:lang w:eastAsia="en-GB"/>
        </w:rPr>
        <w:t xml:space="preserve"> </w:t>
      </w:r>
      <w:r w:rsidRPr="00E63CDF">
        <w:rPr>
          <w:rFonts w:ascii="Calibri" w:hAnsi="Calibri"/>
          <w:b/>
          <w:color w:val="002F5D"/>
        </w:rPr>
        <w:t>alcohol</w:t>
      </w:r>
      <w:r w:rsidRPr="00FC1787">
        <w:rPr>
          <w:rFonts w:ascii="Calibri" w:hAnsi="Calibri"/>
          <w:b/>
          <w:color w:val="002F5D"/>
        </w:rPr>
        <w:t>-related un</w:t>
      </w:r>
      <w:r>
        <w:rPr>
          <w:rFonts w:ascii="Calibri" w:hAnsi="Calibri"/>
          <w:b/>
          <w:color w:val="002F5D"/>
        </w:rPr>
        <w:t xml:space="preserve">intentional injuries </w:t>
      </w:r>
      <w:r w:rsidRPr="00EC1FDE">
        <w:rPr>
          <w:rFonts w:ascii="Calibri" w:hAnsi="Calibri"/>
          <w:b/>
          <w:color w:val="002F5D"/>
        </w:rPr>
        <w:t>conditions</w:t>
      </w:r>
      <w:r w:rsidRPr="00EC1FDE">
        <w:rPr>
          <w:rFonts w:ascii="Calibri" w:eastAsia="Times New Roman" w:hAnsi="Calibri" w:cs="Times New Roman"/>
          <w:b/>
          <w:bCs/>
          <w:color w:val="002F5D"/>
          <w:lang w:eastAsia="en-GB"/>
        </w:rPr>
        <w:t xml:space="preserve"> (Narrow)</w:t>
      </w:r>
      <w:r>
        <w:rPr>
          <w:color w:val="002F5D"/>
        </w:rPr>
        <w:t xml:space="preserve"> </w:t>
      </w:r>
      <w:r w:rsidRPr="00A240A2">
        <w:rPr>
          <w:color w:val="002F5D"/>
        </w:rPr>
        <w:t xml:space="preserve">are statistically significantly </w:t>
      </w:r>
      <w:r>
        <w:rPr>
          <w:color w:val="002F5D"/>
        </w:rPr>
        <w:t>lower</w:t>
      </w:r>
      <w:r w:rsidRPr="00A240A2">
        <w:rPr>
          <w:color w:val="002F5D"/>
        </w:rPr>
        <w:t xml:space="preserve"> than the England average in</w:t>
      </w:r>
      <w:r>
        <w:rPr>
          <w:color w:val="002F5D"/>
        </w:rPr>
        <w:t xml:space="preserve"> Cambridgeshire for persons and males.</w:t>
      </w:r>
    </w:p>
    <w:p w14:paraId="13ABB973" w14:textId="77777777" w:rsidR="00FC1787" w:rsidRDefault="00FC1787" w:rsidP="00FC1787">
      <w:pPr>
        <w:spacing w:after="0" w:line="240" w:lineRule="auto"/>
        <w:rPr>
          <w:rFonts w:ascii="Calibri" w:eastAsia="Times New Roman" w:hAnsi="Calibri" w:cs="Times New Roman"/>
          <w:color w:val="002F5D"/>
          <w:lang w:eastAsia="en-GB"/>
        </w:rPr>
      </w:pPr>
    </w:p>
    <w:p w14:paraId="247EDCC0" w14:textId="77777777" w:rsidR="009974F0" w:rsidRDefault="009974F0" w:rsidP="00FC1787">
      <w:pPr>
        <w:spacing w:after="0" w:line="240" w:lineRule="auto"/>
        <w:rPr>
          <w:rFonts w:ascii="Calibri" w:eastAsia="Times New Roman" w:hAnsi="Calibri" w:cs="Times New Roman"/>
          <w:color w:val="002F5D"/>
          <w:lang w:eastAsia="en-GB"/>
        </w:rPr>
      </w:pPr>
    </w:p>
    <w:p w14:paraId="31E76F58" w14:textId="77777777" w:rsidR="009974F0" w:rsidRDefault="009974F0" w:rsidP="00FC1787">
      <w:pPr>
        <w:spacing w:after="0" w:line="240" w:lineRule="auto"/>
        <w:rPr>
          <w:rFonts w:ascii="Calibri" w:eastAsia="Times New Roman" w:hAnsi="Calibri" w:cs="Times New Roman"/>
          <w:color w:val="002F5D"/>
          <w:lang w:eastAsia="en-GB"/>
        </w:rPr>
      </w:pPr>
    </w:p>
    <w:p w14:paraId="16A74249" w14:textId="77777777" w:rsidR="009974F0" w:rsidRDefault="009974F0" w:rsidP="00FC1787">
      <w:pPr>
        <w:spacing w:after="0" w:line="240" w:lineRule="auto"/>
        <w:rPr>
          <w:rFonts w:ascii="Calibri" w:eastAsia="Times New Roman" w:hAnsi="Calibri" w:cs="Times New Roman"/>
          <w:color w:val="002F5D"/>
          <w:lang w:eastAsia="en-GB"/>
        </w:rPr>
      </w:pPr>
    </w:p>
    <w:p w14:paraId="29A6B0A7" w14:textId="77777777" w:rsidR="009974F0" w:rsidRDefault="009974F0" w:rsidP="00FC1787">
      <w:pPr>
        <w:spacing w:after="0" w:line="240" w:lineRule="auto"/>
        <w:rPr>
          <w:rFonts w:ascii="Calibri" w:eastAsia="Times New Roman" w:hAnsi="Calibri" w:cs="Times New Roman"/>
          <w:color w:val="002F5D"/>
          <w:lang w:eastAsia="en-GB"/>
        </w:rPr>
      </w:pPr>
    </w:p>
    <w:p w14:paraId="7AD3D11A" w14:textId="77777777" w:rsidR="009974F0" w:rsidRDefault="009974F0" w:rsidP="00FC1787">
      <w:pPr>
        <w:spacing w:after="0" w:line="240" w:lineRule="auto"/>
        <w:rPr>
          <w:rFonts w:ascii="Calibri" w:eastAsia="Times New Roman" w:hAnsi="Calibri" w:cs="Times New Roman"/>
          <w:color w:val="002F5D"/>
          <w:lang w:eastAsia="en-GB"/>
        </w:rPr>
      </w:pPr>
    </w:p>
    <w:p w14:paraId="2B09DBDE" w14:textId="77777777" w:rsidR="009974F0" w:rsidRDefault="009974F0" w:rsidP="00FC1787">
      <w:pPr>
        <w:spacing w:after="0" w:line="240" w:lineRule="auto"/>
        <w:rPr>
          <w:rFonts w:ascii="Calibri" w:eastAsia="Times New Roman" w:hAnsi="Calibri" w:cs="Times New Roman"/>
          <w:color w:val="002F5D"/>
          <w:lang w:eastAsia="en-GB"/>
        </w:rPr>
      </w:pPr>
    </w:p>
    <w:p w14:paraId="34448C38" w14:textId="77777777" w:rsidR="009974F0" w:rsidRDefault="009974F0" w:rsidP="00FC1787">
      <w:pPr>
        <w:spacing w:after="0" w:line="240" w:lineRule="auto"/>
        <w:rPr>
          <w:rFonts w:ascii="Calibri" w:eastAsia="Times New Roman" w:hAnsi="Calibri" w:cs="Times New Roman"/>
          <w:color w:val="002F5D"/>
          <w:lang w:eastAsia="en-GB"/>
        </w:rPr>
      </w:pPr>
    </w:p>
    <w:p w14:paraId="44C41F81" w14:textId="77777777" w:rsidR="009974F0" w:rsidRDefault="009974F0" w:rsidP="00FC1787">
      <w:pPr>
        <w:spacing w:after="0" w:line="240" w:lineRule="auto"/>
        <w:rPr>
          <w:rFonts w:ascii="Calibri" w:eastAsia="Times New Roman" w:hAnsi="Calibri" w:cs="Times New Roman"/>
          <w:color w:val="002F5D"/>
          <w:lang w:eastAsia="en-GB"/>
        </w:rPr>
      </w:pPr>
    </w:p>
    <w:p w14:paraId="32F96591" w14:textId="77777777" w:rsidR="009974F0" w:rsidRDefault="009974F0" w:rsidP="00FC1787">
      <w:pPr>
        <w:spacing w:after="0" w:line="240" w:lineRule="auto"/>
        <w:rPr>
          <w:rFonts w:ascii="Calibri" w:eastAsia="Times New Roman" w:hAnsi="Calibri" w:cs="Times New Roman"/>
          <w:color w:val="002F5D"/>
          <w:lang w:eastAsia="en-GB"/>
        </w:rPr>
      </w:pPr>
    </w:p>
    <w:p w14:paraId="24BA2D04" w14:textId="77777777" w:rsidR="009974F0" w:rsidRDefault="009974F0" w:rsidP="00FC1787">
      <w:pPr>
        <w:spacing w:after="0" w:line="240" w:lineRule="auto"/>
        <w:rPr>
          <w:rFonts w:ascii="Calibri" w:eastAsia="Times New Roman" w:hAnsi="Calibri" w:cs="Times New Roman"/>
          <w:color w:val="002F5D"/>
          <w:lang w:eastAsia="en-GB"/>
        </w:rPr>
      </w:pPr>
    </w:p>
    <w:p w14:paraId="155DB4EB" w14:textId="77777777" w:rsidR="009974F0" w:rsidRDefault="009974F0" w:rsidP="00FC1787">
      <w:pPr>
        <w:spacing w:after="0" w:line="240" w:lineRule="auto"/>
        <w:rPr>
          <w:rFonts w:ascii="Calibri" w:eastAsia="Times New Roman" w:hAnsi="Calibri" w:cs="Times New Roman"/>
          <w:color w:val="002F5D"/>
          <w:lang w:eastAsia="en-GB"/>
        </w:rPr>
      </w:pPr>
    </w:p>
    <w:p w14:paraId="46F25344" w14:textId="77777777" w:rsidR="009974F0" w:rsidRDefault="009974F0" w:rsidP="00FC1787">
      <w:pPr>
        <w:spacing w:after="0" w:line="240" w:lineRule="auto"/>
        <w:rPr>
          <w:rFonts w:ascii="Calibri" w:eastAsia="Times New Roman" w:hAnsi="Calibri" w:cs="Times New Roman"/>
          <w:color w:val="002F5D"/>
          <w:lang w:eastAsia="en-GB"/>
        </w:rPr>
      </w:pPr>
    </w:p>
    <w:p w14:paraId="597144DF" w14:textId="77777777" w:rsidR="009974F0" w:rsidRDefault="009974F0" w:rsidP="00FC1787">
      <w:pPr>
        <w:spacing w:after="0" w:line="240" w:lineRule="auto"/>
        <w:rPr>
          <w:rFonts w:ascii="Calibri" w:eastAsia="Times New Roman" w:hAnsi="Calibri" w:cs="Times New Roman"/>
          <w:color w:val="002F5D"/>
          <w:lang w:eastAsia="en-GB"/>
        </w:rPr>
      </w:pPr>
    </w:p>
    <w:p w14:paraId="696C11CD" w14:textId="77777777" w:rsidR="009974F0" w:rsidRDefault="009974F0" w:rsidP="00FC1787">
      <w:pPr>
        <w:spacing w:after="0" w:line="240" w:lineRule="auto"/>
        <w:rPr>
          <w:rFonts w:ascii="Calibri" w:eastAsia="Times New Roman" w:hAnsi="Calibri" w:cs="Times New Roman"/>
          <w:color w:val="002F5D"/>
          <w:lang w:eastAsia="en-GB"/>
        </w:rPr>
      </w:pPr>
    </w:p>
    <w:p w14:paraId="71F3C9CD" w14:textId="77777777" w:rsidR="009974F0" w:rsidRDefault="009974F0" w:rsidP="00FC1787">
      <w:pPr>
        <w:spacing w:after="0" w:line="240" w:lineRule="auto"/>
        <w:rPr>
          <w:rFonts w:ascii="Calibri" w:eastAsia="Times New Roman" w:hAnsi="Calibri" w:cs="Times New Roman"/>
          <w:color w:val="002F5D"/>
          <w:lang w:eastAsia="en-GB"/>
        </w:rPr>
      </w:pPr>
    </w:p>
    <w:p w14:paraId="30919FA1" w14:textId="77777777" w:rsidR="009974F0" w:rsidRDefault="009974F0" w:rsidP="00FC1787">
      <w:pPr>
        <w:spacing w:after="0" w:line="240" w:lineRule="auto"/>
        <w:rPr>
          <w:rFonts w:ascii="Calibri" w:eastAsia="Times New Roman" w:hAnsi="Calibri" w:cs="Times New Roman"/>
          <w:color w:val="002F5D"/>
          <w:lang w:eastAsia="en-GB"/>
        </w:rPr>
      </w:pPr>
    </w:p>
    <w:p w14:paraId="5DA5BB87" w14:textId="77777777" w:rsidR="009974F0" w:rsidRDefault="009974F0" w:rsidP="00FC1787">
      <w:pPr>
        <w:spacing w:after="0" w:line="240" w:lineRule="auto"/>
        <w:rPr>
          <w:rFonts w:ascii="Calibri" w:eastAsia="Times New Roman" w:hAnsi="Calibri" w:cs="Times New Roman"/>
          <w:color w:val="002F5D"/>
          <w:lang w:eastAsia="en-GB"/>
        </w:rPr>
      </w:pPr>
    </w:p>
    <w:p w14:paraId="284D8534" w14:textId="77777777" w:rsidR="00D07EBC" w:rsidRPr="00037A62" w:rsidRDefault="00D07EBC" w:rsidP="00FC1787">
      <w:pPr>
        <w:spacing w:after="0" w:line="240" w:lineRule="auto"/>
        <w:rPr>
          <w:rFonts w:ascii="Calibri" w:eastAsia="Times New Roman" w:hAnsi="Calibri" w:cs="Times New Roman"/>
          <w:color w:val="002F5D"/>
          <w:lang w:eastAsia="en-GB"/>
        </w:rPr>
      </w:pPr>
    </w:p>
    <w:p w14:paraId="3DF62E38" w14:textId="77777777" w:rsidR="006841FB" w:rsidRPr="00037A62" w:rsidRDefault="00FC1787" w:rsidP="00690F32">
      <w:pPr>
        <w:pStyle w:val="Heading2"/>
        <w:numPr>
          <w:ilvl w:val="0"/>
          <w:numId w:val="3"/>
        </w:numPr>
        <w:rPr>
          <w:b/>
          <w:color w:val="002F5D"/>
        </w:rPr>
      </w:pPr>
      <w:r w:rsidRPr="00037A62">
        <w:rPr>
          <w:b/>
          <w:color w:val="002F5D"/>
        </w:rPr>
        <w:lastRenderedPageBreak/>
        <w:t>Alcohol Treatment, Consumption and Other Impacts</w:t>
      </w:r>
      <w:r w:rsidRPr="00037A62">
        <w:rPr>
          <w:b/>
          <w:color w:val="002F5D"/>
        </w:rPr>
        <w:tab/>
      </w:r>
    </w:p>
    <w:p w14:paraId="2857F216" w14:textId="77777777" w:rsidR="00E63CDF" w:rsidRPr="00E63CDF" w:rsidRDefault="00E63CDF" w:rsidP="00E63CDF"/>
    <w:p w14:paraId="50EF045E" w14:textId="77777777" w:rsidR="006841FB" w:rsidRDefault="00E63CDF" w:rsidP="006841FB">
      <w:pPr>
        <w:rPr>
          <w:rFonts w:ascii="Calibri" w:hAnsi="Calibri"/>
          <w:b/>
          <w:color w:val="002F5D"/>
        </w:rPr>
      </w:pPr>
      <w:r>
        <w:rPr>
          <w:b/>
          <w:color w:val="002F5D"/>
        </w:rPr>
        <w:t xml:space="preserve">Table 9: </w:t>
      </w:r>
      <w:r w:rsidR="006841FB" w:rsidRPr="006841FB">
        <w:rPr>
          <w:b/>
          <w:color w:val="002F5D"/>
        </w:rPr>
        <w:t>Suc</w:t>
      </w:r>
      <w:r w:rsidR="006841FB" w:rsidRPr="006841FB">
        <w:rPr>
          <w:rFonts w:ascii="Calibri" w:hAnsi="Calibri"/>
          <w:b/>
          <w:color w:val="002F5D"/>
        </w:rPr>
        <w:t>cessf</w:t>
      </w:r>
      <w:r>
        <w:rPr>
          <w:rFonts w:ascii="Calibri" w:hAnsi="Calibri"/>
          <w:b/>
          <w:color w:val="002F5D"/>
        </w:rPr>
        <w:t>ul completion of treatment for a</w:t>
      </w:r>
      <w:r w:rsidR="00EC1FDE">
        <w:rPr>
          <w:rFonts w:ascii="Calibri" w:hAnsi="Calibri"/>
          <w:b/>
          <w:color w:val="002F5D"/>
        </w:rPr>
        <w:t>lcohol</w:t>
      </w:r>
      <w:r w:rsidR="006841FB" w:rsidRPr="006841FB">
        <w:rPr>
          <w:rFonts w:ascii="Calibri" w:hAnsi="Calibri"/>
          <w:b/>
          <w:color w:val="002F5D"/>
        </w:rPr>
        <w:t>, Cambridgeshire and Peterborough, 2016</w:t>
      </w:r>
    </w:p>
    <w:p w14:paraId="7C8763D6" w14:textId="77777777" w:rsidR="006841FB" w:rsidRPr="00BF791D" w:rsidRDefault="00BF791D" w:rsidP="006841FB">
      <w:pPr>
        <w:rPr>
          <w:rFonts w:ascii="Calibri" w:hAnsi="Calibri"/>
          <w:b/>
          <w:color w:val="002F5D"/>
        </w:rPr>
      </w:pPr>
      <w:r w:rsidRPr="00BF791D">
        <w:rPr>
          <w:noProof/>
          <w:lang w:eastAsia="en-GB"/>
        </w:rPr>
        <w:drawing>
          <wp:inline distT="0" distB="0" distL="0" distR="0" wp14:anchorId="338629B6" wp14:editId="3CFAE749">
            <wp:extent cx="4333875" cy="1000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1000125"/>
                    </a:xfrm>
                    <a:prstGeom prst="rect">
                      <a:avLst/>
                    </a:prstGeom>
                    <a:noFill/>
                    <a:ln>
                      <a:noFill/>
                    </a:ln>
                  </pic:spPr>
                </pic:pic>
              </a:graphicData>
            </a:graphic>
          </wp:inline>
        </w:drawing>
      </w:r>
    </w:p>
    <w:p w14:paraId="710DF2D7" w14:textId="77777777" w:rsidR="006841FB" w:rsidRDefault="006841FB" w:rsidP="006841FB">
      <w:pPr>
        <w:rPr>
          <w:color w:val="002F5D"/>
        </w:rPr>
      </w:pPr>
      <w:r w:rsidRPr="00BF791D">
        <w:rPr>
          <w:color w:val="002F5D"/>
        </w:rPr>
        <w:t>Data not available at district or combined authority level</w:t>
      </w:r>
    </w:p>
    <w:p w14:paraId="3F2A03BD" w14:textId="77777777" w:rsidR="00384661" w:rsidRDefault="00384661" w:rsidP="00384661">
      <w:pPr>
        <w:rPr>
          <w:color w:val="002F5D"/>
        </w:rPr>
      </w:pPr>
      <w:r w:rsidRPr="001E79AD">
        <w:rPr>
          <w:color w:val="002F5D"/>
        </w:rPr>
        <w:t>*Aggregated from all known lower geography values</w:t>
      </w:r>
    </w:p>
    <w:p w14:paraId="49DE3736" w14:textId="77777777" w:rsidR="007C0D6D" w:rsidRPr="001E79AD" w:rsidRDefault="007C0D6D" w:rsidP="00384661">
      <w:pPr>
        <w:rPr>
          <w:color w:val="002F5D"/>
        </w:rPr>
      </w:pPr>
      <w:r>
        <w:rPr>
          <w:color w:val="002F5D"/>
        </w:rPr>
        <w:t>CI – Confidence interval</w:t>
      </w:r>
    </w:p>
    <w:p w14:paraId="71DD2BEB" w14:textId="68016E52" w:rsidR="00E63CDF" w:rsidRDefault="00BF791D" w:rsidP="00E63CDF">
      <w:pPr>
        <w:rPr>
          <w:color w:val="002F5D"/>
        </w:rPr>
      </w:pPr>
      <w:r w:rsidRPr="00BF791D">
        <w:rPr>
          <w:color w:val="002F5D"/>
        </w:rPr>
        <w:t>Source: Calculated by Public Health England: Knowledge and Intelligence Team (North West) using data from the National Drug Treatment Monitoring System.</w:t>
      </w:r>
    </w:p>
    <w:p w14:paraId="4CEAD18E" w14:textId="77777777" w:rsidR="00E63CDF" w:rsidRPr="00A240A2" w:rsidRDefault="00E63CDF" w:rsidP="00E63CDF">
      <w:pPr>
        <w:rPr>
          <w:color w:val="002F5D"/>
        </w:rPr>
      </w:pPr>
      <w:r>
        <w:rPr>
          <w:color w:val="002F5D"/>
        </w:rPr>
        <w:t>Key Point</w:t>
      </w:r>
      <w:r w:rsidR="00DA7E53">
        <w:rPr>
          <w:color w:val="002F5D"/>
        </w:rPr>
        <w:t>:</w:t>
      </w:r>
    </w:p>
    <w:p w14:paraId="34E0D69E" w14:textId="3D88C1BE" w:rsidR="00BF791D" w:rsidRDefault="00E63CDF" w:rsidP="006841FB">
      <w:pPr>
        <w:pStyle w:val="ListParagraph"/>
        <w:numPr>
          <w:ilvl w:val="0"/>
          <w:numId w:val="11"/>
        </w:numPr>
        <w:rPr>
          <w:color w:val="002F5D"/>
        </w:rPr>
      </w:pPr>
      <w:r w:rsidRPr="00A240A2">
        <w:rPr>
          <w:color w:val="002F5D"/>
        </w:rPr>
        <w:t xml:space="preserve">The </w:t>
      </w:r>
      <w:r w:rsidRPr="00E63CDF">
        <w:rPr>
          <w:b/>
          <w:color w:val="002F5D"/>
        </w:rPr>
        <w:t>% of alcohol users that left drug treatment successfully</w:t>
      </w:r>
      <w:r>
        <w:rPr>
          <w:color w:val="002F5D"/>
        </w:rPr>
        <w:t xml:space="preserve"> </w:t>
      </w:r>
      <w:r w:rsidRPr="00A240A2">
        <w:rPr>
          <w:color w:val="002F5D"/>
        </w:rPr>
        <w:t xml:space="preserve">are </w:t>
      </w:r>
      <w:r>
        <w:rPr>
          <w:color w:val="002F5D"/>
        </w:rPr>
        <w:t xml:space="preserve">similar to </w:t>
      </w:r>
      <w:r w:rsidRPr="00A240A2">
        <w:rPr>
          <w:color w:val="002F5D"/>
        </w:rPr>
        <w:t xml:space="preserve">the England average </w:t>
      </w:r>
      <w:r>
        <w:rPr>
          <w:color w:val="002F5D"/>
        </w:rPr>
        <w:t>in both Cambridgeshire and Peterborough.</w:t>
      </w:r>
    </w:p>
    <w:p w14:paraId="427D6B25" w14:textId="77777777" w:rsidR="009974F0" w:rsidRPr="009974F0" w:rsidRDefault="009974F0" w:rsidP="009974F0">
      <w:pPr>
        <w:pStyle w:val="ListParagraph"/>
        <w:rPr>
          <w:color w:val="002F5D"/>
        </w:rPr>
      </w:pPr>
    </w:p>
    <w:p w14:paraId="309646E3" w14:textId="77777777" w:rsidR="00BF791D" w:rsidRPr="00E63CDF" w:rsidRDefault="00E63CDF" w:rsidP="006841FB">
      <w:pPr>
        <w:rPr>
          <w:b/>
          <w:color w:val="002F5D"/>
        </w:rPr>
      </w:pPr>
      <w:r>
        <w:rPr>
          <w:b/>
          <w:color w:val="002F5D"/>
        </w:rPr>
        <w:t xml:space="preserve">Table 10: </w:t>
      </w:r>
      <w:r w:rsidR="00BF791D" w:rsidRPr="00E63CDF">
        <w:rPr>
          <w:b/>
          <w:color w:val="002F5D"/>
        </w:rPr>
        <w:t>Drinking behaviours among adults 18+, Cambridgeshire and Peterborough, 2011-2014</w:t>
      </w:r>
    </w:p>
    <w:p w14:paraId="102A43FD" w14:textId="77777777" w:rsidR="00BF791D" w:rsidRDefault="00BF791D" w:rsidP="006841FB">
      <w:r w:rsidRPr="00BF791D">
        <w:rPr>
          <w:noProof/>
          <w:lang w:eastAsia="en-GB"/>
        </w:rPr>
        <w:drawing>
          <wp:inline distT="0" distB="0" distL="0" distR="0" wp14:anchorId="0087AFE5" wp14:editId="70738588">
            <wp:extent cx="5731510" cy="1324509"/>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324509"/>
                    </a:xfrm>
                    <a:prstGeom prst="rect">
                      <a:avLst/>
                    </a:prstGeom>
                    <a:noFill/>
                    <a:ln>
                      <a:noFill/>
                    </a:ln>
                  </pic:spPr>
                </pic:pic>
              </a:graphicData>
            </a:graphic>
          </wp:inline>
        </w:drawing>
      </w:r>
    </w:p>
    <w:p w14:paraId="407F0C5D" w14:textId="77777777" w:rsidR="00D06D55" w:rsidRPr="00BF791D" w:rsidRDefault="00D06D55" w:rsidP="00D06D55">
      <w:pPr>
        <w:rPr>
          <w:color w:val="002F5D"/>
        </w:rPr>
      </w:pPr>
      <w:r w:rsidRPr="00BF791D">
        <w:rPr>
          <w:color w:val="002F5D"/>
        </w:rPr>
        <w:t>Data not available at district or combined authority level</w:t>
      </w:r>
    </w:p>
    <w:p w14:paraId="50D0E29E" w14:textId="3AFF2F70" w:rsidR="00FC1787" w:rsidRDefault="00D06D55" w:rsidP="00777F8B">
      <w:pPr>
        <w:spacing w:after="0" w:line="240" w:lineRule="auto"/>
        <w:rPr>
          <w:rFonts w:ascii="Calibri" w:eastAsia="Times New Roman" w:hAnsi="Calibri" w:cs="Times New Roman"/>
          <w:color w:val="002F5D"/>
          <w:lang w:eastAsia="en-GB"/>
        </w:rPr>
      </w:pPr>
      <w:r w:rsidRPr="00D06D55">
        <w:rPr>
          <w:rFonts w:ascii="Calibri" w:eastAsia="Times New Roman" w:hAnsi="Calibri" w:cs="Times New Roman"/>
          <w:color w:val="002F5D"/>
          <w:lang w:eastAsia="en-GB"/>
        </w:rPr>
        <w:t>Source: Public Health England Local Alcohol Profiles for England (Health Survey for England)</w:t>
      </w:r>
    </w:p>
    <w:p w14:paraId="6ACBBCB8" w14:textId="77777777" w:rsidR="00777F8B" w:rsidRPr="00777F8B" w:rsidRDefault="00777F8B" w:rsidP="00777F8B">
      <w:pPr>
        <w:spacing w:after="0" w:line="240" w:lineRule="auto"/>
        <w:rPr>
          <w:rFonts w:ascii="Calibri" w:eastAsia="Times New Roman" w:hAnsi="Calibri" w:cs="Times New Roman"/>
          <w:color w:val="002F5D"/>
          <w:lang w:eastAsia="en-GB"/>
        </w:rPr>
      </w:pPr>
    </w:p>
    <w:p w14:paraId="78929A6A" w14:textId="77777777" w:rsidR="00D06D55" w:rsidRDefault="00BF791D" w:rsidP="00D06D55">
      <w:pPr>
        <w:rPr>
          <w:color w:val="002F5D"/>
        </w:rPr>
      </w:pPr>
      <w:r w:rsidRPr="00D06D55">
        <w:rPr>
          <w:color w:val="002F5D"/>
        </w:rPr>
        <w:t>Key points:</w:t>
      </w:r>
    </w:p>
    <w:p w14:paraId="2B3ADE9A" w14:textId="77777777" w:rsidR="00BF791D" w:rsidRPr="00D06D55" w:rsidRDefault="00BF791D" w:rsidP="00D06D55">
      <w:pPr>
        <w:pStyle w:val="ListParagraph"/>
        <w:numPr>
          <w:ilvl w:val="0"/>
          <w:numId w:val="9"/>
        </w:numPr>
        <w:rPr>
          <w:color w:val="002F5D"/>
        </w:rPr>
      </w:pPr>
      <w:r w:rsidRPr="00D06D55">
        <w:rPr>
          <w:color w:val="002F5D"/>
        </w:rPr>
        <w:t xml:space="preserve">Overall, though not formally statistically assessed, the percentage of Cambridgeshire and Peterborough adults </w:t>
      </w:r>
      <w:r w:rsidRPr="00E55DA6">
        <w:rPr>
          <w:b/>
          <w:color w:val="002F5D"/>
        </w:rPr>
        <w:t>who abstain from drinking alcoh</w:t>
      </w:r>
      <w:r w:rsidRPr="00E55DA6">
        <w:rPr>
          <w:color w:val="002F5D"/>
        </w:rPr>
        <w:t>ol</w:t>
      </w:r>
      <w:r w:rsidRPr="00D06D55">
        <w:rPr>
          <w:color w:val="002F5D"/>
        </w:rPr>
        <w:t xml:space="preserve"> is lower (wor</w:t>
      </w:r>
      <w:r w:rsidR="00DA7E53">
        <w:rPr>
          <w:color w:val="002F5D"/>
        </w:rPr>
        <w:t>se) than the England average; within both areas,</w:t>
      </w:r>
      <w:r w:rsidRPr="00D06D55">
        <w:rPr>
          <w:color w:val="002F5D"/>
        </w:rPr>
        <w:t xml:space="preserve"> </w:t>
      </w:r>
      <w:r w:rsidRPr="00E55DA6">
        <w:rPr>
          <w:b/>
          <w:color w:val="002F5D"/>
        </w:rPr>
        <w:t>binge drinking</w:t>
      </w:r>
      <w:r w:rsidRPr="00D06D55">
        <w:rPr>
          <w:color w:val="002F5D"/>
        </w:rPr>
        <w:t xml:space="preserve"> and </w:t>
      </w:r>
      <w:r w:rsidRPr="00E55DA6">
        <w:rPr>
          <w:b/>
          <w:color w:val="002F5D"/>
        </w:rPr>
        <w:t>excess drinking levels</w:t>
      </w:r>
      <w:r w:rsidRPr="00D06D55">
        <w:rPr>
          <w:color w:val="002F5D"/>
        </w:rPr>
        <w:t xml:space="preserve"> are similar to national averages.</w:t>
      </w:r>
    </w:p>
    <w:p w14:paraId="0C7A8ACC" w14:textId="77777777" w:rsidR="00BF791D" w:rsidRPr="00D06D55" w:rsidRDefault="00BF791D" w:rsidP="00D06D55">
      <w:pPr>
        <w:pStyle w:val="ListParagraph"/>
        <w:numPr>
          <w:ilvl w:val="0"/>
          <w:numId w:val="9"/>
        </w:numPr>
        <w:rPr>
          <w:color w:val="002F5D"/>
        </w:rPr>
      </w:pPr>
      <w:r w:rsidRPr="00D06D55">
        <w:rPr>
          <w:color w:val="002F5D"/>
        </w:rPr>
        <w:t xml:space="preserve">According to the Health Survey for England the percentage of Cambridgeshire adults who </w:t>
      </w:r>
      <w:r w:rsidRPr="00E55DA6">
        <w:rPr>
          <w:b/>
          <w:color w:val="002F5D"/>
        </w:rPr>
        <w:t>abstain from drinking alcohol</w:t>
      </w:r>
      <w:r w:rsidRPr="00D06D55">
        <w:rPr>
          <w:color w:val="002F5D"/>
        </w:rPr>
        <w:t xml:space="preserve"> is statistically significantly lower (worse) than the England average.</w:t>
      </w:r>
    </w:p>
    <w:p w14:paraId="542B6736" w14:textId="77777777" w:rsidR="00FC1787" w:rsidRDefault="00BF791D" w:rsidP="00E63CDF">
      <w:pPr>
        <w:pStyle w:val="ListParagraph"/>
        <w:numPr>
          <w:ilvl w:val="0"/>
          <w:numId w:val="9"/>
        </w:numPr>
        <w:rPr>
          <w:color w:val="002F5D"/>
        </w:rPr>
      </w:pPr>
      <w:r w:rsidRPr="00E63CDF">
        <w:rPr>
          <w:color w:val="002F5D"/>
        </w:rPr>
        <w:t>In Peterborough for all indicators, drinking behaviour levels are similar to national averages.</w:t>
      </w:r>
    </w:p>
    <w:p w14:paraId="202357D0" w14:textId="77777777" w:rsidR="00E63CDF" w:rsidRPr="00E63CDF" w:rsidRDefault="00E63CDF" w:rsidP="00E63CDF">
      <w:pPr>
        <w:pStyle w:val="ListParagraph"/>
        <w:rPr>
          <w:color w:val="002F5D"/>
        </w:rPr>
      </w:pPr>
    </w:p>
    <w:p w14:paraId="06EC8E33" w14:textId="77777777" w:rsidR="00FC1787" w:rsidRPr="00D06D55" w:rsidRDefault="00E63CDF" w:rsidP="000A0028">
      <w:pPr>
        <w:rPr>
          <w:rFonts w:ascii="Calibri" w:hAnsi="Calibri"/>
          <w:b/>
          <w:color w:val="002F5D"/>
        </w:rPr>
      </w:pPr>
      <w:r>
        <w:rPr>
          <w:rFonts w:ascii="Calibri" w:hAnsi="Calibri"/>
          <w:b/>
          <w:color w:val="002F5D"/>
        </w:rPr>
        <w:lastRenderedPageBreak/>
        <w:t xml:space="preserve">Table 11: </w:t>
      </w:r>
      <w:r w:rsidR="00410A16">
        <w:rPr>
          <w:rFonts w:ascii="Calibri" w:hAnsi="Calibri"/>
          <w:b/>
          <w:color w:val="002F5D"/>
        </w:rPr>
        <w:t>Alcohol-</w:t>
      </w:r>
      <w:r w:rsidR="00384661" w:rsidRPr="00384661">
        <w:rPr>
          <w:rFonts w:ascii="Calibri" w:hAnsi="Calibri"/>
          <w:b/>
          <w:color w:val="002F5D"/>
        </w:rPr>
        <w:t>related road traffic accidents, crude rate per 1,000 accidents, Cambridgeshire and Peterborough, 2013-15</w:t>
      </w:r>
    </w:p>
    <w:p w14:paraId="3C17E084" w14:textId="77777777" w:rsidR="00FC1787" w:rsidRDefault="00EC1FDE" w:rsidP="000A0028">
      <w:pPr>
        <w:rPr>
          <w:rFonts w:ascii="Calibri" w:hAnsi="Calibri"/>
          <w:b/>
          <w:color w:val="002F5D"/>
        </w:rPr>
      </w:pPr>
      <w:r w:rsidRPr="00EC1FDE">
        <w:rPr>
          <w:noProof/>
          <w:lang w:eastAsia="en-GB"/>
        </w:rPr>
        <w:drawing>
          <wp:inline distT="0" distB="0" distL="0" distR="0" wp14:anchorId="1AD6AC18" wp14:editId="3894D323">
            <wp:extent cx="4333875" cy="2152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2152650"/>
                    </a:xfrm>
                    <a:prstGeom prst="rect">
                      <a:avLst/>
                    </a:prstGeom>
                    <a:noFill/>
                    <a:ln>
                      <a:noFill/>
                    </a:ln>
                  </pic:spPr>
                </pic:pic>
              </a:graphicData>
            </a:graphic>
          </wp:inline>
        </w:drawing>
      </w:r>
    </w:p>
    <w:p w14:paraId="7B0D054F" w14:textId="77777777" w:rsidR="00384661" w:rsidRDefault="00384661" w:rsidP="00384661">
      <w:pPr>
        <w:rPr>
          <w:color w:val="002F5D"/>
        </w:rPr>
      </w:pPr>
      <w:r w:rsidRPr="001E79AD">
        <w:rPr>
          <w:color w:val="002F5D"/>
        </w:rPr>
        <w:t>*Aggregated from all known lower geography values</w:t>
      </w:r>
    </w:p>
    <w:p w14:paraId="3D91B457" w14:textId="77777777" w:rsidR="00384661" w:rsidRPr="006560A1" w:rsidRDefault="007C0D6D" w:rsidP="000A0028">
      <w:pPr>
        <w:rPr>
          <w:color w:val="002F5D"/>
        </w:rPr>
      </w:pPr>
      <w:r>
        <w:rPr>
          <w:color w:val="002F5D"/>
        </w:rPr>
        <w:t>CI – Confidence interval</w:t>
      </w:r>
    </w:p>
    <w:p w14:paraId="19C04533" w14:textId="77777777" w:rsidR="00E55DA6" w:rsidRDefault="00384661" w:rsidP="000A0028">
      <w:pPr>
        <w:rPr>
          <w:rFonts w:ascii="Calibri" w:hAnsi="Calibri"/>
          <w:color w:val="002F5D"/>
        </w:rPr>
      </w:pPr>
      <w:r w:rsidRPr="00384661">
        <w:rPr>
          <w:rFonts w:ascii="Calibri" w:hAnsi="Calibri"/>
          <w:color w:val="002F5D"/>
        </w:rPr>
        <w:t>Source: Calculated by Public Health England: Risk Factor Intelligence (RFI) team from STATS19 data provided by the Department of Transport.</w:t>
      </w:r>
    </w:p>
    <w:p w14:paraId="002B75F8" w14:textId="77777777" w:rsidR="00E55DA6" w:rsidRDefault="00E55DA6" w:rsidP="00E55DA6">
      <w:pPr>
        <w:rPr>
          <w:color w:val="002F5D"/>
        </w:rPr>
      </w:pPr>
      <w:r w:rsidRPr="00D06D55">
        <w:rPr>
          <w:color w:val="002F5D"/>
        </w:rPr>
        <w:t>Key points:</w:t>
      </w:r>
    </w:p>
    <w:p w14:paraId="1E5966AA" w14:textId="77777777" w:rsidR="00E55DA6" w:rsidRPr="00E55DA6" w:rsidRDefault="00E55DA6" w:rsidP="00474DE4">
      <w:pPr>
        <w:pStyle w:val="ListParagraph"/>
        <w:numPr>
          <w:ilvl w:val="0"/>
          <w:numId w:val="12"/>
        </w:numPr>
        <w:rPr>
          <w:rFonts w:ascii="Calibri" w:hAnsi="Calibri"/>
          <w:color w:val="002F5D"/>
        </w:rPr>
      </w:pPr>
      <w:r w:rsidRPr="00E55DA6">
        <w:rPr>
          <w:color w:val="002F5D"/>
        </w:rPr>
        <w:t xml:space="preserve">The rate of </w:t>
      </w:r>
      <w:r w:rsidRPr="00E55DA6">
        <w:rPr>
          <w:rFonts w:ascii="Calibri" w:hAnsi="Calibri"/>
          <w:b/>
          <w:color w:val="002F5D"/>
        </w:rPr>
        <w:t>alcohol related road traffic accidents</w:t>
      </w:r>
      <w:r>
        <w:rPr>
          <w:rFonts w:ascii="Calibri" w:eastAsia="Times New Roman" w:hAnsi="Calibri" w:cs="Times New Roman"/>
          <w:bCs/>
          <w:color w:val="002F5D"/>
          <w:lang w:eastAsia="en-GB"/>
        </w:rPr>
        <w:t xml:space="preserve"> </w:t>
      </w:r>
      <w:r w:rsidR="00DF7351">
        <w:rPr>
          <w:color w:val="002F5D"/>
        </w:rPr>
        <w:t>is</w:t>
      </w:r>
      <w:r w:rsidR="00DF7351" w:rsidRPr="00E55DA6">
        <w:rPr>
          <w:color w:val="002F5D"/>
        </w:rPr>
        <w:t xml:space="preserve"> </w:t>
      </w:r>
      <w:r w:rsidRPr="00E55DA6">
        <w:rPr>
          <w:color w:val="002F5D"/>
        </w:rPr>
        <w:t xml:space="preserve">statistically significantly higher than the England average in </w:t>
      </w:r>
      <w:r>
        <w:rPr>
          <w:color w:val="002F5D"/>
        </w:rPr>
        <w:t xml:space="preserve">Cambridgeshire. </w:t>
      </w:r>
      <w:r w:rsidR="0006637D">
        <w:rPr>
          <w:color w:val="002F5D"/>
        </w:rPr>
        <w:t xml:space="preserve">  Although the Peterborough rate is higher than Cambridgeshire it is not statistically significantly higher than England.</w:t>
      </w:r>
      <w:r w:rsidR="00DF7351">
        <w:rPr>
          <w:color w:val="002F5D"/>
        </w:rPr>
        <w:t xml:space="preserve"> This is because the rate is based on numerically fewer road traffic accidents and hence the confidence interval (95% CI) used to calculate statistical significance is wider and overlaps the England levels.</w:t>
      </w:r>
    </w:p>
    <w:p w14:paraId="66C44ABE" w14:textId="77777777" w:rsidR="00E55DA6" w:rsidRDefault="00E55DA6" w:rsidP="00474DE4">
      <w:pPr>
        <w:pStyle w:val="ListParagraph"/>
        <w:numPr>
          <w:ilvl w:val="0"/>
          <w:numId w:val="12"/>
        </w:numPr>
        <w:rPr>
          <w:rFonts w:ascii="Calibri" w:hAnsi="Calibri"/>
          <w:color w:val="002F5D"/>
        </w:rPr>
      </w:pPr>
      <w:r>
        <w:rPr>
          <w:color w:val="002F5D"/>
        </w:rPr>
        <w:t xml:space="preserve">In Cambridge the rate of </w:t>
      </w:r>
      <w:r w:rsidRPr="00E55DA6">
        <w:rPr>
          <w:rFonts w:ascii="Calibri" w:hAnsi="Calibri"/>
          <w:b/>
          <w:color w:val="002F5D"/>
        </w:rPr>
        <w:t>alcohol related road traffic accidents</w:t>
      </w:r>
      <w:r>
        <w:rPr>
          <w:rFonts w:ascii="Calibri" w:hAnsi="Calibri"/>
          <w:b/>
          <w:color w:val="002F5D"/>
        </w:rPr>
        <w:t xml:space="preserve"> </w:t>
      </w:r>
      <w:r>
        <w:rPr>
          <w:rFonts w:ascii="Calibri" w:hAnsi="Calibri"/>
          <w:color w:val="002F5D"/>
        </w:rPr>
        <w:t>is statistically significantly lower than the Cambridgeshire rate.</w:t>
      </w:r>
    </w:p>
    <w:p w14:paraId="13745216" w14:textId="77777777" w:rsidR="00E55DA6" w:rsidRPr="00FF1525" w:rsidRDefault="00E55DA6" w:rsidP="000A0028">
      <w:pPr>
        <w:pStyle w:val="ListParagraph"/>
        <w:numPr>
          <w:ilvl w:val="0"/>
          <w:numId w:val="12"/>
        </w:numPr>
        <w:rPr>
          <w:rFonts w:ascii="Calibri" w:hAnsi="Calibri"/>
          <w:color w:val="002F5D"/>
        </w:rPr>
      </w:pPr>
      <w:r>
        <w:rPr>
          <w:rFonts w:ascii="Calibri" w:hAnsi="Calibri"/>
          <w:color w:val="002F5D"/>
        </w:rPr>
        <w:t xml:space="preserve">When compared to England, East Cambridgeshire, Huntingdonshire and South Cambridgeshire all have statistically significantly higher rates of </w:t>
      </w:r>
      <w:r w:rsidRPr="00E55DA6">
        <w:rPr>
          <w:rFonts w:ascii="Calibri" w:hAnsi="Calibri"/>
          <w:b/>
          <w:color w:val="002F5D"/>
        </w:rPr>
        <w:t>alcohol related road traffic accidents</w:t>
      </w:r>
      <w:r w:rsidR="0006637D">
        <w:rPr>
          <w:rFonts w:ascii="Calibri" w:hAnsi="Calibri"/>
          <w:b/>
          <w:color w:val="002F5D"/>
        </w:rPr>
        <w:t xml:space="preserve"> </w:t>
      </w:r>
      <w:r w:rsidR="0006637D">
        <w:rPr>
          <w:color w:val="002F5D"/>
        </w:rPr>
        <w:t>(not reflected in the shading of the table</w:t>
      </w:r>
      <w:r w:rsidR="00D7004D">
        <w:rPr>
          <w:color w:val="002F5D"/>
        </w:rPr>
        <w:t xml:space="preserve"> where the benchmark is the Cambridgeshire average</w:t>
      </w:r>
      <w:r w:rsidR="0006637D">
        <w:rPr>
          <w:color w:val="002F5D"/>
        </w:rPr>
        <w:t>).</w:t>
      </w:r>
    </w:p>
    <w:p w14:paraId="707DE184" w14:textId="77777777" w:rsidR="00D7004D" w:rsidRPr="00E55DA6" w:rsidRDefault="00D7004D" w:rsidP="000A0028">
      <w:pPr>
        <w:pStyle w:val="ListParagraph"/>
        <w:numPr>
          <w:ilvl w:val="0"/>
          <w:numId w:val="12"/>
        </w:numPr>
        <w:rPr>
          <w:rFonts w:ascii="Calibri" w:hAnsi="Calibri"/>
          <w:color w:val="002F5D"/>
        </w:rPr>
      </w:pPr>
      <w:r>
        <w:rPr>
          <w:color w:val="002F5D"/>
        </w:rPr>
        <w:t xml:space="preserve">It should be noted that this data largely represents those areas where there are greater numbers of road traffic accidents generally and not necessarily drinking behaviours by people living in those areas. Those areas with the greatest levels of motorised traffic have the most </w:t>
      </w:r>
      <w:r w:rsidR="00760669">
        <w:rPr>
          <w:color w:val="002F5D"/>
        </w:rPr>
        <w:t xml:space="preserve">police recorded </w:t>
      </w:r>
      <w:r>
        <w:rPr>
          <w:color w:val="002F5D"/>
        </w:rPr>
        <w:t xml:space="preserve">accidents and </w:t>
      </w:r>
      <w:r w:rsidR="00760669">
        <w:rPr>
          <w:color w:val="002F5D"/>
        </w:rPr>
        <w:t>the people involved in those accidents may not be residents of the areas in which the accident occurs</w:t>
      </w:r>
      <w:r w:rsidR="00DB3D5F">
        <w:rPr>
          <w:color w:val="002F5D"/>
        </w:rPr>
        <w:t xml:space="preserve"> and may include people who live outside of Cambridgeshire and Peterborough but who are passing through</w:t>
      </w:r>
      <w:r w:rsidR="00F02D0D">
        <w:rPr>
          <w:color w:val="002F5D"/>
        </w:rPr>
        <w:t>.</w:t>
      </w:r>
    </w:p>
    <w:p w14:paraId="284188C1" w14:textId="77777777" w:rsidR="00E55DA6" w:rsidRDefault="00E55DA6" w:rsidP="00E55DA6">
      <w:pPr>
        <w:pStyle w:val="ListParagraph"/>
        <w:rPr>
          <w:rFonts w:ascii="Calibri" w:hAnsi="Calibri"/>
          <w:color w:val="002F5D"/>
        </w:rPr>
      </w:pPr>
    </w:p>
    <w:p w14:paraId="6084397D" w14:textId="77777777" w:rsidR="009974F0" w:rsidRDefault="009974F0" w:rsidP="00E55DA6">
      <w:pPr>
        <w:pStyle w:val="ListParagraph"/>
        <w:rPr>
          <w:rFonts w:ascii="Calibri" w:hAnsi="Calibri"/>
          <w:color w:val="002F5D"/>
        </w:rPr>
      </w:pPr>
    </w:p>
    <w:p w14:paraId="4B9E6273" w14:textId="77777777" w:rsidR="009974F0" w:rsidRDefault="009974F0" w:rsidP="00E55DA6">
      <w:pPr>
        <w:pStyle w:val="ListParagraph"/>
        <w:rPr>
          <w:rFonts w:ascii="Calibri" w:hAnsi="Calibri"/>
          <w:color w:val="002F5D"/>
        </w:rPr>
      </w:pPr>
    </w:p>
    <w:p w14:paraId="1633C127" w14:textId="77777777" w:rsidR="009974F0" w:rsidRDefault="009974F0" w:rsidP="00E55DA6">
      <w:pPr>
        <w:pStyle w:val="ListParagraph"/>
        <w:rPr>
          <w:rFonts w:ascii="Calibri" w:hAnsi="Calibri"/>
          <w:color w:val="002F5D"/>
        </w:rPr>
      </w:pPr>
    </w:p>
    <w:p w14:paraId="5A85B3CF" w14:textId="77777777" w:rsidR="009974F0" w:rsidRDefault="009974F0" w:rsidP="00E55DA6">
      <w:pPr>
        <w:pStyle w:val="ListParagraph"/>
        <w:rPr>
          <w:rFonts w:ascii="Calibri" w:hAnsi="Calibri"/>
          <w:color w:val="002F5D"/>
        </w:rPr>
      </w:pPr>
    </w:p>
    <w:p w14:paraId="564FE058" w14:textId="77777777" w:rsidR="009974F0" w:rsidRDefault="009974F0" w:rsidP="00E55DA6">
      <w:pPr>
        <w:pStyle w:val="ListParagraph"/>
        <w:rPr>
          <w:rFonts w:ascii="Calibri" w:hAnsi="Calibri"/>
          <w:color w:val="002F5D"/>
        </w:rPr>
      </w:pPr>
    </w:p>
    <w:p w14:paraId="515E6922" w14:textId="77777777" w:rsidR="009974F0" w:rsidRPr="00E55DA6" w:rsidRDefault="009974F0" w:rsidP="00E55DA6">
      <w:pPr>
        <w:pStyle w:val="ListParagraph"/>
        <w:rPr>
          <w:rFonts w:ascii="Calibri" w:hAnsi="Calibri"/>
          <w:color w:val="002F5D"/>
        </w:rPr>
      </w:pPr>
    </w:p>
    <w:p w14:paraId="75281B11" w14:textId="77777777" w:rsidR="00384661" w:rsidRPr="00861719" w:rsidRDefault="00E55DA6" w:rsidP="000A0028">
      <w:pPr>
        <w:rPr>
          <w:rFonts w:ascii="Calibri" w:hAnsi="Calibri"/>
          <w:b/>
          <w:color w:val="002F5D"/>
        </w:rPr>
      </w:pPr>
      <w:r>
        <w:rPr>
          <w:rFonts w:ascii="Calibri" w:hAnsi="Calibri"/>
          <w:b/>
          <w:color w:val="002F5D"/>
        </w:rPr>
        <w:lastRenderedPageBreak/>
        <w:t xml:space="preserve">Table 12: </w:t>
      </w:r>
      <w:r w:rsidR="00861719" w:rsidRPr="00861719">
        <w:rPr>
          <w:rFonts w:ascii="Calibri" w:hAnsi="Calibri"/>
          <w:b/>
          <w:color w:val="002F5D"/>
        </w:rPr>
        <w:t>Claimants of benefits due to alcoholism, crude rate per 100,000, Cambridgeshire and Peterborough</w:t>
      </w:r>
      <w:r w:rsidR="007B2745">
        <w:rPr>
          <w:rFonts w:ascii="Calibri" w:hAnsi="Calibri"/>
          <w:b/>
          <w:color w:val="002F5D"/>
        </w:rPr>
        <w:t>,</w:t>
      </w:r>
      <w:r w:rsidR="00861719" w:rsidRPr="00861719">
        <w:rPr>
          <w:rFonts w:ascii="Calibri" w:hAnsi="Calibri"/>
          <w:b/>
          <w:color w:val="002F5D"/>
        </w:rPr>
        <w:t xml:space="preserve"> 2016</w:t>
      </w:r>
    </w:p>
    <w:p w14:paraId="1EA35BE8" w14:textId="77777777" w:rsidR="00384661" w:rsidRPr="00384661" w:rsidRDefault="00384661" w:rsidP="000A0028">
      <w:pPr>
        <w:rPr>
          <w:rFonts w:ascii="Calibri" w:hAnsi="Calibri"/>
          <w:color w:val="002F5D"/>
        </w:rPr>
      </w:pPr>
      <w:r w:rsidRPr="00384661">
        <w:rPr>
          <w:noProof/>
          <w:lang w:eastAsia="en-GB"/>
        </w:rPr>
        <w:drawing>
          <wp:inline distT="0" distB="0" distL="0" distR="0" wp14:anchorId="4074A4F4" wp14:editId="55E90A2B">
            <wp:extent cx="4333875" cy="2162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3875" cy="2162175"/>
                    </a:xfrm>
                    <a:prstGeom prst="rect">
                      <a:avLst/>
                    </a:prstGeom>
                    <a:noFill/>
                    <a:ln>
                      <a:noFill/>
                    </a:ln>
                  </pic:spPr>
                </pic:pic>
              </a:graphicData>
            </a:graphic>
          </wp:inline>
        </w:drawing>
      </w:r>
    </w:p>
    <w:p w14:paraId="7C098927" w14:textId="77777777" w:rsidR="00861719" w:rsidRDefault="00861719" w:rsidP="000A0028">
      <w:pPr>
        <w:rPr>
          <w:rFonts w:ascii="Calibri" w:hAnsi="Calibri"/>
          <w:color w:val="002F5D"/>
        </w:rPr>
      </w:pPr>
      <w:r w:rsidRPr="00861719">
        <w:rPr>
          <w:rFonts w:ascii="Calibri" w:hAnsi="Calibri"/>
          <w:b/>
          <w:color w:val="002F5D"/>
        </w:rPr>
        <w:t>*</w:t>
      </w:r>
      <w:r w:rsidRPr="00861719">
        <w:rPr>
          <w:rFonts w:ascii="Calibri" w:hAnsi="Calibri"/>
          <w:color w:val="002F5D"/>
        </w:rPr>
        <w:t>Aggregated from all known lower geography values</w:t>
      </w:r>
    </w:p>
    <w:p w14:paraId="5F57D1D8" w14:textId="2DF41D09" w:rsidR="00D21C30" w:rsidRPr="009974F0" w:rsidRDefault="00D21C30" w:rsidP="000A0028">
      <w:pPr>
        <w:rPr>
          <w:color w:val="002F5D"/>
        </w:rPr>
      </w:pPr>
      <w:r>
        <w:rPr>
          <w:color w:val="002F5D"/>
        </w:rPr>
        <w:t>CI – Confidence interval</w:t>
      </w:r>
    </w:p>
    <w:p w14:paraId="533B20AB" w14:textId="090ABA64" w:rsidR="00E55DA6" w:rsidRDefault="00861719" w:rsidP="009974F0">
      <w:pPr>
        <w:spacing w:after="0" w:line="240" w:lineRule="auto"/>
        <w:rPr>
          <w:rFonts w:ascii="Calibri" w:eastAsia="Times New Roman" w:hAnsi="Calibri" w:cs="Arial"/>
          <w:iCs/>
          <w:color w:val="002F5D"/>
          <w:szCs w:val="16"/>
          <w:lang w:eastAsia="en-GB"/>
        </w:rPr>
      </w:pPr>
      <w:r w:rsidRPr="00861719">
        <w:rPr>
          <w:rFonts w:ascii="Calibri" w:eastAsia="Times New Roman" w:hAnsi="Calibri" w:cs="Arial"/>
          <w:iCs/>
          <w:color w:val="002F5D"/>
          <w:szCs w:val="16"/>
          <w:lang w:eastAsia="en-GB"/>
        </w:rPr>
        <w:t>Source: Calculated by Public Health England: Risk Factors Intelligence (RFI) team using bespoke request data from Department for Work and Pensions and Office for National Statistics (ONS) - Mid Year Population Estimates</w:t>
      </w:r>
    </w:p>
    <w:p w14:paraId="7B9D32D1" w14:textId="77777777" w:rsidR="009974F0" w:rsidRPr="009974F0" w:rsidRDefault="009974F0" w:rsidP="009974F0">
      <w:pPr>
        <w:spacing w:after="0" w:line="240" w:lineRule="auto"/>
        <w:rPr>
          <w:rFonts w:ascii="Calibri" w:eastAsia="Times New Roman" w:hAnsi="Calibri" w:cs="Arial"/>
          <w:iCs/>
          <w:color w:val="002F5D"/>
          <w:szCs w:val="16"/>
          <w:lang w:eastAsia="en-GB"/>
        </w:rPr>
      </w:pPr>
    </w:p>
    <w:p w14:paraId="1E612C05" w14:textId="77777777" w:rsidR="00E55DA6" w:rsidRDefault="00E55DA6" w:rsidP="00E55DA6">
      <w:pPr>
        <w:rPr>
          <w:color w:val="002F5D"/>
        </w:rPr>
      </w:pPr>
      <w:r w:rsidRPr="00D06D55">
        <w:rPr>
          <w:color w:val="002F5D"/>
        </w:rPr>
        <w:t>Key points:</w:t>
      </w:r>
    </w:p>
    <w:p w14:paraId="10E284E0" w14:textId="77777777" w:rsidR="00E55DA6" w:rsidRPr="00E55DA6" w:rsidRDefault="00E55DA6" w:rsidP="00E55DA6">
      <w:pPr>
        <w:pStyle w:val="ListParagraph"/>
        <w:numPr>
          <w:ilvl w:val="0"/>
          <w:numId w:val="12"/>
        </w:numPr>
        <w:rPr>
          <w:rFonts w:ascii="Calibri" w:hAnsi="Calibri"/>
          <w:color w:val="002F5D"/>
        </w:rPr>
      </w:pPr>
      <w:r w:rsidRPr="00E55DA6">
        <w:rPr>
          <w:color w:val="002F5D"/>
        </w:rPr>
        <w:t xml:space="preserve">The rate of </w:t>
      </w:r>
      <w:r>
        <w:rPr>
          <w:rFonts w:ascii="Calibri" w:hAnsi="Calibri"/>
          <w:b/>
          <w:color w:val="002F5D"/>
        </w:rPr>
        <w:t>c</w:t>
      </w:r>
      <w:r w:rsidRPr="00861719">
        <w:rPr>
          <w:rFonts w:ascii="Calibri" w:hAnsi="Calibri"/>
          <w:b/>
          <w:color w:val="002F5D"/>
        </w:rPr>
        <w:t>laimants of benefits due to alcoholism</w:t>
      </w:r>
      <w:r w:rsidRPr="00E55DA6">
        <w:rPr>
          <w:color w:val="002F5D"/>
        </w:rPr>
        <w:t xml:space="preserve"> are statistically significantly </w:t>
      </w:r>
      <w:r>
        <w:rPr>
          <w:color w:val="002F5D"/>
        </w:rPr>
        <w:t>lower</w:t>
      </w:r>
      <w:r w:rsidRPr="00E55DA6">
        <w:rPr>
          <w:color w:val="002F5D"/>
        </w:rPr>
        <w:t xml:space="preserve"> than the England average in </w:t>
      </w:r>
      <w:r>
        <w:rPr>
          <w:color w:val="002F5D"/>
        </w:rPr>
        <w:t>Cambridgeshire and Peterborough</w:t>
      </w:r>
      <w:r w:rsidR="007B7DE1">
        <w:rPr>
          <w:color w:val="002F5D"/>
        </w:rPr>
        <w:t xml:space="preserve"> independently</w:t>
      </w:r>
      <w:r>
        <w:rPr>
          <w:color w:val="002F5D"/>
        </w:rPr>
        <w:t>.</w:t>
      </w:r>
    </w:p>
    <w:p w14:paraId="5D103CAC" w14:textId="77777777" w:rsidR="007B2745" w:rsidRPr="007B2745" w:rsidRDefault="00E55DA6" w:rsidP="00DB5D4C">
      <w:pPr>
        <w:pStyle w:val="ListParagraph"/>
        <w:numPr>
          <w:ilvl w:val="0"/>
          <w:numId w:val="12"/>
        </w:numPr>
        <w:rPr>
          <w:rFonts w:ascii="Calibri" w:hAnsi="Calibri"/>
          <w:color w:val="002F5D"/>
        </w:rPr>
      </w:pPr>
      <w:r w:rsidRPr="007B2745">
        <w:rPr>
          <w:color w:val="002F5D"/>
        </w:rPr>
        <w:t xml:space="preserve">In Cambridge </w:t>
      </w:r>
      <w:r w:rsidR="007B2745" w:rsidRPr="007B2745">
        <w:rPr>
          <w:color w:val="002F5D"/>
        </w:rPr>
        <w:t xml:space="preserve">the rate of </w:t>
      </w:r>
      <w:r w:rsidR="007B2745" w:rsidRPr="007B2745">
        <w:rPr>
          <w:rFonts w:ascii="Calibri" w:hAnsi="Calibri"/>
          <w:b/>
          <w:color w:val="002F5D"/>
        </w:rPr>
        <w:t>claimants of benefits due to alcoholism</w:t>
      </w:r>
      <w:r w:rsidR="007B2745" w:rsidRPr="007B2745">
        <w:rPr>
          <w:color w:val="002F5D"/>
        </w:rPr>
        <w:t xml:space="preserve"> is statistically significantly </w:t>
      </w:r>
      <w:r w:rsidRPr="007B2745">
        <w:rPr>
          <w:rFonts w:ascii="Calibri" w:hAnsi="Calibri"/>
          <w:color w:val="002F5D"/>
        </w:rPr>
        <w:t>higher than the Cambridgeshire rate</w:t>
      </w:r>
      <w:r w:rsidR="007B2745" w:rsidRPr="007B2745">
        <w:rPr>
          <w:rFonts w:ascii="Calibri" w:hAnsi="Calibri"/>
          <w:color w:val="002F5D"/>
        </w:rPr>
        <w:t xml:space="preserve"> and </w:t>
      </w:r>
      <w:r w:rsidR="007B2745" w:rsidRPr="007B2745">
        <w:rPr>
          <w:color w:val="002F5D"/>
        </w:rPr>
        <w:t xml:space="preserve">the rate of </w:t>
      </w:r>
      <w:r w:rsidR="007B2745" w:rsidRPr="007B2745">
        <w:rPr>
          <w:rFonts w:ascii="Calibri" w:hAnsi="Calibri"/>
          <w:b/>
          <w:color w:val="002F5D"/>
        </w:rPr>
        <w:t>claimants of benefits due to alcoholism</w:t>
      </w:r>
      <w:r w:rsidR="007B2745" w:rsidRPr="007B2745">
        <w:rPr>
          <w:rFonts w:ascii="Calibri" w:hAnsi="Calibri"/>
          <w:color w:val="002F5D"/>
        </w:rPr>
        <w:t xml:space="preserve"> in South Cambridgeshire is </w:t>
      </w:r>
      <w:r w:rsidR="007B2745">
        <w:rPr>
          <w:color w:val="002F5D"/>
        </w:rPr>
        <w:t>s</w:t>
      </w:r>
      <w:r w:rsidR="007B2745" w:rsidRPr="00E55DA6">
        <w:rPr>
          <w:color w:val="002F5D"/>
        </w:rPr>
        <w:t xml:space="preserve">tatistically </w:t>
      </w:r>
      <w:r w:rsidR="007B2745">
        <w:rPr>
          <w:color w:val="002F5D"/>
        </w:rPr>
        <w:t xml:space="preserve">significantly lower than the Cambridgeshire rate.  </w:t>
      </w:r>
    </w:p>
    <w:p w14:paraId="52F46E45" w14:textId="77777777" w:rsidR="0006637D" w:rsidRPr="00E55DA6" w:rsidRDefault="00E55DA6" w:rsidP="0006637D">
      <w:pPr>
        <w:pStyle w:val="ListParagraph"/>
        <w:numPr>
          <w:ilvl w:val="0"/>
          <w:numId w:val="12"/>
        </w:numPr>
        <w:rPr>
          <w:rFonts w:ascii="Calibri" w:hAnsi="Calibri"/>
          <w:color w:val="002F5D"/>
        </w:rPr>
      </w:pPr>
      <w:r w:rsidRPr="007B2745">
        <w:rPr>
          <w:rFonts w:ascii="Calibri" w:hAnsi="Calibri"/>
          <w:color w:val="002F5D"/>
        </w:rPr>
        <w:t>When compared to England, all</w:t>
      </w:r>
      <w:r w:rsidR="007B2745">
        <w:rPr>
          <w:rFonts w:ascii="Calibri" w:hAnsi="Calibri"/>
          <w:color w:val="002F5D"/>
        </w:rPr>
        <w:t xml:space="preserve"> the districts</w:t>
      </w:r>
      <w:r w:rsidRPr="007B2745">
        <w:rPr>
          <w:rFonts w:ascii="Calibri" w:hAnsi="Calibri"/>
          <w:color w:val="002F5D"/>
        </w:rPr>
        <w:t xml:space="preserve"> have st</w:t>
      </w:r>
      <w:r w:rsidR="007B2745">
        <w:rPr>
          <w:rFonts w:ascii="Calibri" w:hAnsi="Calibri"/>
          <w:color w:val="002F5D"/>
        </w:rPr>
        <w:t>atistically significantly lower</w:t>
      </w:r>
      <w:r w:rsidRPr="007B2745">
        <w:rPr>
          <w:rFonts w:ascii="Calibri" w:hAnsi="Calibri"/>
          <w:color w:val="002F5D"/>
        </w:rPr>
        <w:t xml:space="preserve"> rates of </w:t>
      </w:r>
      <w:r w:rsidR="007B2745" w:rsidRPr="007B2745">
        <w:rPr>
          <w:rFonts w:ascii="Calibri" w:hAnsi="Calibri"/>
          <w:b/>
          <w:color w:val="002F5D"/>
        </w:rPr>
        <w:t>claimants of benefits due to alcoholism</w:t>
      </w:r>
      <w:r w:rsidR="0006637D">
        <w:rPr>
          <w:rFonts w:ascii="Calibri" w:hAnsi="Calibri"/>
          <w:b/>
          <w:color w:val="002F5D"/>
        </w:rPr>
        <w:t xml:space="preserve"> </w:t>
      </w:r>
      <w:r w:rsidR="0006637D">
        <w:rPr>
          <w:color w:val="002F5D"/>
        </w:rPr>
        <w:t>(not reflected in the shading of the table</w:t>
      </w:r>
      <w:r w:rsidR="007B7DE1" w:rsidRPr="007B7DE1">
        <w:rPr>
          <w:color w:val="002F5D"/>
        </w:rPr>
        <w:t xml:space="preserve"> </w:t>
      </w:r>
      <w:r w:rsidR="007B7DE1">
        <w:rPr>
          <w:color w:val="002F5D"/>
        </w:rPr>
        <w:t>where the benchmark is the Cambridgeshire average</w:t>
      </w:r>
      <w:r w:rsidR="0006637D">
        <w:rPr>
          <w:color w:val="002F5D"/>
        </w:rPr>
        <w:t>).</w:t>
      </w:r>
    </w:p>
    <w:p w14:paraId="06373A77" w14:textId="77777777" w:rsidR="007B2745" w:rsidRDefault="007B2745" w:rsidP="000A0028">
      <w:pPr>
        <w:rPr>
          <w:rFonts w:ascii="Calibri" w:hAnsi="Calibri"/>
          <w:b/>
          <w:color w:val="002F5D"/>
        </w:rPr>
      </w:pPr>
    </w:p>
    <w:p w14:paraId="58B3675F" w14:textId="77777777" w:rsidR="009974F0" w:rsidRDefault="009974F0" w:rsidP="000A0028">
      <w:pPr>
        <w:rPr>
          <w:rFonts w:ascii="Calibri" w:hAnsi="Calibri"/>
          <w:b/>
          <w:color w:val="002F5D"/>
        </w:rPr>
      </w:pPr>
    </w:p>
    <w:p w14:paraId="759193A1" w14:textId="77777777" w:rsidR="009974F0" w:rsidRDefault="009974F0" w:rsidP="000A0028">
      <w:pPr>
        <w:rPr>
          <w:rFonts w:ascii="Calibri" w:hAnsi="Calibri"/>
          <w:b/>
          <w:color w:val="002F5D"/>
        </w:rPr>
      </w:pPr>
    </w:p>
    <w:p w14:paraId="6CD98BCF" w14:textId="77777777" w:rsidR="009974F0" w:rsidRDefault="009974F0" w:rsidP="000A0028">
      <w:pPr>
        <w:rPr>
          <w:rFonts w:ascii="Calibri" w:hAnsi="Calibri"/>
          <w:b/>
          <w:color w:val="002F5D"/>
        </w:rPr>
      </w:pPr>
    </w:p>
    <w:p w14:paraId="70D57C02" w14:textId="77777777" w:rsidR="009974F0" w:rsidRDefault="009974F0" w:rsidP="000A0028">
      <w:pPr>
        <w:rPr>
          <w:rFonts w:ascii="Calibri" w:hAnsi="Calibri"/>
          <w:b/>
          <w:color w:val="002F5D"/>
        </w:rPr>
      </w:pPr>
    </w:p>
    <w:p w14:paraId="490343A6" w14:textId="77777777" w:rsidR="009974F0" w:rsidRDefault="009974F0" w:rsidP="000A0028">
      <w:pPr>
        <w:rPr>
          <w:rFonts w:ascii="Calibri" w:hAnsi="Calibri"/>
          <w:b/>
          <w:color w:val="002F5D"/>
        </w:rPr>
      </w:pPr>
    </w:p>
    <w:p w14:paraId="1D4718F0" w14:textId="77777777" w:rsidR="009974F0" w:rsidRDefault="009974F0" w:rsidP="000A0028">
      <w:pPr>
        <w:rPr>
          <w:rFonts w:ascii="Calibri" w:hAnsi="Calibri"/>
          <w:b/>
          <w:color w:val="002F5D"/>
        </w:rPr>
      </w:pPr>
    </w:p>
    <w:p w14:paraId="4B947CAA" w14:textId="77777777" w:rsidR="009974F0" w:rsidRDefault="009974F0" w:rsidP="000A0028">
      <w:pPr>
        <w:rPr>
          <w:rFonts w:ascii="Calibri" w:hAnsi="Calibri"/>
          <w:b/>
          <w:color w:val="002F5D"/>
        </w:rPr>
      </w:pPr>
    </w:p>
    <w:p w14:paraId="22750E6A" w14:textId="77777777" w:rsidR="009974F0" w:rsidRDefault="009974F0" w:rsidP="000A0028">
      <w:pPr>
        <w:rPr>
          <w:rFonts w:ascii="Calibri" w:hAnsi="Calibri"/>
          <w:b/>
          <w:color w:val="002F5D"/>
        </w:rPr>
      </w:pPr>
    </w:p>
    <w:p w14:paraId="7FB6AF47" w14:textId="77777777" w:rsidR="009974F0" w:rsidRPr="00861719" w:rsidRDefault="009974F0" w:rsidP="000A0028">
      <w:pPr>
        <w:rPr>
          <w:rFonts w:ascii="Calibri" w:hAnsi="Calibri"/>
          <w:b/>
          <w:color w:val="002F5D"/>
        </w:rPr>
      </w:pPr>
    </w:p>
    <w:p w14:paraId="0FCAA234" w14:textId="77777777" w:rsidR="00861719" w:rsidRPr="00037A62" w:rsidRDefault="00861719" w:rsidP="00690F32">
      <w:pPr>
        <w:pStyle w:val="Heading2"/>
        <w:numPr>
          <w:ilvl w:val="0"/>
          <w:numId w:val="3"/>
        </w:numPr>
        <w:rPr>
          <w:b/>
          <w:color w:val="002F5D"/>
        </w:rPr>
      </w:pPr>
      <w:r w:rsidRPr="00037A62">
        <w:rPr>
          <w:b/>
          <w:color w:val="002F5D"/>
        </w:rPr>
        <w:lastRenderedPageBreak/>
        <w:t>Mortality</w:t>
      </w:r>
    </w:p>
    <w:p w14:paraId="6BBD567E" w14:textId="77777777" w:rsidR="00861719" w:rsidRPr="00861719" w:rsidRDefault="00861719" w:rsidP="00861719"/>
    <w:p w14:paraId="59AC030D" w14:textId="77777777" w:rsidR="00861719" w:rsidRDefault="007B2745" w:rsidP="00861719">
      <w:pPr>
        <w:rPr>
          <w:b/>
          <w:color w:val="002F5D"/>
        </w:rPr>
      </w:pPr>
      <w:r w:rsidRPr="007B2745">
        <w:rPr>
          <w:b/>
          <w:color w:val="002F5D"/>
        </w:rPr>
        <w:t xml:space="preserve">Table 13: </w:t>
      </w:r>
      <w:r w:rsidR="00861719" w:rsidRPr="007B2745">
        <w:rPr>
          <w:b/>
          <w:color w:val="002F5D"/>
        </w:rPr>
        <w:t>Alcohol-specific mortality (persons, males, females)</w:t>
      </w:r>
      <w:r w:rsidR="00FF1525">
        <w:rPr>
          <w:b/>
          <w:color w:val="002F5D"/>
        </w:rPr>
        <w:t>* - directly age-standardised rates (DASR) per 100,000 population for</w:t>
      </w:r>
      <w:r>
        <w:rPr>
          <w:b/>
          <w:color w:val="002F5D"/>
        </w:rPr>
        <w:t> </w:t>
      </w:r>
      <w:r w:rsidR="00861719" w:rsidRPr="007B2745">
        <w:rPr>
          <w:b/>
          <w:color w:val="002F5D"/>
        </w:rPr>
        <w:t>Cambridgeshire and Peterb</w:t>
      </w:r>
      <w:r w:rsidR="00481469">
        <w:rPr>
          <w:b/>
          <w:color w:val="002F5D"/>
        </w:rPr>
        <w:t>orough</w:t>
      </w:r>
      <w:r w:rsidR="00861719" w:rsidRPr="007B2745">
        <w:rPr>
          <w:b/>
          <w:color w:val="002F5D"/>
        </w:rPr>
        <w:t>, 2014 - 16</w:t>
      </w:r>
    </w:p>
    <w:p w14:paraId="36FDFD7D" w14:textId="77777777" w:rsidR="003B5E5F" w:rsidRPr="007B2745" w:rsidRDefault="003B5E5F" w:rsidP="00861719">
      <w:pPr>
        <w:rPr>
          <w:b/>
          <w:color w:val="002F5D"/>
        </w:rPr>
      </w:pPr>
      <w:r w:rsidRPr="003B5E5F">
        <w:rPr>
          <w:noProof/>
          <w:lang w:eastAsia="en-GB"/>
        </w:rPr>
        <w:drawing>
          <wp:inline distT="0" distB="0" distL="0" distR="0" wp14:anchorId="6837F22E" wp14:editId="4552B164">
            <wp:extent cx="5731510" cy="2189289"/>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48F2703D" w14:textId="77777777" w:rsidR="006C4BFF" w:rsidRDefault="003B5E5F" w:rsidP="00861719">
      <w:pPr>
        <w:spacing w:after="0" w:line="240" w:lineRule="auto"/>
        <w:rPr>
          <w:rFonts w:ascii="Calibri" w:eastAsia="Times New Roman" w:hAnsi="Calibri" w:cs="Times New Roman"/>
          <w:color w:val="002F5D"/>
          <w:lang w:eastAsia="en-GB"/>
        </w:rPr>
      </w:pPr>
      <w:r>
        <w:t>*</w:t>
      </w:r>
      <w:r w:rsidR="006C4BFF" w:rsidRPr="006C4BFF">
        <w:rPr>
          <w:rFonts w:ascii="Calibri" w:hAnsi="Calibri" w:cs="Arial"/>
          <w:color w:val="002F5D"/>
          <w:shd w:val="clear" w:color="auto" w:fill="FFFFFF"/>
        </w:rPr>
        <w:t>Deaths from alcohol-specific conditions (three years pooled) based on underlying cause of death registered in the calendar year for all ages. All causes of deaths from ethanol poisoning, methanol poisoning and the toxic effect of alcohol are now excluded from this indicator. </w:t>
      </w:r>
    </w:p>
    <w:p w14:paraId="17C8A71C" w14:textId="77777777" w:rsidR="006C4BFF" w:rsidRDefault="006C4BFF" w:rsidP="00861719">
      <w:pPr>
        <w:spacing w:after="0" w:line="240" w:lineRule="auto"/>
        <w:rPr>
          <w:rFonts w:ascii="Calibri" w:eastAsia="Times New Roman" w:hAnsi="Calibri" w:cs="Times New Roman"/>
          <w:color w:val="002F5D"/>
          <w:lang w:eastAsia="en-GB"/>
        </w:rPr>
      </w:pPr>
    </w:p>
    <w:p w14:paraId="07BF9393" w14:textId="77777777" w:rsidR="006C4BFF" w:rsidRDefault="00FF1525" w:rsidP="00861719">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 xml:space="preserve">‘-‘ </w:t>
      </w:r>
      <w:r w:rsidR="006C4BFF">
        <w:rPr>
          <w:rFonts w:ascii="Calibri" w:eastAsia="Times New Roman" w:hAnsi="Calibri" w:cs="Times New Roman"/>
          <w:color w:val="002F5D"/>
          <w:lang w:eastAsia="en-GB"/>
        </w:rPr>
        <w:t>value cannot be calculated as number of cases is too small</w:t>
      </w:r>
    </w:p>
    <w:p w14:paraId="5B8D1CEE" w14:textId="77777777" w:rsidR="006C4BFF" w:rsidRDefault="006C4BFF" w:rsidP="00861719">
      <w:pPr>
        <w:spacing w:after="0" w:line="240" w:lineRule="auto"/>
        <w:rPr>
          <w:rFonts w:ascii="Calibri" w:eastAsia="Times New Roman" w:hAnsi="Calibri" w:cs="Times New Roman"/>
          <w:color w:val="002F5D"/>
          <w:lang w:eastAsia="en-GB"/>
        </w:rPr>
      </w:pPr>
    </w:p>
    <w:p w14:paraId="4F9BCEF2" w14:textId="77777777" w:rsidR="00861719" w:rsidRDefault="00861719" w:rsidP="00861719">
      <w:pPr>
        <w:spacing w:after="0" w:line="240" w:lineRule="auto"/>
        <w:rPr>
          <w:rFonts w:ascii="Calibri" w:eastAsia="Times New Roman" w:hAnsi="Calibri" w:cs="Times New Roman"/>
          <w:color w:val="002F5D"/>
          <w:lang w:eastAsia="en-GB"/>
        </w:rPr>
      </w:pPr>
      <w:r w:rsidRPr="00861719">
        <w:rPr>
          <w:rFonts w:ascii="Calibri" w:eastAsia="Times New Roman" w:hAnsi="Calibri" w:cs="Times New Roman"/>
          <w:color w:val="002F5D"/>
          <w:lang w:eastAsia="en-GB"/>
        </w:rPr>
        <w:t>Source: Calculated by Public Health England: Risk Factors Intelligence (RFI) team from the Office for National Statistics (ONS) Annual Death Extract Public Heal</w:t>
      </w:r>
      <w:r w:rsidR="00410A16">
        <w:rPr>
          <w:rFonts w:ascii="Calibri" w:eastAsia="Times New Roman" w:hAnsi="Calibri" w:cs="Times New Roman"/>
          <w:color w:val="002F5D"/>
          <w:lang w:eastAsia="en-GB"/>
        </w:rPr>
        <w:t>th Mortality File and ONS Mid-</w:t>
      </w:r>
      <w:r w:rsidRPr="00861719">
        <w:rPr>
          <w:rFonts w:ascii="Calibri" w:eastAsia="Times New Roman" w:hAnsi="Calibri" w:cs="Times New Roman"/>
          <w:color w:val="002F5D"/>
          <w:lang w:eastAsia="en-GB"/>
        </w:rPr>
        <w:t>Year Population Estimates</w:t>
      </w:r>
    </w:p>
    <w:p w14:paraId="275EF6C1" w14:textId="77777777" w:rsidR="007B2745" w:rsidRDefault="007B2745" w:rsidP="00861719">
      <w:pPr>
        <w:spacing w:after="0" w:line="240" w:lineRule="auto"/>
        <w:rPr>
          <w:rFonts w:ascii="Calibri" w:eastAsia="Times New Roman" w:hAnsi="Calibri" w:cs="Times New Roman"/>
          <w:color w:val="002F5D"/>
          <w:lang w:eastAsia="en-GB"/>
        </w:rPr>
      </w:pPr>
    </w:p>
    <w:p w14:paraId="012CFF9E" w14:textId="77777777" w:rsidR="007B2745" w:rsidRDefault="007B2745" w:rsidP="007B2745">
      <w:pPr>
        <w:rPr>
          <w:color w:val="002F5D"/>
        </w:rPr>
      </w:pPr>
      <w:r w:rsidRPr="00D06D55">
        <w:rPr>
          <w:color w:val="002F5D"/>
        </w:rPr>
        <w:t>Key points:</w:t>
      </w:r>
    </w:p>
    <w:p w14:paraId="3656F809" w14:textId="77777777" w:rsidR="007B2745" w:rsidRPr="007B2745" w:rsidRDefault="00043256" w:rsidP="007B2745">
      <w:pPr>
        <w:pStyle w:val="ListParagraph"/>
        <w:numPr>
          <w:ilvl w:val="0"/>
          <w:numId w:val="12"/>
        </w:numPr>
        <w:rPr>
          <w:rFonts w:ascii="Calibri" w:hAnsi="Calibri"/>
          <w:color w:val="002F5D"/>
        </w:rPr>
      </w:pPr>
      <w:r>
        <w:rPr>
          <w:b/>
          <w:color w:val="002F5D"/>
        </w:rPr>
        <w:t>A</w:t>
      </w:r>
      <w:r w:rsidR="007B2745" w:rsidRPr="007B2745">
        <w:rPr>
          <w:b/>
          <w:color w:val="002F5D"/>
        </w:rPr>
        <w:t xml:space="preserve">lcohol-specific mortality </w:t>
      </w:r>
      <w:r w:rsidR="007B2745">
        <w:rPr>
          <w:b/>
          <w:color w:val="002F5D"/>
        </w:rPr>
        <w:t>rate</w:t>
      </w:r>
      <w:r>
        <w:rPr>
          <w:b/>
          <w:color w:val="002F5D"/>
        </w:rPr>
        <w:t xml:space="preserve">s </w:t>
      </w:r>
      <w:r w:rsidRPr="00777F8B">
        <w:rPr>
          <w:color w:val="002F5D"/>
        </w:rPr>
        <w:t>are</w:t>
      </w:r>
      <w:r w:rsidR="007B2745">
        <w:rPr>
          <w:color w:val="002F5D"/>
        </w:rPr>
        <w:t xml:space="preserve"> </w:t>
      </w:r>
      <w:r w:rsidR="007B2745" w:rsidRPr="00E55DA6">
        <w:rPr>
          <w:color w:val="002F5D"/>
        </w:rPr>
        <w:t xml:space="preserve">statistically significantly </w:t>
      </w:r>
      <w:r w:rsidR="007B2745">
        <w:rPr>
          <w:color w:val="002F5D"/>
        </w:rPr>
        <w:t>lower</w:t>
      </w:r>
      <w:r w:rsidR="007B2745" w:rsidRPr="00E55DA6">
        <w:rPr>
          <w:color w:val="002F5D"/>
        </w:rPr>
        <w:t xml:space="preserve"> than the England average</w:t>
      </w:r>
      <w:r>
        <w:rPr>
          <w:color w:val="002F5D"/>
        </w:rPr>
        <w:t>s</w:t>
      </w:r>
      <w:r w:rsidR="007B2745" w:rsidRPr="00E55DA6">
        <w:rPr>
          <w:color w:val="002F5D"/>
        </w:rPr>
        <w:t xml:space="preserve"> in </w:t>
      </w:r>
      <w:r w:rsidR="007B2745">
        <w:rPr>
          <w:color w:val="002F5D"/>
        </w:rPr>
        <w:t xml:space="preserve">Cambridgeshire and the Cambridgeshire and Peterborough </w:t>
      </w:r>
      <w:r>
        <w:rPr>
          <w:color w:val="002F5D"/>
        </w:rPr>
        <w:t>Combined A</w:t>
      </w:r>
      <w:r w:rsidR="007B2745">
        <w:rPr>
          <w:color w:val="002F5D"/>
        </w:rPr>
        <w:t>uthority.</w:t>
      </w:r>
      <w:r>
        <w:rPr>
          <w:color w:val="002F5D"/>
        </w:rPr>
        <w:t xml:space="preserve"> Rates in Peterborough are similar to national levels.</w:t>
      </w:r>
    </w:p>
    <w:p w14:paraId="41764E7B" w14:textId="2513C14D" w:rsidR="007B2745" w:rsidRPr="00E55DA6" w:rsidRDefault="007B2745" w:rsidP="007B2745">
      <w:pPr>
        <w:pStyle w:val="ListParagraph"/>
        <w:numPr>
          <w:ilvl w:val="0"/>
          <w:numId w:val="12"/>
        </w:numPr>
        <w:rPr>
          <w:rFonts w:ascii="Calibri" w:hAnsi="Calibri"/>
          <w:color w:val="002F5D"/>
        </w:rPr>
      </w:pPr>
      <w:r>
        <w:rPr>
          <w:color w:val="002F5D"/>
        </w:rPr>
        <w:t xml:space="preserve">The districts all have similar </w:t>
      </w:r>
      <w:r>
        <w:rPr>
          <w:b/>
          <w:color w:val="002F5D"/>
        </w:rPr>
        <w:t>a</w:t>
      </w:r>
      <w:r w:rsidRPr="007B2745">
        <w:rPr>
          <w:b/>
          <w:color w:val="002F5D"/>
        </w:rPr>
        <w:t xml:space="preserve">lcohol-specific mortality </w:t>
      </w:r>
      <w:r>
        <w:rPr>
          <w:b/>
          <w:color w:val="002F5D"/>
        </w:rPr>
        <w:t>rate</w:t>
      </w:r>
      <w:r w:rsidR="00A757B0">
        <w:rPr>
          <w:b/>
          <w:color w:val="002F5D"/>
        </w:rPr>
        <w:t>s</w:t>
      </w:r>
      <w:r>
        <w:rPr>
          <w:color w:val="002F5D"/>
        </w:rPr>
        <w:t xml:space="preserve"> to the Cambridgeshire rate.</w:t>
      </w:r>
    </w:p>
    <w:p w14:paraId="72ADA87C" w14:textId="77777777" w:rsidR="0006637D" w:rsidRPr="00E55DA6" w:rsidRDefault="007B2745" w:rsidP="0006637D">
      <w:pPr>
        <w:pStyle w:val="ListParagraph"/>
        <w:numPr>
          <w:ilvl w:val="0"/>
          <w:numId w:val="12"/>
        </w:numPr>
        <w:rPr>
          <w:rFonts w:ascii="Calibri" w:hAnsi="Calibri"/>
          <w:color w:val="002F5D"/>
        </w:rPr>
      </w:pPr>
      <w:r>
        <w:rPr>
          <w:rFonts w:ascii="Calibri" w:hAnsi="Calibri"/>
          <w:color w:val="002F5D"/>
        </w:rPr>
        <w:t>When compared to England</w:t>
      </w:r>
      <w:r w:rsidR="002A75CB">
        <w:rPr>
          <w:rFonts w:ascii="Calibri" w:hAnsi="Calibri"/>
          <w:color w:val="002F5D"/>
        </w:rPr>
        <w:t>,</w:t>
      </w:r>
      <w:r w:rsidRPr="007B2745">
        <w:rPr>
          <w:rFonts w:ascii="Calibri" w:hAnsi="Calibri"/>
          <w:color w:val="002F5D"/>
        </w:rPr>
        <w:t xml:space="preserve"> East Cambridgeshire, Huntingdonshire and South Cambridgeshire have statistically significantly lower </w:t>
      </w:r>
      <w:r>
        <w:rPr>
          <w:b/>
          <w:color w:val="002F5D"/>
        </w:rPr>
        <w:t>a</w:t>
      </w:r>
      <w:r w:rsidRPr="007B2745">
        <w:rPr>
          <w:b/>
          <w:color w:val="002F5D"/>
        </w:rPr>
        <w:t xml:space="preserve">lcohol-specific mortality </w:t>
      </w:r>
      <w:r>
        <w:rPr>
          <w:b/>
          <w:color w:val="002F5D"/>
        </w:rPr>
        <w:t>rate</w:t>
      </w:r>
      <w:r w:rsidR="0052576A">
        <w:rPr>
          <w:b/>
          <w:color w:val="002F5D"/>
        </w:rPr>
        <w:t>s</w:t>
      </w:r>
      <w:r w:rsidR="00481469">
        <w:rPr>
          <w:b/>
          <w:color w:val="002F5D"/>
        </w:rPr>
        <w:t xml:space="preserve"> </w:t>
      </w:r>
      <w:r w:rsidR="00481469" w:rsidRPr="00481469">
        <w:rPr>
          <w:color w:val="002F5D"/>
        </w:rPr>
        <w:t>for persons</w:t>
      </w:r>
      <w:r w:rsidR="00481469">
        <w:rPr>
          <w:color w:val="002F5D"/>
        </w:rPr>
        <w:t>,</w:t>
      </w:r>
      <w:r>
        <w:rPr>
          <w:b/>
          <w:color w:val="002F5D"/>
        </w:rPr>
        <w:t xml:space="preserve"> </w:t>
      </w:r>
      <w:r w:rsidRPr="007B2745">
        <w:rPr>
          <w:color w:val="002F5D"/>
        </w:rPr>
        <w:t>as do Huntingdonshire and South Cambridgeshire males</w:t>
      </w:r>
      <w:r w:rsidR="0006637D">
        <w:rPr>
          <w:color w:val="002F5D"/>
        </w:rPr>
        <w:t xml:space="preserve"> (not reflected in the shading of the table</w:t>
      </w:r>
      <w:r w:rsidR="0052576A">
        <w:rPr>
          <w:color w:val="002F5D"/>
        </w:rPr>
        <w:t xml:space="preserve"> where the benchmark is the Cambridgeshire average</w:t>
      </w:r>
      <w:r w:rsidR="0006637D">
        <w:rPr>
          <w:color w:val="002F5D"/>
        </w:rPr>
        <w:t>).</w:t>
      </w:r>
    </w:p>
    <w:p w14:paraId="0B259B28" w14:textId="77777777" w:rsidR="006C4BFF" w:rsidRPr="007B2745" w:rsidRDefault="006C4BFF" w:rsidP="0006637D">
      <w:pPr>
        <w:pStyle w:val="ListParagraph"/>
        <w:spacing w:after="0" w:line="240" w:lineRule="auto"/>
        <w:rPr>
          <w:rFonts w:ascii="Calibri" w:eastAsia="Times New Roman" w:hAnsi="Calibri" w:cs="Times New Roman"/>
          <w:color w:val="002F5D"/>
          <w:lang w:eastAsia="en-GB"/>
        </w:rPr>
      </w:pPr>
    </w:p>
    <w:p w14:paraId="3CBDF59E" w14:textId="77777777" w:rsidR="00481469" w:rsidRDefault="00481469" w:rsidP="00861719">
      <w:pPr>
        <w:spacing w:after="0" w:line="240" w:lineRule="auto"/>
        <w:rPr>
          <w:rFonts w:ascii="Calibri" w:eastAsia="Times New Roman" w:hAnsi="Calibri" w:cs="Times New Roman"/>
          <w:color w:val="002F5D"/>
          <w:lang w:eastAsia="en-GB"/>
        </w:rPr>
      </w:pPr>
    </w:p>
    <w:p w14:paraId="1E6F2E88" w14:textId="77777777" w:rsidR="009974F0" w:rsidRDefault="009974F0" w:rsidP="00861719">
      <w:pPr>
        <w:spacing w:after="0" w:line="240" w:lineRule="auto"/>
        <w:rPr>
          <w:rFonts w:ascii="Calibri" w:eastAsia="Times New Roman" w:hAnsi="Calibri" w:cs="Times New Roman"/>
          <w:color w:val="002F5D"/>
          <w:lang w:eastAsia="en-GB"/>
        </w:rPr>
      </w:pPr>
    </w:p>
    <w:p w14:paraId="2A58D513" w14:textId="77777777" w:rsidR="009974F0" w:rsidRDefault="009974F0" w:rsidP="00861719">
      <w:pPr>
        <w:spacing w:after="0" w:line="240" w:lineRule="auto"/>
        <w:rPr>
          <w:rFonts w:ascii="Calibri" w:eastAsia="Times New Roman" w:hAnsi="Calibri" w:cs="Times New Roman"/>
          <w:color w:val="002F5D"/>
          <w:lang w:eastAsia="en-GB"/>
        </w:rPr>
      </w:pPr>
    </w:p>
    <w:p w14:paraId="2CF30030" w14:textId="77777777" w:rsidR="009974F0" w:rsidRDefault="009974F0" w:rsidP="00861719">
      <w:pPr>
        <w:spacing w:after="0" w:line="240" w:lineRule="auto"/>
        <w:rPr>
          <w:rFonts w:ascii="Calibri" w:eastAsia="Times New Roman" w:hAnsi="Calibri" w:cs="Times New Roman"/>
          <w:color w:val="002F5D"/>
          <w:lang w:eastAsia="en-GB"/>
        </w:rPr>
      </w:pPr>
    </w:p>
    <w:p w14:paraId="015AF374" w14:textId="77777777" w:rsidR="009974F0" w:rsidRDefault="009974F0" w:rsidP="00861719">
      <w:pPr>
        <w:spacing w:after="0" w:line="240" w:lineRule="auto"/>
        <w:rPr>
          <w:rFonts w:ascii="Calibri" w:eastAsia="Times New Roman" w:hAnsi="Calibri" w:cs="Times New Roman"/>
          <w:color w:val="002F5D"/>
          <w:lang w:eastAsia="en-GB"/>
        </w:rPr>
      </w:pPr>
    </w:p>
    <w:p w14:paraId="193A5D98" w14:textId="77777777" w:rsidR="009974F0" w:rsidRDefault="009974F0" w:rsidP="00861719">
      <w:pPr>
        <w:spacing w:after="0" w:line="240" w:lineRule="auto"/>
        <w:rPr>
          <w:rFonts w:ascii="Calibri" w:eastAsia="Times New Roman" w:hAnsi="Calibri" w:cs="Times New Roman"/>
          <w:color w:val="002F5D"/>
          <w:lang w:eastAsia="en-GB"/>
        </w:rPr>
      </w:pPr>
    </w:p>
    <w:p w14:paraId="6F254963" w14:textId="77777777" w:rsidR="009974F0" w:rsidRDefault="009974F0" w:rsidP="00861719">
      <w:pPr>
        <w:spacing w:after="0" w:line="240" w:lineRule="auto"/>
        <w:rPr>
          <w:rFonts w:ascii="Calibri" w:eastAsia="Times New Roman" w:hAnsi="Calibri" w:cs="Times New Roman"/>
          <w:color w:val="002F5D"/>
          <w:lang w:eastAsia="en-GB"/>
        </w:rPr>
      </w:pPr>
    </w:p>
    <w:p w14:paraId="047D5703" w14:textId="77777777" w:rsidR="009974F0" w:rsidRDefault="009974F0" w:rsidP="00861719">
      <w:pPr>
        <w:spacing w:after="0" w:line="240" w:lineRule="auto"/>
        <w:rPr>
          <w:rFonts w:ascii="Calibri" w:eastAsia="Times New Roman" w:hAnsi="Calibri" w:cs="Times New Roman"/>
          <w:color w:val="002F5D"/>
          <w:lang w:eastAsia="en-GB"/>
        </w:rPr>
      </w:pPr>
    </w:p>
    <w:p w14:paraId="577FC982" w14:textId="77777777" w:rsidR="009974F0" w:rsidRDefault="009974F0" w:rsidP="00861719">
      <w:pPr>
        <w:spacing w:after="0" w:line="240" w:lineRule="auto"/>
        <w:rPr>
          <w:rFonts w:ascii="Calibri" w:eastAsia="Times New Roman" w:hAnsi="Calibri" w:cs="Times New Roman"/>
          <w:color w:val="002F5D"/>
          <w:lang w:eastAsia="en-GB"/>
        </w:rPr>
      </w:pPr>
    </w:p>
    <w:p w14:paraId="5E848F0E" w14:textId="77777777" w:rsidR="00481469" w:rsidRPr="00861719" w:rsidRDefault="00481469" w:rsidP="00861719">
      <w:pPr>
        <w:spacing w:after="0" w:line="240" w:lineRule="auto"/>
        <w:rPr>
          <w:rFonts w:ascii="Calibri" w:eastAsia="Times New Roman" w:hAnsi="Calibri" w:cs="Times New Roman"/>
          <w:color w:val="002F5D"/>
          <w:lang w:eastAsia="en-GB"/>
        </w:rPr>
      </w:pPr>
    </w:p>
    <w:p w14:paraId="1E70F211" w14:textId="77777777" w:rsidR="00384661" w:rsidRDefault="00481469" w:rsidP="00481469">
      <w:pPr>
        <w:spacing w:after="0" w:line="240" w:lineRule="auto"/>
        <w:rPr>
          <w:rFonts w:ascii="Calibri" w:eastAsia="Times New Roman" w:hAnsi="Calibri" w:cs="Times New Roman"/>
          <w:b/>
          <w:bCs/>
          <w:color w:val="002F5D"/>
          <w:lang w:eastAsia="en-GB"/>
        </w:rPr>
      </w:pPr>
      <w:r>
        <w:rPr>
          <w:rFonts w:ascii="Calibri" w:eastAsia="Times New Roman" w:hAnsi="Calibri" w:cs="Times New Roman"/>
          <w:b/>
          <w:bCs/>
          <w:color w:val="002F5D"/>
          <w:lang w:eastAsia="en-GB"/>
        </w:rPr>
        <w:lastRenderedPageBreak/>
        <w:t xml:space="preserve">Table 14: </w:t>
      </w:r>
      <w:r w:rsidR="006C4BFF" w:rsidRPr="006C4BFF">
        <w:rPr>
          <w:rFonts w:ascii="Calibri" w:eastAsia="Times New Roman" w:hAnsi="Calibri" w:cs="Times New Roman"/>
          <w:b/>
          <w:bCs/>
          <w:color w:val="002F5D"/>
          <w:lang w:eastAsia="en-GB"/>
        </w:rPr>
        <w:t>Alcohol-related mortality (persons, males, fema</w:t>
      </w:r>
      <w:r w:rsidR="006C4BFF" w:rsidRPr="00E1264C">
        <w:rPr>
          <w:rFonts w:ascii="Calibri" w:eastAsia="Times New Roman" w:hAnsi="Calibri" w:cs="Times New Roman"/>
          <w:b/>
          <w:bCs/>
          <w:color w:val="002F5D"/>
          <w:lang w:eastAsia="en-GB"/>
        </w:rPr>
        <w:t>les)</w:t>
      </w:r>
      <w:r w:rsidR="003B5E5F">
        <w:rPr>
          <w:rFonts w:ascii="Calibri" w:eastAsia="Times New Roman" w:hAnsi="Calibri" w:cs="Times New Roman"/>
          <w:b/>
          <w:bCs/>
          <w:color w:val="002F5D"/>
          <w:lang w:eastAsia="en-GB"/>
        </w:rPr>
        <w:t xml:space="preserve">* </w:t>
      </w:r>
      <w:r w:rsidR="003B5E5F">
        <w:rPr>
          <w:b/>
          <w:color w:val="002F5D"/>
        </w:rPr>
        <w:t>- directly age-standardised rates (DASR) per 100,000 population for </w:t>
      </w:r>
      <w:r w:rsidR="006C4BFF" w:rsidRPr="00E1264C">
        <w:rPr>
          <w:rFonts w:ascii="Calibri" w:eastAsia="Times New Roman" w:hAnsi="Calibri" w:cs="Times New Roman"/>
          <w:b/>
          <w:bCs/>
          <w:color w:val="002F5D"/>
          <w:lang w:eastAsia="en-GB"/>
        </w:rPr>
        <w:t>Cambridgeshire and Peterb</w:t>
      </w:r>
      <w:r w:rsidR="006C4BFF" w:rsidRPr="006C4BFF">
        <w:rPr>
          <w:rFonts w:ascii="Calibri" w:eastAsia="Times New Roman" w:hAnsi="Calibri" w:cs="Times New Roman"/>
          <w:b/>
          <w:bCs/>
          <w:color w:val="002F5D"/>
          <w:lang w:eastAsia="en-GB"/>
        </w:rPr>
        <w:t>orough, 2016</w:t>
      </w:r>
    </w:p>
    <w:p w14:paraId="6E0331D1" w14:textId="77777777" w:rsidR="004C5208" w:rsidRDefault="004C5208" w:rsidP="00481469">
      <w:pPr>
        <w:spacing w:after="0" w:line="240" w:lineRule="auto"/>
        <w:rPr>
          <w:rFonts w:ascii="Calibri" w:eastAsia="Times New Roman" w:hAnsi="Calibri" w:cs="Times New Roman"/>
          <w:b/>
          <w:bCs/>
          <w:color w:val="002F5D"/>
          <w:lang w:eastAsia="en-GB"/>
        </w:rPr>
      </w:pPr>
    </w:p>
    <w:p w14:paraId="0B9B0F3F" w14:textId="77777777" w:rsidR="00EC1FDE" w:rsidRDefault="004C5208" w:rsidP="00481469">
      <w:pPr>
        <w:spacing w:after="0" w:line="240" w:lineRule="auto"/>
        <w:rPr>
          <w:rFonts w:ascii="Calibri" w:eastAsia="Times New Roman" w:hAnsi="Calibri" w:cs="Times New Roman"/>
          <w:b/>
          <w:bCs/>
          <w:color w:val="002F5D"/>
          <w:lang w:eastAsia="en-GB"/>
        </w:rPr>
      </w:pPr>
      <w:r w:rsidRPr="004C5208">
        <w:rPr>
          <w:noProof/>
          <w:lang w:eastAsia="en-GB"/>
        </w:rPr>
        <w:drawing>
          <wp:inline distT="0" distB="0" distL="0" distR="0" wp14:anchorId="106C2BA3" wp14:editId="20D2CBAE">
            <wp:extent cx="5731510" cy="2189289"/>
            <wp:effectExtent l="0" t="0" r="254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189289"/>
                    </a:xfrm>
                    <a:prstGeom prst="rect">
                      <a:avLst/>
                    </a:prstGeom>
                    <a:noFill/>
                    <a:ln>
                      <a:noFill/>
                    </a:ln>
                  </pic:spPr>
                </pic:pic>
              </a:graphicData>
            </a:graphic>
          </wp:inline>
        </w:drawing>
      </w:r>
    </w:p>
    <w:p w14:paraId="56A4A227" w14:textId="77777777" w:rsidR="006C4BFF" w:rsidRDefault="006C4BFF" w:rsidP="004C5208">
      <w:pPr>
        <w:spacing w:after="0" w:line="240" w:lineRule="auto"/>
        <w:rPr>
          <w:rFonts w:ascii="Calibri" w:hAnsi="Calibri"/>
          <w:b/>
          <w:color w:val="002F5D"/>
        </w:rPr>
      </w:pPr>
    </w:p>
    <w:p w14:paraId="04ED89D7" w14:textId="77777777" w:rsidR="00E1264C" w:rsidRDefault="003B5E5F" w:rsidP="00E1264C">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w:t>
      </w:r>
      <w:r w:rsidR="00E1264C" w:rsidRPr="00E1264C">
        <w:rPr>
          <w:rFonts w:ascii="Calibri" w:eastAsia="Times New Roman" w:hAnsi="Calibri" w:cs="Times New Roman"/>
          <w:color w:val="002F5D"/>
          <w:lang w:eastAsia="en-GB"/>
        </w:rPr>
        <w:t>Deaths from alcohol-related conditions based on underlying cause of death, registered in the calendar year for all ages. All causes of deaths from Ethanol poisoning, Methanol poisoning and Toxic effect of alcohol included.</w:t>
      </w:r>
    </w:p>
    <w:p w14:paraId="27CD9E27" w14:textId="77777777" w:rsidR="004C5208" w:rsidRDefault="004C5208" w:rsidP="00E1264C">
      <w:pPr>
        <w:spacing w:after="0" w:line="240" w:lineRule="auto"/>
        <w:rPr>
          <w:rFonts w:ascii="Calibri" w:eastAsia="Times New Roman" w:hAnsi="Calibri" w:cs="Times New Roman"/>
          <w:color w:val="002F5D"/>
          <w:lang w:eastAsia="en-GB"/>
        </w:rPr>
      </w:pPr>
    </w:p>
    <w:p w14:paraId="1638F59E" w14:textId="77777777" w:rsidR="00E1264C" w:rsidRPr="00E1264C" w:rsidRDefault="004C5208" w:rsidP="00E1264C">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 xml:space="preserve">‘-‘ </w:t>
      </w:r>
      <w:r w:rsidR="00E1264C" w:rsidRPr="00E1264C">
        <w:rPr>
          <w:rFonts w:ascii="Calibri" w:eastAsia="Times New Roman" w:hAnsi="Calibri" w:cs="Times New Roman"/>
          <w:color w:val="002F5D"/>
          <w:lang w:eastAsia="en-GB"/>
        </w:rPr>
        <w:t>value cannot be calculated as number of cases is too small</w:t>
      </w:r>
    </w:p>
    <w:p w14:paraId="223371C3" w14:textId="77777777" w:rsidR="00481469" w:rsidRDefault="00481469" w:rsidP="00481469">
      <w:pPr>
        <w:spacing w:after="0" w:line="240" w:lineRule="auto"/>
        <w:rPr>
          <w:rFonts w:ascii="Calibri" w:eastAsia="Times New Roman" w:hAnsi="Calibri" w:cs="Times New Roman"/>
          <w:color w:val="002F5D"/>
          <w:lang w:eastAsia="en-GB"/>
        </w:rPr>
      </w:pPr>
    </w:p>
    <w:p w14:paraId="2AA004A2" w14:textId="77777777" w:rsidR="00481469" w:rsidRDefault="00481469" w:rsidP="00481469">
      <w:pPr>
        <w:spacing w:after="0" w:line="240" w:lineRule="auto"/>
        <w:rPr>
          <w:rFonts w:ascii="Calibri" w:eastAsia="Times New Roman" w:hAnsi="Calibri" w:cs="Times New Roman"/>
          <w:color w:val="002F5D"/>
          <w:lang w:eastAsia="en-GB"/>
        </w:rPr>
      </w:pPr>
      <w:r w:rsidRPr="00861719">
        <w:rPr>
          <w:rFonts w:ascii="Calibri" w:eastAsia="Times New Roman" w:hAnsi="Calibri" w:cs="Times New Roman"/>
          <w:color w:val="002F5D"/>
          <w:lang w:eastAsia="en-GB"/>
        </w:rPr>
        <w:t>Source: Calculated by Public Health England: Risk Factors Intelligence (RFI) team from the Office for National Statistics (ONS) Annual Death Extract Public He</w:t>
      </w:r>
      <w:r w:rsidR="0006637D">
        <w:rPr>
          <w:rFonts w:ascii="Calibri" w:eastAsia="Times New Roman" w:hAnsi="Calibri" w:cs="Times New Roman"/>
          <w:color w:val="002F5D"/>
          <w:lang w:eastAsia="en-GB"/>
        </w:rPr>
        <w:t>alth Mortality File and ONS Mid-</w:t>
      </w:r>
      <w:r w:rsidRPr="00861719">
        <w:rPr>
          <w:rFonts w:ascii="Calibri" w:eastAsia="Times New Roman" w:hAnsi="Calibri" w:cs="Times New Roman"/>
          <w:color w:val="002F5D"/>
          <w:lang w:eastAsia="en-GB"/>
        </w:rPr>
        <w:t>Year Population Estimates</w:t>
      </w:r>
    </w:p>
    <w:p w14:paraId="57DE7691" w14:textId="77777777" w:rsidR="00481469" w:rsidRDefault="00481469" w:rsidP="00481469">
      <w:pPr>
        <w:rPr>
          <w:color w:val="002F5D"/>
        </w:rPr>
      </w:pPr>
    </w:p>
    <w:p w14:paraId="0C778FF7" w14:textId="77777777" w:rsidR="00481469" w:rsidRDefault="00481469" w:rsidP="00481469">
      <w:pPr>
        <w:rPr>
          <w:color w:val="002F5D"/>
        </w:rPr>
      </w:pPr>
      <w:r w:rsidRPr="00D06D55">
        <w:rPr>
          <w:color w:val="002F5D"/>
        </w:rPr>
        <w:t>Key points:</w:t>
      </w:r>
    </w:p>
    <w:p w14:paraId="61DAB0CC" w14:textId="77777777" w:rsidR="00481469" w:rsidRPr="007B2745" w:rsidRDefault="0052576A" w:rsidP="00481469">
      <w:pPr>
        <w:pStyle w:val="ListParagraph"/>
        <w:numPr>
          <w:ilvl w:val="0"/>
          <w:numId w:val="12"/>
        </w:numPr>
        <w:rPr>
          <w:rFonts w:ascii="Calibri" w:hAnsi="Calibri"/>
          <w:color w:val="002F5D"/>
        </w:rPr>
      </w:pPr>
      <w:r w:rsidRPr="00AF66CC">
        <w:rPr>
          <w:b/>
          <w:color w:val="002F5D"/>
        </w:rPr>
        <w:t>A</w:t>
      </w:r>
      <w:r w:rsidR="00481469">
        <w:rPr>
          <w:b/>
          <w:color w:val="002F5D"/>
        </w:rPr>
        <w:t>lcohol-related</w:t>
      </w:r>
      <w:r w:rsidR="00481469" w:rsidRPr="007B2745">
        <w:rPr>
          <w:b/>
          <w:color w:val="002F5D"/>
        </w:rPr>
        <w:t xml:space="preserve"> mortality </w:t>
      </w:r>
      <w:r w:rsidR="00481469">
        <w:rPr>
          <w:b/>
          <w:color w:val="002F5D"/>
        </w:rPr>
        <w:t>rate</w:t>
      </w:r>
      <w:r>
        <w:rPr>
          <w:b/>
          <w:color w:val="002F5D"/>
        </w:rPr>
        <w:t>s are</w:t>
      </w:r>
      <w:r w:rsidR="00481469">
        <w:rPr>
          <w:color w:val="002F5D"/>
        </w:rPr>
        <w:t xml:space="preserve"> </w:t>
      </w:r>
      <w:r w:rsidR="00481469" w:rsidRPr="00E55DA6">
        <w:rPr>
          <w:color w:val="002F5D"/>
        </w:rPr>
        <w:t xml:space="preserve">statistically significantly </w:t>
      </w:r>
      <w:r w:rsidR="00481469">
        <w:rPr>
          <w:color w:val="002F5D"/>
        </w:rPr>
        <w:t>lower</w:t>
      </w:r>
      <w:r w:rsidR="00481469" w:rsidRPr="00E55DA6">
        <w:rPr>
          <w:color w:val="002F5D"/>
        </w:rPr>
        <w:t xml:space="preserve"> than the England average</w:t>
      </w:r>
      <w:r w:rsidR="002A75CB">
        <w:rPr>
          <w:color w:val="002F5D"/>
        </w:rPr>
        <w:t>s</w:t>
      </w:r>
      <w:r w:rsidR="00481469" w:rsidRPr="00E55DA6">
        <w:rPr>
          <w:color w:val="002F5D"/>
        </w:rPr>
        <w:t xml:space="preserve"> in </w:t>
      </w:r>
      <w:r w:rsidR="00481469">
        <w:rPr>
          <w:color w:val="002F5D"/>
        </w:rPr>
        <w:t xml:space="preserve">Cambridgeshire and the Cambridgeshire and Peterborough </w:t>
      </w:r>
      <w:r>
        <w:rPr>
          <w:color w:val="002F5D"/>
        </w:rPr>
        <w:t>C</w:t>
      </w:r>
      <w:r w:rsidR="00481469">
        <w:rPr>
          <w:color w:val="002F5D"/>
        </w:rPr>
        <w:t xml:space="preserve">ombined </w:t>
      </w:r>
      <w:r>
        <w:rPr>
          <w:color w:val="002F5D"/>
        </w:rPr>
        <w:t>A</w:t>
      </w:r>
      <w:r w:rsidR="00481469">
        <w:rPr>
          <w:color w:val="002F5D"/>
        </w:rPr>
        <w:t xml:space="preserve">uthority. </w:t>
      </w:r>
      <w:r>
        <w:rPr>
          <w:color w:val="002F5D"/>
        </w:rPr>
        <w:t>Rates in Peterborough are similar to national levels.</w:t>
      </w:r>
    </w:p>
    <w:p w14:paraId="1DBD798C" w14:textId="77777777" w:rsidR="00481469" w:rsidRPr="00E55DA6" w:rsidRDefault="00481469" w:rsidP="00481469">
      <w:pPr>
        <w:pStyle w:val="ListParagraph"/>
        <w:numPr>
          <w:ilvl w:val="0"/>
          <w:numId w:val="12"/>
        </w:numPr>
        <w:rPr>
          <w:rFonts w:ascii="Calibri" w:hAnsi="Calibri"/>
          <w:color w:val="002F5D"/>
        </w:rPr>
      </w:pPr>
      <w:r>
        <w:rPr>
          <w:color w:val="002F5D"/>
        </w:rPr>
        <w:t xml:space="preserve">The districts all have a similar </w:t>
      </w:r>
      <w:r>
        <w:rPr>
          <w:b/>
          <w:color w:val="002F5D"/>
        </w:rPr>
        <w:t>a</w:t>
      </w:r>
      <w:r w:rsidRPr="007B2745">
        <w:rPr>
          <w:b/>
          <w:color w:val="002F5D"/>
        </w:rPr>
        <w:t>lcohol-</w:t>
      </w:r>
      <w:r>
        <w:rPr>
          <w:b/>
          <w:color w:val="002F5D"/>
        </w:rPr>
        <w:t>related</w:t>
      </w:r>
      <w:r w:rsidRPr="007B2745">
        <w:rPr>
          <w:b/>
          <w:color w:val="002F5D"/>
        </w:rPr>
        <w:t xml:space="preserve"> mortality </w:t>
      </w:r>
      <w:r>
        <w:rPr>
          <w:b/>
          <w:color w:val="002F5D"/>
        </w:rPr>
        <w:t>rate</w:t>
      </w:r>
      <w:r w:rsidR="0052576A">
        <w:rPr>
          <w:b/>
          <w:color w:val="002F5D"/>
        </w:rPr>
        <w:t>s</w:t>
      </w:r>
      <w:r>
        <w:rPr>
          <w:color w:val="002F5D"/>
        </w:rPr>
        <w:t xml:space="preserve"> to the Cambridgeshire rate</w:t>
      </w:r>
      <w:r w:rsidR="0052576A">
        <w:rPr>
          <w:color w:val="002F5D"/>
        </w:rPr>
        <w:t>s</w:t>
      </w:r>
      <w:r>
        <w:rPr>
          <w:color w:val="002F5D"/>
        </w:rPr>
        <w:t>.</w:t>
      </w:r>
    </w:p>
    <w:p w14:paraId="08ECB7DF" w14:textId="77777777" w:rsidR="00EC1FDE" w:rsidRDefault="00481469" w:rsidP="004C5208">
      <w:pPr>
        <w:pStyle w:val="ListParagraph"/>
        <w:numPr>
          <w:ilvl w:val="0"/>
          <w:numId w:val="12"/>
        </w:numPr>
        <w:rPr>
          <w:lang w:eastAsia="en-GB"/>
        </w:rPr>
      </w:pPr>
      <w:r>
        <w:rPr>
          <w:rFonts w:ascii="Calibri" w:hAnsi="Calibri"/>
          <w:color w:val="002F5D"/>
        </w:rPr>
        <w:t>When compared to England</w:t>
      </w:r>
      <w:r w:rsidR="002A75CB">
        <w:rPr>
          <w:rFonts w:ascii="Calibri" w:hAnsi="Calibri"/>
          <w:color w:val="002F5D"/>
        </w:rPr>
        <w:t xml:space="preserve">, </w:t>
      </w:r>
      <w:r w:rsidRPr="007B2745">
        <w:rPr>
          <w:rFonts w:ascii="Calibri" w:hAnsi="Calibri"/>
          <w:color w:val="002F5D"/>
        </w:rPr>
        <w:t xml:space="preserve">Huntingdonshire and South Cambridgeshire have statistically significantly lower </w:t>
      </w:r>
      <w:r>
        <w:rPr>
          <w:b/>
          <w:color w:val="002F5D"/>
        </w:rPr>
        <w:t>alcohol-related</w:t>
      </w:r>
      <w:r w:rsidRPr="007B2745">
        <w:rPr>
          <w:b/>
          <w:color w:val="002F5D"/>
        </w:rPr>
        <w:t xml:space="preserve"> mortality </w:t>
      </w:r>
      <w:r>
        <w:rPr>
          <w:b/>
          <w:color w:val="002F5D"/>
        </w:rPr>
        <w:t>rate</w:t>
      </w:r>
      <w:r w:rsidR="00B7312A">
        <w:rPr>
          <w:b/>
          <w:color w:val="002F5D"/>
        </w:rPr>
        <w:t xml:space="preserve">s </w:t>
      </w:r>
      <w:r w:rsidRPr="00481469">
        <w:rPr>
          <w:color w:val="002F5D"/>
        </w:rPr>
        <w:t>for</w:t>
      </w:r>
      <w:r>
        <w:rPr>
          <w:color w:val="002F5D"/>
        </w:rPr>
        <w:t xml:space="preserve"> both</w:t>
      </w:r>
      <w:r w:rsidRPr="00481469">
        <w:rPr>
          <w:color w:val="002F5D"/>
        </w:rPr>
        <w:t xml:space="preserve"> persons</w:t>
      </w:r>
      <w:r w:rsidRPr="007B2745">
        <w:rPr>
          <w:color w:val="002F5D"/>
        </w:rPr>
        <w:t xml:space="preserve"> and males</w:t>
      </w:r>
      <w:r w:rsidR="00A27324">
        <w:rPr>
          <w:color w:val="002F5D"/>
        </w:rPr>
        <w:t xml:space="preserve"> (not reflected in the shading of the table</w:t>
      </w:r>
      <w:r w:rsidR="0052576A">
        <w:rPr>
          <w:color w:val="002F5D"/>
        </w:rPr>
        <w:t xml:space="preserve"> where the benchmark is the Cambridgeshire average</w:t>
      </w:r>
      <w:r w:rsidR="00A27324">
        <w:rPr>
          <w:color w:val="002F5D"/>
        </w:rPr>
        <w:t>).</w:t>
      </w:r>
    </w:p>
    <w:p w14:paraId="7C56887A" w14:textId="77777777" w:rsidR="00EC1FDE" w:rsidRDefault="00EC1FDE" w:rsidP="00E1264C">
      <w:pPr>
        <w:spacing w:after="0" w:line="240" w:lineRule="auto"/>
        <w:rPr>
          <w:rFonts w:ascii="Calibri" w:eastAsia="Times New Roman" w:hAnsi="Calibri" w:cs="Times New Roman"/>
          <w:color w:val="002F5D"/>
          <w:lang w:eastAsia="en-GB"/>
        </w:rPr>
      </w:pPr>
    </w:p>
    <w:p w14:paraId="1EBE9F71" w14:textId="77777777" w:rsidR="00EC1FDE" w:rsidRDefault="00EC1FDE" w:rsidP="00E1264C">
      <w:pPr>
        <w:spacing w:after="0" w:line="240" w:lineRule="auto"/>
        <w:rPr>
          <w:rFonts w:ascii="Calibri" w:eastAsia="Times New Roman" w:hAnsi="Calibri" w:cs="Times New Roman"/>
          <w:color w:val="002F5D"/>
          <w:lang w:eastAsia="en-GB"/>
        </w:rPr>
      </w:pPr>
    </w:p>
    <w:p w14:paraId="5C625BA3" w14:textId="77777777" w:rsidR="009974F0" w:rsidRDefault="009974F0" w:rsidP="00E1264C">
      <w:pPr>
        <w:spacing w:after="0" w:line="240" w:lineRule="auto"/>
        <w:rPr>
          <w:rFonts w:ascii="Calibri" w:eastAsia="Times New Roman" w:hAnsi="Calibri" w:cs="Times New Roman"/>
          <w:color w:val="002F5D"/>
          <w:lang w:eastAsia="en-GB"/>
        </w:rPr>
      </w:pPr>
    </w:p>
    <w:p w14:paraId="44626D22" w14:textId="77777777" w:rsidR="009974F0" w:rsidRDefault="009974F0" w:rsidP="00E1264C">
      <w:pPr>
        <w:spacing w:after="0" w:line="240" w:lineRule="auto"/>
        <w:rPr>
          <w:rFonts w:ascii="Calibri" w:eastAsia="Times New Roman" w:hAnsi="Calibri" w:cs="Times New Roman"/>
          <w:color w:val="002F5D"/>
          <w:lang w:eastAsia="en-GB"/>
        </w:rPr>
      </w:pPr>
    </w:p>
    <w:p w14:paraId="0F0180EE" w14:textId="77777777" w:rsidR="009974F0" w:rsidRDefault="009974F0" w:rsidP="00E1264C">
      <w:pPr>
        <w:spacing w:after="0" w:line="240" w:lineRule="auto"/>
        <w:rPr>
          <w:rFonts w:ascii="Calibri" w:eastAsia="Times New Roman" w:hAnsi="Calibri" w:cs="Times New Roman"/>
          <w:color w:val="002F5D"/>
          <w:lang w:eastAsia="en-GB"/>
        </w:rPr>
      </w:pPr>
    </w:p>
    <w:p w14:paraId="47BBDA31" w14:textId="77777777" w:rsidR="009974F0" w:rsidRDefault="009974F0" w:rsidP="00E1264C">
      <w:pPr>
        <w:spacing w:after="0" w:line="240" w:lineRule="auto"/>
        <w:rPr>
          <w:rFonts w:ascii="Calibri" w:eastAsia="Times New Roman" w:hAnsi="Calibri" w:cs="Times New Roman"/>
          <w:color w:val="002F5D"/>
          <w:lang w:eastAsia="en-GB"/>
        </w:rPr>
      </w:pPr>
    </w:p>
    <w:p w14:paraId="0CAE5854" w14:textId="77777777" w:rsidR="009974F0" w:rsidRDefault="009974F0" w:rsidP="00E1264C">
      <w:pPr>
        <w:spacing w:after="0" w:line="240" w:lineRule="auto"/>
        <w:rPr>
          <w:rFonts w:ascii="Calibri" w:eastAsia="Times New Roman" w:hAnsi="Calibri" w:cs="Times New Roman"/>
          <w:color w:val="002F5D"/>
          <w:lang w:eastAsia="en-GB"/>
        </w:rPr>
      </w:pPr>
    </w:p>
    <w:p w14:paraId="177F4FC8" w14:textId="77777777" w:rsidR="009974F0" w:rsidRDefault="009974F0" w:rsidP="00E1264C">
      <w:pPr>
        <w:spacing w:after="0" w:line="240" w:lineRule="auto"/>
        <w:rPr>
          <w:rFonts w:ascii="Calibri" w:eastAsia="Times New Roman" w:hAnsi="Calibri" w:cs="Times New Roman"/>
          <w:color w:val="002F5D"/>
          <w:lang w:eastAsia="en-GB"/>
        </w:rPr>
      </w:pPr>
    </w:p>
    <w:p w14:paraId="0A246727" w14:textId="77777777" w:rsidR="009974F0" w:rsidRDefault="009974F0" w:rsidP="00E1264C">
      <w:pPr>
        <w:spacing w:after="0" w:line="240" w:lineRule="auto"/>
        <w:rPr>
          <w:rFonts w:ascii="Calibri" w:eastAsia="Times New Roman" w:hAnsi="Calibri" w:cs="Times New Roman"/>
          <w:color w:val="002F5D"/>
          <w:lang w:eastAsia="en-GB"/>
        </w:rPr>
      </w:pPr>
    </w:p>
    <w:p w14:paraId="3195FF30" w14:textId="77777777" w:rsidR="009974F0" w:rsidRDefault="009974F0" w:rsidP="00E1264C">
      <w:pPr>
        <w:spacing w:after="0" w:line="240" w:lineRule="auto"/>
        <w:rPr>
          <w:rFonts w:ascii="Calibri" w:eastAsia="Times New Roman" w:hAnsi="Calibri" w:cs="Times New Roman"/>
          <w:color w:val="002F5D"/>
          <w:lang w:eastAsia="en-GB"/>
        </w:rPr>
      </w:pPr>
    </w:p>
    <w:p w14:paraId="55212CF6" w14:textId="77777777" w:rsidR="009974F0" w:rsidRDefault="009974F0" w:rsidP="00E1264C">
      <w:pPr>
        <w:spacing w:after="0" w:line="240" w:lineRule="auto"/>
        <w:rPr>
          <w:rFonts w:ascii="Calibri" w:eastAsia="Times New Roman" w:hAnsi="Calibri" w:cs="Times New Roman"/>
          <w:color w:val="002F5D"/>
          <w:lang w:eastAsia="en-GB"/>
        </w:rPr>
      </w:pPr>
    </w:p>
    <w:p w14:paraId="11F773EA" w14:textId="77777777" w:rsidR="00EC1FDE" w:rsidRDefault="00EC1FDE" w:rsidP="00E1264C">
      <w:pPr>
        <w:spacing w:after="0" w:line="240" w:lineRule="auto"/>
        <w:rPr>
          <w:rFonts w:ascii="Calibri" w:eastAsia="Times New Roman" w:hAnsi="Calibri" w:cs="Times New Roman"/>
          <w:color w:val="002F5D"/>
          <w:lang w:eastAsia="en-GB"/>
        </w:rPr>
      </w:pPr>
    </w:p>
    <w:p w14:paraId="5D26A4E2" w14:textId="77777777" w:rsidR="00E1264C" w:rsidRDefault="00481469" w:rsidP="00E1264C">
      <w:pPr>
        <w:spacing w:after="0" w:line="240" w:lineRule="auto"/>
        <w:rPr>
          <w:rFonts w:ascii="Calibri" w:eastAsia="Times New Roman" w:hAnsi="Calibri" w:cs="Times New Roman"/>
          <w:b/>
          <w:bCs/>
          <w:color w:val="002F5D"/>
          <w:lang w:eastAsia="en-GB"/>
        </w:rPr>
      </w:pPr>
      <w:r>
        <w:rPr>
          <w:rFonts w:ascii="Calibri" w:eastAsia="Times New Roman" w:hAnsi="Calibri" w:cs="Times New Roman"/>
          <w:b/>
          <w:bCs/>
          <w:color w:val="002F5D"/>
          <w:lang w:eastAsia="en-GB"/>
        </w:rPr>
        <w:lastRenderedPageBreak/>
        <w:t xml:space="preserve">Table 15: </w:t>
      </w:r>
      <w:r w:rsidR="00E1264C" w:rsidRPr="00E1264C">
        <w:rPr>
          <w:rFonts w:ascii="Calibri" w:eastAsia="Times New Roman" w:hAnsi="Calibri" w:cs="Times New Roman"/>
          <w:b/>
          <w:bCs/>
          <w:color w:val="002F5D"/>
          <w:lang w:eastAsia="en-GB"/>
        </w:rPr>
        <w:t>Years of life lost in adults aged &lt;75 due to alcohol-related conditions (persons, males, fema</w:t>
      </w:r>
      <w:r w:rsidR="00E1264C">
        <w:rPr>
          <w:rFonts w:ascii="Calibri" w:eastAsia="Times New Roman" w:hAnsi="Calibri" w:cs="Times New Roman"/>
          <w:b/>
          <w:bCs/>
          <w:color w:val="002F5D"/>
          <w:lang w:eastAsia="en-GB"/>
        </w:rPr>
        <w:t>les)</w:t>
      </w:r>
      <w:r w:rsidR="004C5208">
        <w:rPr>
          <w:rFonts w:ascii="Calibri" w:eastAsia="Times New Roman" w:hAnsi="Calibri" w:cs="Times New Roman"/>
          <w:b/>
          <w:bCs/>
          <w:color w:val="002F5D"/>
          <w:lang w:eastAsia="en-GB"/>
        </w:rPr>
        <w:t xml:space="preserve"> </w:t>
      </w:r>
      <w:r w:rsidR="004C5208">
        <w:rPr>
          <w:b/>
          <w:color w:val="002F5D"/>
        </w:rPr>
        <w:t>- directly age-standardised rates (DASR) per 100,000 population for </w:t>
      </w:r>
      <w:r w:rsidR="00E1264C">
        <w:rPr>
          <w:rFonts w:ascii="Calibri" w:eastAsia="Times New Roman" w:hAnsi="Calibri" w:cs="Times New Roman"/>
          <w:b/>
          <w:bCs/>
          <w:color w:val="002F5D"/>
          <w:lang w:eastAsia="en-GB"/>
        </w:rPr>
        <w:t>Cambridgeshire and Peterb</w:t>
      </w:r>
      <w:r w:rsidR="00EC1FDE">
        <w:rPr>
          <w:rFonts w:ascii="Calibri" w:eastAsia="Times New Roman" w:hAnsi="Calibri" w:cs="Times New Roman"/>
          <w:b/>
          <w:bCs/>
          <w:color w:val="002F5D"/>
          <w:lang w:eastAsia="en-GB"/>
        </w:rPr>
        <w:t>orough</w:t>
      </w:r>
      <w:r w:rsidR="00E1264C" w:rsidRPr="00E1264C">
        <w:rPr>
          <w:rFonts w:ascii="Calibri" w:eastAsia="Times New Roman" w:hAnsi="Calibri" w:cs="Times New Roman"/>
          <w:b/>
          <w:bCs/>
          <w:color w:val="002F5D"/>
          <w:lang w:eastAsia="en-GB"/>
        </w:rPr>
        <w:t>, 2016</w:t>
      </w:r>
    </w:p>
    <w:p w14:paraId="2E9059E1" w14:textId="77777777" w:rsidR="004C5208" w:rsidRDefault="004C5208" w:rsidP="00E1264C">
      <w:pPr>
        <w:spacing w:after="0" w:line="240" w:lineRule="auto"/>
        <w:rPr>
          <w:rFonts w:ascii="Calibri" w:eastAsia="Times New Roman" w:hAnsi="Calibri" w:cs="Times New Roman"/>
          <w:b/>
          <w:bCs/>
          <w:color w:val="002F5D"/>
          <w:lang w:eastAsia="en-GB"/>
        </w:rPr>
      </w:pPr>
    </w:p>
    <w:p w14:paraId="72D4D62A" w14:textId="77777777" w:rsidR="00EC1FDE" w:rsidRDefault="004C5208" w:rsidP="00E1264C">
      <w:pPr>
        <w:spacing w:after="0" w:line="240" w:lineRule="auto"/>
        <w:rPr>
          <w:rFonts w:ascii="Calibri" w:eastAsia="Times New Roman" w:hAnsi="Calibri" w:cs="Times New Roman"/>
          <w:b/>
          <w:bCs/>
          <w:color w:val="002F5D"/>
          <w:lang w:eastAsia="en-GB"/>
        </w:rPr>
      </w:pPr>
      <w:r w:rsidRPr="004C5208">
        <w:rPr>
          <w:noProof/>
          <w:lang w:eastAsia="en-GB"/>
        </w:rPr>
        <w:drawing>
          <wp:inline distT="0" distB="0" distL="0" distR="0" wp14:anchorId="51DCA648" wp14:editId="18E3EA5B">
            <wp:extent cx="5731510" cy="2025298"/>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025298"/>
                    </a:xfrm>
                    <a:prstGeom prst="rect">
                      <a:avLst/>
                    </a:prstGeom>
                    <a:noFill/>
                    <a:ln>
                      <a:noFill/>
                    </a:ln>
                  </pic:spPr>
                </pic:pic>
              </a:graphicData>
            </a:graphic>
          </wp:inline>
        </w:drawing>
      </w:r>
    </w:p>
    <w:p w14:paraId="6A2909C2" w14:textId="77777777" w:rsidR="004C5208" w:rsidRDefault="004C5208" w:rsidP="00E1264C">
      <w:pPr>
        <w:spacing w:after="0" w:line="240" w:lineRule="auto"/>
        <w:rPr>
          <w:rFonts w:ascii="Calibri" w:eastAsia="Times New Roman" w:hAnsi="Calibri" w:cs="Times New Roman"/>
          <w:b/>
          <w:bCs/>
          <w:color w:val="002F5D"/>
          <w:lang w:eastAsia="en-GB"/>
        </w:rPr>
      </w:pPr>
    </w:p>
    <w:p w14:paraId="43684519" w14:textId="77777777" w:rsidR="004C5208" w:rsidRPr="00E1264C" w:rsidRDefault="004C5208" w:rsidP="004C5208">
      <w:pPr>
        <w:spacing w:after="0" w:line="240" w:lineRule="auto"/>
        <w:rPr>
          <w:rFonts w:ascii="Calibri" w:eastAsia="Times New Roman" w:hAnsi="Calibri" w:cs="Times New Roman"/>
          <w:color w:val="002F5D"/>
          <w:lang w:eastAsia="en-GB"/>
        </w:rPr>
      </w:pPr>
      <w:r>
        <w:rPr>
          <w:rFonts w:ascii="Calibri" w:eastAsia="Times New Roman" w:hAnsi="Calibri" w:cs="Times New Roman"/>
          <w:color w:val="002F5D"/>
          <w:lang w:eastAsia="en-GB"/>
        </w:rPr>
        <w:t xml:space="preserve">‘-‘ </w:t>
      </w:r>
      <w:r w:rsidRPr="00E1264C">
        <w:rPr>
          <w:rFonts w:ascii="Calibri" w:eastAsia="Times New Roman" w:hAnsi="Calibri" w:cs="Times New Roman"/>
          <w:color w:val="002F5D"/>
          <w:lang w:eastAsia="en-GB"/>
        </w:rPr>
        <w:t>value cannot be calculated as number of cases is too small</w:t>
      </w:r>
    </w:p>
    <w:p w14:paraId="122F9FF5" w14:textId="77777777" w:rsidR="00E1264C" w:rsidRDefault="00E1264C" w:rsidP="004C5208">
      <w:pPr>
        <w:spacing w:after="0" w:line="240" w:lineRule="auto"/>
        <w:rPr>
          <w:rFonts w:ascii="Calibri" w:hAnsi="Calibri"/>
          <w:b/>
          <w:color w:val="002F5D"/>
        </w:rPr>
      </w:pPr>
    </w:p>
    <w:p w14:paraId="4818459B" w14:textId="77777777" w:rsidR="00E1264C" w:rsidRDefault="00E1264C" w:rsidP="000A0028">
      <w:pPr>
        <w:rPr>
          <w:rFonts w:ascii="Calibri" w:hAnsi="Calibri"/>
          <w:color w:val="002F5D"/>
        </w:rPr>
      </w:pPr>
      <w:r w:rsidRPr="00E1264C">
        <w:rPr>
          <w:rFonts w:ascii="Calibri" w:hAnsi="Calibri"/>
          <w:color w:val="002F5D"/>
        </w:rPr>
        <w:t>Source: Public Health England Local</w:t>
      </w:r>
      <w:r w:rsidR="00481469">
        <w:rPr>
          <w:rFonts w:ascii="Calibri" w:hAnsi="Calibri"/>
          <w:color w:val="002F5D"/>
        </w:rPr>
        <w:t xml:space="preserve"> Alcohol Profiles for England, </w:t>
      </w:r>
      <w:r w:rsidRPr="00E1264C">
        <w:rPr>
          <w:rFonts w:ascii="Calibri" w:hAnsi="Calibri"/>
          <w:color w:val="002F5D"/>
        </w:rPr>
        <w:t>Numerator: Analysis of Annual Mortality Extract from ONS by Public Health England Denominator: Mid-year population estimates published by ONS</w:t>
      </w:r>
    </w:p>
    <w:p w14:paraId="66332FB6" w14:textId="77777777" w:rsidR="00481469" w:rsidRDefault="00481469" w:rsidP="00481469">
      <w:pPr>
        <w:rPr>
          <w:color w:val="002F5D"/>
        </w:rPr>
      </w:pPr>
      <w:r w:rsidRPr="00D06D55">
        <w:rPr>
          <w:color w:val="002F5D"/>
        </w:rPr>
        <w:t>Key points:</w:t>
      </w:r>
    </w:p>
    <w:p w14:paraId="54BA423E" w14:textId="77777777" w:rsidR="002A75CB" w:rsidRPr="007B2745" w:rsidRDefault="002A75CB" w:rsidP="002A75CB">
      <w:pPr>
        <w:pStyle w:val="ListParagraph"/>
        <w:numPr>
          <w:ilvl w:val="0"/>
          <w:numId w:val="12"/>
        </w:numPr>
        <w:rPr>
          <w:rFonts w:ascii="Calibri" w:hAnsi="Calibri"/>
          <w:color w:val="002F5D"/>
        </w:rPr>
      </w:pPr>
      <w:r>
        <w:rPr>
          <w:color w:val="002F5D"/>
        </w:rPr>
        <w:t>Y</w:t>
      </w:r>
      <w:r w:rsidR="00481469" w:rsidRPr="00E1264C">
        <w:rPr>
          <w:rFonts w:ascii="Calibri" w:eastAsia="Times New Roman" w:hAnsi="Calibri" w:cs="Times New Roman"/>
          <w:b/>
          <w:bCs/>
          <w:color w:val="002F5D"/>
          <w:lang w:eastAsia="en-GB"/>
        </w:rPr>
        <w:t>ears of life lost in adults aged &lt;75 due to alcohol-related condition</w:t>
      </w:r>
      <w:r w:rsidR="00481469" w:rsidRPr="007B2745">
        <w:rPr>
          <w:b/>
          <w:color w:val="002F5D"/>
        </w:rPr>
        <w:t xml:space="preserve"> </w:t>
      </w:r>
      <w:r w:rsidR="00481469">
        <w:rPr>
          <w:b/>
          <w:color w:val="002F5D"/>
        </w:rPr>
        <w:t xml:space="preserve">rate </w:t>
      </w:r>
      <w:r>
        <w:rPr>
          <w:color w:val="002F5D"/>
        </w:rPr>
        <w:t>are</w:t>
      </w:r>
      <w:r w:rsidR="00481469">
        <w:rPr>
          <w:color w:val="002F5D"/>
        </w:rPr>
        <w:t xml:space="preserve"> </w:t>
      </w:r>
      <w:r w:rsidR="00481469" w:rsidRPr="00E55DA6">
        <w:rPr>
          <w:color w:val="002F5D"/>
        </w:rPr>
        <w:t xml:space="preserve">statistically significantly </w:t>
      </w:r>
      <w:r w:rsidR="00481469">
        <w:rPr>
          <w:color w:val="002F5D"/>
        </w:rPr>
        <w:t>lower</w:t>
      </w:r>
      <w:r w:rsidR="00481469" w:rsidRPr="00E55DA6">
        <w:rPr>
          <w:color w:val="002F5D"/>
        </w:rPr>
        <w:t xml:space="preserve"> than the England average</w:t>
      </w:r>
      <w:r>
        <w:rPr>
          <w:color w:val="002F5D"/>
        </w:rPr>
        <w:t>s</w:t>
      </w:r>
      <w:r w:rsidR="00481469" w:rsidRPr="00E55DA6">
        <w:rPr>
          <w:color w:val="002F5D"/>
        </w:rPr>
        <w:t xml:space="preserve"> in </w:t>
      </w:r>
      <w:r w:rsidR="00481469">
        <w:rPr>
          <w:color w:val="002F5D"/>
        </w:rPr>
        <w:t xml:space="preserve">Cambridgeshire and the Cambridgeshire and Peterborough </w:t>
      </w:r>
      <w:r>
        <w:rPr>
          <w:color w:val="002F5D"/>
        </w:rPr>
        <w:t>C</w:t>
      </w:r>
      <w:r w:rsidR="00481469">
        <w:rPr>
          <w:color w:val="002F5D"/>
        </w:rPr>
        <w:t xml:space="preserve">ombined </w:t>
      </w:r>
      <w:r>
        <w:rPr>
          <w:color w:val="002F5D"/>
        </w:rPr>
        <w:t>A</w:t>
      </w:r>
      <w:r w:rsidR="00481469">
        <w:rPr>
          <w:color w:val="002F5D"/>
        </w:rPr>
        <w:t xml:space="preserve">uthority. </w:t>
      </w:r>
      <w:r>
        <w:rPr>
          <w:color w:val="002F5D"/>
        </w:rPr>
        <w:t>Rates in Peterborough are similar to national levels.</w:t>
      </w:r>
    </w:p>
    <w:p w14:paraId="088C184C" w14:textId="01EB7487" w:rsidR="00481469" w:rsidRPr="00E55DA6" w:rsidRDefault="00481469" w:rsidP="00481469">
      <w:pPr>
        <w:pStyle w:val="ListParagraph"/>
        <w:numPr>
          <w:ilvl w:val="0"/>
          <w:numId w:val="12"/>
        </w:numPr>
        <w:rPr>
          <w:rFonts w:ascii="Calibri" w:hAnsi="Calibri"/>
          <w:color w:val="002F5D"/>
        </w:rPr>
      </w:pPr>
      <w:r>
        <w:rPr>
          <w:color w:val="002F5D"/>
        </w:rPr>
        <w:t xml:space="preserve">The districts all have similar </w:t>
      </w:r>
      <w:r>
        <w:rPr>
          <w:rFonts w:ascii="Calibri" w:eastAsia="Times New Roman" w:hAnsi="Calibri" w:cs="Times New Roman"/>
          <w:b/>
          <w:bCs/>
          <w:color w:val="002F5D"/>
          <w:lang w:eastAsia="en-GB"/>
        </w:rPr>
        <w:t>y</w:t>
      </w:r>
      <w:r w:rsidRPr="00E1264C">
        <w:rPr>
          <w:rFonts w:ascii="Calibri" w:eastAsia="Times New Roman" w:hAnsi="Calibri" w:cs="Times New Roman"/>
          <w:b/>
          <w:bCs/>
          <w:color w:val="002F5D"/>
          <w:lang w:eastAsia="en-GB"/>
        </w:rPr>
        <w:t>ears of life lost in adults aged &lt;75 due to alcohol-related condition</w:t>
      </w:r>
      <w:r>
        <w:rPr>
          <w:b/>
          <w:color w:val="002F5D"/>
        </w:rPr>
        <w:t>s rate</w:t>
      </w:r>
      <w:r>
        <w:rPr>
          <w:color w:val="002F5D"/>
        </w:rPr>
        <w:t xml:space="preserve"> </w:t>
      </w:r>
      <w:r w:rsidR="00777F8B">
        <w:rPr>
          <w:color w:val="002F5D"/>
        </w:rPr>
        <w:t xml:space="preserve">to </w:t>
      </w:r>
      <w:r>
        <w:rPr>
          <w:color w:val="002F5D"/>
        </w:rPr>
        <w:t>Cambridgeshire.</w:t>
      </w:r>
    </w:p>
    <w:p w14:paraId="018CD1F0" w14:textId="77777777" w:rsidR="00481469" w:rsidRPr="00A27324" w:rsidRDefault="00481469" w:rsidP="00A27324">
      <w:pPr>
        <w:pStyle w:val="ListParagraph"/>
        <w:numPr>
          <w:ilvl w:val="0"/>
          <w:numId w:val="12"/>
        </w:numPr>
        <w:rPr>
          <w:rFonts w:ascii="Calibri" w:hAnsi="Calibri"/>
          <w:color w:val="002F5D"/>
        </w:rPr>
      </w:pPr>
      <w:r>
        <w:rPr>
          <w:rFonts w:ascii="Calibri" w:hAnsi="Calibri"/>
          <w:color w:val="002F5D"/>
        </w:rPr>
        <w:t>When compared to England</w:t>
      </w:r>
      <w:r w:rsidR="002A75CB">
        <w:rPr>
          <w:rFonts w:ascii="Calibri" w:hAnsi="Calibri"/>
          <w:color w:val="002F5D"/>
        </w:rPr>
        <w:t>,</w:t>
      </w:r>
      <w:r>
        <w:rPr>
          <w:rFonts w:ascii="Calibri" w:hAnsi="Calibri"/>
          <w:color w:val="002F5D"/>
        </w:rPr>
        <w:t xml:space="preserve"> East</w:t>
      </w:r>
      <w:r w:rsidRPr="007B2745">
        <w:rPr>
          <w:rFonts w:ascii="Calibri" w:hAnsi="Calibri"/>
          <w:color w:val="002F5D"/>
        </w:rPr>
        <w:t xml:space="preserve"> Cambridgeshire </w:t>
      </w:r>
      <w:r>
        <w:rPr>
          <w:rFonts w:ascii="Calibri" w:hAnsi="Calibri"/>
          <w:color w:val="002F5D"/>
        </w:rPr>
        <w:t xml:space="preserve">and Huntingdonshire both </w:t>
      </w:r>
      <w:r w:rsidRPr="007B2745">
        <w:rPr>
          <w:rFonts w:ascii="Calibri" w:hAnsi="Calibri"/>
          <w:color w:val="002F5D"/>
        </w:rPr>
        <w:t xml:space="preserve">have statistically significantly lower </w:t>
      </w:r>
      <w:r>
        <w:rPr>
          <w:rFonts w:ascii="Calibri" w:hAnsi="Calibri"/>
          <w:color w:val="002F5D"/>
        </w:rPr>
        <w:t xml:space="preserve">rates of </w:t>
      </w:r>
      <w:r>
        <w:rPr>
          <w:rFonts w:ascii="Calibri" w:eastAsia="Times New Roman" w:hAnsi="Calibri" w:cs="Times New Roman"/>
          <w:b/>
          <w:bCs/>
          <w:color w:val="002F5D"/>
          <w:lang w:eastAsia="en-GB"/>
        </w:rPr>
        <w:t>y</w:t>
      </w:r>
      <w:r w:rsidRPr="00E1264C">
        <w:rPr>
          <w:rFonts w:ascii="Calibri" w:eastAsia="Times New Roman" w:hAnsi="Calibri" w:cs="Times New Roman"/>
          <w:b/>
          <w:bCs/>
          <w:color w:val="002F5D"/>
          <w:lang w:eastAsia="en-GB"/>
        </w:rPr>
        <w:t>ears of life lost in adults aged &lt;75 due to alcohol-related condition</w:t>
      </w:r>
      <w:r>
        <w:rPr>
          <w:rFonts w:ascii="Calibri" w:eastAsia="Times New Roman" w:hAnsi="Calibri" w:cs="Times New Roman"/>
          <w:b/>
          <w:bCs/>
          <w:color w:val="002F5D"/>
          <w:lang w:eastAsia="en-GB"/>
        </w:rPr>
        <w:t xml:space="preserve">s </w:t>
      </w:r>
      <w:r>
        <w:rPr>
          <w:b/>
          <w:color w:val="002F5D"/>
        </w:rPr>
        <w:t xml:space="preserve">rate </w:t>
      </w:r>
      <w:r w:rsidRPr="00481469">
        <w:rPr>
          <w:color w:val="002F5D"/>
        </w:rPr>
        <w:t>for</w:t>
      </w:r>
      <w:r>
        <w:rPr>
          <w:color w:val="002F5D"/>
        </w:rPr>
        <w:t xml:space="preserve"> </w:t>
      </w:r>
      <w:r w:rsidRPr="00481469">
        <w:rPr>
          <w:color w:val="002F5D"/>
        </w:rPr>
        <w:t>persons</w:t>
      </w:r>
      <w:r w:rsidRPr="007B2745">
        <w:rPr>
          <w:color w:val="002F5D"/>
        </w:rPr>
        <w:t xml:space="preserve"> and </w:t>
      </w:r>
      <w:r>
        <w:rPr>
          <w:color w:val="002F5D"/>
        </w:rPr>
        <w:t xml:space="preserve">Huntingdonshire also has </w:t>
      </w:r>
      <w:r w:rsidR="00B7312A">
        <w:rPr>
          <w:color w:val="002F5D"/>
        </w:rPr>
        <w:t xml:space="preserve">a </w:t>
      </w:r>
      <w:r w:rsidRPr="007B2745">
        <w:rPr>
          <w:rFonts w:ascii="Calibri" w:hAnsi="Calibri"/>
          <w:color w:val="002F5D"/>
        </w:rPr>
        <w:t xml:space="preserve">statistically significantly lower </w:t>
      </w:r>
      <w:r>
        <w:rPr>
          <w:rFonts w:ascii="Calibri" w:hAnsi="Calibri"/>
          <w:color w:val="002F5D"/>
        </w:rPr>
        <w:t xml:space="preserve">rate of </w:t>
      </w:r>
      <w:r>
        <w:rPr>
          <w:rFonts w:ascii="Calibri" w:eastAsia="Times New Roman" w:hAnsi="Calibri" w:cs="Times New Roman"/>
          <w:b/>
          <w:bCs/>
          <w:color w:val="002F5D"/>
          <w:lang w:eastAsia="en-GB"/>
        </w:rPr>
        <w:t>y</w:t>
      </w:r>
      <w:r w:rsidRPr="00E1264C">
        <w:rPr>
          <w:rFonts w:ascii="Calibri" w:eastAsia="Times New Roman" w:hAnsi="Calibri" w:cs="Times New Roman"/>
          <w:b/>
          <w:bCs/>
          <w:color w:val="002F5D"/>
          <w:lang w:eastAsia="en-GB"/>
        </w:rPr>
        <w:t>ears of life lost in adults aged &lt;75 due to alcohol-related condition</w:t>
      </w:r>
      <w:r>
        <w:rPr>
          <w:rFonts w:ascii="Calibri" w:eastAsia="Times New Roman" w:hAnsi="Calibri" w:cs="Times New Roman"/>
          <w:b/>
          <w:bCs/>
          <w:color w:val="002F5D"/>
          <w:lang w:eastAsia="en-GB"/>
        </w:rPr>
        <w:t xml:space="preserve">s </w:t>
      </w:r>
      <w:r>
        <w:rPr>
          <w:b/>
          <w:color w:val="002F5D"/>
        </w:rPr>
        <w:t xml:space="preserve">rate </w:t>
      </w:r>
      <w:r w:rsidRPr="00481469">
        <w:rPr>
          <w:color w:val="002F5D"/>
        </w:rPr>
        <w:t>fo</w:t>
      </w:r>
      <w:r>
        <w:rPr>
          <w:color w:val="002F5D"/>
        </w:rPr>
        <w:t xml:space="preserve">r </w:t>
      </w:r>
      <w:r w:rsidRPr="007B2745">
        <w:rPr>
          <w:color w:val="002F5D"/>
        </w:rPr>
        <w:t>males</w:t>
      </w:r>
      <w:r w:rsidR="00A27324">
        <w:rPr>
          <w:color w:val="002F5D"/>
        </w:rPr>
        <w:t xml:space="preserve"> (not reflected in the shading of the table</w:t>
      </w:r>
      <w:r w:rsidR="002A75CB">
        <w:rPr>
          <w:color w:val="002F5D"/>
        </w:rPr>
        <w:t xml:space="preserve"> where the benchmark is the Cambridgeshire average</w:t>
      </w:r>
      <w:r w:rsidR="00A27324">
        <w:rPr>
          <w:color w:val="002F5D"/>
        </w:rPr>
        <w:t>).</w:t>
      </w:r>
    </w:p>
    <w:p w14:paraId="125E8BC1" w14:textId="77777777" w:rsidR="00481469" w:rsidRDefault="00481469" w:rsidP="000A0028">
      <w:pPr>
        <w:rPr>
          <w:rFonts w:ascii="Calibri" w:hAnsi="Calibri"/>
          <w:color w:val="002F5D"/>
        </w:rPr>
      </w:pPr>
    </w:p>
    <w:p w14:paraId="50241AFE" w14:textId="77777777" w:rsidR="00481469" w:rsidRPr="00E1264C" w:rsidRDefault="00481469" w:rsidP="000A0028">
      <w:pPr>
        <w:rPr>
          <w:rFonts w:ascii="Calibri" w:hAnsi="Calibri"/>
          <w:color w:val="002F5D"/>
        </w:rPr>
      </w:pPr>
    </w:p>
    <w:p w14:paraId="142C6A3D" w14:textId="77777777" w:rsidR="00925DB0" w:rsidRPr="00E1264C" w:rsidRDefault="00925DB0" w:rsidP="00074F2C">
      <w:pPr>
        <w:rPr>
          <w:color w:val="002F5D"/>
        </w:rPr>
      </w:pPr>
      <w:r w:rsidRPr="00E1264C">
        <w:rPr>
          <w:color w:val="002F5D"/>
        </w:rPr>
        <w:t>Report prepared by:</w:t>
      </w:r>
    </w:p>
    <w:p w14:paraId="06F46DCC" w14:textId="77777777" w:rsidR="00925DB0" w:rsidRDefault="00A643D1" w:rsidP="00074F2C">
      <w:pPr>
        <w:rPr>
          <w:color w:val="002F5D"/>
        </w:rPr>
      </w:pPr>
      <w:r w:rsidRPr="00E1264C">
        <w:rPr>
          <w:color w:val="002F5D"/>
        </w:rPr>
        <w:t>Gen Fitzjohn</w:t>
      </w:r>
    </w:p>
    <w:p w14:paraId="6A24D119" w14:textId="77777777" w:rsidR="002A75CB" w:rsidRPr="00E1264C" w:rsidRDefault="004C5208" w:rsidP="00074F2C">
      <w:pPr>
        <w:rPr>
          <w:color w:val="002F5D"/>
        </w:rPr>
      </w:pPr>
      <w:r>
        <w:rPr>
          <w:color w:val="002F5D"/>
        </w:rPr>
        <w:t>Public Health Information Analyst</w:t>
      </w:r>
    </w:p>
    <w:p w14:paraId="21768972" w14:textId="50528045" w:rsidR="00925DB0" w:rsidRPr="00E1264C" w:rsidRDefault="007F569A" w:rsidP="00074F2C">
      <w:pPr>
        <w:rPr>
          <w:color w:val="002F5D"/>
        </w:rPr>
      </w:pPr>
      <w:r w:rsidRPr="00E1264C">
        <w:rPr>
          <w:color w:val="002F5D"/>
        </w:rPr>
        <w:t>Public Health Intelligence</w:t>
      </w:r>
      <w:r>
        <w:rPr>
          <w:color w:val="002F5D"/>
        </w:rPr>
        <w:t xml:space="preserve">, </w:t>
      </w:r>
      <w:r w:rsidR="000166A0">
        <w:rPr>
          <w:color w:val="002F5D"/>
        </w:rPr>
        <w:t>Cambridgeshire and P</w:t>
      </w:r>
      <w:r w:rsidR="00110811" w:rsidRPr="00E1264C">
        <w:rPr>
          <w:color w:val="002F5D"/>
        </w:rPr>
        <w:t>eterborough Council</w:t>
      </w:r>
      <w:r w:rsidR="000166A0">
        <w:rPr>
          <w:color w:val="002F5D"/>
        </w:rPr>
        <w:t>s</w:t>
      </w:r>
    </w:p>
    <w:p w14:paraId="5B839A54" w14:textId="77777777" w:rsidR="00925DB0" w:rsidRPr="00E1264C" w:rsidRDefault="007059FD" w:rsidP="00074F2C">
      <w:pPr>
        <w:rPr>
          <w:color w:val="002F5D"/>
        </w:rPr>
      </w:pPr>
      <w:hyperlink r:id="rId28" w:history="1">
        <w:r w:rsidR="00A643D1" w:rsidRPr="00E1264C">
          <w:rPr>
            <w:rStyle w:val="Hyperlink"/>
            <w:color w:val="002F5D"/>
          </w:rPr>
          <w:t>phi-team@peterborough.gov.uk</w:t>
        </w:r>
      </w:hyperlink>
      <w:r w:rsidR="00A643D1" w:rsidRPr="00E1264C">
        <w:rPr>
          <w:rStyle w:val="Hyperlink"/>
          <w:color w:val="002F5D"/>
        </w:rPr>
        <w:t xml:space="preserve"> </w:t>
      </w:r>
    </w:p>
    <w:sectPr w:rsidR="00925DB0" w:rsidRPr="00E1264C" w:rsidSect="005F2B5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44FA" w14:textId="77777777" w:rsidR="009D3928" w:rsidRDefault="009D3928" w:rsidP="00F026E3">
      <w:pPr>
        <w:spacing w:after="0" w:line="240" w:lineRule="auto"/>
      </w:pPr>
      <w:r>
        <w:separator/>
      </w:r>
    </w:p>
  </w:endnote>
  <w:endnote w:type="continuationSeparator" w:id="0">
    <w:p w14:paraId="22F6E7BF" w14:textId="77777777" w:rsidR="009D3928" w:rsidRDefault="009D3928" w:rsidP="00F0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17106"/>
      <w:docPartObj>
        <w:docPartGallery w:val="Page Numbers (Bottom of Page)"/>
        <w:docPartUnique/>
      </w:docPartObj>
    </w:sdtPr>
    <w:sdtEndPr>
      <w:rPr>
        <w:noProof/>
      </w:rPr>
    </w:sdtEndPr>
    <w:sdtContent>
      <w:p w14:paraId="331EBDCD" w14:textId="77777777" w:rsidR="00E94E8B" w:rsidRDefault="00E94E8B">
        <w:pPr>
          <w:pStyle w:val="Footer"/>
          <w:jc w:val="right"/>
        </w:pPr>
        <w:r>
          <w:fldChar w:fldCharType="begin"/>
        </w:r>
        <w:r>
          <w:instrText xml:space="preserve"> PAGE   \* MERGEFORMAT </w:instrText>
        </w:r>
        <w:r>
          <w:fldChar w:fldCharType="separate"/>
        </w:r>
        <w:r w:rsidR="00BB67FF">
          <w:rPr>
            <w:noProof/>
          </w:rPr>
          <w:t>2</w:t>
        </w:r>
        <w:r>
          <w:rPr>
            <w:noProof/>
          </w:rPr>
          <w:fldChar w:fldCharType="end"/>
        </w:r>
      </w:p>
    </w:sdtContent>
  </w:sdt>
  <w:p w14:paraId="3D64256F" w14:textId="77777777" w:rsidR="00E94E8B" w:rsidRDefault="00E9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0384" w14:textId="77777777" w:rsidR="009D3928" w:rsidRDefault="009D3928" w:rsidP="00F026E3">
      <w:pPr>
        <w:spacing w:after="0" w:line="240" w:lineRule="auto"/>
      </w:pPr>
      <w:r>
        <w:separator/>
      </w:r>
    </w:p>
  </w:footnote>
  <w:footnote w:type="continuationSeparator" w:id="0">
    <w:p w14:paraId="32EBE5B0" w14:textId="77777777" w:rsidR="009D3928" w:rsidRDefault="009D3928" w:rsidP="00F026E3">
      <w:pPr>
        <w:spacing w:after="0" w:line="240" w:lineRule="auto"/>
      </w:pPr>
      <w:r>
        <w:continuationSeparator/>
      </w:r>
    </w:p>
  </w:footnote>
  <w:footnote w:id="1">
    <w:p w14:paraId="375D68F5" w14:textId="77777777" w:rsidR="00E94E8B" w:rsidRDefault="00E94E8B" w:rsidP="00E94E8B">
      <w:pPr>
        <w:pStyle w:val="FootnoteText"/>
      </w:pPr>
      <w:r w:rsidRPr="00C32F6D">
        <w:rPr>
          <w:rStyle w:val="FootnoteReference"/>
          <w:color w:val="002F5D"/>
        </w:rPr>
        <w:footnoteRef/>
      </w:r>
      <w:r w:rsidRPr="00C32F6D">
        <w:rPr>
          <w:color w:val="002F5D"/>
        </w:rPr>
        <w:t xml:space="preserve"> https://fingertips.phe.org.uk/profile/local-alcohol-profiles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921"/>
    <w:multiLevelType w:val="hybridMultilevel"/>
    <w:tmpl w:val="1F14A474"/>
    <w:lvl w:ilvl="0" w:tplc="89805E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030D4"/>
    <w:multiLevelType w:val="hybridMultilevel"/>
    <w:tmpl w:val="77C05D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1CF5D21"/>
    <w:multiLevelType w:val="hybridMultilevel"/>
    <w:tmpl w:val="ED8E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C5AE3"/>
    <w:multiLevelType w:val="hybridMultilevel"/>
    <w:tmpl w:val="1BF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25CFB"/>
    <w:multiLevelType w:val="multilevel"/>
    <w:tmpl w:val="D5883B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F5362A0"/>
    <w:multiLevelType w:val="multilevel"/>
    <w:tmpl w:val="D5883B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42E2196"/>
    <w:multiLevelType w:val="multilevel"/>
    <w:tmpl w:val="2F9A8548"/>
    <w:lvl w:ilvl="0">
      <w:start w:val="4"/>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A594EAD"/>
    <w:multiLevelType w:val="hybridMultilevel"/>
    <w:tmpl w:val="885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E87203"/>
    <w:multiLevelType w:val="multilevel"/>
    <w:tmpl w:val="D5883B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06F5995"/>
    <w:multiLevelType w:val="hybridMultilevel"/>
    <w:tmpl w:val="CBF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FF367E"/>
    <w:multiLevelType w:val="hybridMultilevel"/>
    <w:tmpl w:val="43BE5A70"/>
    <w:lvl w:ilvl="0" w:tplc="7BC487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52227"/>
    <w:multiLevelType w:val="multilevel"/>
    <w:tmpl w:val="D5883B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
  </w:num>
  <w:num w:numId="3">
    <w:abstractNumId w:val="4"/>
  </w:num>
  <w:num w:numId="4">
    <w:abstractNumId w:val="10"/>
  </w:num>
  <w:num w:numId="5">
    <w:abstractNumId w:val="0"/>
  </w:num>
  <w:num w:numId="6">
    <w:abstractNumId w:val="6"/>
  </w:num>
  <w:num w:numId="7">
    <w:abstractNumId w:val="8"/>
  </w:num>
  <w:num w:numId="8">
    <w:abstractNumId w:val="11"/>
  </w:num>
  <w:num w:numId="9">
    <w:abstractNumId w:val="9"/>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C7"/>
    <w:rsid w:val="00004BC3"/>
    <w:rsid w:val="000106E2"/>
    <w:rsid w:val="00015270"/>
    <w:rsid w:val="000166A0"/>
    <w:rsid w:val="00023BD1"/>
    <w:rsid w:val="000304DA"/>
    <w:rsid w:val="00035445"/>
    <w:rsid w:val="00037A62"/>
    <w:rsid w:val="00037BBE"/>
    <w:rsid w:val="00043256"/>
    <w:rsid w:val="00050C1A"/>
    <w:rsid w:val="00051C1B"/>
    <w:rsid w:val="00053B89"/>
    <w:rsid w:val="000653B2"/>
    <w:rsid w:val="0006637D"/>
    <w:rsid w:val="00070A46"/>
    <w:rsid w:val="000713F4"/>
    <w:rsid w:val="00074F2C"/>
    <w:rsid w:val="00095935"/>
    <w:rsid w:val="000A0028"/>
    <w:rsid w:val="000A4C62"/>
    <w:rsid w:val="000A660B"/>
    <w:rsid w:val="000B2BC6"/>
    <w:rsid w:val="000C6605"/>
    <w:rsid w:val="000D0266"/>
    <w:rsid w:val="000D3D76"/>
    <w:rsid w:val="000D40AC"/>
    <w:rsid w:val="000E3CC5"/>
    <w:rsid w:val="000E4245"/>
    <w:rsid w:val="000F3728"/>
    <w:rsid w:val="00105818"/>
    <w:rsid w:val="00106B4C"/>
    <w:rsid w:val="00110811"/>
    <w:rsid w:val="00112860"/>
    <w:rsid w:val="00114A61"/>
    <w:rsid w:val="00122D9C"/>
    <w:rsid w:val="001279C6"/>
    <w:rsid w:val="001534CE"/>
    <w:rsid w:val="0016121D"/>
    <w:rsid w:val="001650D6"/>
    <w:rsid w:val="00165120"/>
    <w:rsid w:val="00165A2A"/>
    <w:rsid w:val="00176016"/>
    <w:rsid w:val="00193117"/>
    <w:rsid w:val="00194004"/>
    <w:rsid w:val="001949E5"/>
    <w:rsid w:val="00195A77"/>
    <w:rsid w:val="001A0CB3"/>
    <w:rsid w:val="001A28F2"/>
    <w:rsid w:val="001A4A82"/>
    <w:rsid w:val="001A50EA"/>
    <w:rsid w:val="001B27EB"/>
    <w:rsid w:val="001B4CC1"/>
    <w:rsid w:val="001B55DE"/>
    <w:rsid w:val="001B7F80"/>
    <w:rsid w:val="001C166F"/>
    <w:rsid w:val="001C1D02"/>
    <w:rsid w:val="001C6EE1"/>
    <w:rsid w:val="001C78AC"/>
    <w:rsid w:val="001D2039"/>
    <w:rsid w:val="001D7851"/>
    <w:rsid w:val="001E2ED6"/>
    <w:rsid w:val="001E5DD1"/>
    <w:rsid w:val="001E79AD"/>
    <w:rsid w:val="001F0DEE"/>
    <w:rsid w:val="001F2393"/>
    <w:rsid w:val="002031D7"/>
    <w:rsid w:val="0021086E"/>
    <w:rsid w:val="002111DB"/>
    <w:rsid w:val="00212DA7"/>
    <w:rsid w:val="00223745"/>
    <w:rsid w:val="002275C3"/>
    <w:rsid w:val="00230B11"/>
    <w:rsid w:val="002338F0"/>
    <w:rsid w:val="00236BB4"/>
    <w:rsid w:val="00241560"/>
    <w:rsid w:val="002452E7"/>
    <w:rsid w:val="00254915"/>
    <w:rsid w:val="0025500A"/>
    <w:rsid w:val="00272F8C"/>
    <w:rsid w:val="002742B7"/>
    <w:rsid w:val="00277BA8"/>
    <w:rsid w:val="00283FD9"/>
    <w:rsid w:val="00286DB5"/>
    <w:rsid w:val="002873C6"/>
    <w:rsid w:val="002A6E09"/>
    <w:rsid w:val="002A75CB"/>
    <w:rsid w:val="002B11AE"/>
    <w:rsid w:val="002B338E"/>
    <w:rsid w:val="002C0BF2"/>
    <w:rsid w:val="002C0DE6"/>
    <w:rsid w:val="002C35C6"/>
    <w:rsid w:val="002D2452"/>
    <w:rsid w:val="002D3958"/>
    <w:rsid w:val="002D4E02"/>
    <w:rsid w:val="002D7B32"/>
    <w:rsid w:val="002E69F4"/>
    <w:rsid w:val="002F34F4"/>
    <w:rsid w:val="00306047"/>
    <w:rsid w:val="00306EA5"/>
    <w:rsid w:val="0031171C"/>
    <w:rsid w:val="00314945"/>
    <w:rsid w:val="00314AE2"/>
    <w:rsid w:val="003338D5"/>
    <w:rsid w:val="00343184"/>
    <w:rsid w:val="00344B14"/>
    <w:rsid w:val="003548DD"/>
    <w:rsid w:val="003552CE"/>
    <w:rsid w:val="00356F4A"/>
    <w:rsid w:val="003634FF"/>
    <w:rsid w:val="00384661"/>
    <w:rsid w:val="0038658B"/>
    <w:rsid w:val="0039782C"/>
    <w:rsid w:val="003A585B"/>
    <w:rsid w:val="003A7F80"/>
    <w:rsid w:val="003B10B7"/>
    <w:rsid w:val="003B5E5F"/>
    <w:rsid w:val="003B7419"/>
    <w:rsid w:val="003C7F95"/>
    <w:rsid w:val="003F0239"/>
    <w:rsid w:val="003F55DF"/>
    <w:rsid w:val="0040495E"/>
    <w:rsid w:val="00410A16"/>
    <w:rsid w:val="00421930"/>
    <w:rsid w:val="004220B1"/>
    <w:rsid w:val="00423688"/>
    <w:rsid w:val="004245AC"/>
    <w:rsid w:val="00424699"/>
    <w:rsid w:val="004246F4"/>
    <w:rsid w:val="00425960"/>
    <w:rsid w:val="00426B82"/>
    <w:rsid w:val="004310F6"/>
    <w:rsid w:val="00435943"/>
    <w:rsid w:val="00436DAD"/>
    <w:rsid w:val="00440686"/>
    <w:rsid w:val="00441961"/>
    <w:rsid w:val="00453344"/>
    <w:rsid w:val="00470E39"/>
    <w:rsid w:val="00473D98"/>
    <w:rsid w:val="0047527B"/>
    <w:rsid w:val="00480F72"/>
    <w:rsid w:val="00481469"/>
    <w:rsid w:val="00482A3C"/>
    <w:rsid w:val="00483099"/>
    <w:rsid w:val="00484672"/>
    <w:rsid w:val="00484AAD"/>
    <w:rsid w:val="00487BC3"/>
    <w:rsid w:val="004A1A6E"/>
    <w:rsid w:val="004A3340"/>
    <w:rsid w:val="004B3221"/>
    <w:rsid w:val="004B3909"/>
    <w:rsid w:val="004B4B11"/>
    <w:rsid w:val="004B5541"/>
    <w:rsid w:val="004C2FE9"/>
    <w:rsid w:val="004C5208"/>
    <w:rsid w:val="004E1F7A"/>
    <w:rsid w:val="004E5C34"/>
    <w:rsid w:val="004F29C8"/>
    <w:rsid w:val="004F7969"/>
    <w:rsid w:val="00503BB3"/>
    <w:rsid w:val="00504FBA"/>
    <w:rsid w:val="005071E1"/>
    <w:rsid w:val="00520906"/>
    <w:rsid w:val="0052576A"/>
    <w:rsid w:val="005445CD"/>
    <w:rsid w:val="005621C7"/>
    <w:rsid w:val="0058050B"/>
    <w:rsid w:val="00584CBB"/>
    <w:rsid w:val="00594B3F"/>
    <w:rsid w:val="005A5F6D"/>
    <w:rsid w:val="005A6D3B"/>
    <w:rsid w:val="005B22EE"/>
    <w:rsid w:val="005B25EC"/>
    <w:rsid w:val="005C16AE"/>
    <w:rsid w:val="005D0394"/>
    <w:rsid w:val="005D6473"/>
    <w:rsid w:val="005D7385"/>
    <w:rsid w:val="005E0B1B"/>
    <w:rsid w:val="005E1D6A"/>
    <w:rsid w:val="005E4932"/>
    <w:rsid w:val="005E6C99"/>
    <w:rsid w:val="005E764F"/>
    <w:rsid w:val="005F2B58"/>
    <w:rsid w:val="005F3306"/>
    <w:rsid w:val="005F5E25"/>
    <w:rsid w:val="005F7B5F"/>
    <w:rsid w:val="00600D51"/>
    <w:rsid w:val="006147E5"/>
    <w:rsid w:val="006560A1"/>
    <w:rsid w:val="00657F7E"/>
    <w:rsid w:val="00665D4C"/>
    <w:rsid w:val="006803E1"/>
    <w:rsid w:val="00681A08"/>
    <w:rsid w:val="006841FB"/>
    <w:rsid w:val="0068554B"/>
    <w:rsid w:val="00686F71"/>
    <w:rsid w:val="006902A6"/>
    <w:rsid w:val="00690F32"/>
    <w:rsid w:val="006913ED"/>
    <w:rsid w:val="006947D5"/>
    <w:rsid w:val="00694DF0"/>
    <w:rsid w:val="006961FF"/>
    <w:rsid w:val="006A633E"/>
    <w:rsid w:val="006B41ED"/>
    <w:rsid w:val="006B5698"/>
    <w:rsid w:val="006C140C"/>
    <w:rsid w:val="006C4BFF"/>
    <w:rsid w:val="006D5315"/>
    <w:rsid w:val="006D6C51"/>
    <w:rsid w:val="006D7E91"/>
    <w:rsid w:val="006E5F86"/>
    <w:rsid w:val="006F016A"/>
    <w:rsid w:val="006F3F83"/>
    <w:rsid w:val="006F5288"/>
    <w:rsid w:val="006F67F5"/>
    <w:rsid w:val="00702C9E"/>
    <w:rsid w:val="00703F40"/>
    <w:rsid w:val="007102E1"/>
    <w:rsid w:val="00727E69"/>
    <w:rsid w:val="007372B3"/>
    <w:rsid w:val="007576CD"/>
    <w:rsid w:val="00760669"/>
    <w:rsid w:val="00763599"/>
    <w:rsid w:val="007670A2"/>
    <w:rsid w:val="00777F8B"/>
    <w:rsid w:val="007875ED"/>
    <w:rsid w:val="00794791"/>
    <w:rsid w:val="00796E66"/>
    <w:rsid w:val="007A2269"/>
    <w:rsid w:val="007A4471"/>
    <w:rsid w:val="007A64A0"/>
    <w:rsid w:val="007B1127"/>
    <w:rsid w:val="007B1247"/>
    <w:rsid w:val="007B229F"/>
    <w:rsid w:val="007B2745"/>
    <w:rsid w:val="007B7DE1"/>
    <w:rsid w:val="007C0D6D"/>
    <w:rsid w:val="007C5843"/>
    <w:rsid w:val="007C72D6"/>
    <w:rsid w:val="007C73F9"/>
    <w:rsid w:val="007D2B24"/>
    <w:rsid w:val="007D6466"/>
    <w:rsid w:val="007D7866"/>
    <w:rsid w:val="007D7EE5"/>
    <w:rsid w:val="007E4A75"/>
    <w:rsid w:val="007E723E"/>
    <w:rsid w:val="007F2733"/>
    <w:rsid w:val="007F3B11"/>
    <w:rsid w:val="007F569A"/>
    <w:rsid w:val="007F5D07"/>
    <w:rsid w:val="00804CF3"/>
    <w:rsid w:val="00807A77"/>
    <w:rsid w:val="00811E23"/>
    <w:rsid w:val="00816C90"/>
    <w:rsid w:val="00827665"/>
    <w:rsid w:val="00833295"/>
    <w:rsid w:val="00837115"/>
    <w:rsid w:val="00841D38"/>
    <w:rsid w:val="00855F9C"/>
    <w:rsid w:val="0086068B"/>
    <w:rsid w:val="00860A13"/>
    <w:rsid w:val="00861719"/>
    <w:rsid w:val="0086252F"/>
    <w:rsid w:val="008675E5"/>
    <w:rsid w:val="00871D08"/>
    <w:rsid w:val="00872168"/>
    <w:rsid w:val="00874492"/>
    <w:rsid w:val="008837F7"/>
    <w:rsid w:val="00886919"/>
    <w:rsid w:val="00887E80"/>
    <w:rsid w:val="00893BF9"/>
    <w:rsid w:val="00896A26"/>
    <w:rsid w:val="008A5332"/>
    <w:rsid w:val="008B3C65"/>
    <w:rsid w:val="008B700A"/>
    <w:rsid w:val="008D1E82"/>
    <w:rsid w:val="008E408C"/>
    <w:rsid w:val="008E717B"/>
    <w:rsid w:val="008F31E8"/>
    <w:rsid w:val="008F4C6C"/>
    <w:rsid w:val="00903349"/>
    <w:rsid w:val="009129DB"/>
    <w:rsid w:val="00912A37"/>
    <w:rsid w:val="009238FE"/>
    <w:rsid w:val="00925DB0"/>
    <w:rsid w:val="00926858"/>
    <w:rsid w:val="009270F3"/>
    <w:rsid w:val="009278B5"/>
    <w:rsid w:val="00930F89"/>
    <w:rsid w:val="00932590"/>
    <w:rsid w:val="00934BC8"/>
    <w:rsid w:val="009359D7"/>
    <w:rsid w:val="0093696A"/>
    <w:rsid w:val="009372A5"/>
    <w:rsid w:val="00941DF9"/>
    <w:rsid w:val="00951549"/>
    <w:rsid w:val="00953AC6"/>
    <w:rsid w:val="00954F15"/>
    <w:rsid w:val="00964750"/>
    <w:rsid w:val="0096481A"/>
    <w:rsid w:val="00971AF0"/>
    <w:rsid w:val="0098374F"/>
    <w:rsid w:val="00984D21"/>
    <w:rsid w:val="00991282"/>
    <w:rsid w:val="009974F0"/>
    <w:rsid w:val="009A3C6C"/>
    <w:rsid w:val="009B03C9"/>
    <w:rsid w:val="009B7E41"/>
    <w:rsid w:val="009C7EB5"/>
    <w:rsid w:val="009D322D"/>
    <w:rsid w:val="009D3928"/>
    <w:rsid w:val="009D4A08"/>
    <w:rsid w:val="009E2A76"/>
    <w:rsid w:val="009E2C7E"/>
    <w:rsid w:val="009E5C0B"/>
    <w:rsid w:val="009F7D8E"/>
    <w:rsid w:val="00A240A2"/>
    <w:rsid w:val="00A27324"/>
    <w:rsid w:val="00A30565"/>
    <w:rsid w:val="00A31A8B"/>
    <w:rsid w:val="00A403FC"/>
    <w:rsid w:val="00A46C85"/>
    <w:rsid w:val="00A5551F"/>
    <w:rsid w:val="00A571DB"/>
    <w:rsid w:val="00A643D1"/>
    <w:rsid w:val="00A73302"/>
    <w:rsid w:val="00A735C6"/>
    <w:rsid w:val="00A757B0"/>
    <w:rsid w:val="00A76C95"/>
    <w:rsid w:val="00A80388"/>
    <w:rsid w:val="00A82EB3"/>
    <w:rsid w:val="00A870D3"/>
    <w:rsid w:val="00A90F3B"/>
    <w:rsid w:val="00A93648"/>
    <w:rsid w:val="00A93DF9"/>
    <w:rsid w:val="00A95A4D"/>
    <w:rsid w:val="00AA3351"/>
    <w:rsid w:val="00AA40D4"/>
    <w:rsid w:val="00AA6CC4"/>
    <w:rsid w:val="00AA6D0D"/>
    <w:rsid w:val="00AC311E"/>
    <w:rsid w:val="00AC542C"/>
    <w:rsid w:val="00AD0392"/>
    <w:rsid w:val="00AD1CFE"/>
    <w:rsid w:val="00AD3818"/>
    <w:rsid w:val="00AD56D4"/>
    <w:rsid w:val="00AE2F2A"/>
    <w:rsid w:val="00AE6B6C"/>
    <w:rsid w:val="00AE78A1"/>
    <w:rsid w:val="00AF0FB9"/>
    <w:rsid w:val="00AF2B84"/>
    <w:rsid w:val="00AF33C3"/>
    <w:rsid w:val="00AF66CC"/>
    <w:rsid w:val="00AF6848"/>
    <w:rsid w:val="00B041A3"/>
    <w:rsid w:val="00B06DA3"/>
    <w:rsid w:val="00B2523E"/>
    <w:rsid w:val="00B3087F"/>
    <w:rsid w:val="00B315F1"/>
    <w:rsid w:val="00B364DC"/>
    <w:rsid w:val="00B36A31"/>
    <w:rsid w:val="00B403B4"/>
    <w:rsid w:val="00B41ADD"/>
    <w:rsid w:val="00B51F05"/>
    <w:rsid w:val="00B523B4"/>
    <w:rsid w:val="00B53433"/>
    <w:rsid w:val="00B53FF9"/>
    <w:rsid w:val="00B54FC4"/>
    <w:rsid w:val="00B7000C"/>
    <w:rsid w:val="00B71823"/>
    <w:rsid w:val="00B7312A"/>
    <w:rsid w:val="00B76E43"/>
    <w:rsid w:val="00B7765C"/>
    <w:rsid w:val="00B86299"/>
    <w:rsid w:val="00B91F6D"/>
    <w:rsid w:val="00B9545B"/>
    <w:rsid w:val="00BB1957"/>
    <w:rsid w:val="00BB3BA8"/>
    <w:rsid w:val="00BB57FA"/>
    <w:rsid w:val="00BB67FF"/>
    <w:rsid w:val="00BC1266"/>
    <w:rsid w:val="00BC32EF"/>
    <w:rsid w:val="00BD51D6"/>
    <w:rsid w:val="00BE17F7"/>
    <w:rsid w:val="00BE2862"/>
    <w:rsid w:val="00BE3F2B"/>
    <w:rsid w:val="00BE5AA7"/>
    <w:rsid w:val="00BE76C4"/>
    <w:rsid w:val="00BF0A03"/>
    <w:rsid w:val="00BF69B7"/>
    <w:rsid w:val="00BF791D"/>
    <w:rsid w:val="00C01BD9"/>
    <w:rsid w:val="00C02797"/>
    <w:rsid w:val="00C0741B"/>
    <w:rsid w:val="00C32F6D"/>
    <w:rsid w:val="00C37FD0"/>
    <w:rsid w:val="00C41BA0"/>
    <w:rsid w:val="00C550FC"/>
    <w:rsid w:val="00C65CD3"/>
    <w:rsid w:val="00C71225"/>
    <w:rsid w:val="00C72F9C"/>
    <w:rsid w:val="00C911BC"/>
    <w:rsid w:val="00CA604C"/>
    <w:rsid w:val="00CB1DD2"/>
    <w:rsid w:val="00CB3F89"/>
    <w:rsid w:val="00CB6AF8"/>
    <w:rsid w:val="00CD30C6"/>
    <w:rsid w:val="00CD7C89"/>
    <w:rsid w:val="00CE6AA8"/>
    <w:rsid w:val="00D06D55"/>
    <w:rsid w:val="00D07EBC"/>
    <w:rsid w:val="00D14FED"/>
    <w:rsid w:val="00D16BD0"/>
    <w:rsid w:val="00D21C30"/>
    <w:rsid w:val="00D30278"/>
    <w:rsid w:val="00D3373F"/>
    <w:rsid w:val="00D3690F"/>
    <w:rsid w:val="00D371CF"/>
    <w:rsid w:val="00D53593"/>
    <w:rsid w:val="00D53651"/>
    <w:rsid w:val="00D645EC"/>
    <w:rsid w:val="00D66197"/>
    <w:rsid w:val="00D7004D"/>
    <w:rsid w:val="00D72621"/>
    <w:rsid w:val="00D9113F"/>
    <w:rsid w:val="00D9149F"/>
    <w:rsid w:val="00D926BD"/>
    <w:rsid w:val="00D952A2"/>
    <w:rsid w:val="00D96635"/>
    <w:rsid w:val="00D96BB0"/>
    <w:rsid w:val="00DA7E53"/>
    <w:rsid w:val="00DB3D5F"/>
    <w:rsid w:val="00DB3E28"/>
    <w:rsid w:val="00DD34A2"/>
    <w:rsid w:val="00DE1D7B"/>
    <w:rsid w:val="00DF1935"/>
    <w:rsid w:val="00DF1984"/>
    <w:rsid w:val="00DF6360"/>
    <w:rsid w:val="00DF7351"/>
    <w:rsid w:val="00E00C60"/>
    <w:rsid w:val="00E00FD1"/>
    <w:rsid w:val="00E04A4B"/>
    <w:rsid w:val="00E1253E"/>
    <w:rsid w:val="00E1264C"/>
    <w:rsid w:val="00E15D2E"/>
    <w:rsid w:val="00E20D32"/>
    <w:rsid w:val="00E333D4"/>
    <w:rsid w:val="00E41319"/>
    <w:rsid w:val="00E432F9"/>
    <w:rsid w:val="00E443CD"/>
    <w:rsid w:val="00E44AB9"/>
    <w:rsid w:val="00E55069"/>
    <w:rsid w:val="00E55705"/>
    <w:rsid w:val="00E55DA6"/>
    <w:rsid w:val="00E56D59"/>
    <w:rsid w:val="00E61624"/>
    <w:rsid w:val="00E63CDF"/>
    <w:rsid w:val="00E65148"/>
    <w:rsid w:val="00E65766"/>
    <w:rsid w:val="00E76018"/>
    <w:rsid w:val="00E772C0"/>
    <w:rsid w:val="00E810C1"/>
    <w:rsid w:val="00E8568A"/>
    <w:rsid w:val="00E94E8B"/>
    <w:rsid w:val="00E960FA"/>
    <w:rsid w:val="00E97E3D"/>
    <w:rsid w:val="00EA0D6D"/>
    <w:rsid w:val="00EB2BBC"/>
    <w:rsid w:val="00EC1FDE"/>
    <w:rsid w:val="00ED74E9"/>
    <w:rsid w:val="00EE5ADA"/>
    <w:rsid w:val="00EE6BCA"/>
    <w:rsid w:val="00EF7E88"/>
    <w:rsid w:val="00F001F0"/>
    <w:rsid w:val="00F026E3"/>
    <w:rsid w:val="00F02D0D"/>
    <w:rsid w:val="00F061B6"/>
    <w:rsid w:val="00F06304"/>
    <w:rsid w:val="00F070DB"/>
    <w:rsid w:val="00F24E2A"/>
    <w:rsid w:val="00F3568D"/>
    <w:rsid w:val="00F429F7"/>
    <w:rsid w:val="00F45E5E"/>
    <w:rsid w:val="00F538D4"/>
    <w:rsid w:val="00F57FA1"/>
    <w:rsid w:val="00F61317"/>
    <w:rsid w:val="00F639B4"/>
    <w:rsid w:val="00F70221"/>
    <w:rsid w:val="00F77843"/>
    <w:rsid w:val="00F824B7"/>
    <w:rsid w:val="00F829C7"/>
    <w:rsid w:val="00F8592E"/>
    <w:rsid w:val="00FA4105"/>
    <w:rsid w:val="00FA438F"/>
    <w:rsid w:val="00FB688B"/>
    <w:rsid w:val="00FC1787"/>
    <w:rsid w:val="00FC7247"/>
    <w:rsid w:val="00FD20FD"/>
    <w:rsid w:val="00FF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3564D69"/>
  <w15:chartTrackingRefBased/>
  <w15:docId w15:val="{11272A89-93CE-47E2-A7C5-3BAA5E13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50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D738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2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6E3"/>
    <w:rPr>
      <w:sz w:val="20"/>
      <w:szCs w:val="20"/>
    </w:rPr>
  </w:style>
  <w:style w:type="character" w:styleId="FootnoteReference">
    <w:name w:val="footnote reference"/>
    <w:basedOn w:val="DefaultParagraphFont"/>
    <w:uiPriority w:val="99"/>
    <w:semiHidden/>
    <w:unhideWhenUsed/>
    <w:rsid w:val="00F026E3"/>
    <w:rPr>
      <w:vertAlign w:val="superscript"/>
    </w:rPr>
  </w:style>
  <w:style w:type="table" w:styleId="TableGrid">
    <w:name w:val="Table Grid"/>
    <w:basedOn w:val="TableNormal"/>
    <w:uiPriority w:val="39"/>
    <w:rsid w:val="00F0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270"/>
    <w:pPr>
      <w:ind w:left="720"/>
      <w:contextualSpacing/>
    </w:pPr>
  </w:style>
  <w:style w:type="character" w:styleId="Hyperlink">
    <w:name w:val="Hyperlink"/>
    <w:basedOn w:val="DefaultParagraphFont"/>
    <w:uiPriority w:val="99"/>
    <w:unhideWhenUsed/>
    <w:rsid w:val="00925DB0"/>
    <w:rPr>
      <w:color w:val="0563C1" w:themeColor="hyperlink"/>
      <w:u w:val="single"/>
    </w:rPr>
  </w:style>
  <w:style w:type="character" w:customStyle="1" w:styleId="Heading1Char">
    <w:name w:val="Heading 1 Char"/>
    <w:basedOn w:val="DefaultParagraphFont"/>
    <w:link w:val="Heading1"/>
    <w:uiPriority w:val="9"/>
    <w:rsid w:val="00580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B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F2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58"/>
  </w:style>
  <w:style w:type="paragraph" w:styleId="Footer">
    <w:name w:val="footer"/>
    <w:basedOn w:val="Normal"/>
    <w:link w:val="FooterChar"/>
    <w:uiPriority w:val="99"/>
    <w:unhideWhenUsed/>
    <w:rsid w:val="005F2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58"/>
  </w:style>
  <w:style w:type="character" w:styleId="CommentReference">
    <w:name w:val="annotation reference"/>
    <w:basedOn w:val="DefaultParagraphFont"/>
    <w:uiPriority w:val="99"/>
    <w:semiHidden/>
    <w:unhideWhenUsed/>
    <w:rsid w:val="00B364DC"/>
    <w:rPr>
      <w:sz w:val="16"/>
      <w:szCs w:val="16"/>
    </w:rPr>
  </w:style>
  <w:style w:type="paragraph" w:styleId="CommentText">
    <w:name w:val="annotation text"/>
    <w:basedOn w:val="Normal"/>
    <w:link w:val="CommentTextChar"/>
    <w:uiPriority w:val="99"/>
    <w:unhideWhenUsed/>
    <w:rsid w:val="00B364DC"/>
    <w:pPr>
      <w:spacing w:line="240" w:lineRule="auto"/>
    </w:pPr>
    <w:rPr>
      <w:sz w:val="20"/>
      <w:szCs w:val="20"/>
    </w:rPr>
  </w:style>
  <w:style w:type="character" w:customStyle="1" w:styleId="CommentTextChar">
    <w:name w:val="Comment Text Char"/>
    <w:basedOn w:val="DefaultParagraphFont"/>
    <w:link w:val="CommentText"/>
    <w:uiPriority w:val="99"/>
    <w:rsid w:val="00B364DC"/>
    <w:rPr>
      <w:sz w:val="20"/>
      <w:szCs w:val="20"/>
    </w:rPr>
  </w:style>
  <w:style w:type="paragraph" w:styleId="CommentSubject">
    <w:name w:val="annotation subject"/>
    <w:basedOn w:val="CommentText"/>
    <w:next w:val="CommentText"/>
    <w:link w:val="CommentSubjectChar"/>
    <w:uiPriority w:val="99"/>
    <w:semiHidden/>
    <w:unhideWhenUsed/>
    <w:rsid w:val="00B364DC"/>
    <w:rPr>
      <w:b/>
      <w:bCs/>
    </w:rPr>
  </w:style>
  <w:style w:type="character" w:customStyle="1" w:styleId="CommentSubjectChar">
    <w:name w:val="Comment Subject Char"/>
    <w:basedOn w:val="CommentTextChar"/>
    <w:link w:val="CommentSubject"/>
    <w:uiPriority w:val="99"/>
    <w:semiHidden/>
    <w:rsid w:val="00B364DC"/>
    <w:rPr>
      <w:b/>
      <w:bCs/>
      <w:sz w:val="20"/>
      <w:szCs w:val="20"/>
    </w:rPr>
  </w:style>
  <w:style w:type="paragraph" w:styleId="BalloonText">
    <w:name w:val="Balloon Text"/>
    <w:basedOn w:val="Normal"/>
    <w:link w:val="BalloonTextChar"/>
    <w:uiPriority w:val="99"/>
    <w:semiHidden/>
    <w:unhideWhenUsed/>
    <w:rsid w:val="00B3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DC"/>
    <w:rPr>
      <w:rFonts w:ascii="Segoe UI" w:hAnsi="Segoe UI" w:cs="Segoe UI"/>
      <w:sz w:val="18"/>
      <w:szCs w:val="18"/>
    </w:rPr>
  </w:style>
  <w:style w:type="paragraph" w:styleId="NormalWeb">
    <w:name w:val="Normal (Web)"/>
    <w:basedOn w:val="Normal"/>
    <w:uiPriority w:val="99"/>
    <w:unhideWhenUsed/>
    <w:rsid w:val="006C1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3152">
      <w:bodyDiv w:val="1"/>
      <w:marLeft w:val="0"/>
      <w:marRight w:val="0"/>
      <w:marTop w:val="0"/>
      <w:marBottom w:val="0"/>
      <w:divBdr>
        <w:top w:val="none" w:sz="0" w:space="0" w:color="auto"/>
        <w:left w:val="none" w:sz="0" w:space="0" w:color="auto"/>
        <w:bottom w:val="none" w:sz="0" w:space="0" w:color="auto"/>
        <w:right w:val="none" w:sz="0" w:space="0" w:color="auto"/>
      </w:divBdr>
    </w:div>
    <w:div w:id="162094189">
      <w:bodyDiv w:val="1"/>
      <w:marLeft w:val="0"/>
      <w:marRight w:val="0"/>
      <w:marTop w:val="0"/>
      <w:marBottom w:val="0"/>
      <w:divBdr>
        <w:top w:val="none" w:sz="0" w:space="0" w:color="auto"/>
        <w:left w:val="none" w:sz="0" w:space="0" w:color="auto"/>
        <w:bottom w:val="none" w:sz="0" w:space="0" w:color="auto"/>
        <w:right w:val="none" w:sz="0" w:space="0" w:color="auto"/>
      </w:divBdr>
    </w:div>
    <w:div w:id="254479328">
      <w:bodyDiv w:val="1"/>
      <w:marLeft w:val="0"/>
      <w:marRight w:val="0"/>
      <w:marTop w:val="0"/>
      <w:marBottom w:val="0"/>
      <w:divBdr>
        <w:top w:val="none" w:sz="0" w:space="0" w:color="auto"/>
        <w:left w:val="none" w:sz="0" w:space="0" w:color="auto"/>
        <w:bottom w:val="none" w:sz="0" w:space="0" w:color="auto"/>
        <w:right w:val="none" w:sz="0" w:space="0" w:color="auto"/>
      </w:divBdr>
    </w:div>
    <w:div w:id="307631305">
      <w:bodyDiv w:val="1"/>
      <w:marLeft w:val="0"/>
      <w:marRight w:val="0"/>
      <w:marTop w:val="0"/>
      <w:marBottom w:val="0"/>
      <w:divBdr>
        <w:top w:val="none" w:sz="0" w:space="0" w:color="auto"/>
        <w:left w:val="none" w:sz="0" w:space="0" w:color="auto"/>
        <w:bottom w:val="none" w:sz="0" w:space="0" w:color="auto"/>
        <w:right w:val="none" w:sz="0" w:space="0" w:color="auto"/>
      </w:divBdr>
    </w:div>
    <w:div w:id="337658136">
      <w:bodyDiv w:val="1"/>
      <w:marLeft w:val="0"/>
      <w:marRight w:val="0"/>
      <w:marTop w:val="0"/>
      <w:marBottom w:val="0"/>
      <w:divBdr>
        <w:top w:val="none" w:sz="0" w:space="0" w:color="auto"/>
        <w:left w:val="none" w:sz="0" w:space="0" w:color="auto"/>
        <w:bottom w:val="none" w:sz="0" w:space="0" w:color="auto"/>
        <w:right w:val="none" w:sz="0" w:space="0" w:color="auto"/>
      </w:divBdr>
    </w:div>
    <w:div w:id="408619590">
      <w:bodyDiv w:val="1"/>
      <w:marLeft w:val="0"/>
      <w:marRight w:val="0"/>
      <w:marTop w:val="0"/>
      <w:marBottom w:val="0"/>
      <w:divBdr>
        <w:top w:val="none" w:sz="0" w:space="0" w:color="auto"/>
        <w:left w:val="none" w:sz="0" w:space="0" w:color="auto"/>
        <w:bottom w:val="none" w:sz="0" w:space="0" w:color="auto"/>
        <w:right w:val="none" w:sz="0" w:space="0" w:color="auto"/>
      </w:divBdr>
    </w:div>
    <w:div w:id="469791596">
      <w:bodyDiv w:val="1"/>
      <w:marLeft w:val="0"/>
      <w:marRight w:val="0"/>
      <w:marTop w:val="0"/>
      <w:marBottom w:val="0"/>
      <w:divBdr>
        <w:top w:val="none" w:sz="0" w:space="0" w:color="auto"/>
        <w:left w:val="none" w:sz="0" w:space="0" w:color="auto"/>
        <w:bottom w:val="none" w:sz="0" w:space="0" w:color="auto"/>
        <w:right w:val="none" w:sz="0" w:space="0" w:color="auto"/>
      </w:divBdr>
    </w:div>
    <w:div w:id="576861664">
      <w:bodyDiv w:val="1"/>
      <w:marLeft w:val="0"/>
      <w:marRight w:val="0"/>
      <w:marTop w:val="0"/>
      <w:marBottom w:val="0"/>
      <w:divBdr>
        <w:top w:val="none" w:sz="0" w:space="0" w:color="auto"/>
        <w:left w:val="none" w:sz="0" w:space="0" w:color="auto"/>
        <w:bottom w:val="none" w:sz="0" w:space="0" w:color="auto"/>
        <w:right w:val="none" w:sz="0" w:space="0" w:color="auto"/>
      </w:divBdr>
    </w:div>
    <w:div w:id="601382248">
      <w:bodyDiv w:val="1"/>
      <w:marLeft w:val="0"/>
      <w:marRight w:val="0"/>
      <w:marTop w:val="0"/>
      <w:marBottom w:val="0"/>
      <w:divBdr>
        <w:top w:val="none" w:sz="0" w:space="0" w:color="auto"/>
        <w:left w:val="none" w:sz="0" w:space="0" w:color="auto"/>
        <w:bottom w:val="none" w:sz="0" w:space="0" w:color="auto"/>
        <w:right w:val="none" w:sz="0" w:space="0" w:color="auto"/>
      </w:divBdr>
    </w:div>
    <w:div w:id="621224976">
      <w:bodyDiv w:val="1"/>
      <w:marLeft w:val="0"/>
      <w:marRight w:val="0"/>
      <w:marTop w:val="0"/>
      <w:marBottom w:val="0"/>
      <w:divBdr>
        <w:top w:val="none" w:sz="0" w:space="0" w:color="auto"/>
        <w:left w:val="none" w:sz="0" w:space="0" w:color="auto"/>
        <w:bottom w:val="none" w:sz="0" w:space="0" w:color="auto"/>
        <w:right w:val="none" w:sz="0" w:space="0" w:color="auto"/>
      </w:divBdr>
    </w:div>
    <w:div w:id="642853958">
      <w:bodyDiv w:val="1"/>
      <w:marLeft w:val="0"/>
      <w:marRight w:val="0"/>
      <w:marTop w:val="0"/>
      <w:marBottom w:val="0"/>
      <w:divBdr>
        <w:top w:val="none" w:sz="0" w:space="0" w:color="auto"/>
        <w:left w:val="none" w:sz="0" w:space="0" w:color="auto"/>
        <w:bottom w:val="none" w:sz="0" w:space="0" w:color="auto"/>
        <w:right w:val="none" w:sz="0" w:space="0" w:color="auto"/>
      </w:divBdr>
    </w:div>
    <w:div w:id="642929696">
      <w:bodyDiv w:val="1"/>
      <w:marLeft w:val="0"/>
      <w:marRight w:val="0"/>
      <w:marTop w:val="0"/>
      <w:marBottom w:val="0"/>
      <w:divBdr>
        <w:top w:val="none" w:sz="0" w:space="0" w:color="auto"/>
        <w:left w:val="none" w:sz="0" w:space="0" w:color="auto"/>
        <w:bottom w:val="none" w:sz="0" w:space="0" w:color="auto"/>
        <w:right w:val="none" w:sz="0" w:space="0" w:color="auto"/>
      </w:divBdr>
    </w:div>
    <w:div w:id="647709963">
      <w:bodyDiv w:val="1"/>
      <w:marLeft w:val="0"/>
      <w:marRight w:val="0"/>
      <w:marTop w:val="0"/>
      <w:marBottom w:val="0"/>
      <w:divBdr>
        <w:top w:val="none" w:sz="0" w:space="0" w:color="auto"/>
        <w:left w:val="none" w:sz="0" w:space="0" w:color="auto"/>
        <w:bottom w:val="none" w:sz="0" w:space="0" w:color="auto"/>
        <w:right w:val="none" w:sz="0" w:space="0" w:color="auto"/>
      </w:divBdr>
    </w:div>
    <w:div w:id="68367467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44763671">
      <w:bodyDiv w:val="1"/>
      <w:marLeft w:val="0"/>
      <w:marRight w:val="0"/>
      <w:marTop w:val="0"/>
      <w:marBottom w:val="0"/>
      <w:divBdr>
        <w:top w:val="none" w:sz="0" w:space="0" w:color="auto"/>
        <w:left w:val="none" w:sz="0" w:space="0" w:color="auto"/>
        <w:bottom w:val="none" w:sz="0" w:space="0" w:color="auto"/>
        <w:right w:val="none" w:sz="0" w:space="0" w:color="auto"/>
      </w:divBdr>
    </w:div>
    <w:div w:id="763503400">
      <w:bodyDiv w:val="1"/>
      <w:marLeft w:val="0"/>
      <w:marRight w:val="0"/>
      <w:marTop w:val="0"/>
      <w:marBottom w:val="0"/>
      <w:divBdr>
        <w:top w:val="none" w:sz="0" w:space="0" w:color="auto"/>
        <w:left w:val="none" w:sz="0" w:space="0" w:color="auto"/>
        <w:bottom w:val="none" w:sz="0" w:space="0" w:color="auto"/>
        <w:right w:val="none" w:sz="0" w:space="0" w:color="auto"/>
      </w:divBdr>
    </w:div>
    <w:div w:id="794641196">
      <w:bodyDiv w:val="1"/>
      <w:marLeft w:val="0"/>
      <w:marRight w:val="0"/>
      <w:marTop w:val="0"/>
      <w:marBottom w:val="0"/>
      <w:divBdr>
        <w:top w:val="none" w:sz="0" w:space="0" w:color="auto"/>
        <w:left w:val="none" w:sz="0" w:space="0" w:color="auto"/>
        <w:bottom w:val="none" w:sz="0" w:space="0" w:color="auto"/>
        <w:right w:val="none" w:sz="0" w:space="0" w:color="auto"/>
      </w:divBdr>
    </w:div>
    <w:div w:id="831877015">
      <w:bodyDiv w:val="1"/>
      <w:marLeft w:val="0"/>
      <w:marRight w:val="0"/>
      <w:marTop w:val="0"/>
      <w:marBottom w:val="0"/>
      <w:divBdr>
        <w:top w:val="none" w:sz="0" w:space="0" w:color="auto"/>
        <w:left w:val="none" w:sz="0" w:space="0" w:color="auto"/>
        <w:bottom w:val="none" w:sz="0" w:space="0" w:color="auto"/>
        <w:right w:val="none" w:sz="0" w:space="0" w:color="auto"/>
      </w:divBdr>
    </w:div>
    <w:div w:id="870608459">
      <w:bodyDiv w:val="1"/>
      <w:marLeft w:val="0"/>
      <w:marRight w:val="0"/>
      <w:marTop w:val="0"/>
      <w:marBottom w:val="0"/>
      <w:divBdr>
        <w:top w:val="none" w:sz="0" w:space="0" w:color="auto"/>
        <w:left w:val="none" w:sz="0" w:space="0" w:color="auto"/>
        <w:bottom w:val="none" w:sz="0" w:space="0" w:color="auto"/>
        <w:right w:val="none" w:sz="0" w:space="0" w:color="auto"/>
      </w:divBdr>
    </w:div>
    <w:div w:id="904267120">
      <w:bodyDiv w:val="1"/>
      <w:marLeft w:val="0"/>
      <w:marRight w:val="0"/>
      <w:marTop w:val="0"/>
      <w:marBottom w:val="0"/>
      <w:divBdr>
        <w:top w:val="none" w:sz="0" w:space="0" w:color="auto"/>
        <w:left w:val="none" w:sz="0" w:space="0" w:color="auto"/>
        <w:bottom w:val="none" w:sz="0" w:space="0" w:color="auto"/>
        <w:right w:val="none" w:sz="0" w:space="0" w:color="auto"/>
      </w:divBdr>
    </w:div>
    <w:div w:id="938297632">
      <w:bodyDiv w:val="1"/>
      <w:marLeft w:val="0"/>
      <w:marRight w:val="0"/>
      <w:marTop w:val="0"/>
      <w:marBottom w:val="0"/>
      <w:divBdr>
        <w:top w:val="none" w:sz="0" w:space="0" w:color="auto"/>
        <w:left w:val="none" w:sz="0" w:space="0" w:color="auto"/>
        <w:bottom w:val="none" w:sz="0" w:space="0" w:color="auto"/>
        <w:right w:val="none" w:sz="0" w:space="0" w:color="auto"/>
      </w:divBdr>
    </w:div>
    <w:div w:id="953945062">
      <w:bodyDiv w:val="1"/>
      <w:marLeft w:val="0"/>
      <w:marRight w:val="0"/>
      <w:marTop w:val="0"/>
      <w:marBottom w:val="0"/>
      <w:divBdr>
        <w:top w:val="none" w:sz="0" w:space="0" w:color="auto"/>
        <w:left w:val="none" w:sz="0" w:space="0" w:color="auto"/>
        <w:bottom w:val="none" w:sz="0" w:space="0" w:color="auto"/>
        <w:right w:val="none" w:sz="0" w:space="0" w:color="auto"/>
      </w:divBdr>
    </w:div>
    <w:div w:id="960963761">
      <w:bodyDiv w:val="1"/>
      <w:marLeft w:val="0"/>
      <w:marRight w:val="0"/>
      <w:marTop w:val="0"/>
      <w:marBottom w:val="0"/>
      <w:divBdr>
        <w:top w:val="none" w:sz="0" w:space="0" w:color="auto"/>
        <w:left w:val="none" w:sz="0" w:space="0" w:color="auto"/>
        <w:bottom w:val="none" w:sz="0" w:space="0" w:color="auto"/>
        <w:right w:val="none" w:sz="0" w:space="0" w:color="auto"/>
      </w:divBdr>
    </w:div>
    <w:div w:id="978151589">
      <w:bodyDiv w:val="1"/>
      <w:marLeft w:val="0"/>
      <w:marRight w:val="0"/>
      <w:marTop w:val="0"/>
      <w:marBottom w:val="0"/>
      <w:divBdr>
        <w:top w:val="none" w:sz="0" w:space="0" w:color="auto"/>
        <w:left w:val="none" w:sz="0" w:space="0" w:color="auto"/>
        <w:bottom w:val="none" w:sz="0" w:space="0" w:color="auto"/>
        <w:right w:val="none" w:sz="0" w:space="0" w:color="auto"/>
      </w:divBdr>
    </w:div>
    <w:div w:id="1007558388">
      <w:bodyDiv w:val="1"/>
      <w:marLeft w:val="0"/>
      <w:marRight w:val="0"/>
      <w:marTop w:val="0"/>
      <w:marBottom w:val="0"/>
      <w:divBdr>
        <w:top w:val="none" w:sz="0" w:space="0" w:color="auto"/>
        <w:left w:val="none" w:sz="0" w:space="0" w:color="auto"/>
        <w:bottom w:val="none" w:sz="0" w:space="0" w:color="auto"/>
        <w:right w:val="none" w:sz="0" w:space="0" w:color="auto"/>
      </w:divBdr>
    </w:div>
    <w:div w:id="1101146715">
      <w:bodyDiv w:val="1"/>
      <w:marLeft w:val="0"/>
      <w:marRight w:val="0"/>
      <w:marTop w:val="0"/>
      <w:marBottom w:val="0"/>
      <w:divBdr>
        <w:top w:val="none" w:sz="0" w:space="0" w:color="auto"/>
        <w:left w:val="none" w:sz="0" w:space="0" w:color="auto"/>
        <w:bottom w:val="none" w:sz="0" w:space="0" w:color="auto"/>
        <w:right w:val="none" w:sz="0" w:space="0" w:color="auto"/>
      </w:divBdr>
    </w:div>
    <w:div w:id="1118643804">
      <w:bodyDiv w:val="1"/>
      <w:marLeft w:val="0"/>
      <w:marRight w:val="0"/>
      <w:marTop w:val="0"/>
      <w:marBottom w:val="0"/>
      <w:divBdr>
        <w:top w:val="none" w:sz="0" w:space="0" w:color="auto"/>
        <w:left w:val="none" w:sz="0" w:space="0" w:color="auto"/>
        <w:bottom w:val="none" w:sz="0" w:space="0" w:color="auto"/>
        <w:right w:val="none" w:sz="0" w:space="0" w:color="auto"/>
      </w:divBdr>
    </w:div>
    <w:div w:id="1135946101">
      <w:bodyDiv w:val="1"/>
      <w:marLeft w:val="0"/>
      <w:marRight w:val="0"/>
      <w:marTop w:val="0"/>
      <w:marBottom w:val="0"/>
      <w:divBdr>
        <w:top w:val="none" w:sz="0" w:space="0" w:color="auto"/>
        <w:left w:val="none" w:sz="0" w:space="0" w:color="auto"/>
        <w:bottom w:val="none" w:sz="0" w:space="0" w:color="auto"/>
        <w:right w:val="none" w:sz="0" w:space="0" w:color="auto"/>
      </w:divBdr>
    </w:div>
    <w:div w:id="1144855481">
      <w:bodyDiv w:val="1"/>
      <w:marLeft w:val="0"/>
      <w:marRight w:val="0"/>
      <w:marTop w:val="0"/>
      <w:marBottom w:val="0"/>
      <w:divBdr>
        <w:top w:val="none" w:sz="0" w:space="0" w:color="auto"/>
        <w:left w:val="none" w:sz="0" w:space="0" w:color="auto"/>
        <w:bottom w:val="none" w:sz="0" w:space="0" w:color="auto"/>
        <w:right w:val="none" w:sz="0" w:space="0" w:color="auto"/>
      </w:divBdr>
    </w:div>
    <w:div w:id="1148979918">
      <w:bodyDiv w:val="1"/>
      <w:marLeft w:val="0"/>
      <w:marRight w:val="0"/>
      <w:marTop w:val="0"/>
      <w:marBottom w:val="0"/>
      <w:divBdr>
        <w:top w:val="none" w:sz="0" w:space="0" w:color="auto"/>
        <w:left w:val="none" w:sz="0" w:space="0" w:color="auto"/>
        <w:bottom w:val="none" w:sz="0" w:space="0" w:color="auto"/>
        <w:right w:val="none" w:sz="0" w:space="0" w:color="auto"/>
      </w:divBdr>
    </w:div>
    <w:div w:id="1269464451">
      <w:bodyDiv w:val="1"/>
      <w:marLeft w:val="0"/>
      <w:marRight w:val="0"/>
      <w:marTop w:val="0"/>
      <w:marBottom w:val="0"/>
      <w:divBdr>
        <w:top w:val="none" w:sz="0" w:space="0" w:color="auto"/>
        <w:left w:val="none" w:sz="0" w:space="0" w:color="auto"/>
        <w:bottom w:val="none" w:sz="0" w:space="0" w:color="auto"/>
        <w:right w:val="none" w:sz="0" w:space="0" w:color="auto"/>
      </w:divBdr>
    </w:div>
    <w:div w:id="1312321514">
      <w:bodyDiv w:val="1"/>
      <w:marLeft w:val="0"/>
      <w:marRight w:val="0"/>
      <w:marTop w:val="0"/>
      <w:marBottom w:val="0"/>
      <w:divBdr>
        <w:top w:val="none" w:sz="0" w:space="0" w:color="auto"/>
        <w:left w:val="none" w:sz="0" w:space="0" w:color="auto"/>
        <w:bottom w:val="none" w:sz="0" w:space="0" w:color="auto"/>
        <w:right w:val="none" w:sz="0" w:space="0" w:color="auto"/>
      </w:divBdr>
    </w:div>
    <w:div w:id="1339385492">
      <w:bodyDiv w:val="1"/>
      <w:marLeft w:val="0"/>
      <w:marRight w:val="0"/>
      <w:marTop w:val="0"/>
      <w:marBottom w:val="0"/>
      <w:divBdr>
        <w:top w:val="none" w:sz="0" w:space="0" w:color="auto"/>
        <w:left w:val="none" w:sz="0" w:space="0" w:color="auto"/>
        <w:bottom w:val="none" w:sz="0" w:space="0" w:color="auto"/>
        <w:right w:val="none" w:sz="0" w:space="0" w:color="auto"/>
      </w:divBdr>
    </w:div>
    <w:div w:id="1359237260">
      <w:bodyDiv w:val="1"/>
      <w:marLeft w:val="0"/>
      <w:marRight w:val="0"/>
      <w:marTop w:val="0"/>
      <w:marBottom w:val="0"/>
      <w:divBdr>
        <w:top w:val="none" w:sz="0" w:space="0" w:color="auto"/>
        <w:left w:val="none" w:sz="0" w:space="0" w:color="auto"/>
        <w:bottom w:val="none" w:sz="0" w:space="0" w:color="auto"/>
        <w:right w:val="none" w:sz="0" w:space="0" w:color="auto"/>
      </w:divBdr>
    </w:div>
    <w:div w:id="1396246908">
      <w:bodyDiv w:val="1"/>
      <w:marLeft w:val="0"/>
      <w:marRight w:val="0"/>
      <w:marTop w:val="0"/>
      <w:marBottom w:val="0"/>
      <w:divBdr>
        <w:top w:val="none" w:sz="0" w:space="0" w:color="auto"/>
        <w:left w:val="none" w:sz="0" w:space="0" w:color="auto"/>
        <w:bottom w:val="none" w:sz="0" w:space="0" w:color="auto"/>
        <w:right w:val="none" w:sz="0" w:space="0" w:color="auto"/>
      </w:divBdr>
    </w:div>
    <w:div w:id="1406874956">
      <w:bodyDiv w:val="1"/>
      <w:marLeft w:val="0"/>
      <w:marRight w:val="0"/>
      <w:marTop w:val="0"/>
      <w:marBottom w:val="0"/>
      <w:divBdr>
        <w:top w:val="none" w:sz="0" w:space="0" w:color="auto"/>
        <w:left w:val="none" w:sz="0" w:space="0" w:color="auto"/>
        <w:bottom w:val="none" w:sz="0" w:space="0" w:color="auto"/>
        <w:right w:val="none" w:sz="0" w:space="0" w:color="auto"/>
      </w:divBdr>
    </w:div>
    <w:div w:id="1447771930">
      <w:bodyDiv w:val="1"/>
      <w:marLeft w:val="0"/>
      <w:marRight w:val="0"/>
      <w:marTop w:val="0"/>
      <w:marBottom w:val="0"/>
      <w:divBdr>
        <w:top w:val="none" w:sz="0" w:space="0" w:color="auto"/>
        <w:left w:val="none" w:sz="0" w:space="0" w:color="auto"/>
        <w:bottom w:val="none" w:sz="0" w:space="0" w:color="auto"/>
        <w:right w:val="none" w:sz="0" w:space="0" w:color="auto"/>
      </w:divBdr>
    </w:div>
    <w:div w:id="1469326377">
      <w:bodyDiv w:val="1"/>
      <w:marLeft w:val="0"/>
      <w:marRight w:val="0"/>
      <w:marTop w:val="0"/>
      <w:marBottom w:val="0"/>
      <w:divBdr>
        <w:top w:val="none" w:sz="0" w:space="0" w:color="auto"/>
        <w:left w:val="none" w:sz="0" w:space="0" w:color="auto"/>
        <w:bottom w:val="none" w:sz="0" w:space="0" w:color="auto"/>
        <w:right w:val="none" w:sz="0" w:space="0" w:color="auto"/>
      </w:divBdr>
    </w:div>
    <w:div w:id="1475294659">
      <w:bodyDiv w:val="1"/>
      <w:marLeft w:val="0"/>
      <w:marRight w:val="0"/>
      <w:marTop w:val="0"/>
      <w:marBottom w:val="0"/>
      <w:divBdr>
        <w:top w:val="none" w:sz="0" w:space="0" w:color="auto"/>
        <w:left w:val="none" w:sz="0" w:space="0" w:color="auto"/>
        <w:bottom w:val="none" w:sz="0" w:space="0" w:color="auto"/>
        <w:right w:val="none" w:sz="0" w:space="0" w:color="auto"/>
      </w:divBdr>
    </w:div>
    <w:div w:id="1622609421">
      <w:bodyDiv w:val="1"/>
      <w:marLeft w:val="0"/>
      <w:marRight w:val="0"/>
      <w:marTop w:val="0"/>
      <w:marBottom w:val="0"/>
      <w:divBdr>
        <w:top w:val="none" w:sz="0" w:space="0" w:color="auto"/>
        <w:left w:val="none" w:sz="0" w:space="0" w:color="auto"/>
        <w:bottom w:val="none" w:sz="0" w:space="0" w:color="auto"/>
        <w:right w:val="none" w:sz="0" w:space="0" w:color="auto"/>
      </w:divBdr>
    </w:div>
    <w:div w:id="1648167980">
      <w:bodyDiv w:val="1"/>
      <w:marLeft w:val="0"/>
      <w:marRight w:val="0"/>
      <w:marTop w:val="0"/>
      <w:marBottom w:val="0"/>
      <w:divBdr>
        <w:top w:val="none" w:sz="0" w:space="0" w:color="auto"/>
        <w:left w:val="none" w:sz="0" w:space="0" w:color="auto"/>
        <w:bottom w:val="none" w:sz="0" w:space="0" w:color="auto"/>
        <w:right w:val="none" w:sz="0" w:space="0" w:color="auto"/>
      </w:divBdr>
    </w:div>
    <w:div w:id="1667128981">
      <w:bodyDiv w:val="1"/>
      <w:marLeft w:val="0"/>
      <w:marRight w:val="0"/>
      <w:marTop w:val="0"/>
      <w:marBottom w:val="0"/>
      <w:divBdr>
        <w:top w:val="none" w:sz="0" w:space="0" w:color="auto"/>
        <w:left w:val="none" w:sz="0" w:space="0" w:color="auto"/>
        <w:bottom w:val="none" w:sz="0" w:space="0" w:color="auto"/>
        <w:right w:val="none" w:sz="0" w:space="0" w:color="auto"/>
      </w:divBdr>
    </w:div>
    <w:div w:id="1676420860">
      <w:bodyDiv w:val="1"/>
      <w:marLeft w:val="0"/>
      <w:marRight w:val="0"/>
      <w:marTop w:val="0"/>
      <w:marBottom w:val="0"/>
      <w:divBdr>
        <w:top w:val="none" w:sz="0" w:space="0" w:color="auto"/>
        <w:left w:val="none" w:sz="0" w:space="0" w:color="auto"/>
        <w:bottom w:val="none" w:sz="0" w:space="0" w:color="auto"/>
        <w:right w:val="none" w:sz="0" w:space="0" w:color="auto"/>
      </w:divBdr>
    </w:div>
    <w:div w:id="1685479586">
      <w:bodyDiv w:val="1"/>
      <w:marLeft w:val="0"/>
      <w:marRight w:val="0"/>
      <w:marTop w:val="0"/>
      <w:marBottom w:val="0"/>
      <w:divBdr>
        <w:top w:val="none" w:sz="0" w:space="0" w:color="auto"/>
        <w:left w:val="none" w:sz="0" w:space="0" w:color="auto"/>
        <w:bottom w:val="none" w:sz="0" w:space="0" w:color="auto"/>
        <w:right w:val="none" w:sz="0" w:space="0" w:color="auto"/>
      </w:divBdr>
    </w:div>
    <w:div w:id="1699313506">
      <w:bodyDiv w:val="1"/>
      <w:marLeft w:val="0"/>
      <w:marRight w:val="0"/>
      <w:marTop w:val="0"/>
      <w:marBottom w:val="0"/>
      <w:divBdr>
        <w:top w:val="none" w:sz="0" w:space="0" w:color="auto"/>
        <w:left w:val="none" w:sz="0" w:space="0" w:color="auto"/>
        <w:bottom w:val="none" w:sz="0" w:space="0" w:color="auto"/>
        <w:right w:val="none" w:sz="0" w:space="0" w:color="auto"/>
      </w:divBdr>
    </w:div>
    <w:div w:id="1730613145">
      <w:bodyDiv w:val="1"/>
      <w:marLeft w:val="0"/>
      <w:marRight w:val="0"/>
      <w:marTop w:val="0"/>
      <w:marBottom w:val="0"/>
      <w:divBdr>
        <w:top w:val="none" w:sz="0" w:space="0" w:color="auto"/>
        <w:left w:val="none" w:sz="0" w:space="0" w:color="auto"/>
        <w:bottom w:val="none" w:sz="0" w:space="0" w:color="auto"/>
        <w:right w:val="none" w:sz="0" w:space="0" w:color="auto"/>
      </w:divBdr>
    </w:div>
    <w:div w:id="1775396568">
      <w:bodyDiv w:val="1"/>
      <w:marLeft w:val="0"/>
      <w:marRight w:val="0"/>
      <w:marTop w:val="0"/>
      <w:marBottom w:val="0"/>
      <w:divBdr>
        <w:top w:val="none" w:sz="0" w:space="0" w:color="auto"/>
        <w:left w:val="none" w:sz="0" w:space="0" w:color="auto"/>
        <w:bottom w:val="none" w:sz="0" w:space="0" w:color="auto"/>
        <w:right w:val="none" w:sz="0" w:space="0" w:color="auto"/>
      </w:divBdr>
    </w:div>
    <w:div w:id="1776827085">
      <w:bodyDiv w:val="1"/>
      <w:marLeft w:val="0"/>
      <w:marRight w:val="0"/>
      <w:marTop w:val="0"/>
      <w:marBottom w:val="0"/>
      <w:divBdr>
        <w:top w:val="none" w:sz="0" w:space="0" w:color="auto"/>
        <w:left w:val="none" w:sz="0" w:space="0" w:color="auto"/>
        <w:bottom w:val="none" w:sz="0" w:space="0" w:color="auto"/>
        <w:right w:val="none" w:sz="0" w:space="0" w:color="auto"/>
      </w:divBdr>
    </w:div>
    <w:div w:id="1807967510">
      <w:bodyDiv w:val="1"/>
      <w:marLeft w:val="0"/>
      <w:marRight w:val="0"/>
      <w:marTop w:val="0"/>
      <w:marBottom w:val="0"/>
      <w:divBdr>
        <w:top w:val="none" w:sz="0" w:space="0" w:color="auto"/>
        <w:left w:val="none" w:sz="0" w:space="0" w:color="auto"/>
        <w:bottom w:val="none" w:sz="0" w:space="0" w:color="auto"/>
        <w:right w:val="none" w:sz="0" w:space="0" w:color="auto"/>
      </w:divBdr>
    </w:div>
    <w:div w:id="1852717162">
      <w:bodyDiv w:val="1"/>
      <w:marLeft w:val="0"/>
      <w:marRight w:val="0"/>
      <w:marTop w:val="0"/>
      <w:marBottom w:val="0"/>
      <w:divBdr>
        <w:top w:val="none" w:sz="0" w:space="0" w:color="auto"/>
        <w:left w:val="none" w:sz="0" w:space="0" w:color="auto"/>
        <w:bottom w:val="none" w:sz="0" w:space="0" w:color="auto"/>
        <w:right w:val="none" w:sz="0" w:space="0" w:color="auto"/>
      </w:divBdr>
    </w:div>
    <w:div w:id="1883009586">
      <w:bodyDiv w:val="1"/>
      <w:marLeft w:val="0"/>
      <w:marRight w:val="0"/>
      <w:marTop w:val="0"/>
      <w:marBottom w:val="0"/>
      <w:divBdr>
        <w:top w:val="none" w:sz="0" w:space="0" w:color="auto"/>
        <w:left w:val="none" w:sz="0" w:space="0" w:color="auto"/>
        <w:bottom w:val="none" w:sz="0" w:space="0" w:color="auto"/>
        <w:right w:val="none" w:sz="0" w:space="0" w:color="auto"/>
      </w:divBdr>
    </w:div>
    <w:div w:id="1895583651">
      <w:bodyDiv w:val="1"/>
      <w:marLeft w:val="0"/>
      <w:marRight w:val="0"/>
      <w:marTop w:val="0"/>
      <w:marBottom w:val="0"/>
      <w:divBdr>
        <w:top w:val="none" w:sz="0" w:space="0" w:color="auto"/>
        <w:left w:val="none" w:sz="0" w:space="0" w:color="auto"/>
        <w:bottom w:val="none" w:sz="0" w:space="0" w:color="auto"/>
        <w:right w:val="none" w:sz="0" w:space="0" w:color="auto"/>
      </w:divBdr>
    </w:div>
    <w:div w:id="1917279131">
      <w:bodyDiv w:val="1"/>
      <w:marLeft w:val="0"/>
      <w:marRight w:val="0"/>
      <w:marTop w:val="0"/>
      <w:marBottom w:val="0"/>
      <w:divBdr>
        <w:top w:val="none" w:sz="0" w:space="0" w:color="auto"/>
        <w:left w:val="none" w:sz="0" w:space="0" w:color="auto"/>
        <w:bottom w:val="none" w:sz="0" w:space="0" w:color="auto"/>
        <w:right w:val="none" w:sz="0" w:space="0" w:color="auto"/>
      </w:divBdr>
    </w:div>
    <w:div w:id="2022657443">
      <w:bodyDiv w:val="1"/>
      <w:marLeft w:val="0"/>
      <w:marRight w:val="0"/>
      <w:marTop w:val="0"/>
      <w:marBottom w:val="0"/>
      <w:divBdr>
        <w:top w:val="none" w:sz="0" w:space="0" w:color="auto"/>
        <w:left w:val="none" w:sz="0" w:space="0" w:color="auto"/>
        <w:bottom w:val="none" w:sz="0" w:space="0" w:color="auto"/>
        <w:right w:val="none" w:sz="0" w:space="0" w:color="auto"/>
      </w:divBdr>
    </w:div>
    <w:div w:id="2034916834">
      <w:bodyDiv w:val="1"/>
      <w:marLeft w:val="0"/>
      <w:marRight w:val="0"/>
      <w:marTop w:val="0"/>
      <w:marBottom w:val="0"/>
      <w:divBdr>
        <w:top w:val="none" w:sz="0" w:space="0" w:color="auto"/>
        <w:left w:val="none" w:sz="0" w:space="0" w:color="auto"/>
        <w:bottom w:val="none" w:sz="0" w:space="0" w:color="auto"/>
        <w:right w:val="none" w:sz="0" w:space="0" w:color="auto"/>
      </w:divBdr>
    </w:div>
    <w:div w:id="2083208813">
      <w:bodyDiv w:val="1"/>
      <w:marLeft w:val="0"/>
      <w:marRight w:val="0"/>
      <w:marTop w:val="0"/>
      <w:marBottom w:val="0"/>
      <w:divBdr>
        <w:top w:val="none" w:sz="0" w:space="0" w:color="auto"/>
        <w:left w:val="none" w:sz="0" w:space="0" w:color="auto"/>
        <w:bottom w:val="none" w:sz="0" w:space="0" w:color="auto"/>
        <w:right w:val="none" w:sz="0" w:space="0" w:color="auto"/>
      </w:divBdr>
    </w:div>
    <w:div w:id="2108037619">
      <w:bodyDiv w:val="1"/>
      <w:marLeft w:val="0"/>
      <w:marRight w:val="0"/>
      <w:marTop w:val="0"/>
      <w:marBottom w:val="0"/>
      <w:divBdr>
        <w:top w:val="none" w:sz="0" w:space="0" w:color="auto"/>
        <w:left w:val="none" w:sz="0" w:space="0" w:color="auto"/>
        <w:bottom w:val="none" w:sz="0" w:space="0" w:color="auto"/>
        <w:right w:val="none" w:sz="0" w:space="0" w:color="auto"/>
      </w:divBdr>
    </w:div>
    <w:div w:id="2123180156">
      <w:bodyDiv w:val="1"/>
      <w:marLeft w:val="0"/>
      <w:marRight w:val="0"/>
      <w:marTop w:val="0"/>
      <w:marBottom w:val="0"/>
      <w:divBdr>
        <w:top w:val="none" w:sz="0" w:space="0" w:color="auto"/>
        <w:left w:val="none" w:sz="0" w:space="0" w:color="auto"/>
        <w:bottom w:val="none" w:sz="0" w:space="0" w:color="auto"/>
        <w:right w:val="none" w:sz="0" w:space="0" w:color="auto"/>
      </w:divBdr>
    </w:div>
    <w:div w:id="2141535345">
      <w:bodyDiv w:val="1"/>
      <w:marLeft w:val="0"/>
      <w:marRight w:val="0"/>
      <w:marTop w:val="0"/>
      <w:marBottom w:val="0"/>
      <w:divBdr>
        <w:top w:val="none" w:sz="0" w:space="0" w:color="auto"/>
        <w:left w:val="none" w:sz="0" w:space="0" w:color="auto"/>
        <w:bottom w:val="none" w:sz="0" w:space="0" w:color="auto"/>
        <w:right w:val="none" w:sz="0" w:space="0" w:color="auto"/>
      </w:divBdr>
    </w:div>
    <w:div w:id="21427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yperlink" Target="mailto:ryan.o'neill@peterborough.gov.uk"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366852/PHE_Priorities.pdf"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8A51-9555-4374-BA8A-4A0DBE3D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Ryan</dc:creator>
  <cp:keywords/>
  <dc:description/>
  <cp:lastModifiedBy>Fitzjohn Gen</cp:lastModifiedBy>
  <cp:revision>2</cp:revision>
  <dcterms:created xsi:type="dcterms:W3CDTF">2018-05-08T12:26:00Z</dcterms:created>
  <dcterms:modified xsi:type="dcterms:W3CDTF">2018-05-08T12:26:00Z</dcterms:modified>
</cp:coreProperties>
</file>