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41" w:rsidRDefault="005404E6" w:rsidP="009D4841">
      <w:pPr>
        <w:rPr>
          <w:rFonts w:ascii="Calibri Light" w:eastAsia="Times New Roman" w:hAnsi="Calibri Light"/>
          <w:b/>
        </w:rPr>
      </w:pPr>
      <w:r>
        <w:rPr>
          <w:rFonts w:ascii="Calibri Light" w:eastAsia="Times New Roman" w:hAnsi="Calibri Light"/>
          <w:b/>
        </w:rPr>
        <w:t xml:space="preserve">CSHG </w:t>
      </w:r>
    </w:p>
    <w:p w:rsidR="009D4841" w:rsidRPr="00803222" w:rsidRDefault="005404E6" w:rsidP="009D4841">
      <w:pPr>
        <w:rPr>
          <w:rFonts w:ascii="Calibri Light" w:eastAsia="Times New Roman" w:hAnsi="Calibri Light"/>
        </w:rPr>
      </w:pPr>
      <w:proofErr w:type="gramStart"/>
      <w:r>
        <w:rPr>
          <w:rFonts w:ascii="Calibri Light" w:eastAsia="Times New Roman" w:hAnsi="Calibri Light"/>
        </w:rPr>
        <w:t>Tuesday July 18</w:t>
      </w:r>
      <w:r w:rsidRPr="005404E6">
        <w:rPr>
          <w:rFonts w:ascii="Calibri Light" w:eastAsia="Times New Roman" w:hAnsi="Calibri Light"/>
          <w:vertAlign w:val="superscript"/>
        </w:rPr>
        <w:t>th</w:t>
      </w:r>
      <w:r>
        <w:rPr>
          <w:rFonts w:ascii="Calibri Light" w:eastAsia="Times New Roman" w:hAnsi="Calibri Light"/>
        </w:rPr>
        <w:t>, 2017</w:t>
      </w:r>
      <w:r w:rsidR="009D4841">
        <w:rPr>
          <w:rFonts w:ascii="Calibri Light" w:eastAsia="Times New Roman" w:hAnsi="Calibri Light"/>
        </w:rPr>
        <w:t xml:space="preserve"> from 10.00a.m.</w:t>
      </w:r>
      <w:proofErr w:type="gramEnd"/>
      <w:r w:rsidR="009D4841">
        <w:rPr>
          <w:rFonts w:ascii="Calibri Light" w:eastAsia="Times New Roman" w:hAnsi="Calibri Light"/>
        </w:rPr>
        <w:t xml:space="preserve"> </w:t>
      </w:r>
      <w:proofErr w:type="gramStart"/>
      <w:r w:rsidR="009D4841">
        <w:rPr>
          <w:rFonts w:ascii="Calibri Light" w:eastAsia="Times New Roman" w:hAnsi="Calibri Light"/>
        </w:rPr>
        <w:t>to</w:t>
      </w:r>
      <w:proofErr w:type="gramEnd"/>
      <w:r w:rsidR="009D4841">
        <w:rPr>
          <w:rFonts w:ascii="Calibri Light" w:eastAsia="Times New Roman" w:hAnsi="Calibri Light"/>
        </w:rPr>
        <w:t xml:space="preserve"> 12.30</w:t>
      </w:r>
    </w:p>
    <w:p w:rsidR="005404E6" w:rsidRDefault="00A01035" w:rsidP="00803222">
      <w:pPr>
        <w:rPr>
          <w:rFonts w:ascii="Calibri Light" w:eastAsia="Times New Roman" w:hAnsi="Calibri Light"/>
        </w:rPr>
      </w:pPr>
      <w:proofErr w:type="spellStart"/>
      <w:r>
        <w:rPr>
          <w:rFonts w:ascii="Calibri Light" w:eastAsia="Times New Roman" w:hAnsi="Calibri Light"/>
        </w:rPr>
        <w:t>Swansley</w:t>
      </w:r>
      <w:proofErr w:type="spellEnd"/>
      <w:r>
        <w:rPr>
          <w:rFonts w:ascii="Calibri Light" w:eastAsia="Times New Roman" w:hAnsi="Calibri Light"/>
        </w:rPr>
        <w:t xml:space="preserve"> </w:t>
      </w:r>
      <w:r w:rsidR="005404E6">
        <w:rPr>
          <w:rFonts w:ascii="Calibri Light" w:eastAsia="Times New Roman" w:hAnsi="Calibri Light"/>
        </w:rPr>
        <w:t xml:space="preserve">room, SCDC offices, </w:t>
      </w:r>
      <w:proofErr w:type="spellStart"/>
      <w:r w:rsidR="005404E6">
        <w:rPr>
          <w:rFonts w:ascii="Calibri Light" w:eastAsia="Times New Roman" w:hAnsi="Calibri Light"/>
        </w:rPr>
        <w:t>Cambourne</w:t>
      </w:r>
      <w:proofErr w:type="spellEnd"/>
    </w:p>
    <w:p w:rsidR="00803222" w:rsidRPr="009D4841" w:rsidRDefault="005404E6" w:rsidP="009D4841">
      <w:pPr>
        <w:spacing w:before="120" w:after="120"/>
        <w:rPr>
          <w:rFonts w:ascii="Calibri Light" w:eastAsia="Times New Roman" w:hAnsi="Calibri Light"/>
          <w:b/>
        </w:rPr>
      </w:pPr>
      <w:r w:rsidRPr="009D4841">
        <w:rPr>
          <w:rFonts w:ascii="Calibri Light" w:eastAsia="Times New Roman" w:hAnsi="Calibri Light"/>
          <w:b/>
        </w:rPr>
        <w:t xml:space="preserve">DRAFT </w:t>
      </w:r>
      <w:r w:rsidR="00803222" w:rsidRPr="009D4841">
        <w:rPr>
          <w:rFonts w:ascii="Calibri Light" w:eastAsia="Times New Roman" w:hAnsi="Calibri Light"/>
          <w:b/>
        </w:rPr>
        <w:t>AGENDA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00"/>
        <w:gridCol w:w="1382"/>
      </w:tblGrid>
      <w:tr w:rsidR="00A01035" w:rsidRPr="00803222" w:rsidTr="00940625">
        <w:tc>
          <w:tcPr>
            <w:tcW w:w="4353" w:type="pct"/>
          </w:tcPr>
          <w:p w:rsidR="00A01035" w:rsidRDefault="00A01035" w:rsidP="005404E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Welcome, apologies </w:t>
            </w:r>
            <w:proofErr w:type="spellStart"/>
            <w:r>
              <w:rPr>
                <w:rFonts w:ascii="Calibri Light" w:eastAsia="Times New Roman" w:hAnsi="Calibri Light"/>
              </w:rPr>
              <w:t>etc</w:t>
            </w:r>
            <w:proofErr w:type="spellEnd"/>
          </w:p>
        </w:tc>
        <w:tc>
          <w:tcPr>
            <w:tcW w:w="647" w:type="pct"/>
          </w:tcPr>
          <w:p w:rsidR="00A01035" w:rsidRDefault="00A01035" w:rsidP="005404E6">
            <w:pPr>
              <w:spacing w:before="120" w:after="120"/>
              <w:ind w:left="34"/>
              <w:rPr>
                <w:rFonts w:ascii="Calibri Light" w:eastAsia="Times New Roman" w:hAnsi="Calibri Light"/>
              </w:rPr>
            </w:pPr>
          </w:p>
        </w:tc>
      </w:tr>
      <w:tr w:rsidR="00D33FD4" w:rsidRPr="00803222" w:rsidTr="00940625">
        <w:tc>
          <w:tcPr>
            <w:tcW w:w="4353" w:type="pct"/>
          </w:tcPr>
          <w:p w:rsidR="00D33FD4" w:rsidRDefault="00D33FD4" w:rsidP="005404E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 w:rsidRPr="00D33FD4">
              <w:rPr>
                <w:rFonts w:ascii="Calibri Light" w:eastAsia="Times New Roman" w:hAnsi="Calibri Light"/>
              </w:rPr>
              <w:t>Commissioning Review of homeless related services</w:t>
            </w:r>
          </w:p>
        </w:tc>
        <w:tc>
          <w:tcPr>
            <w:tcW w:w="647" w:type="pct"/>
          </w:tcPr>
          <w:p w:rsidR="00D33FD4" w:rsidRDefault="00D33FD4" w:rsidP="005404E6">
            <w:pPr>
              <w:spacing w:before="120" w:after="120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TR</w:t>
            </w:r>
          </w:p>
        </w:tc>
      </w:tr>
      <w:tr w:rsidR="00803222" w:rsidRPr="00803222" w:rsidTr="00940625">
        <w:tc>
          <w:tcPr>
            <w:tcW w:w="4353" w:type="pct"/>
          </w:tcPr>
          <w:p w:rsidR="00A01035" w:rsidRDefault="005404E6" w:rsidP="005404E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Update </w:t>
            </w:r>
            <w:r w:rsidR="00803222" w:rsidRPr="00803222">
              <w:rPr>
                <w:rFonts w:ascii="Calibri Light" w:eastAsia="Times New Roman" w:hAnsi="Calibri Light"/>
              </w:rPr>
              <w:t xml:space="preserve">on devolution </w:t>
            </w:r>
          </w:p>
          <w:p w:rsidR="005404E6" w:rsidRDefault="005404E6" w:rsidP="005404E6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Mayor’s first 100 days</w:t>
            </w:r>
          </w:p>
          <w:p w:rsidR="005404E6" w:rsidRDefault="005404E6" w:rsidP="005404E6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Summit on 24 July and future events</w:t>
            </w:r>
          </w:p>
          <w:p w:rsidR="005404E6" w:rsidRPr="00803222" w:rsidRDefault="005404E6" w:rsidP="005404E6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Draft strategy / blueprint</w:t>
            </w:r>
          </w:p>
        </w:tc>
        <w:tc>
          <w:tcPr>
            <w:tcW w:w="647" w:type="pct"/>
          </w:tcPr>
          <w:p w:rsidR="00803222" w:rsidRPr="00803222" w:rsidRDefault="005404E6" w:rsidP="005404E6">
            <w:pPr>
              <w:spacing w:before="120" w:after="120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All</w:t>
            </w:r>
            <w:bookmarkStart w:id="0" w:name="_GoBack"/>
            <w:bookmarkEnd w:id="0"/>
          </w:p>
        </w:tc>
      </w:tr>
      <w:tr w:rsidR="00803222" w:rsidRPr="00803222" w:rsidTr="00940625">
        <w:tc>
          <w:tcPr>
            <w:tcW w:w="4353" w:type="pct"/>
          </w:tcPr>
          <w:p w:rsidR="00803222" w:rsidRPr="00803222" w:rsidRDefault="005404E6" w:rsidP="005404E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Update on “affordable rent” in our area proposal to CRHB – planning a task for CSHG? (see note from July’s CRHB below)</w:t>
            </w:r>
          </w:p>
        </w:tc>
        <w:tc>
          <w:tcPr>
            <w:tcW w:w="647" w:type="pct"/>
          </w:tcPr>
          <w:p w:rsidR="00803222" w:rsidRPr="00803222" w:rsidRDefault="009D4841" w:rsidP="005404E6">
            <w:pPr>
              <w:spacing w:before="120" w:after="120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HR/SB</w:t>
            </w:r>
          </w:p>
        </w:tc>
      </w:tr>
      <w:tr w:rsidR="005404E6" w:rsidRPr="00803222" w:rsidTr="00940625">
        <w:tc>
          <w:tcPr>
            <w:tcW w:w="4353" w:type="pct"/>
          </w:tcPr>
          <w:p w:rsidR="005404E6" w:rsidRDefault="005404E6" w:rsidP="005404E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Who moves onto growth sites?</w:t>
            </w:r>
            <w:r w:rsidR="009D4841">
              <w:rPr>
                <w:rFonts w:ascii="Calibri Light" w:eastAsia="Times New Roman" w:hAnsi="Calibri Light"/>
              </w:rPr>
              <w:t xml:space="preserve"> (see note from July’s CRHB below)</w:t>
            </w:r>
          </w:p>
        </w:tc>
        <w:tc>
          <w:tcPr>
            <w:tcW w:w="647" w:type="pct"/>
          </w:tcPr>
          <w:p w:rsidR="005404E6" w:rsidRDefault="009D4841" w:rsidP="005404E6">
            <w:pPr>
              <w:spacing w:before="120" w:after="120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HR/SB</w:t>
            </w:r>
          </w:p>
        </w:tc>
      </w:tr>
      <w:tr w:rsidR="00D33FD4" w:rsidRPr="00803222" w:rsidTr="00940625">
        <w:tc>
          <w:tcPr>
            <w:tcW w:w="4353" w:type="pct"/>
          </w:tcPr>
          <w:p w:rsidR="00D33FD4" w:rsidRDefault="00D33FD4" w:rsidP="005404E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Peterborough’s space standards consultation (note attached)</w:t>
            </w:r>
          </w:p>
        </w:tc>
        <w:tc>
          <w:tcPr>
            <w:tcW w:w="647" w:type="pct"/>
          </w:tcPr>
          <w:p w:rsidR="00D33FD4" w:rsidRDefault="00D33FD4" w:rsidP="005404E6">
            <w:pPr>
              <w:spacing w:before="120" w:after="120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CH</w:t>
            </w:r>
          </w:p>
        </w:tc>
      </w:tr>
      <w:tr w:rsidR="00803222" w:rsidRPr="00803222" w:rsidTr="00940625">
        <w:tc>
          <w:tcPr>
            <w:tcW w:w="4353" w:type="pct"/>
          </w:tcPr>
          <w:p w:rsidR="00803222" w:rsidRPr="00A01035" w:rsidRDefault="00A01035" w:rsidP="005404E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Savill’s affordability research – </w:t>
            </w:r>
            <w:r w:rsidR="005404E6">
              <w:rPr>
                <w:rFonts w:ascii="Calibri Light" w:eastAsia="Times New Roman" w:hAnsi="Calibri Light"/>
              </w:rPr>
              <w:t>update – and “diamond-o-grams”</w:t>
            </w:r>
          </w:p>
        </w:tc>
        <w:tc>
          <w:tcPr>
            <w:tcW w:w="647" w:type="pct"/>
          </w:tcPr>
          <w:p w:rsidR="00803222" w:rsidRPr="00803222" w:rsidRDefault="005404E6" w:rsidP="005404E6">
            <w:pPr>
              <w:spacing w:before="120" w:after="120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SB</w:t>
            </w:r>
          </w:p>
        </w:tc>
      </w:tr>
      <w:tr w:rsidR="005404E6" w:rsidRPr="00803222" w:rsidTr="008A514A">
        <w:tc>
          <w:tcPr>
            <w:tcW w:w="4353" w:type="pct"/>
          </w:tcPr>
          <w:p w:rsidR="005404E6" w:rsidRDefault="005404E6" w:rsidP="005404E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U</w:t>
            </w:r>
            <w:r w:rsidRPr="00803222">
              <w:rPr>
                <w:rFonts w:ascii="Calibri Light" w:eastAsia="Times New Roman" w:hAnsi="Calibri Light"/>
              </w:rPr>
              <w:t xml:space="preserve">pdate from </w:t>
            </w:r>
            <w:r>
              <w:rPr>
                <w:rFonts w:ascii="Calibri Light" w:eastAsia="Times New Roman" w:hAnsi="Calibri Light"/>
              </w:rPr>
              <w:t>CCRG</w:t>
            </w:r>
            <w:r w:rsidR="009D4841">
              <w:rPr>
                <w:rFonts w:ascii="Calibri Light" w:eastAsia="Times New Roman" w:hAnsi="Calibri Light"/>
              </w:rPr>
              <w:t>, including</w:t>
            </w:r>
            <w:r w:rsidRPr="00803222">
              <w:rPr>
                <w:rFonts w:ascii="Calibri Light" w:eastAsia="Times New Roman" w:hAnsi="Calibri Light"/>
              </w:rPr>
              <w:t xml:space="preserve"> </w:t>
            </w:r>
          </w:p>
          <w:p w:rsidR="009D4841" w:rsidRDefault="009D4841" w:rsidP="009D4841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Progress on OAN and update for Cambs Insight page</w:t>
            </w:r>
          </w:p>
          <w:p w:rsidR="009D4841" w:rsidRDefault="009D4841" w:rsidP="009D4841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Update on City and SCDC planning inspection</w:t>
            </w:r>
          </w:p>
          <w:p w:rsidR="009D4841" w:rsidRDefault="009D4841" w:rsidP="009D4841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Huntingdonshire timetable</w:t>
            </w:r>
          </w:p>
          <w:p w:rsidR="009D4841" w:rsidRPr="00803222" w:rsidRDefault="009D4841" w:rsidP="009D4841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Others…</w:t>
            </w:r>
          </w:p>
        </w:tc>
        <w:tc>
          <w:tcPr>
            <w:tcW w:w="647" w:type="pct"/>
          </w:tcPr>
          <w:p w:rsidR="005404E6" w:rsidRPr="00803222" w:rsidRDefault="005404E6" w:rsidP="005404E6">
            <w:pPr>
              <w:spacing w:before="120" w:after="120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BR</w:t>
            </w:r>
          </w:p>
        </w:tc>
      </w:tr>
      <w:tr w:rsidR="005404E6" w:rsidRPr="00803222" w:rsidTr="008A514A">
        <w:tc>
          <w:tcPr>
            <w:tcW w:w="4353" w:type="pct"/>
          </w:tcPr>
          <w:p w:rsidR="009D4841" w:rsidRDefault="009D4841" w:rsidP="009D484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Do we want a discussion about SHMA and… </w:t>
            </w:r>
          </w:p>
          <w:p w:rsidR="009D4841" w:rsidRDefault="009D4841" w:rsidP="009D4841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T</w:t>
            </w:r>
            <w:r w:rsidRPr="00803222">
              <w:rPr>
                <w:rFonts w:ascii="Calibri Light" w:eastAsia="Times New Roman" w:hAnsi="Calibri Light"/>
              </w:rPr>
              <w:t>enure</w:t>
            </w:r>
            <w:r>
              <w:rPr>
                <w:rFonts w:ascii="Calibri Light" w:eastAsia="Times New Roman" w:hAnsi="Calibri Light"/>
              </w:rPr>
              <w:t xml:space="preserve"> &amp;</w:t>
            </w:r>
            <w:r w:rsidRPr="00803222">
              <w:rPr>
                <w:rFonts w:ascii="Calibri Light" w:eastAsia="Times New Roman" w:hAnsi="Calibri Light"/>
              </w:rPr>
              <w:t xml:space="preserve"> size </w:t>
            </w:r>
            <w:r>
              <w:rPr>
                <w:rFonts w:ascii="Calibri Light" w:eastAsia="Times New Roman" w:hAnsi="Calibri Light"/>
              </w:rPr>
              <w:t xml:space="preserve">(number of beds) for </w:t>
            </w:r>
            <w:r w:rsidRPr="00803222">
              <w:rPr>
                <w:rFonts w:ascii="Calibri Light" w:eastAsia="Times New Roman" w:hAnsi="Calibri Light"/>
              </w:rPr>
              <w:t xml:space="preserve">all housing and </w:t>
            </w:r>
            <w:r>
              <w:rPr>
                <w:rFonts w:ascii="Calibri Light" w:eastAsia="Times New Roman" w:hAnsi="Calibri Light"/>
              </w:rPr>
              <w:t xml:space="preserve">affordable </w:t>
            </w:r>
          </w:p>
          <w:p w:rsidR="005404E6" w:rsidRPr="00803222" w:rsidRDefault="005404E6" w:rsidP="009D4841">
            <w:pPr>
              <w:pStyle w:val="ListParagraph"/>
              <w:numPr>
                <w:ilvl w:val="1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 xml:space="preserve">Progress on </w:t>
            </w:r>
            <w:r w:rsidRPr="00803222">
              <w:rPr>
                <w:rFonts w:ascii="Calibri Light" w:eastAsia="Times New Roman" w:hAnsi="Calibri Light"/>
              </w:rPr>
              <w:t>older people and supported housing needs </w:t>
            </w:r>
          </w:p>
        </w:tc>
        <w:tc>
          <w:tcPr>
            <w:tcW w:w="647" w:type="pct"/>
          </w:tcPr>
          <w:p w:rsidR="005404E6" w:rsidRPr="00803222" w:rsidRDefault="005404E6" w:rsidP="005404E6">
            <w:pPr>
              <w:spacing w:before="120" w:after="120"/>
              <w:ind w:left="34"/>
              <w:rPr>
                <w:rFonts w:ascii="Calibri Light" w:eastAsia="Times New Roman" w:hAnsi="Calibri Light"/>
              </w:rPr>
            </w:pPr>
          </w:p>
        </w:tc>
      </w:tr>
      <w:tr w:rsidR="00803222" w:rsidRPr="00803222" w:rsidTr="00940625">
        <w:tc>
          <w:tcPr>
            <w:tcW w:w="4353" w:type="pct"/>
          </w:tcPr>
          <w:p w:rsidR="00803222" w:rsidRPr="00803222" w:rsidRDefault="00803222" w:rsidP="005404E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eastAsia="Times New Roman" w:hAnsi="Calibri Light"/>
              </w:rPr>
            </w:pPr>
            <w:r w:rsidRPr="00803222">
              <w:rPr>
                <w:rFonts w:ascii="Calibri Light" w:eastAsia="Times New Roman" w:hAnsi="Calibri Light"/>
              </w:rPr>
              <w:t>AOB</w:t>
            </w:r>
          </w:p>
        </w:tc>
        <w:tc>
          <w:tcPr>
            <w:tcW w:w="647" w:type="pct"/>
          </w:tcPr>
          <w:p w:rsidR="00803222" w:rsidRPr="00803222" w:rsidRDefault="00A01035" w:rsidP="005404E6">
            <w:pPr>
              <w:spacing w:before="120" w:after="120"/>
              <w:ind w:left="34"/>
              <w:rPr>
                <w:rFonts w:ascii="Calibri Light" w:eastAsia="Times New Roman" w:hAnsi="Calibri Light"/>
              </w:rPr>
            </w:pPr>
            <w:r>
              <w:rPr>
                <w:rFonts w:ascii="Calibri Light" w:eastAsia="Times New Roman" w:hAnsi="Calibri Light"/>
              </w:rPr>
              <w:t>All</w:t>
            </w:r>
          </w:p>
        </w:tc>
      </w:tr>
    </w:tbl>
    <w:p w:rsidR="00391F7F" w:rsidRDefault="00391F7F" w:rsidP="00803222">
      <w:pPr>
        <w:rPr>
          <w:rFonts w:ascii="Calibri Light" w:hAnsi="Calibri Light" w:cstheme="majorHAnsi"/>
        </w:rPr>
      </w:pPr>
    </w:p>
    <w:p w:rsidR="00A01035" w:rsidRDefault="00A01035" w:rsidP="00803222">
      <w:pPr>
        <w:rPr>
          <w:rFonts w:ascii="Calibri Light" w:hAnsi="Calibri Light" w:cstheme="majorHAnsi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82"/>
      </w:tblGrid>
      <w:tr w:rsidR="005404E6" w:rsidRPr="00565E1C" w:rsidTr="008A514A">
        <w:tc>
          <w:tcPr>
            <w:tcW w:w="5000" w:type="pct"/>
          </w:tcPr>
          <w:p w:rsidR="005404E6" w:rsidRDefault="005404E6" w:rsidP="005404E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60" w:after="60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  <w:r w:rsidRPr="00081E3E">
              <w:rPr>
                <w:rFonts w:ascii="Calibri Light" w:hAnsi="Calibri Light"/>
                <w:b/>
                <w:bCs/>
                <w:sz w:val="22"/>
                <w:szCs w:val="22"/>
              </w:rPr>
              <w:t>Review of the Affordable Rent product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(Helen R)</w:t>
            </w:r>
          </w:p>
          <w:p w:rsidR="005404E6" w:rsidRPr="009D4841" w:rsidRDefault="005404E6" w:rsidP="005404E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60" w:after="60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  <w:r w:rsidRPr="009D4841">
              <w:rPr>
                <w:rFonts w:ascii="Calibri Light" w:hAnsi="Calibri Light"/>
                <w:bCs/>
                <w:sz w:val="22"/>
                <w:szCs w:val="22"/>
              </w:rPr>
              <w:t>Some time ago we all worked on tenancy strategies, and set out where we thought affordable rent and other tenure issues would “fit” in our local markets</w:t>
            </w:r>
            <w:r w:rsidR="009D4841" w:rsidRPr="009D4841">
              <w:rPr>
                <w:rFonts w:ascii="Calibri Light" w:hAnsi="Calibri Light"/>
                <w:bCs/>
                <w:sz w:val="22"/>
                <w:szCs w:val="22"/>
              </w:rPr>
              <w:t xml:space="preserve">. </w:t>
            </w:r>
            <w:r w:rsidRPr="009D4841">
              <w:rPr>
                <w:rFonts w:ascii="Calibri Light" w:hAnsi="Calibri Light"/>
                <w:bCs/>
                <w:sz w:val="22"/>
                <w:szCs w:val="22"/>
              </w:rPr>
              <w:t xml:space="preserve">Suggestion we should revisit this area and look at the effect affordable rents </w:t>
            </w:r>
            <w:proofErr w:type="gramStart"/>
            <w:r w:rsidRPr="009D4841">
              <w:rPr>
                <w:rFonts w:ascii="Calibri Light" w:hAnsi="Calibri Light"/>
                <w:bCs/>
                <w:sz w:val="22"/>
                <w:szCs w:val="22"/>
              </w:rPr>
              <w:t>have</w:t>
            </w:r>
            <w:proofErr w:type="gramEnd"/>
            <w:r w:rsidRPr="009D4841">
              <w:rPr>
                <w:rFonts w:ascii="Calibri Light" w:hAnsi="Calibri Light"/>
                <w:bCs/>
                <w:sz w:val="22"/>
                <w:szCs w:val="22"/>
              </w:rPr>
              <w:t xml:space="preserve"> had.</w:t>
            </w:r>
          </w:p>
          <w:p w:rsidR="005404E6" w:rsidRDefault="005404E6" w:rsidP="005404E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60" w:after="60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Is affordable rent tenure being allocated to the </w:t>
            </w:r>
            <w:proofErr w:type="gramStart"/>
            <w:r>
              <w:rPr>
                <w:rFonts w:ascii="Calibri Light" w:hAnsi="Calibri Light"/>
                <w:bCs/>
                <w:sz w:val="22"/>
                <w:szCs w:val="22"/>
              </w:rPr>
              <w:t>same,</w:t>
            </w:r>
            <w:proofErr w:type="gramEnd"/>
            <w:r>
              <w:rPr>
                <w:rFonts w:ascii="Calibri Light" w:hAnsi="Calibri Light"/>
                <w:bCs/>
                <w:sz w:val="22"/>
                <w:szCs w:val="22"/>
              </w:rPr>
              <w:t xml:space="preserve"> or different bands of housing need from Home-Link?</w:t>
            </w:r>
          </w:p>
          <w:p w:rsidR="005404E6" w:rsidRPr="00081E3E" w:rsidRDefault="005404E6" w:rsidP="005404E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60" w:after="60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Agreed round the table would be good to look at it. G</w:t>
            </w:r>
            <w:r w:rsidRPr="00081E3E">
              <w:rPr>
                <w:rFonts w:ascii="Calibri Light" w:hAnsi="Calibri Light"/>
                <w:bCs/>
                <w:sz w:val="22"/>
                <w:szCs w:val="22"/>
              </w:rPr>
              <w:t>ood to reassess where the product is now and the prices being charged. Are they 80% of private rents? Are they taken up more by specific groups etc.?</w:t>
            </w:r>
          </w:p>
          <w:p w:rsidR="005404E6" w:rsidRPr="00565E1C" w:rsidRDefault="005404E6" w:rsidP="005404E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60" w:after="60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Sara I – Bedford has recently done a similar survey of all RPs, asking what their rent policy is and do they charge 80% of private median rent, or LHA levels?</w:t>
            </w:r>
          </w:p>
        </w:tc>
      </w:tr>
      <w:tr w:rsidR="005404E6" w:rsidRPr="00565E1C" w:rsidTr="008A514A">
        <w:tc>
          <w:tcPr>
            <w:tcW w:w="5000" w:type="pct"/>
          </w:tcPr>
          <w:p w:rsidR="005404E6" w:rsidRDefault="005404E6" w:rsidP="005404E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60" w:after="60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Who moves </w:t>
            </w:r>
            <w:r w:rsidRPr="00081E3E">
              <w:rPr>
                <w:rFonts w:ascii="Calibri Light" w:hAnsi="Calibri Light"/>
                <w:b/>
                <w:bCs/>
                <w:sz w:val="22"/>
                <w:szCs w:val="22"/>
              </w:rPr>
              <w:t>onto growth sites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(Helen R)</w:t>
            </w:r>
          </w:p>
          <w:p w:rsidR="005404E6" w:rsidRDefault="005404E6" w:rsidP="005404E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60" w:after="60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Might be of interest to the combined authority to create a shared evidence based about who moves on to the growth sites – demographics, incomes, employment etc.</w:t>
            </w:r>
          </w:p>
          <w:p w:rsidR="005404E6" w:rsidRDefault="005404E6" w:rsidP="005404E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60" w:after="60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Alex suggested there will be a programme of research undertaken by the CA, would be good to get this on the programme.</w:t>
            </w:r>
          </w:p>
          <w:p w:rsidR="005404E6" w:rsidRPr="00081E3E" w:rsidRDefault="005404E6" w:rsidP="005404E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60" w:after="60"/>
              <w:contextualSpacing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Helen will work up into proposal, possibly with CSHG input?</w:t>
            </w:r>
          </w:p>
        </w:tc>
      </w:tr>
    </w:tbl>
    <w:p w:rsidR="005404E6" w:rsidRPr="00803222" w:rsidRDefault="005404E6" w:rsidP="00803222">
      <w:pPr>
        <w:rPr>
          <w:rFonts w:ascii="Calibri Light" w:hAnsi="Calibri Light" w:cstheme="majorHAnsi"/>
        </w:rPr>
      </w:pPr>
    </w:p>
    <w:sectPr w:rsidR="005404E6" w:rsidRPr="00803222" w:rsidSect="009D484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52E7"/>
    <w:multiLevelType w:val="hybridMultilevel"/>
    <w:tmpl w:val="E774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6CA5"/>
    <w:multiLevelType w:val="hybridMultilevel"/>
    <w:tmpl w:val="AF48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22"/>
    <w:rsid w:val="00014A49"/>
    <w:rsid w:val="0005734D"/>
    <w:rsid w:val="000A5B43"/>
    <w:rsid w:val="00104129"/>
    <w:rsid w:val="00122A2E"/>
    <w:rsid w:val="00122DA1"/>
    <w:rsid w:val="0018218C"/>
    <w:rsid w:val="00193B87"/>
    <w:rsid w:val="001C0B04"/>
    <w:rsid w:val="001C16FC"/>
    <w:rsid w:val="001D1926"/>
    <w:rsid w:val="002219AE"/>
    <w:rsid w:val="0023454B"/>
    <w:rsid w:val="002374AA"/>
    <w:rsid w:val="00283CE4"/>
    <w:rsid w:val="002A649C"/>
    <w:rsid w:val="002B6A19"/>
    <w:rsid w:val="002D091F"/>
    <w:rsid w:val="002F28CC"/>
    <w:rsid w:val="00316222"/>
    <w:rsid w:val="0036055C"/>
    <w:rsid w:val="00391F7F"/>
    <w:rsid w:val="003A622C"/>
    <w:rsid w:val="003B7000"/>
    <w:rsid w:val="00441BF6"/>
    <w:rsid w:val="004A33B8"/>
    <w:rsid w:val="004C5A26"/>
    <w:rsid w:val="004E4350"/>
    <w:rsid w:val="00523B9A"/>
    <w:rsid w:val="005404E6"/>
    <w:rsid w:val="0057089A"/>
    <w:rsid w:val="00595B6E"/>
    <w:rsid w:val="005A3D72"/>
    <w:rsid w:val="005C1FCE"/>
    <w:rsid w:val="00615814"/>
    <w:rsid w:val="00666088"/>
    <w:rsid w:val="006665CE"/>
    <w:rsid w:val="006B7372"/>
    <w:rsid w:val="006D3281"/>
    <w:rsid w:val="006F113D"/>
    <w:rsid w:val="00703772"/>
    <w:rsid w:val="00716641"/>
    <w:rsid w:val="00784CC9"/>
    <w:rsid w:val="007916A9"/>
    <w:rsid w:val="007A15EB"/>
    <w:rsid w:val="007E024A"/>
    <w:rsid w:val="00803222"/>
    <w:rsid w:val="0081066A"/>
    <w:rsid w:val="0082200D"/>
    <w:rsid w:val="0087485B"/>
    <w:rsid w:val="0088299E"/>
    <w:rsid w:val="00890D21"/>
    <w:rsid w:val="008971FB"/>
    <w:rsid w:val="008C4FC9"/>
    <w:rsid w:val="008F60EE"/>
    <w:rsid w:val="009015FF"/>
    <w:rsid w:val="00940625"/>
    <w:rsid w:val="009464C6"/>
    <w:rsid w:val="00953816"/>
    <w:rsid w:val="00955E4A"/>
    <w:rsid w:val="009A670C"/>
    <w:rsid w:val="009D4841"/>
    <w:rsid w:val="009E3D68"/>
    <w:rsid w:val="009F737E"/>
    <w:rsid w:val="00A0096A"/>
    <w:rsid w:val="00A01035"/>
    <w:rsid w:val="00A01C5E"/>
    <w:rsid w:val="00A03C35"/>
    <w:rsid w:val="00A24587"/>
    <w:rsid w:val="00A24997"/>
    <w:rsid w:val="00A30946"/>
    <w:rsid w:val="00A63A3B"/>
    <w:rsid w:val="00AA75A8"/>
    <w:rsid w:val="00AB3D05"/>
    <w:rsid w:val="00AD21E1"/>
    <w:rsid w:val="00B1567B"/>
    <w:rsid w:val="00B36668"/>
    <w:rsid w:val="00B841EF"/>
    <w:rsid w:val="00B9509B"/>
    <w:rsid w:val="00BB7DA4"/>
    <w:rsid w:val="00BD103D"/>
    <w:rsid w:val="00BE181E"/>
    <w:rsid w:val="00BE6923"/>
    <w:rsid w:val="00C402EC"/>
    <w:rsid w:val="00C47AEE"/>
    <w:rsid w:val="00C6612B"/>
    <w:rsid w:val="00C678AB"/>
    <w:rsid w:val="00CE1127"/>
    <w:rsid w:val="00CF5D4B"/>
    <w:rsid w:val="00D10F6F"/>
    <w:rsid w:val="00D125AF"/>
    <w:rsid w:val="00D3055C"/>
    <w:rsid w:val="00D30C99"/>
    <w:rsid w:val="00D33FD4"/>
    <w:rsid w:val="00DB009A"/>
    <w:rsid w:val="00DD7F37"/>
    <w:rsid w:val="00E22611"/>
    <w:rsid w:val="00E50C40"/>
    <w:rsid w:val="00E710F0"/>
    <w:rsid w:val="00E712C1"/>
    <w:rsid w:val="00E77BCB"/>
    <w:rsid w:val="00E826FB"/>
    <w:rsid w:val="00EE5442"/>
    <w:rsid w:val="00F241C7"/>
    <w:rsid w:val="00F271B6"/>
    <w:rsid w:val="00F35EA4"/>
    <w:rsid w:val="00F375D1"/>
    <w:rsid w:val="00F51727"/>
    <w:rsid w:val="00FC69C4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szCs w:val="22"/>
      <w:lang w:eastAsia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803222"/>
    <w:pPr>
      <w:ind w:left="720"/>
      <w:contextualSpacing/>
    </w:pPr>
  </w:style>
  <w:style w:type="table" w:styleId="TableGrid">
    <w:name w:val="Table Grid"/>
    <w:basedOn w:val="TableNormal"/>
    <w:uiPriority w:val="59"/>
    <w:rsid w:val="0080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625"/>
    <w:rPr>
      <w:color w:val="0000FF" w:themeColor="hyperlink"/>
      <w:u w:val="single"/>
    </w:rPr>
  </w:style>
  <w:style w:type="paragraph" w:styleId="Header">
    <w:name w:val="header"/>
    <w:aliases w:val="Text"/>
    <w:basedOn w:val="Normal"/>
    <w:link w:val="HeaderChar"/>
    <w:uiPriority w:val="99"/>
    <w:rsid w:val="005404E6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5404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szCs w:val="22"/>
      <w:lang w:eastAsia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803222"/>
    <w:pPr>
      <w:ind w:left="720"/>
      <w:contextualSpacing/>
    </w:pPr>
  </w:style>
  <w:style w:type="table" w:styleId="TableGrid">
    <w:name w:val="Table Grid"/>
    <w:basedOn w:val="TableNormal"/>
    <w:uiPriority w:val="59"/>
    <w:rsid w:val="0080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625"/>
    <w:rPr>
      <w:color w:val="0000FF" w:themeColor="hyperlink"/>
      <w:u w:val="single"/>
    </w:rPr>
  </w:style>
  <w:style w:type="paragraph" w:styleId="Header">
    <w:name w:val="header"/>
    <w:aliases w:val="Text"/>
    <w:basedOn w:val="Normal"/>
    <w:link w:val="HeaderChar"/>
    <w:uiPriority w:val="99"/>
    <w:rsid w:val="005404E6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5404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BEECROFT</dc:creator>
  <cp:lastModifiedBy>SUE BEECROFT</cp:lastModifiedBy>
  <cp:revision>3</cp:revision>
  <dcterms:created xsi:type="dcterms:W3CDTF">2017-07-17T09:10:00Z</dcterms:created>
  <dcterms:modified xsi:type="dcterms:W3CDTF">2017-07-17T09:14:00Z</dcterms:modified>
</cp:coreProperties>
</file>